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single" w:sz="24" w:space="1" w:color="000000"/>
          <w:bottom w:val="single" w:sz="8" w:space="1" w:color="000000"/>
        </w:pBdr>
        <w:spacing w:before="0" w:after="0"/>
        <w:ind w:left="0" w:right="0" w:hanging="0"/>
        <w:jc w:val="center"/>
        <w:rPr/>
      </w:pPr>
      <w:bookmarkStart w:id="0" w:name="mram-20230503x8k.htm"/>
      <w:bookmarkStart w:id="1" w:name="ksmram20230503x8k"/>
      <w:bookmarkEnd w:id="0"/>
      <w:bookmarkEnd w:id="1"/>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bookmarkStart w:id="2" w:name="_aa222166_a67a_4de9_8e49_bfcd0623d905"/>
      <w:bookmarkEnd w:id="2"/>
      <w:r>
        <w:rPr>
          <w:rFonts w:ascii="Arial;Helvetica;sans-serif" w:hAnsi="Arial;Helvetica;sans-serif"/>
          <w:b/>
          <w:sz w:val="16"/>
        </w:rPr>
        <w:t>UNITED STATES</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SECURITIES AND EXCHANGE COMMISSION</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Washington, D.C. 20549</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FORM 8-K</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CURRENT REPORT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Pursuant to Section 13 or 15(d)</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of 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Date of Report (Date of earliest event reported): May 3, 2023</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23"/>
        </w:rPr>
      </w:pPr>
      <w:r>
        <w:rPr>
          <w:rFonts w:ascii="Arial;Helvetica;sans-serif" w:hAnsi="Arial;Helvetica;sans-serif"/>
          <w:b/>
          <w:sz w:val="23"/>
        </w:rPr>
        <w:t>Everspin Technologies, Inc.</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(Exact name of registrant as specified in its charter)</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plbQ4QMX3kqWOKOrBZ7N9A_3_2"/>
      <w:bookmarkStart w:id="4" w:name="Tc_TxjlFraqlE28r7IThHv-8Q_3_1"/>
      <w:bookmarkStart w:id="5" w:name="Tc_nZn2jzHyNUu5TPqc9k5_5A_3_0"/>
      <w:bookmarkStart w:id="6" w:name="Tc_qQs6gcu9Okau6zJATHNpvg_2_2"/>
      <w:bookmarkStart w:id="7" w:name="Tc_Rz21UNW4e0WjxkcPTdHVMg_2_1"/>
      <w:bookmarkStart w:id="8" w:name="Tc_GiFGWC-jC06qF2qbj7piIg_2_0"/>
      <w:bookmarkStart w:id="9" w:name="_95aca28f_023d_4dd8_adf6_29a413db3fd7"/>
      <w:bookmarkStart w:id="10" w:name="Tc_plbQ4QMX3kqWOKOrBZ7N9A_3_2"/>
      <w:bookmarkStart w:id="11" w:name="Tc_TxjlFraqlE28r7IThHv-8Q_3_1"/>
      <w:bookmarkStart w:id="12" w:name="Tc_nZn2jzHyNUu5TPqc9k5_5A_3_0"/>
      <w:bookmarkStart w:id="13" w:name="Tc_qQs6gcu9Okau6zJATHNpvg_2_2"/>
      <w:bookmarkStart w:id="14" w:name="Tc_Rz21UNW4e0WjxkcPTdHVMg_2_1"/>
      <w:bookmarkStart w:id="15" w:name="Tc_GiFGWC-jC06qF2qbj7piIg_2_0"/>
      <w:bookmarkStart w:id="16" w:name="_95aca28f_023d_4dd8_adf6_29a413db3fd7"/>
      <w:bookmarkEnd w:id="10"/>
      <w:bookmarkEnd w:id="11"/>
      <w:bookmarkEnd w:id="12"/>
      <w:bookmarkEnd w:id="13"/>
      <w:bookmarkEnd w:id="14"/>
      <w:bookmarkEnd w:id="15"/>
      <w:bookmarkEnd w:id="16"/>
    </w:p>
    <w:tbl>
      <w:tblPr>
        <w:tblW w:w="4953" w:type="dxa"/>
        <w:jc w:val="left"/>
        <w:tblInd w:w="0" w:type="dxa"/>
        <w:tblCellMar>
          <w:top w:w="0" w:type="dxa"/>
          <w:left w:w="0" w:type="dxa"/>
          <w:bottom w:w="0" w:type="dxa"/>
          <w:right w:w="0" w:type="dxa"/>
        </w:tblCellMar>
      </w:tblPr>
      <w:tblGrid>
        <w:gridCol w:w="2206"/>
        <w:gridCol w:w="1171"/>
        <w:gridCol w:w="1576"/>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00810" cy="175260"/>
                      <wp:effectExtent l="0" t="0" r="0" b="0"/>
                      <wp:wrapNone/>
                      <wp:docPr id="1" name="Frame1"/>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43585" cy="175260"/>
                      <wp:effectExtent l="0" t="0" r="0" b="0"/>
                      <wp:wrapNone/>
                      <wp:docPr id="2" name="Frame2"/>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00760" cy="175260"/>
                      <wp:effectExtent l="0" t="0" r="0" b="0"/>
                      <wp:wrapNone/>
                      <wp:docPr id="3" name="Frame3"/>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17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001-37900</w:t>
            </w:r>
          </w:p>
        </w:tc>
        <w:tc>
          <w:tcPr>
            <w:tcW w:w="15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26-2640654</w:t>
            </w:r>
          </w:p>
        </w:tc>
      </w:tr>
      <w:tr>
        <w:trPr/>
        <w:tc>
          <w:tcPr>
            <w:tcW w:w="22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w:t>
            </w:r>
          </w:p>
        </w:tc>
        <w:tc>
          <w:tcPr>
            <w:tcW w:w="117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(Commission</w:t>
            </w:r>
          </w:p>
        </w:tc>
        <w:tc>
          <w:tcPr>
            <w:tcW w:w="15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tc>
      </w:tr>
      <w:tr>
        <w:trPr/>
        <w:tc>
          <w:tcPr>
            <w:tcW w:w="22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of incorporation)</w:t>
            </w:r>
          </w:p>
        </w:tc>
        <w:tc>
          <w:tcPr>
            <w:tcW w:w="117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File Number)</w:t>
            </w:r>
          </w:p>
        </w:tc>
        <w:tc>
          <w:tcPr>
            <w:tcW w:w="15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5670 W. Chandler Blvd.</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Suite 130</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b/>
          <w:sz w:val="16"/>
        </w:rPr>
        <w:t>Chandler, Arizona</w:t>
      </w:r>
      <w:r>
        <w:rPr>
          <w:rFonts w:ascii="Arial;Helvetica;sans-serif" w:hAnsi="Arial;Helvetica;sans-serif"/>
          <w:sz w:val="20"/>
        </w:rPr>
        <w:t xml:space="preserve"> </w:t>
      </w:r>
      <w:r>
        <w:rPr>
          <w:rFonts w:ascii="Arial;Helvetica;sans-serif" w:hAnsi="Arial;Helvetica;sans-serif"/>
          <w:b/>
          <w:sz w:val="16"/>
        </w:rPr>
        <w:t>85226</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(Address of principal executive offices, including zip code)</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(480) 347-1111</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Not Applicable </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(Former name or former address, if changed since last report.)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w:t>
      </w:r>
    </w:p>
    <w:tbl>
      <w:tblPr>
        <w:tblW w:w="7041" w:type="dxa"/>
        <w:jc w:val="left"/>
        <w:tblInd w:w="0" w:type="dxa"/>
        <w:tblCellMar>
          <w:top w:w="0" w:type="dxa"/>
          <w:left w:w="0" w:type="dxa"/>
          <w:bottom w:w="0" w:type="dxa"/>
          <w:right w:w="0" w:type="dxa"/>
        </w:tblCellMar>
      </w:tblPr>
      <w:tblGrid>
        <w:gridCol w:w="124"/>
        <w:gridCol w:w="31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6601" w:type="dxa"/>
            <w:tcBorders/>
            <w:shd w:fill="auto" w:val="clear"/>
            <w:vAlign w:val="center"/>
          </w:tcPr>
          <w:p>
            <w:pPr>
              <w:pStyle w:val="TableContents"/>
              <w:spacing w:before="0" w:after="0"/>
              <w:rPr>
                <w:rFonts w:ascii="Arial;Helvetica;sans-serif" w:hAnsi="Arial;Helvetica;sans-serif"/>
                <w:sz w:val="16"/>
              </w:rPr>
            </w:pPr>
            <w:r>
              <w:rPr>
                <w:rFonts w:ascii="Arial;Helvetica;sans-serif" w:hAnsi="Arial;Helvetica;sans-serif"/>
                <w:sz w:val="16"/>
              </w:rPr>
              <w:t>Written communications pursuant to Rule 425 under the Securities Act (17 CFR 230.425)</w:t>
            </w:r>
          </w:p>
        </w:tc>
      </w:tr>
    </w:tbl>
    <w:p>
      <w:pPr>
        <w:pStyle w:val="TextBody"/>
        <w:spacing w:before="0" w:after="0"/>
        <w:ind w:left="0" w:right="0" w:hanging="0"/>
        <w:rPr/>
      </w:pPr>
      <w:r>
        <w:rPr/>
        <w:t>​</w:t>
      </w:r>
    </w:p>
    <w:tbl>
      <w:tblPr>
        <w:tblW w:w="7041" w:type="dxa"/>
        <w:jc w:val="left"/>
        <w:tblInd w:w="0" w:type="dxa"/>
        <w:tblCellMar>
          <w:top w:w="0" w:type="dxa"/>
          <w:left w:w="0" w:type="dxa"/>
          <w:bottom w:w="0" w:type="dxa"/>
          <w:right w:w="0" w:type="dxa"/>
        </w:tblCellMar>
      </w:tblPr>
      <w:tblGrid>
        <w:gridCol w:w="124"/>
        <w:gridCol w:w="31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6601" w:type="dxa"/>
            <w:tcBorders/>
            <w:shd w:fill="auto" w:val="clear"/>
            <w:vAlign w:val="center"/>
          </w:tcPr>
          <w:p>
            <w:pPr>
              <w:pStyle w:val="TableContents"/>
              <w:spacing w:before="0" w:after="0"/>
              <w:rPr>
                <w:rFonts w:ascii="Arial;Helvetica;sans-serif" w:hAnsi="Arial;Helvetica;sans-serif"/>
                <w:sz w:val="16"/>
              </w:rPr>
            </w:pPr>
            <w:r>
              <w:rPr>
                <w:rFonts w:ascii="Arial;Helvetica;sans-serif" w:hAnsi="Arial;Helvetica;sans-serif"/>
                <w:sz w:val="16"/>
              </w:rPr>
              <w:t>Soliciting material pursuant to Rule 14a-12 under the Exchange Act (17 CFR 240.14a-12)</w:t>
            </w:r>
          </w:p>
        </w:tc>
      </w:tr>
    </w:tbl>
    <w:p>
      <w:pPr>
        <w:pStyle w:val="TextBody"/>
        <w:spacing w:before="0" w:after="0"/>
        <w:ind w:left="0" w:right="0" w:hanging="0"/>
        <w:rPr/>
      </w:pPr>
      <w:r>
        <w:rPr/>
        <w:t>​</w:t>
      </w:r>
    </w:p>
    <w:tbl>
      <w:tblPr>
        <w:tblW w:w="8751" w:type="dxa"/>
        <w:jc w:val="left"/>
        <w:tblInd w:w="0" w:type="dxa"/>
        <w:tblCellMar>
          <w:top w:w="0" w:type="dxa"/>
          <w:left w:w="0" w:type="dxa"/>
          <w:bottom w:w="0" w:type="dxa"/>
          <w:right w:w="0" w:type="dxa"/>
        </w:tblCellMar>
      </w:tblPr>
      <w:tblGrid>
        <w:gridCol w:w="124"/>
        <w:gridCol w:w="316"/>
        <w:gridCol w:w="831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8311" w:type="dxa"/>
            <w:tcBorders/>
            <w:shd w:fill="auto" w:val="clear"/>
            <w:vAlign w:val="center"/>
          </w:tcPr>
          <w:p>
            <w:pPr>
              <w:pStyle w:val="TableContents"/>
              <w:spacing w:before="0" w:after="0"/>
              <w:rPr>
                <w:rFonts w:ascii="Arial;Helvetica;sans-serif" w:hAnsi="Arial;Helvetica;sans-serif"/>
                <w:sz w:val="16"/>
              </w:rPr>
            </w:pPr>
            <w:r>
              <w:rPr>
                <w:rFonts w:ascii="Arial;Helvetica;sans-serif" w:hAnsi="Arial;Helvetica;sans-serif"/>
                <w:sz w:val="16"/>
              </w:rPr>
              <w:t>Pre-commencement communications pursuant to Rule 14d-2(b) under the Exchange Act (17 CFR 240.14d-2(b))</w:t>
            </w:r>
          </w:p>
        </w:tc>
      </w:tr>
    </w:tbl>
    <w:p>
      <w:pPr>
        <w:pStyle w:val="TextBody"/>
        <w:spacing w:before="0" w:after="0"/>
        <w:ind w:left="0" w:right="0" w:hanging="0"/>
        <w:rPr/>
      </w:pPr>
      <w:r>
        <w:rPr/>
        <w:t>​</w:t>
      </w:r>
    </w:p>
    <w:p>
      <w:pPr>
        <w:pStyle w:val="TextBody"/>
        <w:spacing w:before="0" w:after="0"/>
        <w:ind w:left="0" w:right="0" w:hanging="0"/>
        <w:rPr/>
      </w:pPr>
      <w:r>
        <w:rPr>
          <w:caps w:val="false"/>
          <w:smallCaps w:val="false"/>
        </w:rPr>
        <w:t>☐</w:t>
      </w:r>
      <w:r>
        <w:rPr>
          <w:rFonts w:ascii="Arial;Helvetica;sans-serif" w:hAnsi="Arial;Helvetica;sans-serif"/>
          <w:sz w:val="16"/>
        </w:rPr>
        <w:t>Pre-commencement communications pursuant to Rule 13e-4(c) under the Exchange Act (17 CFR 240.13e-4(c))</w:t>
      </w:r>
    </w:p>
    <w:p>
      <w:pPr>
        <w:pStyle w:val="TextBody"/>
        <w:spacing w:before="0" w:after="0"/>
        <w:ind w:left="0" w:right="0" w:firstLine="8"/>
        <w:rPr/>
      </w:pPr>
      <w:r>
        <w:rPr/>
        <w:t>​</w:t>
      </w:r>
    </w:p>
    <w:p>
      <w:pPr>
        <w:pStyle w:val="TextBody"/>
        <w:spacing w:before="0" w:after="0"/>
        <w:ind w:left="0" w:right="0" w:firstLine="8"/>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spacing w:before="0" w:after="0"/>
        <w:ind w:left="0" w:right="0" w:hanging="0"/>
        <w:rPr/>
      </w:pPr>
      <w:r>
        <w:rPr/>
        <w:t>​</w:t>
      </w:r>
    </w:p>
    <w:p>
      <w:pPr>
        <w:pStyle w:val="Normal"/>
        <w:spacing w:before="0" w:after="0"/>
        <w:rPr>
          <w:sz w:val="4"/>
          <w:szCs w:val="4"/>
        </w:rPr>
      </w:pPr>
      <w:r>
        <w:rPr>
          <w:sz w:val="4"/>
          <w:szCs w:val="4"/>
        </w:rPr>
      </w:r>
      <w:bookmarkStart w:id="17" w:name="Tc_feH19hRwYEiaGr7CMSsttw_2_4"/>
      <w:bookmarkStart w:id="18" w:name="Tc_aJK1vkyEZUeEPwgwW4hTUA_2_2"/>
      <w:bookmarkStart w:id="19" w:name="Tc_yTZDATRzrE2lB-ryVnA3Pg_2_0"/>
      <w:bookmarkStart w:id="20" w:name="Tc_4nQ8jUEMjkqry28SwMePyA_1_4"/>
      <w:bookmarkStart w:id="21" w:name="_f2746404_9f51_4d9f_a11d_2495f3f23645"/>
      <w:bookmarkStart w:id="22" w:name="Tc_feH19hRwYEiaGr7CMSsttw_2_4"/>
      <w:bookmarkStart w:id="23" w:name="Tc_aJK1vkyEZUeEPwgwW4hTUA_2_2"/>
      <w:bookmarkStart w:id="24" w:name="Tc_yTZDATRzrE2lB-ryVnA3Pg_2_0"/>
      <w:bookmarkStart w:id="25" w:name="Tc_4nQ8jUEMjkqry28SwMePyA_1_4"/>
      <w:bookmarkStart w:id="26" w:name="_f2746404_9f51_4d9f_a11d_2495f3f23645"/>
      <w:bookmarkEnd w:id="22"/>
      <w:bookmarkEnd w:id="23"/>
      <w:bookmarkEnd w:id="24"/>
      <w:bookmarkEnd w:id="25"/>
      <w:bookmarkEnd w:id="26"/>
    </w:p>
    <w:tbl>
      <w:tblPr>
        <w:tblW w:w="7840" w:type="dxa"/>
        <w:jc w:val="left"/>
        <w:tblInd w:w="0" w:type="dxa"/>
        <w:tblCellMar>
          <w:top w:w="0" w:type="dxa"/>
          <w:left w:w="0" w:type="dxa"/>
          <w:bottom w:w="0" w:type="dxa"/>
          <w:right w:w="0" w:type="dxa"/>
        </w:tblCellMar>
      </w:tblPr>
      <w:tblGrid>
        <w:gridCol w:w="2791"/>
        <w:gridCol w:w="326"/>
        <w:gridCol w:w="1576"/>
        <w:gridCol w:w="326"/>
        <w:gridCol w:w="2821"/>
      </w:tblGrid>
      <w:tr>
        <w:trPr/>
        <w:tc>
          <w:tcPr>
            <w:tcW w:w="2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772285" cy="175260"/>
                      <wp:effectExtent l="0" t="0" r="0" b="0"/>
                      <wp:wrapNone/>
                      <wp:docPr id="4" name="Frame4"/>
                      <a:graphic xmlns:a="http://schemas.openxmlformats.org/drawingml/2006/main">
                        <a:graphicData uri="http://schemas.microsoft.com/office/word/2010/wordprocessingShape">
                          <wps:wsp>
                            <wps:cNvSpPr txBox="1"/>
                            <wps:spPr>
                              <a:xfrm>
                                <a:off x="0" y="0"/>
                                <a:ext cx="177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00760" cy="175260"/>
                      <wp:effectExtent l="0" t="0" r="0" b="0"/>
                      <wp:wrapNone/>
                      <wp:docPr id="6" name="Frame6"/>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791335" cy="175260"/>
                      <wp:effectExtent l="0" t="0" r="0" b="0"/>
                      <wp:wrapNone/>
                      <wp:docPr id="8" name="Frame8"/>
                      <a:graphic xmlns:a="http://schemas.openxmlformats.org/drawingml/2006/main">
                        <a:graphicData uri="http://schemas.microsoft.com/office/word/2010/wordprocessingShape">
                          <wps:wsp>
                            <wps:cNvSpPr txBox="1"/>
                            <wps:spPr>
                              <a:xfrm>
                                <a:off x="0" y="0"/>
                                <a:ext cx="1791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82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Name of each exchange on which</w:t>
            </w:r>
          </w:p>
        </w:tc>
      </w:tr>
      <w:tr>
        <w:trPr/>
        <w:tc>
          <w:tcPr>
            <w:tcW w:w="27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Trading Symbol(s)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8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registered</w:t>
            </w:r>
          </w:p>
        </w:tc>
      </w:tr>
      <w:tr>
        <w:trPr/>
        <w:tc>
          <w:tcPr>
            <w:tcW w:w="279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Common Stock, par value $0.0001</w:t>
            </w:r>
          </w:p>
        </w:tc>
        <w:tc>
          <w:tcPr>
            <w:tcW w:w="326" w:type="dxa"/>
            <w:tcBorders/>
            <w:shd w:fill="auto" w:val="clear"/>
            <w:vAlign w:val="center"/>
          </w:tcPr>
          <w:p>
            <w:pPr>
              <w:pStyle w:val="TableContents"/>
              <w:spacing w:before="0" w:after="0"/>
              <w:ind w:left="0" w:right="0" w:hanging="0"/>
              <w:rPr/>
            </w:pPr>
            <w:r>
              <w:rPr/>
              <w:t>​</w:t>
            </w:r>
          </w:p>
        </w:tc>
        <w:tc>
          <w:tcPr>
            <w:tcW w:w="157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MRAM</w:t>
            </w:r>
          </w:p>
        </w:tc>
        <w:tc>
          <w:tcPr>
            <w:tcW w:w="326" w:type="dxa"/>
            <w:tcBorders/>
            <w:shd w:fill="auto" w:val="clear"/>
            <w:vAlign w:val="center"/>
          </w:tcPr>
          <w:p>
            <w:pPr>
              <w:pStyle w:val="TableContents"/>
              <w:spacing w:before="0" w:after="0"/>
              <w:ind w:left="0" w:right="0" w:hanging="0"/>
              <w:rPr/>
            </w:pPr>
            <w:r>
              <w:rPr/>
              <w:t>​</w:t>
            </w:r>
          </w:p>
        </w:tc>
        <w:tc>
          <w:tcPr>
            <w:tcW w:w="282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The Nasdaq Stock Market LLC</w:t>
            </w:r>
          </w:p>
        </w:tc>
      </w:tr>
    </w:tbl>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16"/>
        </w:rPr>
        <w:t xml:space="preserve">Emerging growth company </w:t>
      </w:r>
      <w:r>
        <w:rPr>
          <w:rFonts w:ascii="Arial;Helvetica;sans-serif" w:hAnsi="Arial;Helvetica;sans-serif"/>
          <w:sz w:val="20"/>
        </w:rPr>
        <w: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pPr>
      <w:r>
        <w:rPr/>
        <w:t>​</w:t>
      </w:r>
    </w:p>
    <w:p>
      <w:pPr>
        <w:pStyle w:val="TextBody"/>
        <w:spacing w:before="0" w:after="0"/>
        <w:ind w:left="0" w:right="0" w:hanging="0"/>
        <w:rPr/>
      </w:pPr>
      <w:r>
        <w:rPr/>
        <w:t>​</w:t>
      </w:r>
    </w:p>
    <w:p>
      <w:pPr>
        <w:pStyle w:val="TextBody"/>
        <w:pBdr>
          <w:top w:val="single" w:sz="2" w:space="1" w:color="000000"/>
          <w:bottom w:val="single" w:sz="24" w:space="1" w:color="000000"/>
        </w:pBdr>
        <w:spacing w:lineRule="atLeast" w:line="141"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b/>
          <w:sz w:val="18"/>
        </w:rPr>
      </w:pPr>
      <w:bookmarkStart w:id="27" w:name="_d5c6b158_063c_485c_a930_65d46d93df7d"/>
      <w:bookmarkEnd w:id="27"/>
      <w:r>
        <w:rPr>
          <w:rFonts w:ascii="Arial;Helvetica;sans-serif" w:hAnsi="Arial;Helvetica;sans-serif"/>
          <w:b/>
          <w:sz w:val="18"/>
        </w:rPr>
        <w:t>Item 2.02. Results of Operations and Financial Condition.</w:t>
      </w:r>
    </w:p>
    <w:p>
      <w:pPr>
        <w:pStyle w:val="TextBody"/>
        <w:spacing w:before="0" w:after="0"/>
        <w:ind w:left="0" w:right="0" w:hanging="0"/>
        <w:rPr/>
      </w:pPr>
      <w:r>
        <w:rPr/>
        <w:t>​</w:t>
      </w:r>
    </w:p>
    <w:p>
      <w:pPr>
        <w:pStyle w:val="TextBody"/>
        <w:spacing w:before="0" w:after="0"/>
        <w:ind w:left="0" w:right="0" w:firstLine="720"/>
        <w:rPr>
          <w:rFonts w:ascii="Arial;Helvetica;sans-serif" w:hAnsi="Arial;Helvetica;sans-serif"/>
          <w:sz w:val="18"/>
        </w:rPr>
      </w:pPr>
      <w:r>
        <w:rPr>
          <w:rFonts w:ascii="Arial;Helvetica;sans-serif" w:hAnsi="Arial;Helvetica;sans-serif"/>
          <w:sz w:val="18"/>
        </w:rPr>
        <w:t>On May 3, 2023, Everspin Technologies, Inc. issued a press release announcing its financial results for the quarter ended March 31, 2023,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b/>
          <w:sz w:val="18"/>
        </w:rPr>
      </w:pPr>
      <w:bookmarkStart w:id="28" w:name="_d1da82cc_8a05_4539_a381_dcb3da2ccd08"/>
      <w:bookmarkEnd w:id="28"/>
      <w:r>
        <w:rPr>
          <w:rFonts w:ascii="Arial;Helvetica;sans-serif" w:hAnsi="Arial;Helvetica;sans-serif"/>
          <w:b/>
          <w:sz w:val="18"/>
        </w:rPr>
        <w:t>Item 9.01. Financial Statements and Exhibits.</w:t>
      </w:r>
    </w:p>
    <w:p>
      <w:pPr>
        <w:pStyle w:val="TextBody"/>
        <w:spacing w:before="0" w:after="0"/>
        <w:ind w:left="0" w:right="0" w:hanging="0"/>
        <w:rPr/>
      </w:pPr>
      <w:r>
        <w:rPr/>
        <w:t>​</w:t>
      </w:r>
    </w:p>
    <w:tbl>
      <w:tblPr>
        <w:tblW w:w="6343" w:type="dxa"/>
        <w:jc w:val="left"/>
        <w:tblInd w:w="0" w:type="dxa"/>
        <w:tblCellMar>
          <w:top w:w="0" w:type="dxa"/>
          <w:left w:w="0" w:type="dxa"/>
          <w:bottom w:w="28" w:type="dxa"/>
          <w:right w:w="0" w:type="dxa"/>
        </w:tblCellMar>
      </w:tblPr>
      <w:tblGrid>
        <w:gridCol w:w="1036"/>
        <w:gridCol w:w="326"/>
        <w:gridCol w:w="4981"/>
      </w:tblGrid>
      <w:tr>
        <w:trPr/>
        <w:tc>
          <w:tcPr>
            <w:tcW w:w="1036" w:type="dxa"/>
            <w:tcBorders>
              <w:bottom w:val="single" w:sz="2" w:space="0" w:color="000000"/>
            </w:tcBorders>
            <w:shd w:fill="auto" w:val="clear"/>
            <w:vAlign w:val="center"/>
          </w:tcPr>
          <w:p>
            <w:pPr>
              <w:pStyle w:val="TableContents"/>
              <w:spacing w:before="0" w:after="0"/>
              <w:ind w:left="0" w:right="0" w:hanging="0"/>
              <w:jc w:val="center"/>
              <w:rPr>
                <w:rFonts w:ascii="Arial;Helvetica;sans-serif" w:hAnsi="Arial;Helvetica;sans-serif"/>
                <w:b/>
                <w:sz w:val="18"/>
              </w:rPr>
            </w:pPr>
            <w:r>
              <w:rPr>
                <w:rFonts w:ascii="Arial;Helvetica;sans-serif" w:hAnsi="Arial;Helvetica;sans-serif"/>
                <w:b/>
                <w:sz w:val="18"/>
              </w:rPr>
              <w:t>Exhibit No.</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4981" w:type="dxa"/>
            <w:tcBorders>
              <w:bottom w:val="single" w:sz="2" w:space="0" w:color="000000"/>
            </w:tcBorders>
            <w:shd w:fill="auto" w:val="clear"/>
            <w:vAlign w:val="center"/>
          </w:tcPr>
          <w:p>
            <w:pPr>
              <w:pStyle w:val="TableContents"/>
              <w:spacing w:before="0" w:after="0"/>
              <w:ind w:left="0" w:right="0" w:hanging="0"/>
              <w:jc w:val="center"/>
              <w:rPr>
                <w:rFonts w:ascii="Arial;Helvetica;sans-serif" w:hAnsi="Arial;Helvetica;sans-serif"/>
                <w:b/>
                <w:sz w:val="18"/>
              </w:rPr>
            </w:pPr>
            <w:r>
              <w:rPr>
                <w:rFonts w:ascii="Arial;Helvetica;sans-serif" w:hAnsi="Arial;Helvetica;sans-serif"/>
                <w:b/>
                <w:sz w:val="18"/>
              </w:rPr>
              <w:t>Description</w:t>
            </w:r>
          </w:p>
        </w:tc>
      </w:tr>
      <w:tr>
        <w:trPr/>
        <w:tc>
          <w:tcPr>
            <w:tcW w:w="103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99.1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981" w:type="dxa"/>
            <w:tcBorders>
              <w:top w:val="single" w:sz="2" w:space="0" w:color="000000"/>
            </w:tcBorders>
            <w:shd w:fill="auto" w:val="clear"/>
            <w:tcMar>
              <w:top w:w="28" w:type="dxa"/>
              <w:bottom w:w="0" w:type="dxa"/>
            </w:tcMar>
            <w:vAlign w:val="center"/>
          </w:tcPr>
          <w:p>
            <w:pPr>
              <w:pStyle w:val="TableContents"/>
              <w:spacing w:before="0" w:after="0"/>
              <w:ind w:left="0" w:right="0" w:hanging="0"/>
              <w:rPr/>
            </w:pPr>
            <w:hyperlink w:anchor="mram-20230503xex99d1.htm">
              <w:r>
                <w:rPr>
                  <w:rStyle w:val="InternetLink"/>
                  <w:rFonts w:ascii="Arial;Helvetica;sans-serif" w:hAnsi="Arial;Helvetica;sans-serif"/>
                  <w:b w:val="false"/>
                  <w:i w:val="false"/>
                  <w:caps w:val="false"/>
                  <w:smallCaps w:val="false"/>
                  <w:sz w:val="20"/>
                </w:rPr>
                <w:t>Press release dated May 3, 2023.</w:t>
              </w:r>
            </w:hyperlink>
          </w:p>
        </w:tc>
      </w:tr>
      <w:tr>
        <w:trPr/>
        <w:tc>
          <w:tcPr>
            <w:tcW w:w="1036" w:type="dxa"/>
            <w:tcBorders/>
            <w:shd w:fill="auto" w:val="clear"/>
            <w:tcMar>
              <w:bottom w:w="0" w:type="dxa"/>
            </w:tcM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104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981" w:type="dxa"/>
            <w:tcBorders/>
            <w:shd w:fill="auto" w:val="clear"/>
            <w:tcMar>
              <w:bottom w:w="0"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Cover Page Interactive Data File (formatted as Inline XBRL)</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8"/>
        </w:rPr>
      </w:pPr>
      <w:bookmarkStart w:id="29" w:name="_12b76200_f48b_459c_9926_1fd735afaa0e"/>
      <w:bookmarkEnd w:id="29"/>
      <w:r>
        <w:rPr>
          <w:rFonts w:ascii="Arial;Helvetica;sans-serif" w:hAnsi="Arial;Helvetica;sans-serif"/>
          <w:b/>
          <w:sz w:val="18"/>
        </w:rPr>
        <w:t>SIGNATURES</w:t>
      </w:r>
    </w:p>
    <w:p>
      <w:pPr>
        <w:pStyle w:val="TextBody"/>
        <w:spacing w:before="0" w:after="0"/>
        <w:ind w:left="0" w:right="0" w:hanging="0"/>
        <w:rPr/>
      </w:pPr>
      <w:r>
        <w:rPr/>
        <w:t>​</w:t>
      </w:r>
    </w:p>
    <w:p>
      <w:pPr>
        <w:pStyle w:val="TextBody"/>
        <w:spacing w:before="0" w:after="0"/>
        <w:ind w:left="0" w:right="0" w:firstLine="720"/>
        <w:rPr>
          <w:rFonts w:ascii="Arial;Helvetica;sans-serif" w:hAnsi="Arial;Helvetica;sans-serif"/>
          <w:sz w:val="18"/>
        </w:rPr>
      </w:pPr>
      <w:r>
        <w:rPr>
          <w:rFonts w:ascii="Arial;Helvetica;sans-serif" w:hAnsi="Arial;Helvetica;sans-serif"/>
          <w:sz w:val="18"/>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w:t>
      </w:r>
    </w:p>
    <w:tbl>
      <w:tblPr>
        <w:tblW w:w="4201" w:type="dxa"/>
        <w:jc w:val="left"/>
        <w:tblInd w:w="0" w:type="dxa"/>
        <w:tblCellMar>
          <w:top w:w="0" w:type="dxa"/>
          <w:left w:w="0" w:type="dxa"/>
          <w:bottom w:w="0" w:type="dxa"/>
          <w:right w:w="0" w:type="dxa"/>
        </w:tblCellMar>
      </w:tblPr>
      <w:tblGrid>
        <w:gridCol w:w="1711"/>
        <w:gridCol w:w="429"/>
        <w:gridCol w:w="2061"/>
      </w:tblGrid>
      <w:tr>
        <w:trPr/>
        <w:tc>
          <w:tcPr>
            <w:tcW w:w="1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086485" cy="175260"/>
                      <wp:effectExtent l="0" t="0" r="0" b="0"/>
                      <wp:wrapNone/>
                      <wp:docPr id="9" name="Frame9"/>
                      <a:graphic xmlns:a="http://schemas.openxmlformats.org/drawingml/2006/main">
                        <a:graphicData uri="http://schemas.microsoft.com/office/word/2010/wordprocessingShape">
                          <wps:wsp>
                            <wps:cNvSpPr txBox="1"/>
                            <wps:spPr>
                              <a:xfrm>
                                <a:off x="0" y="0"/>
                                <a:ext cx="1086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72415" cy="175260"/>
                      <wp:effectExtent l="0" t="0" r="0" b="0"/>
                      <wp:wrapNone/>
                      <wp:docPr id="10" name="Frame10"/>
                      <a:graphic xmlns:a="http://schemas.openxmlformats.org/drawingml/2006/main">
                        <a:graphicData uri="http://schemas.microsoft.com/office/word/2010/wordprocessingShape">
                          <wps:wsp>
                            <wps:cNvSpPr txBox="1"/>
                            <wps:spPr>
                              <a:xfrm>
                                <a:off x="0" y="0"/>
                                <a:ext cx="272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08735" cy="175260"/>
                      <wp:effectExtent l="0" t="0" r="0" b="0"/>
                      <wp:wrapNone/>
                      <wp:docPr id="11" name="Frame11"/>
                      <a:graphic xmlns:a="http://schemas.openxmlformats.org/drawingml/2006/main">
                        <a:graphicData uri="http://schemas.microsoft.com/office/word/2010/wordprocessingShape">
                          <wps:wsp>
                            <wps:cNvSpPr txBox="1"/>
                            <wps:spPr>
                              <a:xfrm>
                                <a:off x="0" y="0"/>
                                <a:ext cx="1308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11" w:type="dxa"/>
            <w:tcBorders/>
            <w:shd w:fill="auto" w:val="clear"/>
            <w:vAlign w:val="center"/>
          </w:tcPr>
          <w:p>
            <w:pPr>
              <w:pStyle w:val="TableContents"/>
              <w:spacing w:before="0" w:after="0"/>
              <w:ind w:left="0" w:right="0" w:hanging="0"/>
              <w:rPr/>
            </w:pPr>
            <w:r>
              <w:rPr/>
              <w:t>​</w:t>
            </w:r>
          </w:p>
        </w:tc>
        <w:tc>
          <w:tcPr>
            <w:tcW w:w="2490" w:type="dxa"/>
            <w:gridSpan w:val="2"/>
            <w:tcBorders/>
            <w:shd w:fill="auto" w:val="clear"/>
            <w:vAlign w:val="center"/>
          </w:tcPr>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Everspin Technologies, Inc.</w:t>
            </w:r>
          </w:p>
        </w:tc>
      </w:tr>
      <w:tr>
        <w:trPr/>
        <w:tc>
          <w:tcPr>
            <w:tcW w:w="1711" w:type="dxa"/>
            <w:tcBorders/>
            <w:shd w:fill="auto" w:val="clear"/>
            <w:vAlign w:val="center"/>
          </w:tcPr>
          <w:p>
            <w:pPr>
              <w:pStyle w:val="TableContents"/>
              <w:spacing w:before="0" w:after="0"/>
              <w:ind w:left="0" w:right="0" w:hanging="0"/>
              <w:rPr/>
            </w:pPr>
            <w:r>
              <w:rPr/>
              <w:t>​</w:t>
            </w:r>
          </w:p>
        </w:tc>
        <w:tc>
          <w:tcPr>
            <w:tcW w:w="2490" w:type="dxa"/>
            <w:gridSpan w:val="2"/>
            <w:tcBorders/>
            <w:shd w:fill="auto" w:val="clear"/>
            <w:vAlign w:val="center"/>
          </w:tcPr>
          <w:p>
            <w:pPr>
              <w:pStyle w:val="TableContents"/>
              <w:spacing w:before="0" w:after="0"/>
              <w:ind w:left="0" w:right="0" w:hanging="0"/>
              <w:rPr/>
            </w:pPr>
            <w:r>
              <w:rPr/>
              <w:t>​</w:t>
            </w:r>
          </w:p>
        </w:tc>
      </w:tr>
      <w:tr>
        <w:trPr/>
        <w:tc>
          <w:tcPr>
            <w:tcW w:w="1711"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Dated: May 3, 2023</w:t>
            </w:r>
          </w:p>
        </w:tc>
        <w:tc>
          <w:tcPr>
            <w:tcW w:w="2490" w:type="dxa"/>
            <w:gridSpan w:val="2"/>
            <w:tcBorders/>
            <w:shd w:fill="auto" w:val="clear"/>
            <w:vAlign w:val="center"/>
          </w:tcPr>
          <w:p>
            <w:pPr>
              <w:pStyle w:val="TableContents"/>
              <w:spacing w:before="0" w:after="0"/>
              <w:ind w:left="0" w:right="0" w:hanging="0"/>
              <w:rPr/>
            </w:pPr>
            <w:r>
              <w:rPr/>
              <w:t>​</w:t>
            </w:r>
          </w:p>
        </w:tc>
      </w:tr>
      <w:tr>
        <w:trPr/>
        <w:tc>
          <w:tcPr>
            <w:tcW w:w="1711" w:type="dxa"/>
            <w:tcBorders/>
            <w:shd w:fill="auto" w:val="clear"/>
            <w:vAlign w:val="center"/>
          </w:tcPr>
          <w:p>
            <w:pPr>
              <w:pStyle w:val="TableContents"/>
              <w:spacing w:before="0" w:after="0"/>
              <w:ind w:left="0" w:right="0" w:hanging="0"/>
              <w:rPr/>
            </w:pPr>
            <w:r>
              <w:rPr/>
              <w:t>​</w:t>
            </w:r>
          </w:p>
        </w:tc>
        <w:tc>
          <w:tcPr>
            <w:tcW w:w="2490" w:type="dxa"/>
            <w:gridSpan w:val="2"/>
            <w:tcBorders/>
            <w:shd w:fill="auto" w:val="clear"/>
            <w:vAlign w:val="center"/>
          </w:tcPr>
          <w:p>
            <w:pPr>
              <w:pStyle w:val="TableContents"/>
              <w:spacing w:before="0" w:after="0"/>
              <w:ind w:left="0" w:right="0" w:hanging="0"/>
              <w:rPr/>
            </w:pPr>
            <w:r>
              <w:rPr/>
              <w:t>​</w:t>
            </w:r>
          </w:p>
        </w:tc>
      </w:tr>
      <w:tr>
        <w:trPr/>
        <w:tc>
          <w:tcPr>
            <w:tcW w:w="1711"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By: </w:t>
            </w:r>
          </w:p>
        </w:tc>
        <w:tc>
          <w:tcPr>
            <w:tcW w:w="2061"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/s/ Anuj Aggarwal</w:t>
            </w:r>
          </w:p>
        </w:tc>
      </w:tr>
      <w:tr>
        <w:trPr/>
        <w:tc>
          <w:tcPr>
            <w:tcW w:w="1711"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pPr>
            <w:r>
              <w:rPr/>
              <w:t>​</w:t>
            </w:r>
          </w:p>
        </w:tc>
        <w:tc>
          <w:tcPr>
            <w:tcW w:w="2061" w:type="dxa"/>
            <w:tcBorders>
              <w:top w:val="single" w:sz="2" w:space="0" w:color="000000"/>
            </w:tcBorders>
            <w:shd w:fill="auto" w:val="clear"/>
            <w:tcMar>
              <w:top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Anuj Aggarwal</w:t>
            </w:r>
          </w:p>
        </w:tc>
      </w:tr>
      <w:tr>
        <w:trPr/>
        <w:tc>
          <w:tcPr>
            <w:tcW w:w="1711"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pPr>
            <w:r>
              <w:rPr/>
              <w:t>​</w:t>
            </w:r>
          </w:p>
        </w:tc>
        <w:tc>
          <w:tcPr>
            <w:tcW w:w="2061"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Chief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r>
        <w:br w:type="page"/>
      </w:r>
    </w:p>
    <w:p>
      <w:pPr>
        <w:pStyle w:val="TextBody"/>
        <w:spacing w:before="0" w:after="240"/>
        <w:ind w:left="0" w:right="0" w:hanging="0"/>
        <w:jc w:val="right"/>
        <w:rPr>
          <w:rFonts w:ascii="Times New Roman;Times;serif" w:hAnsi="Times New Roman;Times;serif"/>
          <w:b/>
          <w:sz w:val="20"/>
        </w:rPr>
      </w:pPr>
      <w:bookmarkStart w:id="30" w:name="mram-20230503xex99d1.htm"/>
      <w:bookmarkStart w:id="31" w:name="ksmram20230503xex99d1"/>
      <w:bookmarkEnd w:id="30"/>
      <w:bookmarkEnd w:id="31"/>
      <w:r>
        <w:rPr>
          <w:rFonts w:ascii="Times New Roman;Times;serif" w:hAnsi="Times New Roman;Times;serif"/>
          <w:b/>
          <w:sz w:val="20"/>
        </w:rPr>
        <w:t>Exhibit 99.1</w:t>
      </w:r>
    </w:p>
    <w:p>
      <w:pPr>
        <w:pStyle w:val="TextBody"/>
        <w:spacing w:before="0" w:after="240"/>
        <w:ind w:left="0" w:right="0" w:hanging="0"/>
        <w:jc w:val="center"/>
        <w:rPr/>
      </w:pPr>
      <w:r>
        <w:rPr/>
        <w:drawing>
          <wp:inline distT="0" distB="0" distL="0" distR="0">
            <wp:extent cx="2542540" cy="523875"/>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2542540" cy="523875"/>
                    </a:xfrm>
                    <a:prstGeom prst="rect">
                      <a:avLst/>
                    </a:prstGeom>
                  </pic:spPr>
                </pic:pic>
              </a:graphicData>
            </a:graphic>
          </wp:inline>
        </w:drawing>
      </w:r>
    </w:p>
    <w:p>
      <w:pPr>
        <w:pStyle w:val="TextBody"/>
        <w:spacing w:before="0" w:after="240"/>
        <w:ind w:left="0" w:right="0" w:hanging="0"/>
        <w:jc w:val="both"/>
        <w:rPr>
          <w:rFonts w:ascii="Times New Roman;Times;serif" w:hAnsi="Times New Roman;Times;serif"/>
          <w:b/>
          <w:sz w:val="32"/>
        </w:rPr>
      </w:pPr>
      <w:r>
        <w:rPr>
          <w:rFonts w:ascii="Times New Roman;Times;serif" w:hAnsi="Times New Roman;Times;serif"/>
          <w:b/>
          <w:sz w:val="32"/>
        </w:rPr>
        <w:t>Everspin Reports Unaudited First Quarter 2023 Financial Results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Everspin continues to generate profits and operational cash flow with solid first quarter results while paying off debt.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Chandler, AZ, May 3, 2023 </w:t>
      </w:r>
      <w:r>
        <w:rPr>
          <w:rFonts w:ascii="Times New Roman;Times;serif" w:hAnsi="Times New Roman;Times;serif"/>
          <w:sz w:val="20"/>
        </w:rPr>
        <w:t>— Everspin Technologies, Inc. (NASDAQ: MRAM), the market leader in MRAM, today announced preliminary unaudited financial results for the first quarter ended March 31, 2023.</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First Quarter 2023 Highlights</w:t>
      </w:r>
    </w:p>
    <w:tbl>
      <w:tblPr>
        <w:tblW w:w="5643" w:type="dxa"/>
        <w:jc w:val="left"/>
        <w:tblInd w:w="0" w:type="dxa"/>
        <w:tblCellMar>
          <w:top w:w="0" w:type="dxa"/>
          <w:left w:w="0" w:type="dxa"/>
          <w:bottom w:w="0" w:type="dxa"/>
          <w:right w:w="0" w:type="dxa"/>
        </w:tblCellMar>
      </w:tblPr>
      <w:tblGrid>
        <w:gridCol w:w="23"/>
        <w:gridCol w:w="170"/>
        <w:gridCol w:w="54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Q1’23 revenue came in at the top end of guidance at $14.8 million.</w:t>
            </w:r>
          </w:p>
        </w:tc>
      </w:tr>
    </w:tbl>
    <w:tbl>
      <w:tblPr>
        <w:tblW w:w="8088" w:type="dxa"/>
        <w:jc w:val="left"/>
        <w:tblInd w:w="0" w:type="dxa"/>
        <w:tblCellMar>
          <w:top w:w="0" w:type="dxa"/>
          <w:left w:w="0" w:type="dxa"/>
          <w:bottom w:w="0" w:type="dxa"/>
          <w:right w:w="0" w:type="dxa"/>
        </w:tblCellMar>
      </w:tblPr>
      <w:tblGrid>
        <w:gridCol w:w="23"/>
        <w:gridCol w:w="170"/>
        <w:gridCol w:w="78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net income of $0.8 million for Q1’23, compared to $0.6 million for Q4’22.</w:t>
            </w:r>
          </w:p>
        </w:tc>
      </w:tr>
    </w:tbl>
    <w:tbl>
      <w:tblPr>
        <w:tblW w:w="6933" w:type="dxa"/>
        <w:jc w:val="left"/>
        <w:tblInd w:w="0" w:type="dxa"/>
        <w:tblCellMar>
          <w:top w:w="0" w:type="dxa"/>
          <w:left w:w="0" w:type="dxa"/>
          <w:bottom w:w="0" w:type="dxa"/>
          <w:right w:w="0" w:type="dxa"/>
        </w:tblCellMar>
      </w:tblPr>
      <w:tblGrid>
        <w:gridCol w:w="23"/>
        <w:gridCol w:w="170"/>
        <w:gridCol w:w="67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for Q1’23 was $2.3 million, compared to $2.1 million for Q4’22.</w:t>
            </w:r>
          </w:p>
        </w:tc>
      </w:tr>
    </w:tbl>
    <w:tbl>
      <w:tblPr>
        <w:tblW w:w="5088" w:type="dxa"/>
        <w:jc w:val="left"/>
        <w:tblInd w:w="0" w:type="dxa"/>
        <w:tblCellMar>
          <w:top w:w="0" w:type="dxa"/>
          <w:left w:w="0" w:type="dxa"/>
          <w:bottom w:w="0" w:type="dxa"/>
          <w:right w:w="0" w:type="dxa"/>
        </w:tblCellMar>
      </w:tblPr>
      <w:tblGrid>
        <w:gridCol w:w="23"/>
        <w:gridCol w:w="170"/>
        <w:gridCol w:w="48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EPS for Q1’23 was $0.04 compared to $0.03 in Q4’22.</w:t>
            </w:r>
          </w:p>
        </w:tc>
      </w:tr>
    </w:tbl>
    <w:tbl>
      <w:tblPr>
        <w:tblW w:w="6828" w:type="dxa"/>
        <w:jc w:val="left"/>
        <w:tblInd w:w="0" w:type="dxa"/>
        <w:tblCellMar>
          <w:top w:w="0" w:type="dxa"/>
          <w:left w:w="0" w:type="dxa"/>
          <w:bottom w:w="0" w:type="dxa"/>
          <w:right w:w="0" w:type="dxa"/>
        </w:tblCellMar>
      </w:tblPr>
      <w:tblGrid>
        <w:gridCol w:w="23"/>
        <w:gridCol w:w="170"/>
        <w:gridCol w:w="66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6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Everspin generated cash flows from operating activities of $1.2 million for Q1’23.</w:t>
            </w:r>
          </w:p>
        </w:tc>
      </w:tr>
    </w:tbl>
    <w:tbl>
      <w:tblPr>
        <w:tblW w:w="9468" w:type="dxa"/>
        <w:jc w:val="left"/>
        <w:tblInd w:w="0" w:type="dxa"/>
        <w:tblCellMar>
          <w:top w:w="0" w:type="dxa"/>
          <w:left w:w="0" w:type="dxa"/>
          <w:bottom w:w="0" w:type="dxa"/>
          <w:right w:w="0" w:type="dxa"/>
        </w:tblCellMar>
      </w:tblPr>
      <w:tblGrid>
        <w:gridCol w:w="23"/>
        <w:gridCol w:w="170"/>
        <w:gridCol w:w="92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2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Everspin paid off its term loan and line of credit in Q1’23, ending with cash and cash equivalents of $24.2 million.</w:t>
            </w:r>
          </w:p>
        </w:tc>
      </w:tr>
    </w:tbl>
    <w:p>
      <w:pPr>
        <w:pStyle w:val="TextBody"/>
        <w:spacing w:before="0" w:after="240"/>
        <w:ind w:left="0" w:right="0" w:hanging="0"/>
        <w:jc w:val="both"/>
        <w:rPr/>
      </w:pPr>
      <w:r>
        <w:rPr/>
        <w:t>“</w:t>
      </w:r>
      <w:r>
        <w:rPr>
          <w:rFonts w:ascii="Times New Roman;Times;serif" w:hAnsi="Times New Roman;Times;serif"/>
          <w:sz w:val="20"/>
        </w:rPr>
        <w:t>Everspin was GAAP net income positive for the 8th quarter in a row driven by growing demand of our Toggle and STT-MRAM products,” said Sanjeev Aggarwal, President &amp; CEO. “We are excited to see the interest from our customers to evaluate and design in our new xSPI family of STT-MRAM products. This family of STT-MRAM products was awarded Best in Show Memory and Storage Category at the Embedded World Exhibition &amp; Conference, 2023.”</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First Quarter 2023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Total revenue for the first quarter of 2023 was $14.8 million compared to $15.7 million reported in the fourth quarter of 2022. This is an increase of 3% compared to $14.3 million of revenue in the first quarter of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MRAM product sales in the first quarter of 2023, which includes both Toggle and STT-MRAM revenue, was $13.8 million, compared to $14.6 million reported in the fourth quarter of 2022. This is an increase of 9% from the $12.7 million reported in the first quarter of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Licensing, Royalties, Patents and Other revenue remained consistent in the first quarter of 2023 compared to the fourth quarter of 2022 at $1.1 million. This is compared to $1.7 million in the first quarter of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total revenue for the first quarter of 2023 compared to the first quarter of 2022 was due to strong toggle demand and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Gross margin for the first quarter of 2023 was 56.8%, compared to 51.4% in the fourth quarter of 2022 and 58.0% in the first quarter of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GAAP operating expenses was $7.7 million in the first quarter of 2023, compared to $7.5 million in the fourth quarter of 2022 and $6.3 million in the first quarter of 2022. GAAP operating expenses increased in the first quarter of 2023 compared to the first quarter of 2022 as a result of increased development costs related to the new xSPI family of lower density STT-MRAM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GAAP net income for the first quarter of 2023 was $0.8 million, or $0.04 per basic share, based on 20.5 million weighted-average basic common shares outstanding. This is compared to net income of $0.6 million, or $0.03 per basic share, in the fourth quarter of 2022 and net income of $1.9 million, or $0.10 per basic share, in the first quarter of 2022.</w:t>
      </w:r>
    </w:p>
    <w:p>
      <w:pPr>
        <w:pStyle w:val="HorizontalLine"/>
        <w:rPr/>
      </w:pPr>
      <w:r>
        <w:rPr/>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as of the end of the first quarter of 2023 were $24.2 million, compared to $26.8 million as of the end of the fourth quarter of 2022, and $19.9 million as of the end of the first quarter of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Everspin generated cash flows from operating activities of $1.2 million in the first quarter of 2023, compared to $5.2 million in the fourth quarter of 2022, and used cash of $1.0 million in the first quarter of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Business Outlook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second quarter 2023, Everspin expects total revenue in a range of $14.5 million to $15.5 million. Everspin expects GAAP net income per basic share to be between breakeven and $0.05, primarily influenced by expenses related to next generation 28nm STT-MRAM product development and price increases from its suppliers.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This outlook is dependent on Everspin’s current expectations, which may be impacted by, among other things, evolving external conditions, such as the resurgence of COVID-19 and its variants, local safety guidelines, worsening impacts due to supply chain constraints or interruptions, including due to the military conflict in Ukraine and recent market volatility, semiconductor downturn and the other risk factors described in Everspin’s filings with the Securities and Exchange Commission (the “SEC”), including its Annual Report on Form 10-K for the fiscal year ended December 31, 2022, its Quarterly Reports on Form 10-Q filed with the SEC during 2023, as well as in its subsequent filings with the SEC.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Use of Non-GAAP Financial Measures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Everspin supplements the reporting of its financial information determined under generally accepted accounting principles in the United States of America (GAAP) with Adjusted EBITDA, which is a non-GAAP financial measure. Everspin defines Adjusted EBITDA as net income adjusted for interest expense, taxes, depreciation and amortization, stock-based compensation expense, and restructuring costs if 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Adjusted EBITDA differently, which limits the usefulness of this measure for comparisons with such other companies. Everspin encourages investors to review its financial statements and publicly-filed reports in their entirety and not to rely on any single financial measure.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Conference Call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Everspin will host a conference call for analysts and investors on Wednesday, May 3, 2023, at 5:00 p.m. Eastern Time. Interested participants can pre-register online to receive a telephone number and a unique passcode at: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https://register.vevent.com/register/BI8512ca5788a746568c403e2724e45a30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conference call will be broadcast live in listen-only mode at: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https://edge.media-server.com/mmc/p/pr4jtunw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registration link and archived webcast will be available in the Investor Relations section of Everspin’s website at investor.everspin.com.</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About Everspin Technologies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www.everspin.com. NASDAQ: MRAM.</w:t>
      </w:r>
    </w:p>
    <w:p>
      <w:pPr>
        <w:pStyle w:val="HorizontalLine"/>
        <w:rPr/>
      </w:pPr>
      <w:r>
        <w:rPr/>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Cautionary Statement Regarding Forward-Looking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second quarter 2023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2022 filed with the SEC on March 2, 2023, and its Quarterly Reports on Form 10-Q filed with the SEC during 2023,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Company Contact: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Anuj Aggarwal, CFO</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 480-347-1082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 anuj.aggarwal@everspin.com</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center"/>
        <w:tblInd w:w="0" w:type="dxa"/>
        <w:tblCellMar>
          <w:top w:w="0" w:type="dxa"/>
          <w:left w:w="0" w:type="dxa"/>
          <w:bottom w:w="0" w:type="dxa"/>
          <w:right w:w="0" w:type="dxa"/>
        </w:tblCellMar>
      </w:tblPr>
      <w:tblGrid>
        <w:gridCol w:w="7354"/>
        <w:gridCol w:w="326"/>
        <w:gridCol w:w="211"/>
        <w:gridCol w:w="865"/>
        <w:gridCol w:w="326"/>
        <w:gridCol w:w="211"/>
        <w:gridCol w:w="912"/>
      </w:tblGrid>
      <w:tr>
        <w:trPr/>
        <w:tc>
          <w:tcPr>
            <w:tcW w:w="73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    </w:t>
            </w:r>
          </w:p>
        </w:tc>
        <w:tc>
          <w:tcPr>
            <w:tcW w:w="112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2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865"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912"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rPr/>
            </w:pPr>
            <w:r>
              <w:rPr/>
              <w:t>​</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11,209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10,665</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6,683</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865"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42,184</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912"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44,747</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3,883</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6,641</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52,359</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55,333</w:t>
            </w:r>
          </w:p>
        </w:tc>
      </w:tr>
      <w:tr>
        <w:trPr/>
        <w:tc>
          <w:tcPr>
            <w:tcW w:w="73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tcBorders>
            <w:shd w:fill="auto" w:val="clear"/>
            <w:tcMar>
              <w:top w:w="28" w:type="dxa"/>
            </w:tcMar>
            <w:vAlign w:val="center"/>
          </w:tcPr>
          <w:p>
            <w:pPr>
              <w:pStyle w:val="TableContents"/>
              <w:spacing w:before="0" w:after="0"/>
              <w:ind w:left="0" w:right="0" w:hanging="0"/>
              <w:rPr/>
            </w:pPr>
            <w:r>
              <w:rPr/>
              <w:t>​</w:t>
            </w:r>
          </w:p>
        </w:tc>
        <w:tc>
          <w:tcPr>
            <w:tcW w:w="865" w:type="dxa"/>
            <w:tcBorders>
              <w:top w:val="double" w:sz="6"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tcBorders>
            <w:shd w:fill="auto" w:val="clear"/>
            <w:tcMar>
              <w:top w:w="28" w:type="dxa"/>
            </w:tcMar>
            <w:vAlign w:val="center"/>
          </w:tcPr>
          <w:p>
            <w:pPr>
              <w:pStyle w:val="TableContents"/>
              <w:spacing w:before="0" w:after="0"/>
              <w:ind w:left="0" w:right="0" w:hanging="0"/>
              <w:rPr/>
            </w:pPr>
            <w:r>
              <w:rPr/>
              <w:t>​</w:t>
            </w:r>
          </w:p>
        </w:tc>
        <w:tc>
          <w:tcPr>
            <w:tcW w:w="912" w:type="dxa"/>
            <w:tcBorders>
              <w:top w:val="double" w:sz="6" w:space="0" w:color="000000"/>
            </w:tcBorders>
            <w:shd w:fill="auto" w:val="clear"/>
            <w:tcMar>
              <w:top w:w="28" w:type="dxa"/>
            </w:tcMar>
            <w:vAlign w:val="center"/>
          </w:tcPr>
          <w:p>
            <w:pPr>
              <w:pStyle w:val="TableContents"/>
              <w:spacing w:before="0" w:after="0"/>
              <w:ind w:left="0" w:right="0" w:hanging="0"/>
              <w:rPr/>
            </w:pPr>
            <w:r>
              <w:rPr/>
              <w:t>​</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2" w:type="dxa"/>
            <w:tcBorders/>
            <w:shd w:fill="CCEEFF" w:val="clear"/>
            <w:vAlign w:val="center"/>
          </w:tcPr>
          <w:p>
            <w:pPr>
              <w:pStyle w:val="TableContents"/>
              <w:spacing w:before="0" w:after="0"/>
              <w:ind w:left="0" w:right="0" w:hanging="0"/>
              <w:rPr/>
            </w:pPr>
            <w:r>
              <w:rPr/>
              <w:t>​</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rPr/>
            </w:pPr>
            <w:r>
              <w:rPr/>
              <w:t>​</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long-term debt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2,594</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 liabilities, current portion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865"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6,259</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912"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10,875</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 debt, net of current portion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jc w:val="right"/>
              <w:rPr/>
            </w:pPr>
            <w:r>
              <w:rPr/>
              <w:t>—</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 liabilities, net of current portion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5,580</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 income tax liability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11,761</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16,669</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 (Note 5)</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65"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91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2" w:type="dxa"/>
            <w:tcBorders/>
            <w:shd w:fill="CCEEFF" w:val="clear"/>
            <w:vAlign w:val="center"/>
          </w:tcPr>
          <w:p>
            <w:pPr>
              <w:pStyle w:val="TableContents"/>
              <w:spacing w:before="0" w:after="0"/>
              <w:ind w:left="0" w:right="0" w:hanging="0"/>
              <w:rPr/>
            </w:pPr>
            <w:r>
              <w:rPr/>
              <w:t>​</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Preferred stock, $0.0001 par value per share; 5,000,000 shares authorized; no shares issued and outstanding as of March 31, 2023 and December 31, 2022, respectively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jc w:val="right"/>
              <w:rPr/>
            </w:pPr>
            <w:r>
              <w:rPr/>
              <w:t>—</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Common stock, $0.0001 par value per share; 100,000,000 shares authorized; 20,534,744 and 20,374,288 shares issued and outstanding as of March 31, 2023 and December 31, 2022, respectively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186,537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185,364</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(145,941)</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(146,702)</w:t>
            </w:r>
          </w:p>
        </w:tc>
      </w:tr>
      <w:tr>
        <w:trPr/>
        <w:tc>
          <w:tcPr>
            <w:tcW w:w="73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86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40,598</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9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38,664</w:t>
            </w:r>
          </w:p>
        </w:tc>
      </w:tr>
      <w:tr>
        <w:trPr/>
        <w:tc>
          <w:tcPr>
            <w:tcW w:w="73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52,359</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55,333</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Income and Comprehensive Income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8742" w:type="dxa"/>
        <w:jc w:val="center"/>
        <w:tblInd w:w="0" w:type="dxa"/>
        <w:tblCellMar>
          <w:top w:w="0" w:type="dxa"/>
          <w:left w:w="0" w:type="dxa"/>
          <w:bottom w:w="0" w:type="dxa"/>
          <w:right w:w="0" w:type="dxa"/>
        </w:tblCellMar>
      </w:tblPr>
      <w:tblGrid>
        <w:gridCol w:w="5551"/>
        <w:gridCol w:w="326"/>
        <w:gridCol w:w="211"/>
        <w:gridCol w:w="1036"/>
        <w:gridCol w:w="326"/>
        <w:gridCol w:w="211"/>
        <w:gridCol w:w="1081"/>
      </w:tblGrid>
      <w:tr>
        <w:trPr/>
        <w:tc>
          <w:tcPr>
            <w:tcW w:w="5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8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5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292"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13,777</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12,671</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14,846</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0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3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6,416</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6,024</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8,430</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0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8,323</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rPr/>
            </w:pPr>
            <w:r>
              <w:rPr/>
              <w:t>​</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2,436</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3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6,299</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0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and comprehensive income</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1036"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1081"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Weighted average shares of common stock outstanding:</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tcBorders>
            <w:shd w:fill="auto" w:val="clear"/>
            <w:tcMar>
              <w:top w:w="28" w:type="dxa"/>
            </w:tcMar>
            <w:vAlign w:val="center"/>
          </w:tcPr>
          <w:p>
            <w:pPr>
              <w:pStyle w:val="TableContents"/>
              <w:spacing w:before="0" w:after="0"/>
              <w:ind w:left="0" w:right="0" w:hanging="0"/>
              <w:rPr/>
            </w:pPr>
            <w:r>
              <w:rPr/>
              <w:t>​</w:t>
            </w:r>
          </w:p>
        </w:tc>
        <w:tc>
          <w:tcPr>
            <w:tcW w:w="1036" w:type="dxa"/>
            <w:tcBorders>
              <w:top w:val="double" w:sz="6"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tcBorders>
            <w:shd w:fill="auto" w:val="clear"/>
            <w:tcMar>
              <w:top w:w="28" w:type="dxa"/>
            </w:tcMar>
            <w:vAlign w:val="center"/>
          </w:tcPr>
          <w:p>
            <w:pPr>
              <w:pStyle w:val="TableContents"/>
              <w:spacing w:before="0" w:after="0"/>
              <w:ind w:left="0" w:right="0" w:hanging="0"/>
              <w:rPr/>
            </w:pPr>
            <w:r>
              <w:rPr/>
              <w:t>​</w:t>
            </w:r>
          </w:p>
        </w:tc>
        <w:tc>
          <w:tcPr>
            <w:tcW w:w="1081" w:type="dxa"/>
            <w:tcBorders>
              <w:top w:val="double" w:sz="6" w:space="0" w:color="000000"/>
            </w:tcBorders>
            <w:shd w:fill="auto" w:val="clear"/>
            <w:tcMar>
              <w:top w:w="28" w:type="dxa"/>
            </w:tcMar>
            <w:vAlign w:val="center"/>
          </w:tcPr>
          <w:p>
            <w:pPr>
              <w:pStyle w:val="TableContents"/>
              <w:spacing w:before="0" w:after="0"/>
              <w:ind w:left="0" w:right="0" w:hanging="0"/>
              <w:rPr/>
            </w:pPr>
            <w:r>
              <w:rPr/>
              <w:t>​</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20,450,994</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19,896,654</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3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20,832,074</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8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20,726,193</w:t>
            </w:r>
          </w:p>
        </w:tc>
      </w:tr>
      <w:tr>
        <w:trPr/>
        <w:tc>
          <w:tcPr>
            <w:tcW w:w="55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1036"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1081"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Operating expenses include stock-based compensation as follows: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rPr/>
            </w:pPr>
            <w:r>
              <w:rPr/>
              <w:t>​</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55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55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824</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center"/>
        <w:tblInd w:w="0" w:type="dxa"/>
        <w:tblCellMar>
          <w:top w:w="0" w:type="dxa"/>
          <w:left w:w="0" w:type="dxa"/>
          <w:bottom w:w="0" w:type="dxa"/>
          <w:right w:w="0" w:type="dxa"/>
        </w:tblCellMar>
      </w:tblPr>
      <w:tblGrid>
        <w:gridCol w:w="7437"/>
        <w:gridCol w:w="326"/>
        <w:gridCol w:w="239"/>
        <w:gridCol w:w="769"/>
        <w:gridCol w:w="369"/>
        <w:gridCol w:w="239"/>
        <w:gridCol w:w="826"/>
      </w:tblGrid>
      <w:tr>
        <w:trPr/>
        <w:tc>
          <w:tcPr>
            <w:tcW w:w="74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4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74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8"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065"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37"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239"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769"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239"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826"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6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Adjustments to reconcile net income to net cash provided by (used in) operating activities: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rPr/>
            </w:pPr>
            <w:r>
              <w:rPr/>
              <w:t>​</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6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6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Loss on prepayment and termination of credit facility</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Non-cash warrant revaluation</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rPr/>
            </w:pPr>
            <w:r>
              <w:rPr/>
              <w:t>​</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6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(2,047)</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6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6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jc w:val="right"/>
              <w:rPr/>
            </w:pPr>
            <w:r>
              <w:rPr/>
              <w:t>—</w:t>
            </w:r>
          </w:p>
        </w:tc>
        <w:tc>
          <w:tcPr>
            <w:tcW w:w="36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6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(2,014)</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6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6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auto" w:val="clear"/>
            <w:vAlign w:val="center"/>
          </w:tcPr>
          <w:p>
            <w:pPr>
              <w:pStyle w:val="TableContents"/>
              <w:spacing w:before="0" w:after="0"/>
              <w:ind w:left="0" w:right="0" w:hanging="0"/>
              <w:rPr/>
            </w:pPr>
            <w:r>
              <w:rPr/>
              <w:t>​</w:t>
            </w:r>
          </w:p>
        </w:tc>
        <w:tc>
          <w:tcPr>
            <w:tcW w:w="23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76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36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3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8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239"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769"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239"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826"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36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3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76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36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3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82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3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6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69" w:type="dxa"/>
            <w:tcBorders/>
            <w:shd w:fill="auto" w:val="clear"/>
            <w:vAlign w:val="center"/>
          </w:tcPr>
          <w:p>
            <w:pPr>
              <w:pStyle w:val="TableContents"/>
              <w:spacing w:before="0" w:after="0"/>
              <w:ind w:left="0" w:right="0" w:hanging="0"/>
              <w:rPr/>
            </w:pPr>
            <w:r>
              <w:rPr/>
              <w:t>​</w:t>
            </w:r>
          </w:p>
        </w:tc>
        <w:tc>
          <w:tcPr>
            <w:tcW w:w="23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Payments on long-term debt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36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Proceeds from exercise of stock options and purchase of shares in employee stock purchase plan</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spacing w:before="0" w:after="0"/>
              <w:ind w:left="0" w:right="0" w:hanging="0"/>
              <w:rPr/>
            </w:pPr>
            <w:r>
              <w:rPr/>
              <w:t>​</w:t>
            </w:r>
          </w:p>
        </w:tc>
        <w:tc>
          <w:tcPr>
            <w:tcW w:w="23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76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(2,777)</w:t>
            </w:r>
          </w:p>
        </w:tc>
        <w:tc>
          <w:tcPr>
            <w:tcW w:w="36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3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82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auto" w:val="clear"/>
            <w:vAlign w:val="center"/>
          </w:tcPr>
          <w:p>
            <w:pPr>
              <w:pStyle w:val="TableContents"/>
              <w:spacing w:before="0" w:after="0"/>
              <w:ind w:left="0" w:right="0" w:hanging="0"/>
              <w:rPr/>
            </w:pPr>
            <w:r>
              <w:rPr/>
              <w:t>​</w:t>
            </w:r>
          </w:p>
        </w:tc>
        <w:tc>
          <w:tcPr>
            <w:tcW w:w="23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69"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(2,584)</w:t>
            </w:r>
          </w:p>
        </w:tc>
        <w:tc>
          <w:tcPr>
            <w:tcW w:w="369" w:type="dxa"/>
            <w:tcBorders/>
            <w:shd w:fill="auto" w:val="clear"/>
            <w:vAlign w:val="center"/>
          </w:tcPr>
          <w:p>
            <w:pPr>
              <w:pStyle w:val="TableContents"/>
              <w:spacing w:before="0" w:after="0"/>
              <w:ind w:left="0" w:right="0" w:hanging="0"/>
              <w:rPr/>
            </w:pPr>
            <w:r>
              <w:rPr/>
              <w:t>​</w:t>
            </w:r>
          </w:p>
        </w:tc>
        <w:tc>
          <w:tcPr>
            <w:tcW w:w="23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26"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(1,524)</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6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c>
          <w:tcPr>
            <w:tcW w:w="36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21,409</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auto" w:val="clear"/>
            <w:vAlign w:val="center"/>
          </w:tcPr>
          <w:p>
            <w:pPr>
              <w:pStyle w:val="TableContents"/>
              <w:spacing w:before="0" w:after="0"/>
              <w:ind w:left="0" w:right="0" w:hanging="0"/>
              <w:rPr/>
            </w:pPr>
            <w:r>
              <w:rPr/>
              <w:t>​</w:t>
            </w:r>
          </w:p>
        </w:tc>
        <w:tc>
          <w:tcPr>
            <w:tcW w:w="23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24,211</w:t>
            </w:r>
          </w:p>
        </w:tc>
        <w:tc>
          <w:tcPr>
            <w:tcW w:w="369"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3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19,885</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Supplementary cash flow information:</w:t>
            </w:r>
          </w:p>
        </w:tc>
        <w:tc>
          <w:tcPr>
            <w:tcW w:w="326" w:type="dxa"/>
            <w:tcBorders/>
            <w:shd w:fill="CCEEFF" w:val="clear"/>
            <w:vAlign w:val="center"/>
          </w:tcPr>
          <w:p>
            <w:pPr>
              <w:pStyle w:val="TableContents"/>
              <w:spacing w:before="0" w:after="0"/>
              <w:ind w:left="0" w:right="0" w:hanging="0"/>
              <w:rPr/>
            </w:pPr>
            <w:r>
              <w:rPr/>
              <w:t>​</w:t>
            </w:r>
          </w:p>
        </w:tc>
        <w:tc>
          <w:tcPr>
            <w:tcW w:w="239"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769"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239"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826"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paid</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9"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cash flows paid for operating leases</w:t>
            </w:r>
          </w:p>
        </w:tc>
        <w:tc>
          <w:tcPr>
            <w:tcW w:w="326" w:type="dxa"/>
            <w:tcBorders/>
            <w:shd w:fill="CCEEFF" w:val="clear"/>
            <w:vAlign w:val="center"/>
          </w:tcPr>
          <w:p>
            <w:pPr>
              <w:pStyle w:val="TableContents"/>
              <w:spacing w:before="0" w:after="0"/>
              <w:ind w:left="0" w:right="0" w:hanging="0"/>
              <w:rPr/>
            </w:pPr>
            <w:r>
              <w:rPr/>
              <w:t>​</w:t>
            </w:r>
          </w:p>
        </w:tc>
        <w:tc>
          <w:tcPr>
            <w:tcW w:w="239"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69"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39"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Financing cash flows paid for finance leases</w:t>
            </w:r>
          </w:p>
        </w:tc>
        <w:tc>
          <w:tcPr>
            <w:tcW w:w="326" w:type="dxa"/>
            <w:tcBorders/>
            <w:shd w:fill="auto" w:val="clear"/>
            <w:vAlign w:val="center"/>
          </w:tcPr>
          <w:p>
            <w:pPr>
              <w:pStyle w:val="TableContents"/>
              <w:spacing w:before="0" w:after="0"/>
              <w:ind w:left="0" w:right="0" w:hanging="0"/>
              <w:rPr/>
            </w:pPr>
            <w:r>
              <w:rPr/>
              <w:t>​</w:t>
            </w:r>
          </w:p>
        </w:tc>
        <w:tc>
          <w:tcPr>
            <w:tcW w:w="239"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9"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39"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Non-cash investing and financing activities:</w:t>
            </w:r>
          </w:p>
        </w:tc>
        <w:tc>
          <w:tcPr>
            <w:tcW w:w="326" w:type="dxa"/>
            <w:tcBorders/>
            <w:shd w:fill="CCEEFF" w:val="clear"/>
            <w:vAlign w:val="center"/>
          </w:tcPr>
          <w:p>
            <w:pPr>
              <w:pStyle w:val="TableContents"/>
              <w:spacing w:before="0" w:after="0"/>
              <w:ind w:left="0" w:right="0" w:hanging="0"/>
              <w:rPr/>
            </w:pPr>
            <w:r>
              <w:rPr/>
              <w:t>​</w:t>
            </w:r>
          </w:p>
        </w:tc>
        <w:tc>
          <w:tcPr>
            <w:tcW w:w="239"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769"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239"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826"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69"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r>
      <w:tr>
        <w:trPr/>
        <w:tc>
          <w:tcPr>
            <w:tcW w:w="743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Right-of-use assets obtained in exchange for finance lease liabilities</w:t>
            </w:r>
          </w:p>
        </w:tc>
        <w:tc>
          <w:tcPr>
            <w:tcW w:w="326" w:type="dxa"/>
            <w:tcBorders/>
            <w:shd w:fill="CCEEFF" w:val="clear"/>
            <w:vAlign w:val="center"/>
          </w:tcPr>
          <w:p>
            <w:pPr>
              <w:pStyle w:val="TableContents"/>
              <w:spacing w:before="0" w:after="0"/>
              <w:ind w:left="0" w:right="0" w:hanging="0"/>
              <w:rPr/>
            </w:pPr>
            <w:r>
              <w:rPr/>
              <w:t>​</w:t>
            </w:r>
          </w:p>
        </w:tc>
        <w:tc>
          <w:tcPr>
            <w:tcW w:w="239"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pPr>
            <w:r>
              <w:rPr/>
              <w:t>—</w:t>
            </w:r>
          </w:p>
        </w:tc>
        <w:tc>
          <w:tcPr>
            <w:tcW w:w="369"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39"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43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Purchases of property and equipment in accounts payable and accrued liabilities</w:t>
            </w:r>
          </w:p>
        </w:tc>
        <w:tc>
          <w:tcPr>
            <w:tcW w:w="326" w:type="dxa"/>
            <w:tcBorders/>
            <w:shd w:fill="auto" w:val="clear"/>
            <w:vAlign w:val="center"/>
          </w:tcPr>
          <w:p>
            <w:pPr>
              <w:pStyle w:val="TableContents"/>
              <w:spacing w:before="0" w:after="0"/>
              <w:ind w:left="0" w:right="0" w:hanging="0"/>
              <w:rPr/>
            </w:pPr>
            <w:r>
              <w:rPr/>
              <w:t>​</w:t>
            </w:r>
          </w:p>
        </w:tc>
        <w:tc>
          <w:tcPr>
            <w:tcW w:w="239"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pPr>
            <w:r>
              <w:rPr/>
              <w:t>—</w:t>
            </w:r>
          </w:p>
        </w:tc>
        <w:tc>
          <w:tcPr>
            <w:tcW w:w="369"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39"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257</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Adjusted EBITDA Reconciliation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8044" w:type="dxa"/>
        <w:jc w:val="center"/>
        <w:tblInd w:w="0" w:type="dxa"/>
        <w:tblCellMar>
          <w:top w:w="0" w:type="dxa"/>
          <w:left w:w="0" w:type="dxa"/>
          <w:bottom w:w="0" w:type="dxa"/>
          <w:right w:w="0" w:type="dxa"/>
        </w:tblCellMar>
      </w:tblPr>
      <w:tblGrid>
        <w:gridCol w:w="3001"/>
        <w:gridCol w:w="326"/>
        <w:gridCol w:w="340"/>
        <w:gridCol w:w="920"/>
        <w:gridCol w:w="326"/>
        <w:gridCol w:w="403"/>
        <w:gridCol w:w="1097"/>
        <w:gridCol w:w="326"/>
        <w:gridCol w:w="310"/>
        <w:gridCol w:w="995"/>
      </w:tblGrid>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717"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500" w:type="dxa"/>
            <w:gridSpan w:val="2"/>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305"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300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Adjusted EBITDA reconciliation:</w:t>
            </w:r>
          </w:p>
        </w:tc>
        <w:tc>
          <w:tcPr>
            <w:tcW w:w="326" w:type="dxa"/>
            <w:tcBorders/>
            <w:shd w:fill="CCEEFF" w:val="clear"/>
            <w:vAlign w:val="center"/>
          </w:tcPr>
          <w:p>
            <w:pPr>
              <w:pStyle w:val="TableContents"/>
              <w:spacing w:before="0" w:after="0"/>
              <w:ind w:left="0" w:right="0" w:hanging="0"/>
              <w:rPr/>
            </w:pPr>
            <w:r>
              <w:rPr/>
              <w:t>​</w:t>
            </w:r>
          </w:p>
        </w:tc>
        <w:tc>
          <w:tcPr>
            <w:tcW w:w="340"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920"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03"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097"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10"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995"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r>
      <w:tr>
        <w:trPr/>
        <w:tc>
          <w:tcPr>
            <w:tcW w:w="30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26" w:type="dxa"/>
            <w:tcBorders/>
            <w:shd w:fill="auto" w:val="clear"/>
            <w:vAlign w:val="center"/>
          </w:tcPr>
          <w:p>
            <w:pPr>
              <w:pStyle w:val="TableContents"/>
              <w:spacing w:before="0" w:after="0"/>
              <w:ind w:left="0" w:right="0" w:hanging="0"/>
              <w:rPr/>
            </w:pPr>
            <w:r>
              <w:rPr/>
              <w:t>​</w:t>
            </w:r>
          </w:p>
        </w:tc>
        <w:tc>
          <w:tcPr>
            <w:tcW w:w="4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r>
      <w:tr>
        <w:trPr/>
        <w:tc>
          <w:tcPr>
            <w:tcW w:w="30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spacing w:before="0" w:after="0"/>
              <w:ind w:left="0" w:right="0" w:hanging="0"/>
              <w:rPr/>
            </w:pPr>
            <w:r>
              <w:rPr/>
              <w:t>​</w:t>
            </w:r>
          </w:p>
        </w:tc>
        <w:tc>
          <w:tcPr>
            <w:tcW w:w="403"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9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30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26" w:type="dxa"/>
            <w:tcBorders/>
            <w:shd w:fill="auto" w:val="clear"/>
            <w:vAlign w:val="center"/>
          </w:tcPr>
          <w:p>
            <w:pPr>
              <w:pStyle w:val="TableContents"/>
              <w:spacing w:before="0" w:after="0"/>
              <w:ind w:left="0" w:right="0" w:hanging="0"/>
              <w:rPr/>
            </w:pPr>
            <w:r>
              <w:rPr/>
              <w:t>​</w:t>
            </w:r>
          </w:p>
        </w:tc>
        <w:tc>
          <w:tcPr>
            <w:tcW w:w="403"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9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30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spacing w:before="0" w:after="0"/>
              <w:ind w:left="0" w:right="0" w:hanging="0"/>
              <w:rPr/>
            </w:pPr>
            <w:r>
              <w:rPr/>
              <w:t>​</w:t>
            </w:r>
          </w:p>
        </w:tc>
        <w:tc>
          <w:tcPr>
            <w:tcW w:w="403"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9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30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auto" w:val="clear"/>
            <w:vAlign w:val="center"/>
          </w:tcPr>
          <w:p>
            <w:pPr>
              <w:pStyle w:val="TableContents"/>
              <w:spacing w:before="0" w:after="0"/>
              <w:ind w:left="0" w:right="0" w:hanging="0"/>
              <w:rPr/>
            </w:pPr>
            <w:r>
              <w:rPr/>
              <w:t>​</w:t>
            </w:r>
          </w:p>
        </w:tc>
        <w:tc>
          <w:tcPr>
            <w:tcW w:w="34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0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0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34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2,317</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40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2,085</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3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3,092</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2558</Words>
  <CharactersWithSpaces>16821</CharactersWithSpaces>
  <Paragraphs>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