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Everspin Technologies,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001-37900</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26-2640654</w:t>
            </w:r>
          </w:p>
        </w:tc>
      </w:t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(State or other jurisdiction</w:t>
            </w:r>
          </w:p>
        </w:tc>
        <w:tc>
          <w:tcPr>
            <w:tcW w:w="51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1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5670 W. Chandler Blvd.</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Suite 100</w:t>
            </w:r>
          </w:p>
        </w:tc>
        <w:tc>
          <w:tcPr>
            <w:tcW w:w="168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Chandler, Arizona 85226</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(480) 347-1111</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1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Not Applicable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1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8"/>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 par value $0.0001</w:t>
            </w:r>
          </w:p>
        </w:tc>
        <w:tc>
          <w:tcPr>
            <w:tcW w:w="120" w:type="dxa"/>
            <w:vAlign w:val="bottom"/>
          </w:tcPr>
          <w:p>
            <w:pPr>
              <w:spacing w:after="0"/>
              <w:rPr>
                <w:sz w:val="19"/>
                <w:szCs w:val="19"/>
                <w:color w:val="auto"/>
              </w:rPr>
            </w:pPr>
          </w:p>
        </w:tc>
        <w:tc>
          <w:tcPr>
            <w:tcW w:w="3380" w:type="dxa"/>
            <w:vAlign w:val="bottom"/>
          </w:tcPr>
          <w:p>
            <w:pPr>
              <w:jc w:val="center"/>
              <w:spacing w:after="0"/>
              <w:rPr>
                <w:sz w:val="20"/>
                <w:szCs w:val="20"/>
                <w:color w:val="auto"/>
              </w:rPr>
            </w:pPr>
            <w:r>
              <w:rPr>
                <w:rFonts w:ascii="Arial" w:cs="Arial" w:eastAsia="Arial" w:hAnsi="Arial"/>
                <w:sz w:val="18"/>
                <w:szCs w:val="18"/>
                <w:b w:val="1"/>
                <w:bCs w:val="1"/>
                <w:color w:val="auto"/>
              </w:rPr>
              <w:t>MRAM</w:t>
            </w:r>
          </w:p>
        </w:tc>
        <w:tc>
          <w:tcPr>
            <w:tcW w:w="12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May 6, 2021, Everspin Technologies, Inc. issued a press release announcing its results of operations for the quarter ended March 31, 2021,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60" w:type="dxa"/>
            <w:vAlign w:val="bottom"/>
          </w:tcPr>
          <w:p>
            <w:pPr>
              <w:spacing w:after="0"/>
              <w:rPr>
                <w:sz w:val="20"/>
                <w:szCs w:val="20"/>
                <w:color w:val="auto"/>
              </w:rPr>
            </w:pPr>
          </w:p>
        </w:tc>
        <w:tc>
          <w:tcPr>
            <w:tcW w:w="7420" w:type="dxa"/>
            <w:vAlign w:val="bottom"/>
          </w:tcPr>
          <w:p>
            <w:pPr>
              <w:ind w:left="20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1360" w:type="dxa"/>
            <w:vAlign w:val="bottom"/>
            <w:gridSpan w:val="3"/>
          </w:tcPr>
          <w:p>
            <w:pPr>
              <w:jc w:val="center"/>
              <w:ind w:right="600"/>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6, 2021</w:t>
              </w:r>
            </w:hyperlink>
          </w:p>
        </w:tc>
      </w:tr>
      <w:tr>
        <w:trPr>
          <w:trHeight w:val="20"/>
        </w:trPr>
        <w:tc>
          <w:tcPr>
            <w:tcW w:w="4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104</w:t>
            </w:r>
          </w:p>
        </w:tc>
        <w:tc>
          <w:tcPr>
            <w:tcW w:w="62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675"/>
        </w:trPr>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11" w:lineRule="exact"/>
        <w:rPr>
          <w:sz w:val="20"/>
          <w:szCs w:val="20"/>
          <w:color w:val="auto"/>
        </w:rPr>
      </w:pPr>
    </w:p>
    <w:p>
      <w:pPr>
        <w:ind w:left="560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Darin Billerbeck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Darin Billerbeck</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2288540" cy="471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Everspin Reports First Quarter 2021 Financial Results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Third Consecutive Quarter with Positive Cash Flow From Operations</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Chandler, AZ, May 6, 2021 </w:t>
      </w:r>
      <w:r>
        <w:rPr>
          <w:rFonts w:ascii="Arial" w:cs="Arial" w:eastAsia="Arial" w:hAnsi="Arial"/>
          <w:sz w:val="18"/>
          <w:szCs w:val="18"/>
          <w:color w:val="auto"/>
        </w:rPr>
        <w:t>— Everspin Technologies, Inc. (NASDAQ: MRAM), the market leader in MRAM, today announced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fiscal quarter of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Highlights</w:t>
      </w:r>
    </w:p>
    <w:p>
      <w:pPr>
        <w:spacing w:after="0" w:line="27" w:lineRule="exact"/>
        <w:rPr>
          <w:sz w:val="20"/>
          <w:szCs w:val="20"/>
          <w:color w:val="auto"/>
        </w:rPr>
      </w:pPr>
    </w:p>
    <w:p>
      <w:pPr>
        <w:ind w:left="680" w:hanging="335"/>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Q1’21 revenue increased 1.7% year-over-year to $10.3 million</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Q1’21 GAAP net loss per share of ($0.02) was a significant improvement over both the prior quarter and year-ago periods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$1.6 million cash flow from operations in Q1’21, the third consecutive quarter with positive cash flow from operations</w:t>
      </w:r>
    </w:p>
    <w:p>
      <w:pPr>
        <w:spacing w:after="0" w:line="9" w:lineRule="exact"/>
        <w:rPr>
          <w:rFonts w:ascii="Arial" w:cs="Arial" w:eastAsia="Arial" w:hAnsi="Arial"/>
          <w:sz w:val="18"/>
          <w:szCs w:val="18"/>
          <w:color w:val="auto"/>
        </w:rPr>
      </w:pPr>
    </w:p>
    <w:p>
      <w:pPr>
        <w:ind w:left="680" w:hanging="335"/>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Ended Q1’21 with cash and equivalents of $15.5 million</w:t>
      </w:r>
    </w:p>
    <w:p>
      <w:pPr>
        <w:spacing w:after="0" w:line="2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are happy to report that in Q1’21 we continued our progress towards driving sustainable cash flow from operations. We continue to drive our critical R&amp;D programs and key business initiatives, that we believe position us for profitable growth,” stated Darin Billerbeck, Everspin’s Executive Chairman and Interim CEO. “Our emphasis on cash management, product cost, and operational excellence have been fundamental to our continued progress.</w:t>
      </w:r>
    </w:p>
    <w:p>
      <w:pPr>
        <w:spacing w:after="0" w:line="1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also pleased to report that, in Q1’21, we signed contracts related to a U.S. Government RAD-Hard program and received a $3 million up-front payment. The total value of this STT-MRAM development project, including licenses, royalty, and Non-Recurring Engineering, is greater than $6 million, which we anticipate recognizing as revenue over the course of the next 36 months. We also anticipate additional manufacturing revenue from this program in 2023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Results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Total revenue for the first quarter of 2021 was $10.3 million, compared to $10.0 million in the prior quarter and $10.1 million in the first quarter of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GAAP gross margin for the first quarter of 2021 was 58.2%, compared to 52.3% in the prior quarter and 52.9% in the first quarter of 2020.</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GAAP operating expenses for the first quarter of 2021 were $6.3 million, compared to $6.4 million in the prior quarter and $6.9 million in the first quarter of 2020. GAAP operating expenses in the first quarter of 2021 included $0.7 million of stock-based compensation, compared to $1.3 million last quarter and $0.8 million in the year-ago quarter. Stock-based compensation for the fourth quarter of 2020 included a $0.3 million reclassification of bonus expense to stock-based compensation from prior quarters in 2020 related to bonus settlement in equity awards rather than cash.</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GAAP net loss for the first quarter of 2021 was $0.5 million, or ($0.02) per share, based on 19.1 million weighted-average shares outstanding. This compares to a GAAP net loss of $1.6 million, or ($0.08) per share, in the prior quarter, and a GAAP net loss of $1.7 million, or ($0.10) per share, in the first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for the first quarter of 2021 was $0.8 million, compared to $0.3 million last quarter and negative ($0.3) million in the prior year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as of March 31, 2021 increased to $15.5 million compared to $14.6 million at the end of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For the second quarter of 2021, Everspin expects total revenue in a range between $11 million and $12 million. GAAP net loss per share is expected to range between ($0.11) and ($0.07) per share, which reflects expected stock-based compensation expense of approximately $0.8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supplement the reporting of our financial information determined under generally accepted accounting principles in the United States of America (GAAP) with Adjusted EBIDTA, which is a non-GAAP financial measure. We define Adjusted EBITDA as net income (loss) adjusted for interest expense, taxes, depreciation and amortization, stock-based compensation expense, and restructuring costs if any.</w:t>
      </w:r>
    </w:p>
    <w:p>
      <w:pPr>
        <w:spacing w:after="0" w:line="1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Our management and board of directors use Adjusted EBIDTA to understand and evaluate our operating performance and trends, to prepare and approve our annual budget and to develop short-term and long-term operating and financing plans. Accordingly, our management believes that this non-GAAP measure provide useful information for investors in understanding and evaluating our operating results in the same manner as our management and our board of directors, as well as facilitating comparisons of our operating performance on a period-to-period basis.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Non-GAAP financial measures, including Adjusted EBIDTA, should not be considered as a substitute for, or superior to, measures of financial performance prepared in accordance with GAAP. Moreover, other companies may define non-GAAP measures differently, which limits the usefulness of these measures for comparisons with such other companies. We encourage investors to review our financial statements and publicly-filed reports in their entirety and not to rely on any single financial measure.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Everspin will host a conference call for analysts and investors today at 5:30 p.m. Eastern Time. Interested participants can access the call by dialing 1-844-</w:t>
      </w:r>
    </w:p>
    <w:p>
      <w:pPr>
        <w:spacing w:after="0" w:line="85" w:lineRule="exact"/>
        <w:rPr>
          <w:sz w:val="20"/>
          <w:szCs w:val="20"/>
          <w:color w:val="auto"/>
        </w:rPr>
      </w:pPr>
    </w:p>
    <w:p>
      <w:pPr>
        <w:ind w:right="140"/>
        <w:spacing w:after="0" w:line="324" w:lineRule="auto"/>
        <w:rPr>
          <w:sz w:val="20"/>
          <w:szCs w:val="20"/>
          <w:color w:val="auto"/>
        </w:rPr>
      </w:pPr>
      <w:r>
        <w:rPr>
          <w:rFonts w:ascii="Arial" w:cs="Arial" w:eastAsia="Arial" w:hAnsi="Arial"/>
          <w:sz w:val="17"/>
          <w:szCs w:val="17"/>
          <w:color w:val="auto"/>
        </w:rPr>
        <w:t xml:space="preserve">889-7788 and providing passcode 9408948. International callers may join the call by dialing +1-661-378-9932, using the same code. The call will also be available as a live and archived webcast in the Investor Relations section of the company’s website at </w:t>
      </w:r>
      <w:r>
        <w:rPr>
          <w:rFonts w:ascii="Arial" w:cs="Arial" w:eastAsia="Arial" w:hAnsi="Arial"/>
          <w:sz w:val="17"/>
          <w:szCs w:val="17"/>
          <w:u w:val="single" w:color="auto"/>
          <w:color w:val="auto"/>
        </w:rPr>
        <w:t>investor.everspin.com</w:t>
      </w:r>
      <w:r>
        <w:rPr>
          <w:rFonts w:ascii="Arial" w:cs="Arial" w:eastAsia="Arial" w:hAnsi="Arial"/>
          <w:sz w:val="17"/>
          <w:szCs w:val="17"/>
          <w:color w:val="auto"/>
        </w:rPr>
        <w:t>.</w:t>
      </w:r>
    </w:p>
    <w:p>
      <w:pPr>
        <w:spacing w:after="0" w:line="134"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A telephone replay of the conference call will be available approximately two hours after the call through May 13, 2021. The replay can be accessed by dialing 1-855-859-2056 and using the passcode 9408948. International callers should dial +1-404-537-3406 and enter the same passcode at the prompt.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Everspin Technologies</w:t>
      </w:r>
    </w:p>
    <w:p>
      <w:pPr>
        <w:spacing w:after="0" w:line="27"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 xml:space="preserve">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t>
      </w:r>
      <w:r>
        <w:rPr>
          <w:rFonts w:ascii="Arial" w:cs="Arial" w:eastAsia="Arial" w:hAnsi="Arial"/>
          <w:sz w:val="18"/>
          <w:szCs w:val="18"/>
          <w:u w:val="single" w:color="auto"/>
          <w:color w:val="auto"/>
        </w:rPr>
        <w:t>www.everspin.com</w:t>
      </w:r>
      <w:r>
        <w:rPr>
          <w:rFonts w:ascii="Arial" w:cs="Arial" w:eastAsia="Arial" w:hAnsi="Arial"/>
          <w:sz w:val="18"/>
          <w:szCs w:val="18"/>
          <w:color w:val="auto"/>
        </w:rPr>
        <w:t>. NASDAQ: MRAM.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“believe”, “will”, “may”, “estimate”, “continue”, “anticipate”, “intend”, “should”, “plan”, “expect”, “predict”, “could”, “potentially" or the negative of these terms or similar expressions. These include, but are not limited to our future plans, strategies, objectives, expectations, intentions and financial performance and the assumptions that underlie these statements. Actual results could differ materially from these forward-looking statements as a result of certain risks and uncertainties, including, without limitation, the risks set forth under the caption “Risk Factors” in Everspin’s Annual Report on Form 10-K for the year ended December 31, 2020 filed with the SEC on March 4, 2021 and Everspin’s Quarterly Report on Form 10-Q for the quarter ended March 31, 2021 to be filed with the SEC, as well as in our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Darin Billerbeck, Interim CEO</w:t>
      </w:r>
    </w:p>
    <w:p>
      <w:pPr>
        <w:spacing w:after="0" w:line="9" w:lineRule="exact"/>
        <w:rPr>
          <w:sz w:val="20"/>
          <w:szCs w:val="20"/>
          <w:color w:val="auto"/>
        </w:rPr>
      </w:pPr>
    </w:p>
    <w:p>
      <w:pPr>
        <w:ind w:right="7659" w:firstLine="8"/>
        <w:spacing w:after="0" w:line="323" w:lineRule="auto"/>
        <w:tabs>
          <w:tab w:leader="none" w:pos="20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 xml:space="preserve">darin.billerbeck@everspin.com </w:t>
      </w:r>
      <w:r>
        <w:rPr>
          <w:rFonts w:ascii="Arial" w:cs="Arial" w:eastAsia="Arial" w:hAnsi="Arial"/>
          <w:sz w:val="16"/>
          <w:szCs w:val="16"/>
          <w:color w:val="auto"/>
        </w:rPr>
        <w:t>480.347.1101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15,485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14,599</w:t>
            </w:r>
          </w:p>
        </w:tc>
      </w:tr>
      <w:tr>
        <w:trPr>
          <w:trHeight w:val="216"/>
        </w:trPr>
        <w:tc>
          <w:tcPr>
            <w:tcW w:w="8340" w:type="dxa"/>
            <w:vAlign w:val="bottom"/>
          </w:tcPr>
          <w:p>
            <w:pPr>
              <w:ind w:left="1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10,315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7,607</w:t>
            </w:r>
          </w:p>
        </w:tc>
      </w:tr>
      <w:tr>
        <w:trPr>
          <w:trHeight w:val="216"/>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5,721</w:t>
            </w:r>
          </w:p>
        </w:tc>
      </w:tr>
      <w:tr>
        <w:trPr>
          <w:trHeight w:val="229"/>
        </w:trPr>
        <w:tc>
          <w:tcPr>
            <w:tcW w:w="83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09"/>
        </w:trPr>
        <w:tc>
          <w:tcPr>
            <w:tcW w:w="83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2,313</w:t>
            </w: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23"/>
        </w:trPr>
        <w:tc>
          <w:tcPr>
            <w:tcW w:w="8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2,224</w:t>
            </w:r>
          </w:p>
        </w:tc>
      </w:tr>
      <w:tr>
        <w:trPr>
          <w:trHeight w:val="216"/>
        </w:trPr>
        <w:tc>
          <w:tcPr>
            <w:tcW w:w="834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r>
      <w:tr>
        <w:trPr>
          <w:trHeight w:val="216"/>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4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16"/>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w:t>
            </w:r>
          </w:p>
        </w:tc>
      </w:tr>
      <w:tr>
        <w:trPr>
          <w:trHeight w:val="230"/>
        </w:trPr>
        <w:tc>
          <w:tcPr>
            <w:tcW w:w="834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0"/>
        </w:trPr>
        <w:tc>
          <w:tcPr>
            <w:tcW w:w="83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3,748</w:t>
            </w: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r>
      <w:tr>
        <w:trPr>
          <w:trHeight w:val="229"/>
        </w:trPr>
        <w:tc>
          <w:tcPr>
            <w:tcW w:w="8340" w:type="dxa"/>
            <w:vAlign w:val="bottom"/>
          </w:tcPr>
          <w:p>
            <w:pPr>
              <w:spacing w:after="0"/>
              <w:rPr>
                <w:sz w:val="20"/>
                <w:szCs w:val="20"/>
                <w:color w:val="auto"/>
              </w:rPr>
            </w:pPr>
            <w:r>
              <w:rPr>
                <w:rFonts w:ascii="Arial" w:cs="Arial" w:eastAsia="Arial" w:hAnsi="Arial"/>
                <w:sz w:val="18"/>
                <w:szCs w:val="18"/>
                <w:color w:val="auto"/>
              </w:rPr>
              <w:t>Long-term income tax liability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0"/>
        </w:trPr>
        <w:tc>
          <w:tcPr>
            <w:tcW w:w="83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3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340" w:type="dxa"/>
            <w:vAlign w:val="bottom"/>
          </w:tcPr>
          <w:p>
            <w:pPr>
              <w:ind w:left="120"/>
              <w:spacing w:after="0" w:line="201" w:lineRule="exact"/>
              <w:rPr>
                <w:sz w:val="20"/>
                <w:szCs w:val="20"/>
                <w:color w:val="auto"/>
              </w:rPr>
            </w:pPr>
            <w:r>
              <w:rPr>
                <w:rFonts w:ascii="Arial" w:cs="Arial" w:eastAsia="Arial" w:hAnsi="Arial"/>
                <w:sz w:val="18"/>
                <w:szCs w:val="18"/>
                <w:color w:val="auto"/>
                <w:w w:val="89"/>
              </w:rPr>
              <w:t>Preferred stock, $0.0001 par value per share; 5,000,000 shares authorized; no shares issued and outstanding as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340" w:type="dxa"/>
            <w:vAlign w:val="bottom"/>
          </w:tcPr>
          <w:p>
            <w:pPr>
              <w:ind w:left="120"/>
              <w:spacing w:after="0"/>
              <w:rPr>
                <w:sz w:val="20"/>
                <w:szCs w:val="20"/>
                <w:color w:val="auto"/>
              </w:rPr>
            </w:pPr>
            <w:r>
              <w:rPr>
                <w:rFonts w:ascii="Arial" w:cs="Arial" w:eastAsia="Arial" w:hAnsi="Arial"/>
                <w:sz w:val="18"/>
                <w:szCs w:val="18"/>
                <w:color w:val="auto"/>
              </w:rPr>
              <w:t>March 31, 2021 and December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4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w w:val="90"/>
              </w:rPr>
              <w:t>Common stock, $0.0001 par value per share; 100,000,000 shares authorized; 19,222,342 and 19,031,556 shares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and outstanding as of March 31, 2021 and December 31, 2020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3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175,835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174,584</w:t>
            </w:r>
          </w:p>
        </w:tc>
      </w:tr>
      <w:tr>
        <w:trPr>
          <w:trHeight w:val="230"/>
        </w:trPr>
        <w:tc>
          <w:tcPr>
            <w:tcW w:w="8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(157,634)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(157,174)</w:t>
            </w:r>
          </w:p>
        </w:tc>
      </w:tr>
      <w:tr>
        <w:trPr>
          <w:trHeight w:val="210"/>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17,412</w:t>
            </w:r>
          </w:p>
        </w:tc>
        <w:tc>
          <w:tcPr>
            <w:tcW w:w="100" w:type="dxa"/>
            <w:vAlign w:val="bottom"/>
            <w:tcBorders>
              <w:bottom w:val="single" w:sz="8" w:color="CCEEFF"/>
            </w:tcBorders>
          </w:tcPr>
          <w:p>
            <w:pPr>
              <w:spacing w:after="0"/>
              <w:rPr>
                <w:sz w:val="18"/>
                <w:szCs w:val="18"/>
                <w:color w:val="auto"/>
              </w:rPr>
            </w:pPr>
          </w:p>
        </w:tc>
      </w:tr>
      <w:tr>
        <w:trPr>
          <w:trHeight w:val="223"/>
        </w:trPr>
        <w:tc>
          <w:tcPr>
            <w:tcW w:w="8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8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1,212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80" w:type="dxa"/>
            <w:vAlign w:val="bottom"/>
          </w:tcPr>
          <w:p>
            <w:pPr>
              <w:spacing w:after="0"/>
              <w:rPr>
                <w:sz w:val="20"/>
                <w:szCs w:val="20"/>
                <w:color w:val="auto"/>
              </w:rPr>
            </w:pPr>
            <w:r>
              <w:rPr>
                <w:rFonts w:ascii="Arial" w:cs="Arial" w:eastAsia="Arial" w:hAnsi="Arial"/>
                <w:sz w:val="18"/>
                <w:szCs w:val="18"/>
                <w:color w:val="auto"/>
              </w:rPr>
              <w:t>Cost of sales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4,295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380" w:type="dxa"/>
            <w:vAlign w:val="bottom"/>
          </w:tcPr>
          <w:p>
            <w:pPr>
              <w:spacing w:after="0" w:line="256" w:lineRule="exact"/>
              <w:rPr>
                <w:sz w:val="20"/>
                <w:szCs w:val="20"/>
                <w:color w:val="auto"/>
              </w:rPr>
            </w:pPr>
            <w:r>
              <w:rPr>
                <w:rFonts w:ascii="Arial" w:cs="Arial" w:eastAsia="Arial" w:hAnsi="Arial"/>
                <w:sz w:val="18"/>
                <w:szCs w:val="18"/>
                <w:color w:val="auto"/>
              </w:rPr>
              <w:t>Operating expenses:</w:t>
            </w:r>
            <w:r>
              <w:rPr>
                <w:rFonts w:ascii="Arial" w:cs="Arial" w:eastAsia="Arial" w:hAnsi="Arial"/>
                <w:sz w:val="29"/>
                <w:szCs w:val="29"/>
                <w:color w:val="auto"/>
                <w:vertAlign w:val="superscript"/>
              </w:rPr>
              <w:t>1</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2,843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80" w:type="dxa"/>
            <w:vAlign w:val="bottom"/>
          </w:tcPr>
          <w:p>
            <w:pPr>
              <w:spacing w:after="0"/>
              <w:rPr>
                <w:sz w:val="20"/>
                <w:szCs w:val="20"/>
                <w:color w:val="auto"/>
              </w:rPr>
            </w:pPr>
            <w:r>
              <w:rPr>
                <w:rFonts w:ascii="Arial" w:cs="Arial" w:eastAsia="Arial" w:hAnsi="Arial"/>
                <w:sz w:val="18"/>
                <w:szCs w:val="18"/>
                <w:color w:val="auto"/>
              </w:rPr>
              <w:t>Net loss before income taxes</w:t>
            </w: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63"/>
        </w:trPr>
        <w:tc>
          <w:tcPr>
            <w:tcW w:w="7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06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7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8"/>
                <w:szCs w:val="18"/>
                <w:color w:val="auto"/>
              </w:rPr>
              <w:t>Weighted-average shares used to compute net loss per common share, basic and diluted</w:t>
            </w: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8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19,092,367</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18,055,693</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380" w:type="dxa"/>
            <w:vAlign w:val="bottom"/>
          </w:tcPr>
          <w:p>
            <w:pPr>
              <w:spacing w:after="0" w:line="256" w:lineRule="exact"/>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Operating expenses include stock-based compensation as follows:</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181</w:t>
            </w:r>
          </w:p>
        </w:tc>
        <w:tc>
          <w:tcPr>
            <w:tcW w:w="2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485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20"/>
              <w:spacing w:after="0"/>
              <w:rPr>
                <w:sz w:val="20"/>
                <w:szCs w:val="20"/>
                <w:color w:val="auto"/>
              </w:rPr>
            </w:pPr>
            <w:r>
              <w:rPr>
                <w:rFonts w:ascii="Arial" w:cs="Arial" w:eastAsia="Arial" w:hAnsi="Arial"/>
                <w:sz w:val="18"/>
                <w:szCs w:val="18"/>
                <w:color w:val="auto"/>
              </w:rPr>
              <w:t>Total stock-based compensation</w:t>
            </w:r>
          </w:p>
        </w:tc>
        <w:tc>
          <w:tcPr>
            <w:tcW w:w="10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EBITDA reconciliation: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right="900"/>
        <w:spacing w:after="0" w:line="250" w:lineRule="auto"/>
        <w:rPr>
          <w:sz w:val="20"/>
          <w:szCs w:val="20"/>
          <w:color w:val="auto"/>
        </w:rPr>
      </w:pPr>
      <w:r>
        <w:rPr>
          <w:rFonts w:ascii="Arial" w:cs="Arial" w:eastAsia="Arial" w:hAnsi="Arial"/>
          <w:sz w:val="18"/>
          <w:szCs w:val="18"/>
          <w:color w:val="auto"/>
        </w:rPr>
        <w:t>Depreciation and amortization Stock-based compensation expense Interest Expense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4140"/>
        <w:spacing w:after="0"/>
        <w:rPr>
          <w:sz w:val="20"/>
          <w:szCs w:val="20"/>
          <w:color w:val="auto"/>
        </w:rPr>
      </w:pPr>
      <w:r>
        <w:rPr>
          <w:rFonts w:ascii="Arial" w:cs="Arial" w:eastAsia="Arial" w:hAnsi="Arial"/>
          <w:sz w:val="17"/>
          <w:szCs w:val="17"/>
          <w:b w:val="1"/>
          <w:bCs w:val="1"/>
          <w:color w:val="auto"/>
        </w:rPr>
        <w:t>Reconciliation of Adjusted EBITDA</w:t>
      </w:r>
    </w:p>
    <w:p>
      <w:pPr>
        <w:spacing w:after="0" w:line="21"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280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 31, 2021</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Dec 31, 2020</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Mar 31, 2020</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(1,591)</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(346</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-882015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-599440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-325120</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428625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3460" w:space="720"/>
            <w:col w:w="7020"/>
          </w:cols>
          <w:pgMar w:left="320" w:top="1440" w:right="37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288540" cy="4718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288540" cy="47180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(460)</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8"/>
                <w:szCs w:val="18"/>
                <w:color w:val="auto"/>
              </w:rPr>
              <w:t>Non-cash gain (loss) on warrant revaluation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interest expense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8"/>
                <w:szCs w:val="18"/>
                <w:color w:val="auto"/>
              </w:rPr>
              <w:t>Inventory</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7700" w:type="dxa"/>
            <w:vAlign w:val="bottom"/>
          </w:tcPr>
          <w:p>
            <w:pPr>
              <w:ind w:left="12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3,000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provided by (used in) operating activities</w:t>
            </w:r>
          </w:p>
        </w:tc>
        <w:tc>
          <w:tcPr>
            <w:tcW w:w="7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81"/>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investing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debt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Payments on finance lease obligation</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 from exercise of stock options and purchase of shares in employee stock purchase plan</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provided by financing activities</w:t>
            </w: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14,599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13,950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Supplementary cash flow information:</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700" w:type="dxa"/>
            <w:vAlign w:val="bottom"/>
          </w:tcPr>
          <w:p>
            <w:pPr>
              <w:spacing w:after="0"/>
              <w:rPr>
                <w:sz w:val="20"/>
                <w:szCs w:val="20"/>
                <w:color w:val="auto"/>
              </w:rPr>
            </w:pPr>
            <w:r>
              <w:rPr>
                <w:rFonts w:ascii="Arial" w:cs="Arial" w:eastAsia="Arial" w:hAnsi="Arial"/>
                <w:sz w:val="18"/>
                <w:szCs w:val="18"/>
                <w:color w:val="auto"/>
              </w:rPr>
              <w:t>Interest paid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66</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70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Operating cash flows paid for operating leases</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Financing cash flows paid for finance leases</w:t>
            </w:r>
          </w:p>
        </w:tc>
        <w:tc>
          <w:tcPr>
            <w:tcW w:w="7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Non-cash investing and financing activities: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00" w:type="dxa"/>
            <w:vAlign w:val="bottom"/>
          </w:tcPr>
          <w:p>
            <w:pPr>
              <w:spacing w:after="0"/>
              <w:rPr>
                <w:sz w:val="20"/>
                <w:szCs w:val="20"/>
                <w:color w:val="auto"/>
              </w:rPr>
            </w:pPr>
            <w:r>
              <w:rPr>
                <w:rFonts w:ascii="Arial" w:cs="Arial" w:eastAsia="Arial" w:hAnsi="Arial"/>
                <w:sz w:val="18"/>
                <w:szCs w:val="18"/>
                <w:color w:val="auto"/>
              </w:rPr>
              <w:t>Bonus settled in shares of common stock</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1"/>
              <w:spacing w:after="0"/>
              <w:rPr>
                <w:sz w:val="20"/>
                <w:szCs w:val="20"/>
                <w:color w:val="auto"/>
              </w:rPr>
            </w:pPr>
            <w:r>
              <w:rPr>
                <w:rFonts w:ascii="Arial" w:cs="Arial" w:eastAsia="Arial" w:hAnsi="Arial"/>
                <w:sz w:val="18"/>
                <w:szCs w:val="18"/>
                <w:color w:val="auto"/>
              </w:rPr>
              <w:t>364</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2021-05-06T16:08:42Z</dcterms:created>
  <dcterms:modified xsi:type="dcterms:W3CDTF">2021-05-06T16:08:42Z</dcterms:modified>
</cp:coreProperties>
</file>