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246380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288925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10"/>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64135</wp:posOffset>
            </wp:positionV>
            <wp:extent cx="16287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135" w:lineRule="exact"/>
        <w:rPr>
          <w:sz w:val="24"/>
          <w:szCs w:val="24"/>
          <w:color w:val="auto"/>
        </w:rPr>
      </w:pPr>
    </w:p>
    <w:p>
      <w:pPr>
        <w:jc w:val="center"/>
        <w:ind w:right="10"/>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2466975</wp:posOffset>
            </wp:positionH>
            <wp:positionV relativeFrom="paragraph">
              <wp:posOffset>92710</wp:posOffset>
            </wp:positionV>
            <wp:extent cx="15601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60195" cy="8255"/>
                    </a:xfrm>
                    <a:prstGeom prst="rect">
                      <a:avLst/>
                    </a:prstGeom>
                    <a:noFill/>
                  </pic:spPr>
                </pic:pic>
              </a:graphicData>
            </a:graphic>
          </wp:anchor>
        </w:drawing>
      </w:r>
    </w:p>
    <w:p>
      <w:pPr>
        <w:spacing w:after="0" w:line="215" w:lineRule="exact"/>
        <w:rPr>
          <w:sz w:val="24"/>
          <w:szCs w:val="24"/>
          <w:color w:val="auto"/>
        </w:rPr>
      </w:pPr>
    </w:p>
    <w:p>
      <w:pPr>
        <w:ind w:left="10"/>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430" w:right="180" w:hanging="430"/>
        <w:spacing w:after="0" w:line="236" w:lineRule="auto"/>
        <w:tabs>
          <w:tab w:leader="none" w:pos="43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-290195</wp:posOffset>
            </wp:positionV>
            <wp:extent cx="104140" cy="1054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pacing w:after="0" w:line="75" w:lineRule="exact"/>
        <w:rPr>
          <w:sz w:val="24"/>
          <w:szCs w:val="24"/>
          <w:color w:val="auto"/>
        </w:rPr>
      </w:pPr>
    </w:p>
    <w:p>
      <w:pPr>
        <w:jc w:val="center"/>
        <w:ind w:right="10"/>
        <w:spacing w:after="0"/>
        <w:rPr>
          <w:sz w:val="20"/>
          <w:szCs w:val="20"/>
          <w:color w:val="auto"/>
        </w:rPr>
      </w:pPr>
      <w:r>
        <w:rPr>
          <w:rFonts w:ascii="Arial" w:cs="Arial" w:eastAsia="Arial" w:hAnsi="Arial"/>
          <w:sz w:val="18"/>
          <w:szCs w:val="18"/>
          <w:b w:val="1"/>
          <w:bCs w:val="1"/>
          <w:color w:val="auto"/>
        </w:rPr>
        <w:t>For the quarterly period ended June 30, 2020</w:t>
      </w:r>
    </w:p>
    <w:p>
      <w:pPr>
        <w:spacing w:after="0" w:line="131" w:lineRule="exact"/>
        <w:rPr>
          <w:sz w:val="24"/>
          <w:szCs w:val="24"/>
          <w:color w:val="auto"/>
        </w:rPr>
      </w:pPr>
    </w:p>
    <w:p>
      <w:pPr>
        <w:jc w:val="center"/>
        <w:ind w:right="10"/>
        <w:spacing w:after="0"/>
        <w:rPr>
          <w:sz w:val="20"/>
          <w:szCs w:val="20"/>
          <w:color w:val="auto"/>
        </w:rPr>
      </w:pPr>
      <w:r>
        <w:rPr>
          <w:rFonts w:ascii="Arial" w:cs="Arial" w:eastAsia="Arial" w:hAnsi="Arial"/>
          <w:sz w:val="18"/>
          <w:szCs w:val="18"/>
          <w:b w:val="1"/>
          <w:bCs w:val="1"/>
          <w:color w:val="auto"/>
        </w:rPr>
        <w:t>OR</w:t>
      </w:r>
    </w:p>
    <w:p>
      <w:pPr>
        <w:spacing w:after="0" w:line="121" w:lineRule="exact"/>
        <w:rPr>
          <w:sz w:val="24"/>
          <w:szCs w:val="24"/>
          <w:color w:val="auto"/>
        </w:rPr>
      </w:pPr>
    </w:p>
    <w:p>
      <w:pPr>
        <w:ind w:left="430" w:right="180" w:hanging="430"/>
        <w:spacing w:after="0" w:line="256" w:lineRule="auto"/>
        <w:tabs>
          <w:tab w:leader="none" w:pos="43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-301625</wp:posOffset>
            </wp:positionV>
            <wp:extent cx="104140" cy="1054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pacing w:after="0" w:line="57" w:lineRule="exact"/>
        <w:rPr>
          <w:sz w:val="24"/>
          <w:szCs w:val="24"/>
          <w:color w:val="auto"/>
        </w:rPr>
      </w:pPr>
    </w:p>
    <w:p>
      <w:pPr>
        <w:ind w:left="3270"/>
        <w:spacing w:after="0"/>
        <w:tabs>
          <w:tab w:leader="none" w:pos="621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3580765</wp:posOffset>
            </wp:positionH>
            <wp:positionV relativeFrom="paragraph">
              <wp:posOffset>-7620</wp:posOffset>
            </wp:positionV>
            <wp:extent cx="8375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37565" cy="8255"/>
                    </a:xfrm>
                    <a:prstGeom prst="rect">
                      <a:avLst/>
                    </a:prstGeom>
                    <a:noFill/>
                  </pic:spPr>
                </pic:pic>
              </a:graphicData>
            </a:graphic>
          </wp:anchor>
        </w:drawing>
      </w:r>
    </w:p>
    <w:p>
      <w:pPr>
        <w:spacing w:after="0" w:line="115" w:lineRule="exact"/>
        <w:rPr>
          <w:sz w:val="24"/>
          <w:szCs w:val="24"/>
          <w:color w:val="auto"/>
        </w:rPr>
      </w:pPr>
    </w:p>
    <w:p>
      <w:pPr>
        <w:jc w:val="center"/>
        <w:ind w:right="10"/>
        <w:spacing w:after="0"/>
        <w:rPr>
          <w:sz w:val="20"/>
          <w:szCs w:val="20"/>
          <w:color w:val="auto"/>
        </w:rPr>
      </w:pPr>
      <w:r>
        <w:rPr>
          <w:rFonts w:ascii="Arial" w:cs="Arial" w:eastAsia="Arial" w:hAnsi="Arial"/>
          <w:sz w:val="16"/>
          <w:szCs w:val="16"/>
          <w:b w:val="1"/>
          <w:bCs w:val="1"/>
          <w:color w:val="auto"/>
        </w:rPr>
        <w:t>Commission File Number 001-37900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63500</wp:posOffset>
            </wp:positionV>
            <wp:extent cx="16287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104" w:lineRule="exact"/>
        <w:rPr>
          <w:sz w:val="24"/>
          <w:szCs w:val="24"/>
          <w:color w:val="auto"/>
        </w:rPr>
      </w:pPr>
    </w:p>
    <w:p>
      <w:pPr>
        <w:jc w:val="center"/>
        <w:ind w:right="10"/>
        <w:spacing w:after="0"/>
        <w:rPr>
          <w:sz w:val="20"/>
          <w:szCs w:val="20"/>
          <w:color w:val="auto"/>
        </w:rPr>
      </w:pPr>
      <w:r>
        <w:rPr>
          <w:rFonts w:ascii="Arial" w:cs="Arial" w:eastAsia="Arial" w:hAnsi="Arial"/>
          <w:sz w:val="43"/>
          <w:szCs w:val="43"/>
          <w:b w:val="1"/>
          <w:bCs w:val="1"/>
          <w:color w:val="auto"/>
        </w:rPr>
        <w:t>Everspin Technologies, Inc.</w:t>
      </w:r>
    </w:p>
    <w:p>
      <w:pPr>
        <w:spacing w:after="0" w:line="50" w:lineRule="exact"/>
        <w:rPr>
          <w:sz w:val="24"/>
          <w:szCs w:val="24"/>
          <w:color w:val="auto"/>
        </w:rPr>
      </w:pPr>
    </w:p>
    <w:p>
      <w:pPr>
        <w:jc w:val="center"/>
        <w:ind w:right="1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47625</wp:posOffset>
            </wp:positionV>
            <wp:extent cx="16287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226" w:lineRule="exact"/>
        <w:rPr>
          <w:sz w:val="24"/>
          <w:szCs w:val="24"/>
          <w:color w:val="auto"/>
        </w:rPr>
      </w:pPr>
    </w:p>
    <w:tbl>
      <w:tblPr>
        <w:tblLayout w:type="fixed"/>
        <w:tblInd w:w="1230" w:type="dxa"/>
        <w:tblCellMar>
          <w:top w:w="0" w:type="dxa"/>
          <w:left w:w="0" w:type="dxa"/>
          <w:bottom w:w="0" w:type="dxa"/>
          <w:right w:w="0" w:type="dxa"/>
        </w:tblCellMar>
      </w:tblPr>
      <w:tr>
        <w:trPr>
          <w:trHeight w:val="216"/>
        </w:trPr>
        <w:tc>
          <w:tcPr>
            <w:tcW w:w="4160" w:type="dxa"/>
            <w:vAlign w:val="bottom"/>
          </w:tcPr>
          <w:p>
            <w:pPr>
              <w:jc w:val="center"/>
              <w:ind w:right="1530"/>
              <w:spacing w:after="0"/>
              <w:rPr>
                <w:sz w:val="20"/>
                <w:szCs w:val="20"/>
                <w:color w:val="auto"/>
              </w:rPr>
            </w:pPr>
            <w:r>
              <w:rPr>
                <w:rFonts w:ascii="Arial" w:cs="Arial" w:eastAsia="Arial" w:hAnsi="Arial"/>
                <w:sz w:val="18"/>
                <w:szCs w:val="18"/>
                <w:b w:val="1"/>
                <w:bCs w:val="1"/>
                <w:color w:val="auto"/>
                <w:w w:val="93"/>
              </w:rPr>
              <w:t>Delaware</w:t>
            </w:r>
          </w:p>
        </w:tc>
        <w:tc>
          <w:tcPr>
            <w:tcW w:w="3040" w:type="dxa"/>
            <w:vAlign w:val="bottom"/>
          </w:tcPr>
          <w:p>
            <w:pPr>
              <w:jc w:val="center"/>
              <w:ind w:left="1530"/>
              <w:spacing w:after="0"/>
              <w:rPr>
                <w:sz w:val="20"/>
                <w:szCs w:val="20"/>
                <w:color w:val="auto"/>
              </w:rPr>
            </w:pPr>
            <w:r>
              <w:rPr>
                <w:rFonts w:ascii="Arial" w:cs="Arial" w:eastAsia="Arial" w:hAnsi="Arial"/>
                <w:sz w:val="18"/>
                <w:szCs w:val="18"/>
                <w:b w:val="1"/>
                <w:bCs w:val="1"/>
                <w:color w:val="auto"/>
                <w:w w:val="89"/>
              </w:rPr>
              <w:t>26-2640654</w:t>
            </w:r>
          </w:p>
        </w:tc>
      </w:tr>
      <w:tr>
        <w:trPr>
          <w:trHeight w:val="216"/>
        </w:trPr>
        <w:tc>
          <w:tcPr>
            <w:tcW w:w="4160" w:type="dxa"/>
            <w:vAlign w:val="bottom"/>
          </w:tcPr>
          <w:p>
            <w:pPr>
              <w:jc w:val="center"/>
              <w:ind w:right="1530"/>
              <w:spacing w:after="0"/>
              <w:rPr>
                <w:sz w:val="20"/>
                <w:szCs w:val="20"/>
                <w:color w:val="auto"/>
              </w:rPr>
            </w:pPr>
            <w:r>
              <w:rPr>
                <w:rFonts w:ascii="Arial" w:cs="Arial" w:eastAsia="Arial" w:hAnsi="Arial"/>
                <w:sz w:val="18"/>
                <w:szCs w:val="18"/>
                <w:b w:val="1"/>
                <w:bCs w:val="1"/>
                <w:color w:val="auto"/>
                <w:w w:val="91"/>
              </w:rPr>
              <w:t>(State or other jurisdiction</w:t>
            </w:r>
          </w:p>
        </w:tc>
        <w:tc>
          <w:tcPr>
            <w:tcW w:w="3040" w:type="dxa"/>
            <w:vAlign w:val="bottom"/>
          </w:tcPr>
          <w:p>
            <w:pPr>
              <w:jc w:val="center"/>
              <w:ind w:left="153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4160" w:type="dxa"/>
            <w:vAlign w:val="bottom"/>
          </w:tcPr>
          <w:p>
            <w:pPr>
              <w:jc w:val="center"/>
              <w:ind w:right="1530"/>
              <w:spacing w:after="0"/>
              <w:rPr>
                <w:sz w:val="20"/>
                <w:szCs w:val="20"/>
                <w:color w:val="auto"/>
              </w:rPr>
            </w:pPr>
            <w:r>
              <w:rPr>
                <w:rFonts w:ascii="Arial" w:cs="Arial" w:eastAsia="Arial" w:hAnsi="Arial"/>
                <w:sz w:val="18"/>
                <w:szCs w:val="18"/>
                <w:b w:val="1"/>
                <w:bCs w:val="1"/>
                <w:color w:val="auto"/>
                <w:w w:val="91"/>
              </w:rPr>
              <w:t>of incorporation or organization)</w:t>
            </w:r>
          </w:p>
        </w:tc>
        <w:tc>
          <w:tcPr>
            <w:tcW w:w="3040" w:type="dxa"/>
            <w:vAlign w:val="bottom"/>
          </w:tcPr>
          <w:p>
            <w:pPr>
              <w:jc w:val="center"/>
              <w:ind w:left="1530"/>
              <w:spacing w:after="0"/>
              <w:rPr>
                <w:sz w:val="20"/>
                <w:szCs w:val="20"/>
                <w:color w:val="auto"/>
              </w:rPr>
            </w:pPr>
            <w:r>
              <w:rPr>
                <w:rFonts w:ascii="Arial" w:cs="Arial" w:eastAsia="Arial" w:hAnsi="Arial"/>
                <w:sz w:val="18"/>
                <w:szCs w:val="18"/>
                <w:b w:val="1"/>
                <w:bCs w:val="1"/>
                <w:color w:val="auto"/>
                <w:w w:val="93"/>
              </w:rPr>
              <w:t>Identification No.)</w:t>
            </w:r>
          </w:p>
        </w:tc>
      </w:tr>
    </w:tbl>
    <w:p>
      <w:pPr>
        <w:spacing w:after="0" w:line="103" w:lineRule="exact"/>
        <w:rPr>
          <w:sz w:val="24"/>
          <w:szCs w:val="24"/>
          <w:color w:val="auto"/>
        </w:rPr>
      </w:pPr>
    </w:p>
    <w:p>
      <w:pPr>
        <w:jc w:val="center"/>
        <w:ind w:right="10"/>
        <w:spacing w:after="0"/>
        <w:rPr>
          <w:sz w:val="20"/>
          <w:szCs w:val="20"/>
          <w:color w:val="auto"/>
        </w:rPr>
      </w:pPr>
      <w:r>
        <w:rPr>
          <w:rFonts w:ascii="Arial" w:cs="Arial" w:eastAsia="Arial" w:hAnsi="Arial"/>
          <w:sz w:val="18"/>
          <w:szCs w:val="18"/>
          <w:b w:val="1"/>
          <w:bCs w:val="1"/>
          <w:color w:val="auto"/>
        </w:rPr>
        <w:t>5670 W. Chandler Boulevard, Suite 100</w:t>
      </w:r>
    </w:p>
    <w:p>
      <w:pPr>
        <w:spacing w:after="0" w:line="27" w:lineRule="exact"/>
        <w:rPr>
          <w:sz w:val="24"/>
          <w:szCs w:val="24"/>
          <w:color w:val="auto"/>
        </w:rPr>
      </w:pPr>
    </w:p>
    <w:p>
      <w:pPr>
        <w:jc w:val="center"/>
        <w:ind w:right="10"/>
        <w:spacing w:after="0"/>
        <w:rPr>
          <w:sz w:val="20"/>
          <w:szCs w:val="20"/>
          <w:color w:val="auto"/>
        </w:rPr>
      </w:pPr>
      <w:r>
        <w:rPr>
          <w:rFonts w:ascii="Arial" w:cs="Arial" w:eastAsia="Arial" w:hAnsi="Arial"/>
          <w:sz w:val="18"/>
          <w:szCs w:val="18"/>
          <w:b w:val="1"/>
          <w:bCs w:val="1"/>
          <w:color w:val="auto"/>
        </w:rPr>
        <w:t>Chandler, Arizona 85226</w:t>
      </w:r>
    </w:p>
    <w:p>
      <w:pPr>
        <w:spacing w:after="0" w:line="9" w:lineRule="exact"/>
        <w:rPr>
          <w:sz w:val="24"/>
          <w:szCs w:val="24"/>
          <w:color w:val="auto"/>
        </w:rPr>
      </w:pPr>
    </w:p>
    <w:p>
      <w:pPr>
        <w:jc w:val="center"/>
        <w:ind w:right="10"/>
        <w:spacing w:after="0"/>
        <w:rPr>
          <w:sz w:val="20"/>
          <w:szCs w:val="20"/>
          <w:color w:val="auto"/>
        </w:rPr>
      </w:pPr>
      <w:r>
        <w:rPr>
          <w:rFonts w:ascii="Arial" w:cs="Arial" w:eastAsia="Arial" w:hAnsi="Arial"/>
          <w:sz w:val="18"/>
          <w:szCs w:val="18"/>
          <w:b w:val="1"/>
          <w:bCs w:val="1"/>
          <w:color w:val="auto"/>
        </w:rPr>
        <w:t>(Address of principal executive offices including zip code)</w:t>
      </w:r>
    </w:p>
    <w:p>
      <w:pPr>
        <w:spacing w:after="0" w:line="112" w:lineRule="exact"/>
        <w:rPr>
          <w:sz w:val="24"/>
          <w:szCs w:val="24"/>
          <w:color w:val="auto"/>
        </w:rPr>
      </w:pPr>
    </w:p>
    <w:p>
      <w:pPr>
        <w:ind w:left="2550"/>
        <w:spacing w:after="0"/>
        <w:rPr>
          <w:sz w:val="20"/>
          <w:szCs w:val="20"/>
          <w:color w:val="auto"/>
        </w:rPr>
      </w:pPr>
      <w:r>
        <w:rPr>
          <w:rFonts w:ascii="Arial" w:cs="Arial" w:eastAsia="Arial" w:hAnsi="Arial"/>
          <w:sz w:val="18"/>
          <w:szCs w:val="18"/>
          <w:b w:val="1"/>
          <w:bCs w:val="1"/>
          <w:color w:val="auto"/>
        </w:rPr>
        <w:t>Registrant’s telephone number, including area code: (480) 347-1111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85725</wp:posOffset>
            </wp:positionV>
            <wp:extent cx="162877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209" w:lineRule="exact"/>
        <w:rPr>
          <w:sz w:val="24"/>
          <w:szCs w:val="24"/>
          <w:color w:val="auto"/>
        </w:rPr>
      </w:pPr>
    </w:p>
    <w:p>
      <w:pPr>
        <w:ind w:left="1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 w:lineRule="exact"/>
        <w:rPr>
          <w:sz w:val="24"/>
          <w:szCs w:val="24"/>
          <w:color w:val="auto"/>
        </w:rPr>
      </w:pPr>
    </w:p>
    <w:tbl>
      <w:tblPr>
        <w:tblLayout w:type="fixed"/>
        <w:tblInd w:w="20" w:type="dxa"/>
        <w:tblCellMar>
          <w:top w:w="0" w:type="dxa"/>
          <w:left w:w="0" w:type="dxa"/>
          <w:bottom w:w="0" w:type="dxa"/>
          <w:right w:w="0" w:type="dxa"/>
        </w:tblCellMar>
      </w:tblPr>
      <w:tr>
        <w:trPr>
          <w:trHeight w:val="223"/>
        </w:trPr>
        <w:tc>
          <w:tcPr>
            <w:tcW w:w="3420" w:type="dxa"/>
            <w:vAlign w:val="bottom"/>
            <w:tcBorders>
              <w:top w:val="single" w:sz="8" w:color="auto"/>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Title of each class</w:t>
            </w:r>
          </w:p>
        </w:tc>
        <w:tc>
          <w:tcPr>
            <w:tcW w:w="340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Trading Symbol(s)</w:t>
            </w:r>
          </w:p>
        </w:tc>
        <w:tc>
          <w:tcPr>
            <w:tcW w:w="342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w w:val="92"/>
              </w:rPr>
              <w:t>Name of each exchange on which registered</w:t>
            </w:r>
          </w:p>
        </w:tc>
      </w:tr>
      <w:tr>
        <w:trPr>
          <w:trHeight w:val="210"/>
        </w:trPr>
        <w:tc>
          <w:tcPr>
            <w:tcW w:w="342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Common Stock, par value $0.0001</w:t>
            </w:r>
          </w:p>
        </w:tc>
        <w:tc>
          <w:tcPr>
            <w:tcW w:w="34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MRAM</w:t>
            </w:r>
          </w:p>
        </w:tc>
        <w:tc>
          <w:tcPr>
            <w:tcW w:w="34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The Nasdaq Stock Market</w:t>
            </w:r>
          </w:p>
        </w:tc>
      </w:tr>
    </w:tbl>
    <w:p>
      <w:pPr>
        <w:spacing w:after="0" w:line="107" w:lineRule="exact"/>
        <w:rPr>
          <w:sz w:val="24"/>
          <w:szCs w:val="24"/>
          <w:color w:val="auto"/>
        </w:rPr>
      </w:pPr>
    </w:p>
    <w:p>
      <w:pPr>
        <w:jc w:val="both"/>
        <w:ind w:left="10" w:right="6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9" w:lineRule="exact"/>
        <w:rPr>
          <w:sz w:val="24"/>
          <w:szCs w:val="24"/>
          <w:color w:val="auto"/>
        </w:rPr>
      </w:pPr>
    </w:p>
    <w:p>
      <w:pPr>
        <w:ind w:left="10" w:right="22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9" w:lineRule="exact"/>
        <w:rPr>
          <w:sz w:val="24"/>
          <w:szCs w:val="24"/>
          <w:color w:val="auto"/>
        </w:rPr>
      </w:pPr>
    </w:p>
    <w:p>
      <w:pPr>
        <w:ind w:left="10" w:right="180"/>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10" w:type="dxa"/>
        <w:tblCellMar>
          <w:top w:w="0" w:type="dxa"/>
          <w:left w:w="0" w:type="dxa"/>
          <w:bottom w:w="0" w:type="dxa"/>
          <w:right w:w="0" w:type="dxa"/>
        </w:tblCellMar>
      </w:tblPr>
      <w:tr>
        <w:trPr>
          <w:trHeight w:val="185"/>
        </w:trPr>
        <w:tc>
          <w:tcPr>
            <w:tcW w:w="1680" w:type="dxa"/>
            <w:vAlign w:val="bottom"/>
          </w:tcPr>
          <w:p>
            <w:pPr>
              <w:spacing w:after="0" w:line="185" w:lineRule="exact"/>
              <w:rPr>
                <w:sz w:val="20"/>
                <w:szCs w:val="20"/>
                <w:color w:val="auto"/>
              </w:rPr>
            </w:pPr>
            <w:r>
              <w:rPr>
                <w:rFonts w:ascii="Arial" w:cs="Arial" w:eastAsia="Arial" w:hAnsi="Arial"/>
                <w:sz w:val="18"/>
                <w:szCs w:val="18"/>
                <w:color w:val="auto"/>
                <w:w w:val="93"/>
              </w:rPr>
              <w:t>Large accelerated filer</w:t>
            </w:r>
          </w:p>
        </w:tc>
        <w:tc>
          <w:tcPr>
            <w:tcW w:w="288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5080" w:type="dxa"/>
            <w:vAlign w:val="bottom"/>
          </w:tcPr>
          <w:p>
            <w:pPr>
              <w:ind w:left="2640"/>
              <w:spacing w:after="0" w:line="185" w:lineRule="exact"/>
              <w:rPr>
                <w:sz w:val="20"/>
                <w:szCs w:val="20"/>
                <w:color w:val="auto"/>
              </w:rPr>
            </w:pPr>
            <w:r>
              <w:rPr>
                <w:rFonts w:ascii="Arial" w:cs="Arial" w:eastAsia="Arial" w:hAnsi="Arial"/>
                <w:sz w:val="18"/>
                <w:szCs w:val="18"/>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680" w:type="dxa"/>
            <w:vAlign w:val="bottom"/>
          </w:tcPr>
          <w:p>
            <w:pPr>
              <w:spacing w:after="0"/>
              <w:rPr>
                <w:sz w:val="20"/>
                <w:szCs w:val="20"/>
                <w:color w:val="auto"/>
              </w:rPr>
            </w:pPr>
            <w:r>
              <w:rPr>
                <w:rFonts w:ascii="Arial" w:cs="Arial" w:eastAsia="Arial" w:hAnsi="Arial"/>
                <w:sz w:val="18"/>
                <w:szCs w:val="18"/>
                <w:color w:val="auto"/>
                <w:w w:val="99"/>
              </w:rPr>
              <w:t>Non-accelerated filer</w:t>
            </w:r>
          </w:p>
        </w:tc>
        <w:tc>
          <w:tcPr>
            <w:tcW w:w="288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5080" w:type="dxa"/>
            <w:vAlign w:val="bottom"/>
          </w:tcPr>
          <w:p>
            <w:pPr>
              <w:ind w:left="2640"/>
              <w:spacing w:after="0"/>
              <w:rPr>
                <w:sz w:val="20"/>
                <w:szCs w:val="20"/>
                <w:color w:val="auto"/>
              </w:rPr>
            </w:pPr>
            <w:r>
              <w:rPr>
                <w:rFonts w:ascii="Arial" w:cs="Arial" w:eastAsia="Arial" w:hAnsi="Arial"/>
                <w:sz w:val="18"/>
                <w:szCs w:val="18"/>
                <w:color w:val="auto"/>
              </w:rPr>
              <w:t>Small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6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5080" w:type="dxa"/>
            <w:vAlign w:val="bottom"/>
          </w:tcPr>
          <w:p>
            <w:pPr>
              <w:ind w:left="2640"/>
              <w:spacing w:after="0"/>
              <w:rPr>
                <w:sz w:val="20"/>
                <w:szCs w:val="20"/>
                <w:color w:val="auto"/>
              </w:rPr>
            </w:pPr>
            <w:r>
              <w:rPr>
                <w:rFonts w:ascii="Arial" w:cs="Arial" w:eastAsia="Arial" w:hAnsi="Arial"/>
                <w:sz w:val="18"/>
                <w:szCs w:val="18"/>
                <w:color w:val="auto"/>
              </w:rPr>
              <w:t>Emerging growth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92"/>
        </w:trPr>
        <w:tc>
          <w:tcPr>
            <w:tcW w:w="9640" w:type="dxa"/>
            <w:vAlign w:val="bottom"/>
            <w:gridSpan w:val="3"/>
          </w:tcPr>
          <w:p>
            <w:pPr>
              <w:spacing w:after="0"/>
              <w:rPr>
                <w:sz w:val="20"/>
                <w:szCs w:val="20"/>
                <w:color w:val="auto"/>
              </w:rPr>
            </w:pPr>
            <w:r>
              <w:rPr>
                <w:rFonts w:ascii="Arial" w:cs="Arial" w:eastAsia="Arial" w:hAnsi="Arial"/>
                <w:sz w:val="18"/>
                <w:szCs w:val="18"/>
                <w:color w:val="auto"/>
                <w:w w:val="94"/>
              </w:rPr>
              <w:t>If an emerging growth company, indicate by check mark if the registrant has elected not to use the extended transition period for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bl>
    <w:p>
      <w:pPr>
        <w:ind w:left="10"/>
        <w:spacing w:after="0"/>
        <w:rPr>
          <w:sz w:val="20"/>
          <w:szCs w:val="20"/>
          <w:color w:val="auto"/>
        </w:rPr>
      </w:pPr>
      <w:r>
        <w:rPr>
          <w:rFonts w:ascii="Arial" w:cs="Arial" w:eastAsia="Arial" w:hAnsi="Arial"/>
          <w:sz w:val="18"/>
          <w:szCs w:val="18"/>
          <w:color w:val="auto"/>
        </w:rPr>
        <w:t>complying with any new or revised financial accounting standards provided pursuant to Section 13(a) of the Exchange Act.</w:t>
      </w:r>
    </w:p>
    <w:p>
      <w:pPr>
        <w:spacing w:after="0" w:line="109" w:lineRule="exact"/>
        <w:rPr>
          <w:sz w:val="24"/>
          <w:szCs w:val="24"/>
          <w:color w:val="auto"/>
        </w:rPr>
      </w:pPr>
    </w:p>
    <w:p>
      <w:pPr>
        <w:ind w:left="10" w:right="560"/>
        <w:spacing w:after="0" w:line="280"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The number of shares of Registrant’s Common Stock outstanding as of August 3, 2020 was 18,948,415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592455</wp:posOffset>
            </wp:positionV>
            <wp:extent cx="649795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78105</wp:posOffset>
            </wp:positionV>
            <wp:extent cx="6497955"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60960</wp:posOffset>
            </wp:positionV>
            <wp:extent cx="64979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ectPr>
          <w:pgSz w:w="11900" w:h="16838" w:orient="portrait"/>
          <w:cols w:equalWidth="0" w:num="1">
            <w:col w:w="10250"/>
          </w:cols>
          <w:pgMar w:left="830" w:top="665" w:right="819" w:bottom="1440" w:gutter="0" w:footer="0" w:header="0"/>
        </w:sectPr>
      </w:pPr>
    </w:p>
    <w:bookmarkStart w:id="1" w:name="page2"/>
    <w:bookmarkEnd w:id="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26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0" w:type="dxa"/>
            <w:vAlign w:val="bottom"/>
            <w:gridSpan w:val="5"/>
            <w:vMerge w:val="restart"/>
          </w:tcPr>
          <w:p>
            <w:pPr>
              <w:jc w:val="center"/>
              <w:ind w:right="2120"/>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PART I—FINANCIAL INFORMATION</w:t>
              </w:r>
            </w:hyperlink>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22"/>
        </w:trPr>
        <w:tc>
          <w:tcPr>
            <w:tcW w:w="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400" w:type="dxa"/>
            <w:vAlign w:val="bottom"/>
            <w:gridSpan w:val="5"/>
            <w:vMerge w:val="continue"/>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0" w:type="dxa"/>
            <w:vAlign w:val="bottom"/>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Item 1.</w:t>
              </w:r>
            </w:hyperlink>
          </w:p>
        </w:tc>
        <w:tc>
          <w:tcPr>
            <w:tcW w:w="7660" w:type="dxa"/>
            <w:vAlign w:val="bottom"/>
            <w:gridSpan w:val="10"/>
          </w:tcPr>
          <w:p>
            <w:pPr>
              <w:ind w:left="1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Financial Statements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800" w:type="dxa"/>
            <w:vAlign w:val="bottom"/>
          </w:tcPr>
          <w:p>
            <w:pPr>
              <w:spacing w:after="0"/>
              <w:rPr>
                <w:sz w:val="19"/>
                <w:szCs w:val="19"/>
                <w:color w:val="auto"/>
              </w:rPr>
            </w:pPr>
          </w:p>
        </w:tc>
        <w:tc>
          <w:tcPr>
            <w:tcW w:w="7660" w:type="dxa"/>
            <w:vAlign w:val="bottom"/>
            <w:gridSpan w:val="10"/>
          </w:tcPr>
          <w:p>
            <w:pPr>
              <w:ind w:left="48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Condensed Balance Sheets as of June 30, 2020 (unaudited) and December 31, 2019</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0"/>
        </w:trPr>
        <w:tc>
          <w:tcPr>
            <w:tcW w:w="800" w:type="dxa"/>
            <w:vAlign w:val="bottom"/>
          </w:tcPr>
          <w:p>
            <w:pPr>
              <w:spacing w:after="0"/>
              <w:rPr>
                <w:sz w:val="16"/>
                <w:szCs w:val="16"/>
                <w:color w:val="auto"/>
              </w:rPr>
            </w:pPr>
          </w:p>
        </w:tc>
        <w:tc>
          <w:tcPr>
            <w:tcW w:w="7660" w:type="dxa"/>
            <w:vAlign w:val="bottom"/>
            <w:gridSpan w:val="10"/>
          </w:tcPr>
          <w:p>
            <w:pPr>
              <w:ind w:left="480"/>
              <w:spacing w:after="0" w:line="190"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Condensed Statements of Operations and Comprehensive Loss for the three and six months ended</w:t>
              </w:r>
            </w:hyperlink>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82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June 30, 2020 and 2019 (unaudited)</w:t>
              </w:r>
            </w:hyperlink>
          </w:p>
        </w:tc>
        <w:tc>
          <w:tcPr>
            <w:tcW w:w="120" w:type="dxa"/>
            <w:vAlign w:val="bottom"/>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0" w:type="dxa"/>
            <w:vAlign w:val="bottom"/>
          </w:tcPr>
          <w:p>
            <w:pPr>
              <w:spacing w:after="0"/>
              <w:rPr>
                <w:sz w:val="18"/>
                <w:szCs w:val="18"/>
                <w:color w:val="auto"/>
              </w:rPr>
            </w:pPr>
          </w:p>
        </w:tc>
        <w:tc>
          <w:tcPr>
            <w:tcW w:w="7660" w:type="dxa"/>
            <w:vAlign w:val="bottom"/>
            <w:gridSpan w:val="10"/>
          </w:tcPr>
          <w:p>
            <w:pPr>
              <w:ind w:left="480"/>
              <w:spacing w:after="0"/>
              <w:rPr>
                <w:rFonts w:ascii="Arial" w:cs="Arial" w:eastAsia="Arial" w:hAnsi="Arial"/>
                <w:sz w:val="18"/>
                <w:szCs w:val="18"/>
                <w:color w:val="0000EE"/>
                <w:w w:val="91"/>
              </w:rPr>
            </w:pPr>
            <w:hyperlink w:anchor="page5">
              <w:r>
                <w:rPr>
                  <w:rFonts w:ascii="Arial" w:cs="Arial" w:eastAsia="Arial" w:hAnsi="Arial"/>
                  <w:sz w:val="18"/>
                  <w:szCs w:val="18"/>
                  <w:color w:val="0000EE"/>
                  <w:w w:val="91"/>
                </w:rPr>
                <w:t>Condensed Statements of Stockholders’ Equity for the three and six months ended June 30, 2020</w:t>
              </w:r>
            </w:hyperlink>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5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and 2019 (unaudited)</w:t>
              </w:r>
            </w:hyperlink>
          </w:p>
        </w:tc>
        <w:tc>
          <w:tcPr>
            <w:tcW w:w="5200" w:type="dxa"/>
            <w:vAlign w:val="bottom"/>
            <w:tcBorders>
              <w:top w:val="single" w:sz="8" w:color="0000EE"/>
            </w:tcBorders>
            <w:gridSpan w:val="3"/>
          </w:tcPr>
          <w:p>
            <w:pPr>
              <w:spacing w:after="0"/>
              <w:rPr>
                <w:sz w:val="17"/>
                <w:szCs w:val="17"/>
                <w:color w:val="auto"/>
              </w:rPr>
            </w:pPr>
          </w:p>
        </w:tc>
        <w:tc>
          <w:tcPr>
            <w:tcW w:w="200" w:type="dxa"/>
            <w:vAlign w:val="bottom"/>
            <w:gridSpan w:val="2"/>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7660" w:type="dxa"/>
            <w:vAlign w:val="bottom"/>
            <w:gridSpan w:val="10"/>
          </w:tcPr>
          <w:p>
            <w:pPr>
              <w:ind w:left="480"/>
              <w:spacing w:after="0"/>
              <w:rPr>
                <w:rFonts w:ascii="Arial" w:cs="Arial" w:eastAsia="Arial" w:hAnsi="Arial"/>
                <w:sz w:val="18"/>
                <w:szCs w:val="18"/>
                <w:color w:val="0000EE"/>
              </w:rPr>
            </w:pPr>
            <w:hyperlink w:anchor="page6">
              <w:r>
                <w:rPr>
                  <w:rFonts w:ascii="Arial" w:cs="Arial" w:eastAsia="Arial" w:hAnsi="Arial"/>
                  <w:sz w:val="18"/>
                  <w:szCs w:val="18"/>
                  <w:color w:val="0000EE"/>
                </w:rPr>
                <w:t>Condensed Statements of Cash Flows for the six months ended June 30, 2020 and 2019</w:t>
              </w:r>
            </w:hyperlink>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w:anchor="page6">
              <w:r>
                <w:rPr>
                  <w:rFonts w:ascii="Arial" w:cs="Arial" w:eastAsia="Arial" w:hAnsi="Arial"/>
                  <w:sz w:val="18"/>
                  <w:szCs w:val="18"/>
                  <w:color w:val="0000EE"/>
                  <w:w w:val="90"/>
                </w:rPr>
                <w:t>(unaudited)</w:t>
              </w:r>
            </w:hyperlink>
          </w:p>
        </w:tc>
        <w:tc>
          <w:tcPr>
            <w:tcW w:w="5240" w:type="dxa"/>
            <w:vAlign w:val="bottom"/>
            <w:tcBorders>
              <w:top w:val="single" w:sz="8" w:color="0000EE"/>
            </w:tcBorders>
            <w:gridSpan w:val="3"/>
          </w:tcPr>
          <w:p>
            <w:pPr>
              <w:spacing w:after="0"/>
              <w:rPr>
                <w:sz w:val="17"/>
                <w:szCs w:val="17"/>
                <w:color w:val="auto"/>
              </w:rPr>
            </w:pPr>
          </w:p>
        </w:tc>
        <w:tc>
          <w:tcPr>
            <w:tcW w:w="880" w:type="dxa"/>
            <w:vAlign w:val="bottom"/>
            <w:gridSpan w:val="3"/>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9"/>
        </w:trPr>
        <w:tc>
          <w:tcPr>
            <w:tcW w:w="800" w:type="dxa"/>
            <w:vAlign w:val="bottom"/>
          </w:tcPr>
          <w:p>
            <w:pPr>
              <w:spacing w:after="0"/>
              <w:rPr>
                <w:sz w:val="21"/>
                <w:szCs w:val="21"/>
                <w:color w:val="auto"/>
              </w:rPr>
            </w:pPr>
          </w:p>
        </w:tc>
        <w:tc>
          <w:tcPr>
            <w:tcW w:w="7660" w:type="dxa"/>
            <w:vAlign w:val="bottom"/>
            <w:gridSpan w:val="10"/>
          </w:tcPr>
          <w:p>
            <w:pPr>
              <w:ind w:left="48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Notes to Condensed Financial Statements (unaudited)</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800" w:type="dxa"/>
            <w:vAlign w:val="bottom"/>
          </w:tcPr>
          <w:p>
            <w:pPr>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Item 2.</w:t>
              </w:r>
            </w:hyperlink>
          </w:p>
        </w:tc>
        <w:tc>
          <w:tcPr>
            <w:tcW w:w="7660" w:type="dxa"/>
            <w:vAlign w:val="bottom"/>
            <w:gridSpan w:val="10"/>
          </w:tcPr>
          <w:p>
            <w:pPr>
              <w:ind w:left="160"/>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Management’s Discussion and Analysis of Financial Condition and Results of Operations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9"/>
        </w:trPr>
        <w:tc>
          <w:tcPr>
            <w:tcW w:w="800" w:type="dxa"/>
            <w:vAlign w:val="bottom"/>
          </w:tcPr>
          <w:p>
            <w:pPr>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Item 3.</w:t>
              </w:r>
            </w:hyperlink>
          </w:p>
        </w:tc>
        <w:tc>
          <w:tcPr>
            <w:tcW w:w="7660" w:type="dxa"/>
            <w:vAlign w:val="bottom"/>
            <w:gridSpan w:val="10"/>
          </w:tcPr>
          <w:p>
            <w:pPr>
              <w:ind w:left="160"/>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Quantitative and Qualitative Disclosures About Market Risk</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800" w:type="dxa"/>
            <w:vAlign w:val="bottom"/>
          </w:tcPr>
          <w:p>
            <w:pPr>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Item 4.</w:t>
              </w:r>
            </w:hyperlink>
          </w:p>
        </w:tc>
        <w:tc>
          <w:tcPr>
            <w:tcW w:w="7660" w:type="dxa"/>
            <w:vAlign w:val="bottom"/>
            <w:gridSpan w:val="10"/>
          </w:tcPr>
          <w:p>
            <w:pPr>
              <w:ind w:left="160"/>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Controls and Procedures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458"/>
        </w:trPr>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0" w:type="dxa"/>
            <w:vAlign w:val="bottom"/>
            <w:gridSpan w:val="5"/>
          </w:tcPr>
          <w:p>
            <w:pPr>
              <w:jc w:val="center"/>
              <w:ind w:right="2100"/>
              <w:spacing w:after="0"/>
              <w:rPr>
                <w:rFonts w:ascii="Arial" w:cs="Arial" w:eastAsia="Arial" w:hAnsi="Arial"/>
                <w:sz w:val="18"/>
                <w:szCs w:val="18"/>
                <w:b w:val="1"/>
                <w:bCs w:val="1"/>
                <w:u w:val="single" w:color="auto"/>
                <w:color w:val="0000EE"/>
              </w:rPr>
            </w:pPr>
            <w:hyperlink w:anchor="page26">
              <w:r>
                <w:rPr>
                  <w:rFonts w:ascii="Arial" w:cs="Arial" w:eastAsia="Arial" w:hAnsi="Arial"/>
                  <w:sz w:val="18"/>
                  <w:szCs w:val="18"/>
                  <w:b w:val="1"/>
                  <w:bCs w:val="1"/>
                  <w:u w:val="single" w:color="auto"/>
                  <w:color w:val="0000EE"/>
                </w:rPr>
                <w:t>PART II—OTHER INFORMATION</w:t>
              </w:r>
            </w:hyperlink>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800" w:type="dxa"/>
            <w:vAlign w:val="bottom"/>
          </w:tcPr>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Item 1.</w:t>
              </w:r>
            </w:hyperlink>
          </w:p>
        </w:tc>
        <w:tc>
          <w:tcPr>
            <w:tcW w:w="7660" w:type="dxa"/>
            <w:vAlign w:val="bottom"/>
            <w:gridSpan w:val="10"/>
          </w:tcPr>
          <w:p>
            <w:pPr>
              <w:ind w:left="16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Legal Proceedings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0"/>
        </w:trPr>
        <w:tc>
          <w:tcPr>
            <w:tcW w:w="800" w:type="dxa"/>
            <w:vAlign w:val="bottom"/>
          </w:tcPr>
          <w:p>
            <w:pPr>
              <w:spacing w:after="0"/>
              <w:rPr>
                <w:rFonts w:ascii="Arial" w:cs="Arial" w:eastAsia="Arial" w:hAnsi="Arial"/>
                <w:sz w:val="18"/>
                <w:szCs w:val="18"/>
                <w:color w:val="0000EE"/>
              </w:rPr>
            </w:pPr>
            <w:hyperlink w:anchor="page26">
              <w:r>
                <w:rPr>
                  <w:rFonts w:ascii="Arial" w:cs="Arial" w:eastAsia="Arial" w:hAnsi="Arial"/>
                  <w:sz w:val="18"/>
                  <w:szCs w:val="18"/>
                  <w:u w:val="single" w:color="auto"/>
                  <w:color w:val="0000EE"/>
                </w:rPr>
                <w:t>Item 1A</w:t>
              </w:r>
              <w:r>
                <w:rPr>
                  <w:rFonts w:ascii="Arial" w:cs="Arial" w:eastAsia="Arial" w:hAnsi="Arial"/>
                  <w:sz w:val="18"/>
                  <w:szCs w:val="18"/>
                  <w:color w:val="0000EE"/>
                </w:rPr>
                <w:t>.</w:t>
              </w:r>
            </w:hyperlink>
          </w:p>
        </w:tc>
        <w:tc>
          <w:tcPr>
            <w:tcW w:w="7660" w:type="dxa"/>
            <w:vAlign w:val="bottom"/>
            <w:gridSpan w:val="10"/>
          </w:tcPr>
          <w:p>
            <w:pPr>
              <w:ind w:left="16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Risk Factors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9"/>
        </w:trPr>
        <w:tc>
          <w:tcPr>
            <w:tcW w:w="800" w:type="dxa"/>
            <w:vAlign w:val="bottom"/>
          </w:tcPr>
          <w:p>
            <w:pPr>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Item 2.</w:t>
              </w:r>
            </w:hyperlink>
          </w:p>
        </w:tc>
        <w:tc>
          <w:tcPr>
            <w:tcW w:w="7660" w:type="dxa"/>
            <w:vAlign w:val="bottom"/>
            <w:gridSpan w:val="10"/>
          </w:tcPr>
          <w:p>
            <w:pPr>
              <w:ind w:left="160"/>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Unregistered Sales of Equity Securities and Use of Proceeds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30"/>
        </w:trPr>
        <w:tc>
          <w:tcPr>
            <w:tcW w:w="800" w:type="dxa"/>
            <w:vAlign w:val="bottom"/>
          </w:tcPr>
          <w:p>
            <w:pPr>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Item 3.</w:t>
              </w:r>
            </w:hyperlink>
          </w:p>
        </w:tc>
        <w:tc>
          <w:tcPr>
            <w:tcW w:w="7660" w:type="dxa"/>
            <w:vAlign w:val="bottom"/>
            <w:gridSpan w:val="10"/>
          </w:tcPr>
          <w:p>
            <w:pPr>
              <w:ind w:left="160"/>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Defaults Upon Senior Securities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30"/>
        </w:trPr>
        <w:tc>
          <w:tcPr>
            <w:tcW w:w="800" w:type="dxa"/>
            <w:vAlign w:val="bottom"/>
          </w:tcPr>
          <w:p>
            <w:pPr>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Item 4.</w:t>
              </w:r>
            </w:hyperlink>
          </w:p>
        </w:tc>
        <w:tc>
          <w:tcPr>
            <w:tcW w:w="7660" w:type="dxa"/>
            <w:vAlign w:val="bottom"/>
            <w:gridSpan w:val="10"/>
          </w:tcPr>
          <w:p>
            <w:pPr>
              <w:ind w:left="160"/>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Mine Safety Disclosures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30"/>
        </w:trPr>
        <w:tc>
          <w:tcPr>
            <w:tcW w:w="800" w:type="dxa"/>
            <w:vAlign w:val="bottom"/>
          </w:tcPr>
          <w:p>
            <w:pPr>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Item 5.</w:t>
              </w:r>
            </w:hyperlink>
          </w:p>
        </w:tc>
        <w:tc>
          <w:tcPr>
            <w:tcW w:w="7660" w:type="dxa"/>
            <w:vAlign w:val="bottom"/>
            <w:gridSpan w:val="10"/>
          </w:tcPr>
          <w:p>
            <w:pPr>
              <w:ind w:left="160"/>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Other Information</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9"/>
        </w:trPr>
        <w:tc>
          <w:tcPr>
            <w:tcW w:w="800" w:type="dxa"/>
            <w:vAlign w:val="bottom"/>
          </w:tcPr>
          <w:p>
            <w:pPr>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Item 6.</w:t>
              </w:r>
            </w:hyperlink>
          </w:p>
        </w:tc>
        <w:tc>
          <w:tcPr>
            <w:tcW w:w="7660" w:type="dxa"/>
            <w:vAlign w:val="bottom"/>
            <w:gridSpan w:val="10"/>
          </w:tcPr>
          <w:p>
            <w:pPr>
              <w:ind w:left="160"/>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Exhibits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30"/>
        </w:trPr>
        <w:tc>
          <w:tcPr>
            <w:tcW w:w="8460" w:type="dxa"/>
            <w:vAlign w:val="bottom"/>
            <w:gridSpan w:val="11"/>
          </w:tcPr>
          <w:p>
            <w:pPr>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EXHIBIT INDEX</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30"/>
        </w:trPr>
        <w:tc>
          <w:tcPr>
            <w:tcW w:w="8460" w:type="dxa"/>
            <w:vAlign w:val="bottom"/>
            <w:gridSpan w:val="11"/>
          </w:tcPr>
          <w:p>
            <w:pPr>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SIGNATURES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0" w:right="119"/>
        <w:spacing w:after="0" w:line="293" w:lineRule="auto"/>
        <w:rPr>
          <w:sz w:val="20"/>
          <w:szCs w:val="20"/>
          <w:color w:val="auto"/>
        </w:rPr>
      </w:pPr>
      <w:r>
        <w:rPr>
          <w:rFonts w:ascii="Arial" w:cs="Arial" w:eastAsia="Arial" w:hAnsi="Arial"/>
          <w:sz w:val="16"/>
          <w:szCs w:val="16"/>
          <w:color w:val="auto"/>
        </w:rPr>
        <w:t>In this Quarterly Report on Form 10-Q, “we,” “our,” “us,” “Everspin Technologies,” and “the Company” refer to Everspin Technologies, Inc. The Everspin logo and other trade names, trademarks or service marks of Everspin Technologies are the property of Everspin Technologies, Inc. This report contains references to our trademarks and to trademarks belonging to other entities. Trade names, trademarks and service marks of other companies appearing in this report are the property of their respective holders. We do not intend our use or display of other companies’ trade names or trademarks to imply a relationship with, or endorsement or sponsorship of us by, any other companies.</w:t>
      </w: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 w:name="page3"/>
    <w:bookmarkEnd w:id="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PART I—FINANCIAL INFORMATION</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 Financial Statements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EVERSPIN TECHNOLOGIES,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4"/>
                <w:szCs w:val="14"/>
                <w:color w:val="auto"/>
              </w:rPr>
            </w:pPr>
          </w:p>
        </w:tc>
        <w:tc>
          <w:tcPr>
            <w:tcW w:w="1020" w:type="dxa"/>
            <w:vAlign w:val="bottom"/>
          </w:tcPr>
          <w:p>
            <w:pPr>
              <w:jc w:val="right"/>
              <w:ind w:right="51"/>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63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2019</w:t>
            </w:r>
          </w:p>
        </w:tc>
      </w:tr>
      <w:tr>
        <w:trPr>
          <w:trHeight w:val="210"/>
        </w:trPr>
        <w:tc>
          <w:tcPr>
            <w:tcW w:w="6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6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34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12,916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14,487</w:t>
            </w:r>
          </w:p>
        </w:tc>
      </w:tr>
      <w:tr>
        <w:trPr>
          <w:trHeight w:val="216"/>
        </w:trPr>
        <w:tc>
          <w:tcPr>
            <w:tcW w:w="6320" w:type="dxa"/>
            <w:vAlign w:val="bottom"/>
          </w:tcPr>
          <w:p>
            <w:pPr>
              <w:ind w:left="120"/>
              <w:spacing w:after="0"/>
              <w:rPr>
                <w:sz w:val="20"/>
                <w:szCs w:val="20"/>
                <w:color w:val="auto"/>
              </w:rPr>
            </w:pPr>
            <w:r>
              <w:rPr>
                <w:rFonts w:ascii="Arial" w:cs="Arial" w:eastAsia="Arial" w:hAnsi="Arial"/>
                <w:sz w:val="18"/>
                <w:szCs w:val="18"/>
                <w:color w:val="auto"/>
              </w:rPr>
              <w:t>Accounts receivable, net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7,339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5,799</w:t>
            </w:r>
          </w:p>
        </w:tc>
      </w:tr>
      <w:tr>
        <w:trPr>
          <w:trHeight w:val="216"/>
        </w:trPr>
        <w:tc>
          <w:tcPr>
            <w:tcW w:w="6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Inventory</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7,863</w:t>
            </w:r>
          </w:p>
        </w:tc>
      </w:tr>
      <w:tr>
        <w:trPr>
          <w:trHeight w:val="216"/>
        </w:trPr>
        <w:tc>
          <w:tcPr>
            <w:tcW w:w="63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w:t>
            </w:r>
          </w:p>
        </w:tc>
      </w:tr>
      <w:tr>
        <w:trPr>
          <w:trHeight w:val="209"/>
        </w:trPr>
        <w:tc>
          <w:tcPr>
            <w:tcW w:w="6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29,124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28,688</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2,908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3,479</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Right-of-use assets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3,132</w:t>
            </w:r>
          </w:p>
        </w:tc>
      </w:tr>
      <w:tr>
        <w:trPr>
          <w:trHeight w:val="216"/>
        </w:trPr>
        <w:tc>
          <w:tcPr>
            <w:tcW w:w="6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r>
      <w:tr>
        <w:trPr>
          <w:trHeight w:val="209"/>
        </w:trPr>
        <w:tc>
          <w:tcPr>
            <w:tcW w:w="63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35,090</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35,372</w:t>
            </w:r>
          </w:p>
        </w:tc>
      </w:tr>
      <w:tr>
        <w:trPr>
          <w:trHeight w:val="20"/>
        </w:trPr>
        <w:tc>
          <w:tcPr>
            <w:tcW w:w="6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97"/>
        </w:trPr>
        <w:tc>
          <w:tcPr>
            <w:tcW w:w="6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6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Accounts payable</w:t>
            </w:r>
          </w:p>
        </w:tc>
        <w:tc>
          <w:tcPr>
            <w:tcW w:w="34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2,873</w:t>
            </w:r>
          </w:p>
        </w:tc>
      </w:tr>
      <w:tr>
        <w:trPr>
          <w:trHeight w:val="216"/>
        </w:trPr>
        <w:tc>
          <w:tcPr>
            <w:tcW w:w="6320" w:type="dxa"/>
            <w:vAlign w:val="bottom"/>
          </w:tcPr>
          <w:p>
            <w:pPr>
              <w:ind w:left="120"/>
              <w:spacing w:after="0"/>
              <w:rPr>
                <w:sz w:val="20"/>
                <w:szCs w:val="20"/>
                <w:color w:val="auto"/>
              </w:rPr>
            </w:pPr>
            <w:r>
              <w:rPr>
                <w:rFonts w:ascii="Arial" w:cs="Arial" w:eastAsia="Arial" w:hAnsi="Arial"/>
                <w:sz w:val="18"/>
                <w:szCs w:val="18"/>
                <w:color w:val="auto"/>
              </w:rPr>
              <w:t>Accrued liabilities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1,392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2,727</w:t>
            </w:r>
          </w:p>
        </w:tc>
      </w:tr>
      <w:tr>
        <w:trPr>
          <w:trHeight w:val="216"/>
        </w:trPr>
        <w:tc>
          <w:tcPr>
            <w:tcW w:w="6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Current portion of long-term debt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w:t>
            </w:r>
          </w:p>
        </w:tc>
      </w:tr>
      <w:tr>
        <w:trPr>
          <w:trHeight w:val="216"/>
        </w:trPr>
        <w:tc>
          <w:tcPr>
            <w:tcW w:w="6320" w:type="dxa"/>
            <w:vAlign w:val="bottom"/>
          </w:tcPr>
          <w:p>
            <w:pPr>
              <w:ind w:left="120"/>
              <w:spacing w:after="0"/>
              <w:rPr>
                <w:sz w:val="20"/>
                <w:szCs w:val="20"/>
                <w:color w:val="auto"/>
              </w:rPr>
            </w:pPr>
            <w:r>
              <w:rPr>
                <w:rFonts w:ascii="Arial" w:cs="Arial" w:eastAsia="Arial" w:hAnsi="Arial"/>
                <w:sz w:val="18"/>
                <w:szCs w:val="18"/>
                <w:color w:val="auto"/>
              </w:rPr>
              <w:t>Operating lease liabilities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1,546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1,582</w:t>
            </w:r>
          </w:p>
        </w:tc>
      </w:tr>
      <w:tr>
        <w:trPr>
          <w:trHeight w:val="216"/>
        </w:trPr>
        <w:tc>
          <w:tcPr>
            <w:tcW w:w="6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liabilities</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10"/>
        </w:trPr>
        <w:tc>
          <w:tcPr>
            <w:tcW w:w="6320" w:type="dxa"/>
            <w:vAlign w:val="bottom"/>
          </w:tcPr>
          <w:p>
            <w:pPr>
              <w:ind w:left="220"/>
              <w:spacing w:after="0"/>
              <w:rPr>
                <w:sz w:val="20"/>
                <w:szCs w:val="20"/>
                <w:color w:val="auto"/>
              </w:rPr>
            </w:pPr>
            <w:r>
              <w:rPr>
                <w:rFonts w:ascii="Arial" w:cs="Arial" w:eastAsia="Arial" w:hAnsi="Arial"/>
                <w:sz w:val="18"/>
                <w:szCs w:val="18"/>
                <w:color w:val="auto"/>
              </w:rPr>
              <w:t>Total current liabilities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6,129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7,894</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net of current portion</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7,149</w:t>
            </w:r>
          </w:p>
        </w:tc>
      </w:tr>
      <w:tr>
        <w:trPr>
          <w:trHeight w:val="216"/>
        </w:trPr>
        <w:tc>
          <w:tcPr>
            <w:tcW w:w="6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Operating lease liabilities, net of current portion</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1,656</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1,840</w:t>
            </w:r>
          </w:p>
        </w:tc>
      </w:tr>
      <w:tr>
        <w:trPr>
          <w:trHeight w:val="210"/>
        </w:trPr>
        <w:tc>
          <w:tcPr>
            <w:tcW w:w="6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liabilities</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14,678</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16,883</w:t>
            </w:r>
          </w:p>
        </w:tc>
      </w:tr>
      <w:tr>
        <w:trPr>
          <w:trHeight w:val="210"/>
        </w:trPr>
        <w:tc>
          <w:tcPr>
            <w:tcW w:w="632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02"/>
        </w:trPr>
        <w:tc>
          <w:tcPr>
            <w:tcW w:w="6320" w:type="dxa"/>
            <w:vAlign w:val="bottom"/>
          </w:tcPr>
          <w:p>
            <w:pPr>
              <w:ind w:left="120"/>
              <w:spacing w:after="0" w:line="201" w:lineRule="exact"/>
              <w:rPr>
                <w:sz w:val="20"/>
                <w:szCs w:val="20"/>
                <w:color w:val="auto"/>
              </w:rPr>
            </w:pPr>
            <w:r>
              <w:rPr>
                <w:rFonts w:ascii="Arial" w:cs="Arial" w:eastAsia="Arial" w:hAnsi="Arial"/>
                <w:sz w:val="18"/>
                <w:szCs w:val="18"/>
                <w:color w:val="auto"/>
                <w:w w:val="90"/>
              </w:rPr>
              <w:t>Preferred stock, $0.0001 par value per share; 5,000,000 shares authorized; no shares</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0"/>
        </w:trPr>
        <w:tc>
          <w:tcPr>
            <w:tcW w:w="6320" w:type="dxa"/>
            <w:vAlign w:val="bottom"/>
          </w:tcPr>
          <w:p>
            <w:pPr>
              <w:ind w:left="120"/>
              <w:spacing w:after="0"/>
              <w:rPr>
                <w:sz w:val="20"/>
                <w:szCs w:val="20"/>
                <w:color w:val="auto"/>
              </w:rPr>
            </w:pPr>
            <w:r>
              <w:rPr>
                <w:rFonts w:ascii="Arial" w:cs="Arial" w:eastAsia="Arial" w:hAnsi="Arial"/>
                <w:sz w:val="18"/>
                <w:szCs w:val="18"/>
                <w:color w:val="auto"/>
              </w:rPr>
              <w:t>issued and outstanding as of June 30, 2020 and December 31, 2019</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2"/>
        </w:trPr>
        <w:tc>
          <w:tcPr>
            <w:tcW w:w="632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w w:val="99"/>
              </w:rPr>
              <w:t>Common stock, $0.0001 par value per share; 100,000,000 shares authorized;</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6"/>
        </w:trPr>
        <w:tc>
          <w:tcPr>
            <w:tcW w:w="63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2"/>
              </w:rPr>
              <w:t>18,869,775 and 18,081,753 shares issued and outstanding as of June 30, 2020 and</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30"/>
        </w:trPr>
        <w:tc>
          <w:tcPr>
            <w:tcW w:w="6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December 31, 2019</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6320" w:type="dxa"/>
            <w:vAlign w:val="bottom"/>
          </w:tcPr>
          <w:p>
            <w:pPr>
              <w:ind w:left="120"/>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172,098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167,149</w:t>
            </w:r>
          </w:p>
        </w:tc>
      </w:tr>
      <w:tr>
        <w:trPr>
          <w:trHeight w:val="216"/>
        </w:trPr>
        <w:tc>
          <w:tcPr>
            <w:tcW w:w="6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Accumulated deficit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(151,688)</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(148,662)</w:t>
            </w:r>
          </w:p>
        </w:tc>
      </w:tr>
      <w:tr>
        <w:trPr>
          <w:trHeight w:val="209"/>
        </w:trPr>
        <w:tc>
          <w:tcPr>
            <w:tcW w:w="63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20,412</w:t>
            </w:r>
          </w:p>
        </w:tc>
        <w:tc>
          <w:tcPr>
            <w:tcW w:w="1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18,489</w:t>
            </w:r>
          </w:p>
        </w:tc>
      </w:tr>
      <w:tr>
        <w:trPr>
          <w:trHeight w:val="210"/>
        </w:trPr>
        <w:tc>
          <w:tcPr>
            <w:tcW w:w="63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35,090</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35,372</w:t>
            </w:r>
          </w:p>
        </w:tc>
      </w:tr>
      <w:tr>
        <w:trPr>
          <w:trHeight w:val="20"/>
        </w:trPr>
        <w:tc>
          <w:tcPr>
            <w:tcW w:w="6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left="1500" w:right="2040"/>
        <w:spacing w:after="0" w:line="261" w:lineRule="auto"/>
        <w:rPr>
          <w:sz w:val="20"/>
          <w:szCs w:val="20"/>
          <w:color w:val="auto"/>
        </w:rPr>
      </w:pPr>
      <w:r>
        <w:rPr>
          <w:rFonts w:ascii="Arial" w:cs="Arial" w:eastAsia="Arial" w:hAnsi="Arial"/>
          <w:sz w:val="18"/>
          <w:szCs w:val="18"/>
          <w:b w:val="1"/>
          <w:bCs w:val="1"/>
          <w:color w:val="auto"/>
        </w:rPr>
        <w:t>EVERSPIN TECHNOLOGIES, INC. Condensed Statements of Operations and Comprehensive Loss (In thousands, except share and per share amounts) (Unaudited)</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20" w:type="dxa"/>
            <w:vAlign w:val="bottom"/>
            <w:gridSpan w:val="6"/>
          </w:tcPr>
          <w:p>
            <w:pPr>
              <w:ind w:left="160"/>
              <w:spacing w:after="0"/>
              <w:rPr>
                <w:sz w:val="20"/>
                <w:szCs w:val="20"/>
                <w:color w:val="auto"/>
              </w:rPr>
            </w:pPr>
            <w:r>
              <w:rPr>
                <w:rFonts w:ascii="Arial" w:cs="Arial" w:eastAsia="Arial" w:hAnsi="Arial"/>
                <w:sz w:val="14"/>
                <w:szCs w:val="14"/>
                <w:b w:val="1"/>
                <w:bCs w:val="1"/>
                <w:color w:val="auto"/>
              </w:rPr>
              <w:t>Three Months Ended June 30,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20" w:type="dxa"/>
            <w:vAlign w:val="bottom"/>
            <w:gridSpan w:val="6"/>
          </w:tcPr>
          <w:p>
            <w:pPr>
              <w:ind w:left="24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31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12"/>
              <w:spacing w:after="0" w:line="142" w:lineRule="exact"/>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411"/>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ind w:left="240"/>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31"/>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Product sales</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8,003</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20,562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17,026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Licensing, royalty, and other revenue</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899</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1,372</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1,646</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revenue</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8,646</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21,934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18,672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sales</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6,635</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4,627</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11,392</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9,868</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Gross profit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4,019</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tcPr>
          <w:p>
            <w:pPr>
              <w:spacing w:after="0" w:line="216" w:lineRule="exact"/>
              <w:rPr>
                <w:sz w:val="20"/>
                <w:szCs w:val="20"/>
                <w:color w:val="auto"/>
              </w:rPr>
            </w:pPr>
            <w:r>
              <w:rPr>
                <w:rFonts w:ascii="Arial" w:cs="Arial" w:eastAsia="Arial" w:hAnsi="Arial"/>
                <w:sz w:val="17"/>
                <w:szCs w:val="17"/>
                <w:color w:val="auto"/>
              </w:rPr>
              <w:t>Operating expenses:</w:t>
            </w:r>
            <w:r>
              <w:rPr>
                <w:rFonts w:ascii="Arial" w:cs="Arial" w:eastAsia="Arial" w:hAnsi="Arial"/>
                <w:sz w:val="25"/>
                <w:szCs w:val="25"/>
                <w:color w:val="auto"/>
                <w:vertAlign w:val="superscript"/>
              </w:rPr>
              <w:t>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Research and development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3,519</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tcPr>
          <w:p>
            <w:pPr>
              <w:ind w:left="120"/>
              <w:spacing w:after="0"/>
              <w:rPr>
                <w:sz w:val="20"/>
                <w:szCs w:val="20"/>
                <w:color w:val="auto"/>
              </w:rPr>
            </w:pPr>
            <w:r>
              <w:rPr>
                <w:rFonts w:ascii="Arial" w:cs="Arial" w:eastAsia="Arial" w:hAnsi="Arial"/>
                <w:sz w:val="18"/>
                <w:szCs w:val="18"/>
                <w:color w:val="auto"/>
              </w:rPr>
              <w:t>General and administrative</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2,448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2,856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5,248</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6,451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Sales and marketing</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1,239</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2,159</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operating expenses</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6,278</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7,614</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13,211</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16,571</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(3,595)</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(2,669)</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Interest expense</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(172)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(186)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(344)</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 net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 and comprehensive loss</w:t>
            </w:r>
          </w:p>
        </w:tc>
        <w:tc>
          <w:tcPr>
            <w:tcW w:w="8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(1,294)</w:t>
            </w:r>
          </w:p>
        </w:tc>
        <w:tc>
          <w:tcPr>
            <w:tcW w:w="8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(3,670)</w:t>
            </w:r>
          </w:p>
        </w:tc>
        <w:tc>
          <w:tcPr>
            <w:tcW w:w="6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(3,026)</w:t>
            </w:r>
          </w:p>
        </w:tc>
        <w:tc>
          <w:tcPr>
            <w:tcW w:w="16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(7,926)</w:t>
            </w:r>
          </w:p>
        </w:tc>
        <w:tc>
          <w:tcPr>
            <w:tcW w:w="1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55"/>
        </w:trPr>
        <w:tc>
          <w:tcPr>
            <w:tcW w:w="3100" w:type="dxa"/>
            <w:vAlign w:val="bottom"/>
            <w:shd w:val="clear" w:color="auto" w:fill="CCEEFF"/>
          </w:tcPr>
          <w:p>
            <w:pPr>
              <w:spacing w:after="0" w:line="155" w:lineRule="exact"/>
              <w:rPr>
                <w:sz w:val="20"/>
                <w:szCs w:val="20"/>
                <w:color w:val="auto"/>
              </w:rPr>
            </w:pPr>
            <w:r>
              <w:rPr>
                <w:rFonts w:ascii="Arial" w:cs="Arial" w:eastAsia="Arial" w:hAnsi="Arial"/>
                <w:sz w:val="17"/>
                <w:szCs w:val="17"/>
                <w:color w:val="auto"/>
              </w:rPr>
              <w:t>Net loss per common share, basic and</w:t>
            </w:r>
          </w:p>
        </w:tc>
        <w:tc>
          <w:tcPr>
            <w:tcW w:w="340" w:type="dxa"/>
            <w:vAlign w:val="bottom"/>
            <w:gridSpan w:val="2"/>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(0.07)</w:t>
            </w:r>
          </w:p>
        </w:tc>
        <w:tc>
          <w:tcPr>
            <w:tcW w:w="400" w:type="dxa"/>
            <w:vAlign w:val="bottom"/>
            <w:gridSpan w:val="2"/>
            <w:vMerge w:val="restart"/>
            <w:shd w:val="clear" w:color="auto" w:fill="CCEEFF"/>
          </w:tcPr>
          <w:p>
            <w:pPr>
              <w:jc w:val="right"/>
              <w:ind w:right="167"/>
              <w:spacing w:after="0"/>
              <w:rPr>
                <w:sz w:val="20"/>
                <w:szCs w:val="20"/>
                <w:color w:val="auto"/>
              </w:rPr>
            </w:pPr>
            <w:r>
              <w:rPr>
                <w:rFonts w:ascii="Arial" w:cs="Arial" w:eastAsia="Arial" w:hAnsi="Arial"/>
                <w:sz w:val="18"/>
                <w:szCs w:val="18"/>
                <w:color w:val="auto"/>
              </w:rPr>
              <w:t>$</w:t>
            </w:r>
          </w:p>
        </w:tc>
        <w:tc>
          <w:tcPr>
            <w:tcW w:w="10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(0.21)</w:t>
            </w:r>
          </w:p>
        </w:tc>
        <w:tc>
          <w:tcPr>
            <w:tcW w:w="340" w:type="dxa"/>
            <w:vAlign w:val="bottom"/>
            <w:gridSpan w:val="2"/>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(0.16)</w:t>
            </w:r>
          </w:p>
        </w:tc>
        <w:tc>
          <w:tcPr>
            <w:tcW w:w="260" w:type="dxa"/>
            <w:vAlign w:val="bottom"/>
            <w:gridSpan w:val="2"/>
            <w:vMerge w:val="restart"/>
            <w:shd w:val="clear" w:color="auto" w:fill="CCEEFF"/>
          </w:tcPr>
          <w:p>
            <w:pPr>
              <w:jc w:val="right"/>
              <w:ind w:right="129"/>
              <w:spacing w:after="0"/>
              <w:rPr>
                <w:sz w:val="20"/>
                <w:szCs w:val="20"/>
                <w:color w:val="auto"/>
              </w:rPr>
            </w:pPr>
            <w:r>
              <w:rPr>
                <w:rFonts w:ascii="Arial" w:cs="Arial" w:eastAsia="Arial" w:hAnsi="Arial"/>
                <w:sz w:val="15"/>
                <w:szCs w:val="15"/>
                <w:color w:val="auto"/>
                <w:w w:val="71"/>
              </w:rPr>
              <w:t>$</w:t>
            </w:r>
          </w:p>
        </w:tc>
        <w:tc>
          <w:tcPr>
            <w:tcW w:w="11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r>
        <w:trPr>
          <w:trHeight w:val="217"/>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340" w:type="dxa"/>
            <w:vAlign w:val="bottom"/>
            <w:gridSpan w:val="2"/>
            <w:vMerge w:val="continue"/>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400" w:type="dxa"/>
            <w:vAlign w:val="bottom"/>
            <w:gridSpan w:val="2"/>
            <w:vMerge w:val="continue"/>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340" w:type="dxa"/>
            <w:vAlign w:val="bottom"/>
            <w:gridSpan w:val="2"/>
            <w:vMerge w:val="continue"/>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260" w:type="dxa"/>
            <w:vAlign w:val="bottom"/>
            <w:gridSpan w:val="2"/>
            <w:vMerge w:val="continue"/>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bottom w:val="single" w:sz="8" w:color="CCEEFF"/>
            </w:tcBorders>
            <w:vMerge w:val="restart"/>
          </w:tcPr>
          <w:p>
            <w:pPr>
              <w:spacing w:after="0" w:line="195" w:lineRule="exact"/>
              <w:rPr>
                <w:sz w:val="20"/>
                <w:szCs w:val="20"/>
                <w:color w:val="auto"/>
              </w:rPr>
            </w:pPr>
            <w:r>
              <w:rPr>
                <w:rFonts w:ascii="Arial" w:cs="Arial" w:eastAsia="Arial" w:hAnsi="Arial"/>
                <w:sz w:val="18"/>
                <w:szCs w:val="18"/>
                <w:color w:val="auto"/>
                <w:w w:val="89"/>
              </w:rPr>
              <w:t>Weighted-average shares used to compute</w:t>
            </w: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1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net loss per common share, basic and</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00" w:type="dxa"/>
            <w:vAlign w:val="bottom"/>
          </w:tcPr>
          <w:p>
            <w:pPr>
              <w:spacing w:after="0"/>
              <w:rPr>
                <w:sz w:val="20"/>
                <w:szCs w:val="20"/>
                <w:color w:val="auto"/>
              </w:rPr>
            </w:pPr>
            <w:r>
              <w:rPr>
                <w:rFonts w:ascii="Arial" w:cs="Arial" w:eastAsia="Arial" w:hAnsi="Arial"/>
                <w:sz w:val="18"/>
                <w:szCs w:val="18"/>
                <w:color w:val="auto"/>
              </w:rPr>
              <w:t>diluted</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18,747,124</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7"/>
              </w:rPr>
              <w:t>17,137,338</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18,585,339</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17,117,777</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80" w:type="dxa"/>
            <w:vAlign w:val="bottom"/>
            <w:gridSpan w:val="2"/>
            <w:shd w:val="clear" w:color="auto" w:fill="CCEEFF"/>
          </w:tcPr>
          <w:p>
            <w:pPr>
              <w:spacing w:after="0"/>
              <w:rPr>
                <w:sz w:val="18"/>
                <w:szCs w:val="18"/>
                <w:color w:val="auto"/>
              </w:rPr>
            </w:pPr>
          </w:p>
        </w:tc>
        <w:tc>
          <w:tcPr>
            <w:tcW w:w="1280" w:type="dxa"/>
            <w:vAlign w:val="bottom"/>
            <w:gridSpan w:val="2"/>
            <w:shd w:val="clear" w:color="auto" w:fill="CCEEFF"/>
          </w:tcPr>
          <w:p>
            <w:pPr>
              <w:spacing w:after="0"/>
              <w:rPr>
                <w:sz w:val="18"/>
                <w:szCs w:val="18"/>
                <w:color w:val="auto"/>
              </w:rPr>
            </w:pPr>
          </w:p>
        </w:tc>
        <w:tc>
          <w:tcPr>
            <w:tcW w:w="160" w:type="dxa"/>
            <w:vAlign w:val="bottom"/>
            <w:gridSpan w:val="2"/>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7"/>
          </w:tcPr>
          <w:p>
            <w:pPr>
              <w:spacing w:after="0" w:line="216" w:lineRule="exact"/>
              <w:rPr>
                <w:sz w:val="20"/>
                <w:szCs w:val="20"/>
                <w:color w:val="auto"/>
              </w:rPr>
            </w:pPr>
            <w:r>
              <w:rPr>
                <w:rFonts w:ascii="Arial" w:cs="Arial" w:eastAsia="Arial" w:hAnsi="Arial"/>
                <w:sz w:val="25"/>
                <w:szCs w:val="25"/>
                <w:color w:val="auto"/>
                <w:w w:val="96"/>
                <w:vertAlign w:val="superscript"/>
              </w:rPr>
              <w:t>1</w:t>
            </w:r>
            <w:r>
              <w:rPr>
                <w:rFonts w:ascii="Arial" w:cs="Arial" w:eastAsia="Arial" w:hAnsi="Arial"/>
                <w:sz w:val="17"/>
                <w:szCs w:val="17"/>
                <w:color w:val="auto"/>
                <w:w w:val="96"/>
              </w:rPr>
              <w:t>Operating expenses include stock-based compensation as follows:</w:t>
            </w: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Research and development</w:t>
            </w:r>
          </w:p>
        </w:tc>
        <w:tc>
          <w:tcPr>
            <w:tcW w:w="3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67"/>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29"/>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tcPr>
          <w:p>
            <w:pPr>
              <w:ind w:left="120"/>
              <w:spacing w:after="0"/>
              <w:rPr>
                <w:sz w:val="20"/>
                <w:szCs w:val="20"/>
                <w:color w:val="auto"/>
              </w:rPr>
            </w:pPr>
            <w:r>
              <w:rPr>
                <w:rFonts w:ascii="Arial" w:cs="Arial" w:eastAsia="Arial" w:hAnsi="Arial"/>
                <w:sz w:val="18"/>
                <w:szCs w:val="18"/>
                <w:color w:val="auto"/>
              </w:rPr>
              <w:t>General and administrative</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646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1,231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1,065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Sales and marketing</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100" w:type="dxa"/>
            <w:vAlign w:val="bottom"/>
          </w:tcPr>
          <w:p>
            <w:pPr>
              <w:ind w:left="220"/>
              <w:spacing w:after="0"/>
              <w:rPr>
                <w:sz w:val="20"/>
                <w:szCs w:val="20"/>
                <w:color w:val="auto"/>
              </w:rPr>
            </w:pPr>
            <w:r>
              <w:rPr>
                <w:rFonts w:ascii="Arial" w:cs="Arial" w:eastAsia="Arial" w:hAnsi="Arial"/>
                <w:sz w:val="18"/>
                <w:szCs w:val="18"/>
                <w:color w:val="auto"/>
              </w:rPr>
              <w:t>Total stock-based compensation</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798</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1,723</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EVERSPIN TECHNOLOGIES,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Statements of Stockholders’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96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40" w:type="dxa"/>
            <w:vAlign w:val="bottom"/>
            <w:tcBorders>
              <w:bottom w:val="single" w:sz="8" w:color="auto"/>
            </w:tcBorders>
            <w:gridSpan w:val="8"/>
          </w:tcPr>
          <w:p>
            <w:pPr>
              <w:ind w:left="380"/>
              <w:spacing w:after="0"/>
              <w:rPr>
                <w:sz w:val="20"/>
                <w:szCs w:val="20"/>
                <w:color w:val="auto"/>
              </w:rPr>
            </w:pPr>
            <w:r>
              <w:rPr>
                <w:rFonts w:ascii="Arial" w:cs="Arial" w:eastAsia="Arial" w:hAnsi="Arial"/>
                <w:sz w:val="14"/>
                <w:szCs w:val="14"/>
                <w:b w:val="1"/>
                <w:bCs w:val="1"/>
                <w:color w:val="auto"/>
              </w:rPr>
              <w:t>Three and Six Months Ended June 30, 2020</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960" w:type="dxa"/>
            <w:vAlign w:val="bottom"/>
          </w:tcPr>
          <w:p>
            <w:pPr>
              <w:spacing w:after="0"/>
              <w:rPr>
                <w:sz w:val="10"/>
                <w:szCs w:val="10"/>
                <w:color w:val="auto"/>
              </w:rPr>
            </w:pPr>
          </w:p>
        </w:tc>
        <w:tc>
          <w:tcPr>
            <w:tcW w:w="1940" w:type="dxa"/>
            <w:vAlign w:val="bottom"/>
            <w:gridSpan w:val="4"/>
            <w:vMerge w:val="restart"/>
          </w:tcPr>
          <w:p>
            <w:pPr>
              <w:jc w:val="right"/>
              <w:ind w:right="408"/>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jc w:val="center"/>
              <w:ind w:right="48"/>
              <w:spacing w:after="0" w:line="119" w:lineRule="exact"/>
              <w:rPr>
                <w:sz w:val="20"/>
                <w:szCs w:val="20"/>
                <w:color w:val="auto"/>
              </w:rPr>
            </w:pPr>
            <w:r>
              <w:rPr>
                <w:rFonts w:ascii="Arial" w:cs="Arial" w:eastAsia="Arial" w:hAnsi="Arial"/>
                <w:sz w:val="13"/>
                <w:szCs w:val="13"/>
                <w:b w:val="1"/>
                <w:bCs w:val="1"/>
                <w:color w:val="auto"/>
              </w:rPr>
              <w:t>Additional</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jc w:val="center"/>
              <w:ind w:right="48"/>
              <w:spacing w:after="0" w:line="119" w:lineRule="exact"/>
              <w:rPr>
                <w:sz w:val="20"/>
                <w:szCs w:val="20"/>
                <w:color w:val="auto"/>
              </w:rPr>
            </w:pPr>
            <w:r>
              <w:rPr>
                <w:rFonts w:ascii="Arial" w:cs="Arial" w:eastAsia="Arial" w:hAnsi="Arial"/>
                <w:sz w:val="13"/>
                <w:szCs w:val="13"/>
                <w:b w:val="1"/>
                <w:bCs w:val="1"/>
                <w:color w:val="auto"/>
              </w:rPr>
              <w:t>Total</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960" w:type="dxa"/>
            <w:vAlign w:val="bottom"/>
          </w:tcPr>
          <w:p>
            <w:pPr>
              <w:spacing w:after="0"/>
              <w:rPr>
                <w:sz w:val="14"/>
                <w:szCs w:val="14"/>
                <w:color w:val="auto"/>
              </w:rPr>
            </w:pPr>
          </w:p>
        </w:tc>
        <w:tc>
          <w:tcPr>
            <w:tcW w:w="1940" w:type="dxa"/>
            <w:vAlign w:val="bottom"/>
            <w:tcBorders>
              <w:bottom w:val="single" w:sz="8" w:color="auto"/>
            </w:tcBorders>
            <w:gridSpan w:val="4"/>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center"/>
              <w:ind w:right="48"/>
              <w:spacing w:after="0"/>
              <w:rPr>
                <w:sz w:val="20"/>
                <w:szCs w:val="20"/>
                <w:color w:val="auto"/>
              </w:rPr>
            </w:pPr>
            <w:r>
              <w:rPr>
                <w:rFonts w:ascii="Arial" w:cs="Arial" w:eastAsia="Arial" w:hAnsi="Arial"/>
                <w:sz w:val="14"/>
                <w:szCs w:val="14"/>
                <w:b w:val="1"/>
                <w:bCs w:val="1"/>
                <w:color w:val="auto"/>
                <w:w w:val="98"/>
              </w:rPr>
              <w:t>Paid-In</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42"/>
        </w:trPr>
        <w:tc>
          <w:tcPr>
            <w:tcW w:w="2960" w:type="dxa"/>
            <w:vAlign w:val="bottom"/>
          </w:tcPr>
          <w:p>
            <w:pPr>
              <w:spacing w:after="0"/>
              <w:rPr>
                <w:sz w:val="12"/>
                <w:szCs w:val="12"/>
                <w:color w:val="auto"/>
              </w:rPr>
            </w:pPr>
          </w:p>
        </w:tc>
        <w:tc>
          <w:tcPr>
            <w:tcW w:w="1040" w:type="dxa"/>
            <w:vAlign w:val="bottom"/>
          </w:tcPr>
          <w:p>
            <w:pPr>
              <w:jc w:val="right"/>
              <w:ind w:right="248"/>
              <w:spacing w:after="0" w:line="142" w:lineRule="exact"/>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ind w:right="68"/>
              <w:spacing w:after="0" w:line="142" w:lineRule="exact"/>
              <w:rPr>
                <w:sz w:val="20"/>
                <w:szCs w:val="20"/>
                <w:color w:val="auto"/>
              </w:rPr>
            </w:pPr>
            <w:r>
              <w:rPr>
                <w:rFonts w:ascii="Arial" w:cs="Arial" w:eastAsia="Arial" w:hAnsi="Arial"/>
                <w:sz w:val="14"/>
                <w:szCs w:val="14"/>
                <w:b w:val="1"/>
                <w:bCs w:val="1"/>
                <w:color w:val="auto"/>
                <w:w w:val="98"/>
              </w:rPr>
              <w:t>Amount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ind w:right="48"/>
              <w:spacing w:after="0" w:line="142" w:lineRule="exact"/>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98"/>
              </w:rPr>
              <w:t>Deficit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120"/>
              <w:spacing w:after="0" w:line="142"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42"/>
        </w:trPr>
        <w:tc>
          <w:tcPr>
            <w:tcW w:w="296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at December 31, 2019</w:t>
            </w:r>
          </w:p>
        </w:tc>
        <w:tc>
          <w:tcPr>
            <w:tcW w:w="10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18,081,753</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167,149</w:t>
            </w: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18"/>
              <w:spacing w:after="0" w:line="142"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(148,662)</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18,489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960" w:type="dxa"/>
            <w:vAlign w:val="bottom"/>
          </w:tcPr>
          <w:p>
            <w:pPr>
              <w:ind w:left="220"/>
              <w:spacing w:after="0" w:line="130" w:lineRule="exact"/>
              <w:rPr>
                <w:sz w:val="20"/>
                <w:szCs w:val="20"/>
                <w:color w:val="auto"/>
              </w:rPr>
            </w:pPr>
            <w:r>
              <w:rPr>
                <w:rFonts w:ascii="Arial" w:cs="Arial" w:eastAsia="Arial" w:hAnsi="Arial"/>
                <w:sz w:val="14"/>
                <w:szCs w:val="14"/>
                <w:color w:val="auto"/>
              </w:rPr>
              <w:t>Issuance of common stock in at-the-market</w:t>
            </w: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60" w:type="dxa"/>
            <w:vAlign w:val="bottom"/>
          </w:tcPr>
          <w:p>
            <w:pPr>
              <w:ind w:left="220"/>
              <w:spacing w:after="0"/>
              <w:rPr>
                <w:sz w:val="20"/>
                <w:szCs w:val="20"/>
                <w:color w:val="auto"/>
              </w:rPr>
            </w:pPr>
            <w:r>
              <w:rPr>
                <w:rFonts w:ascii="Arial" w:cs="Arial" w:eastAsia="Arial" w:hAnsi="Arial"/>
                <w:sz w:val="14"/>
                <w:szCs w:val="14"/>
                <w:color w:val="auto"/>
              </w:rPr>
              <w:t>offering, net of issuance costs (Note 7)</w:t>
            </w:r>
          </w:p>
        </w:tc>
        <w:tc>
          <w:tcPr>
            <w:tcW w:w="1040" w:type="dxa"/>
            <w:vAlign w:val="bottom"/>
          </w:tcPr>
          <w:p>
            <w:pPr>
              <w:jc w:val="right"/>
              <w:spacing w:after="0"/>
              <w:rPr>
                <w:sz w:val="20"/>
                <w:szCs w:val="20"/>
                <w:color w:val="auto"/>
              </w:rPr>
            </w:pPr>
            <w:r>
              <w:rPr>
                <w:rFonts w:ascii="Arial" w:cs="Arial" w:eastAsia="Arial" w:hAnsi="Arial"/>
                <w:sz w:val="14"/>
                <w:szCs w:val="14"/>
                <w:color w:val="auto"/>
              </w:rPr>
              <w:t>468,427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2,084</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2,084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960" w:type="dxa"/>
            <w:vAlign w:val="bottom"/>
            <w:shd w:val="clear" w:color="auto" w:fill="CCEEFF"/>
          </w:tcPr>
          <w:p>
            <w:pPr>
              <w:ind w:left="220"/>
              <w:spacing w:after="0" w:line="130" w:lineRule="exact"/>
              <w:rPr>
                <w:sz w:val="20"/>
                <w:szCs w:val="20"/>
                <w:color w:val="auto"/>
              </w:rPr>
            </w:pPr>
            <w:r>
              <w:rPr>
                <w:rFonts w:ascii="Arial" w:cs="Arial" w:eastAsia="Arial" w:hAnsi="Arial"/>
                <w:sz w:val="14"/>
                <w:szCs w:val="14"/>
                <w:color w:val="auto"/>
              </w:rPr>
              <w:t>Issuance of common stock under stock</w:t>
            </w: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incentive plans</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88,375</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315</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960" w:type="dxa"/>
            <w:vAlign w:val="bottom"/>
          </w:tcPr>
          <w:p>
            <w:pPr>
              <w:ind w:left="220"/>
              <w:spacing w:after="0" w:line="149" w:lineRule="exact"/>
              <w:rPr>
                <w:sz w:val="20"/>
                <w:szCs w:val="20"/>
                <w:color w:val="auto"/>
              </w:rPr>
            </w:pPr>
            <w:r>
              <w:rPr>
                <w:rFonts w:ascii="Arial" w:cs="Arial" w:eastAsia="Arial" w:hAnsi="Arial"/>
                <w:sz w:val="14"/>
                <w:szCs w:val="14"/>
                <w:color w:val="auto"/>
              </w:rPr>
              <w:t>Stock-based compensation expense</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805</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805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Net loss</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(1,732)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(1,732)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60" w:type="dxa"/>
            <w:vAlign w:val="bottom"/>
          </w:tcPr>
          <w:p>
            <w:pPr>
              <w:spacing w:after="0" w:line="142" w:lineRule="exact"/>
              <w:rPr>
                <w:sz w:val="20"/>
                <w:szCs w:val="20"/>
                <w:color w:val="auto"/>
              </w:rPr>
            </w:pPr>
            <w:r>
              <w:rPr>
                <w:rFonts w:ascii="Arial" w:cs="Arial" w:eastAsia="Arial" w:hAnsi="Arial"/>
                <w:sz w:val="14"/>
                <w:szCs w:val="14"/>
                <w:color w:val="auto"/>
              </w:rPr>
              <w:t>Balance at March 31, 2020</w:t>
            </w:r>
          </w:p>
        </w:tc>
        <w:tc>
          <w:tcPr>
            <w:tcW w:w="10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18,638,555</w:t>
            </w:r>
          </w:p>
        </w:tc>
        <w:tc>
          <w:tcPr>
            <w:tcW w:w="120" w:type="dxa"/>
            <w:vAlign w:val="bottom"/>
          </w:tcPr>
          <w:p>
            <w:pPr>
              <w:spacing w:after="0"/>
              <w:rPr>
                <w:sz w:val="12"/>
                <w:szCs w:val="12"/>
                <w:color w:val="auto"/>
              </w:rPr>
            </w:pPr>
          </w:p>
        </w:tc>
        <w:tc>
          <w:tcPr>
            <w:tcW w:w="1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w:t>
            </w:r>
          </w:p>
        </w:tc>
        <w:tc>
          <w:tcPr>
            <w:tcW w:w="140" w:type="dxa"/>
            <w:vAlign w:val="bottom"/>
          </w:tcPr>
          <w:p>
            <w:pPr>
              <w:spacing w:after="0"/>
              <w:rPr>
                <w:sz w:val="12"/>
                <w:szCs w:val="12"/>
                <w:color w:val="auto"/>
              </w:rPr>
            </w:pPr>
          </w:p>
        </w:tc>
        <w:tc>
          <w:tcPr>
            <w:tcW w:w="1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170,353</w:t>
            </w:r>
          </w:p>
        </w:tc>
        <w:tc>
          <w:tcPr>
            <w:tcW w:w="140" w:type="dxa"/>
            <w:vAlign w:val="bottom"/>
          </w:tcPr>
          <w:p>
            <w:pPr>
              <w:spacing w:after="0"/>
              <w:rPr>
                <w:sz w:val="12"/>
                <w:szCs w:val="12"/>
                <w:color w:val="auto"/>
              </w:rPr>
            </w:pPr>
          </w:p>
        </w:tc>
        <w:tc>
          <w:tcPr>
            <w:tcW w:w="160" w:type="dxa"/>
            <w:vAlign w:val="bottom"/>
            <w:tcBorders>
              <w:top w:val="single" w:sz="8" w:color="auto"/>
            </w:tcBorders>
          </w:tcPr>
          <w:p>
            <w:pPr>
              <w:jc w:val="right"/>
              <w:ind w:right="18"/>
              <w:spacing w:after="0" w:line="142"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(150,394)</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19,961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960" w:type="dxa"/>
            <w:vAlign w:val="bottom"/>
            <w:shd w:val="clear" w:color="auto" w:fill="CCEEFF"/>
          </w:tcPr>
          <w:p>
            <w:pPr>
              <w:ind w:left="220"/>
              <w:spacing w:after="0" w:line="130" w:lineRule="exact"/>
              <w:rPr>
                <w:sz w:val="20"/>
                <w:szCs w:val="20"/>
                <w:color w:val="auto"/>
              </w:rPr>
            </w:pPr>
            <w:r>
              <w:rPr>
                <w:rFonts w:ascii="Arial" w:cs="Arial" w:eastAsia="Arial" w:hAnsi="Arial"/>
                <w:sz w:val="14"/>
                <w:szCs w:val="14"/>
                <w:color w:val="auto"/>
              </w:rPr>
              <w:t>Issuance of common stock under stock</w:t>
            </w: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incentive plans</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231,220</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827</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960" w:type="dxa"/>
            <w:vAlign w:val="bottom"/>
          </w:tcPr>
          <w:p>
            <w:pPr>
              <w:ind w:left="220"/>
              <w:spacing w:after="0" w:line="149" w:lineRule="exact"/>
              <w:rPr>
                <w:sz w:val="20"/>
                <w:szCs w:val="20"/>
                <w:color w:val="auto"/>
              </w:rPr>
            </w:pPr>
            <w:r>
              <w:rPr>
                <w:rFonts w:ascii="Arial" w:cs="Arial" w:eastAsia="Arial" w:hAnsi="Arial"/>
                <w:sz w:val="14"/>
                <w:szCs w:val="14"/>
                <w:color w:val="auto"/>
              </w:rPr>
              <w:t>Stock-based compensation expense</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918</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918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Net loss</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(1,294)</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(1,294)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60" w:type="dxa"/>
            <w:vAlign w:val="bottom"/>
          </w:tcPr>
          <w:p>
            <w:pPr>
              <w:spacing w:after="0" w:line="142" w:lineRule="exact"/>
              <w:rPr>
                <w:sz w:val="20"/>
                <w:szCs w:val="20"/>
                <w:color w:val="auto"/>
              </w:rPr>
            </w:pPr>
            <w:r>
              <w:rPr>
                <w:rFonts w:ascii="Arial" w:cs="Arial" w:eastAsia="Arial" w:hAnsi="Arial"/>
                <w:sz w:val="14"/>
                <w:szCs w:val="14"/>
                <w:color w:val="auto"/>
              </w:rPr>
              <w:t>Balance at June 30, 2020</w:t>
            </w:r>
          </w:p>
        </w:tc>
        <w:tc>
          <w:tcPr>
            <w:tcW w:w="10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18,869,775</w:t>
            </w:r>
          </w:p>
        </w:tc>
        <w:tc>
          <w:tcPr>
            <w:tcW w:w="12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w:t>
            </w:r>
          </w:p>
        </w:tc>
        <w:tc>
          <w:tcPr>
            <w:tcW w:w="14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172,098</w:t>
            </w:r>
          </w:p>
        </w:tc>
        <w:tc>
          <w:tcPr>
            <w:tcW w:w="14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18"/>
              <w:spacing w:after="0" w:line="142"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(151,688)</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20,412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96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gridSpan w:val="8"/>
          </w:tcPr>
          <w:p>
            <w:pPr>
              <w:ind w:left="380"/>
              <w:spacing w:after="0"/>
              <w:rPr>
                <w:sz w:val="20"/>
                <w:szCs w:val="20"/>
                <w:color w:val="auto"/>
              </w:rPr>
            </w:pPr>
            <w:r>
              <w:rPr>
                <w:rFonts w:ascii="Arial" w:cs="Arial" w:eastAsia="Arial" w:hAnsi="Arial"/>
                <w:sz w:val="14"/>
                <w:szCs w:val="14"/>
                <w:b w:val="1"/>
                <w:bCs w:val="1"/>
                <w:color w:val="auto"/>
              </w:rPr>
              <w:t>Three and Six Months Ended June 30, 2019</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960" w:type="dxa"/>
            <w:vAlign w:val="bottom"/>
          </w:tcPr>
          <w:p>
            <w:pPr>
              <w:spacing w:after="0"/>
              <w:rPr>
                <w:sz w:val="10"/>
                <w:szCs w:val="10"/>
                <w:color w:val="auto"/>
              </w:rPr>
            </w:pPr>
          </w:p>
        </w:tc>
        <w:tc>
          <w:tcPr>
            <w:tcW w:w="1940" w:type="dxa"/>
            <w:vAlign w:val="bottom"/>
            <w:gridSpan w:val="4"/>
            <w:vMerge w:val="restart"/>
          </w:tcPr>
          <w:p>
            <w:pPr>
              <w:jc w:val="right"/>
              <w:ind w:right="428"/>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jc w:val="center"/>
              <w:ind w:right="68"/>
              <w:spacing w:after="0" w:line="119" w:lineRule="exact"/>
              <w:rPr>
                <w:sz w:val="20"/>
                <w:szCs w:val="20"/>
                <w:color w:val="auto"/>
              </w:rPr>
            </w:pPr>
            <w:r>
              <w:rPr>
                <w:rFonts w:ascii="Arial" w:cs="Arial" w:eastAsia="Arial" w:hAnsi="Arial"/>
                <w:sz w:val="13"/>
                <w:szCs w:val="13"/>
                <w:b w:val="1"/>
                <w:bCs w:val="1"/>
                <w:color w:val="auto"/>
              </w:rPr>
              <w:t>Additional</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jc w:val="center"/>
              <w:ind w:right="48"/>
              <w:spacing w:after="0" w:line="119" w:lineRule="exact"/>
              <w:rPr>
                <w:sz w:val="20"/>
                <w:szCs w:val="20"/>
                <w:color w:val="auto"/>
              </w:rPr>
            </w:pPr>
            <w:r>
              <w:rPr>
                <w:rFonts w:ascii="Arial" w:cs="Arial" w:eastAsia="Arial" w:hAnsi="Arial"/>
                <w:sz w:val="13"/>
                <w:szCs w:val="13"/>
                <w:b w:val="1"/>
                <w:bCs w:val="1"/>
                <w:color w:val="auto"/>
              </w:rPr>
              <w:t>Total</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960" w:type="dxa"/>
            <w:vAlign w:val="bottom"/>
          </w:tcPr>
          <w:p>
            <w:pPr>
              <w:spacing w:after="0"/>
              <w:rPr>
                <w:sz w:val="14"/>
                <w:szCs w:val="14"/>
                <w:color w:val="auto"/>
              </w:rPr>
            </w:pPr>
          </w:p>
        </w:tc>
        <w:tc>
          <w:tcPr>
            <w:tcW w:w="1940" w:type="dxa"/>
            <w:vAlign w:val="bottom"/>
            <w:tcBorders>
              <w:bottom w:val="single" w:sz="8" w:color="auto"/>
            </w:tcBorders>
            <w:gridSpan w:val="4"/>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center"/>
              <w:ind w:right="68"/>
              <w:spacing w:after="0"/>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42"/>
        </w:trPr>
        <w:tc>
          <w:tcPr>
            <w:tcW w:w="2960" w:type="dxa"/>
            <w:vAlign w:val="bottom"/>
          </w:tcPr>
          <w:p>
            <w:pPr>
              <w:spacing w:after="0"/>
              <w:rPr>
                <w:sz w:val="12"/>
                <w:szCs w:val="12"/>
                <w:color w:val="auto"/>
              </w:rPr>
            </w:pPr>
          </w:p>
        </w:tc>
        <w:tc>
          <w:tcPr>
            <w:tcW w:w="1040" w:type="dxa"/>
            <w:vAlign w:val="bottom"/>
          </w:tcPr>
          <w:p>
            <w:pPr>
              <w:jc w:val="right"/>
              <w:ind w:right="248"/>
              <w:spacing w:after="0" w:line="142" w:lineRule="exact"/>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ind w:right="68"/>
              <w:spacing w:after="0" w:line="142" w:lineRule="exact"/>
              <w:rPr>
                <w:sz w:val="20"/>
                <w:szCs w:val="20"/>
                <w:color w:val="auto"/>
              </w:rPr>
            </w:pPr>
            <w:r>
              <w:rPr>
                <w:rFonts w:ascii="Arial" w:cs="Arial" w:eastAsia="Arial" w:hAnsi="Arial"/>
                <w:sz w:val="14"/>
                <w:szCs w:val="14"/>
                <w:b w:val="1"/>
                <w:bCs w:val="1"/>
                <w:color w:val="auto"/>
                <w:w w:val="98"/>
              </w:rPr>
              <w:t>Amount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ind w:right="68"/>
              <w:spacing w:after="0" w:line="142" w:lineRule="exact"/>
              <w:rPr>
                <w:sz w:val="20"/>
                <w:szCs w:val="20"/>
                <w:color w:val="auto"/>
              </w:rPr>
            </w:pPr>
            <w:r>
              <w:rPr>
                <w:rFonts w:ascii="Arial" w:cs="Arial" w:eastAsia="Arial" w:hAnsi="Arial"/>
                <w:sz w:val="14"/>
                <w:szCs w:val="14"/>
                <w:b w:val="1"/>
                <w:bCs w:val="1"/>
                <w:color w:val="auto"/>
                <w:w w:val="94"/>
              </w:rPr>
              <w:t>Capital</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w w:val="93"/>
              </w:rPr>
              <w:t>Deficit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140"/>
              <w:spacing w:after="0" w:line="142" w:lineRule="exact"/>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42"/>
        </w:trPr>
        <w:tc>
          <w:tcPr>
            <w:tcW w:w="296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at December 31, 2018</w:t>
            </w:r>
          </w:p>
        </w:tc>
        <w:tc>
          <w:tcPr>
            <w:tcW w:w="10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17,095,456</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158,912</w:t>
            </w: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38"/>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(133,993)</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24,921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960" w:type="dxa"/>
            <w:vAlign w:val="bottom"/>
          </w:tcPr>
          <w:p>
            <w:pPr>
              <w:ind w:left="220"/>
              <w:spacing w:after="0" w:line="130" w:lineRule="exact"/>
              <w:rPr>
                <w:sz w:val="20"/>
                <w:szCs w:val="20"/>
                <w:color w:val="auto"/>
              </w:rPr>
            </w:pPr>
            <w:r>
              <w:rPr>
                <w:rFonts w:ascii="Arial" w:cs="Arial" w:eastAsia="Arial" w:hAnsi="Arial"/>
                <w:sz w:val="14"/>
                <w:szCs w:val="14"/>
                <w:color w:val="auto"/>
              </w:rPr>
              <w:t>Issuance of common stock under stock</w:t>
            </w: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60" w:type="dxa"/>
            <w:vAlign w:val="bottom"/>
          </w:tcPr>
          <w:p>
            <w:pPr>
              <w:ind w:left="220"/>
              <w:spacing w:after="0"/>
              <w:rPr>
                <w:sz w:val="20"/>
                <w:szCs w:val="20"/>
                <w:color w:val="auto"/>
              </w:rPr>
            </w:pPr>
            <w:r>
              <w:rPr>
                <w:rFonts w:ascii="Arial" w:cs="Arial" w:eastAsia="Arial" w:hAnsi="Arial"/>
                <w:sz w:val="14"/>
                <w:szCs w:val="14"/>
                <w:color w:val="auto"/>
              </w:rPr>
              <w:t>incentive plans</w:t>
            </w:r>
          </w:p>
        </w:tc>
        <w:tc>
          <w:tcPr>
            <w:tcW w:w="1040" w:type="dxa"/>
            <w:vAlign w:val="bottom"/>
          </w:tcPr>
          <w:p>
            <w:pPr>
              <w:jc w:val="right"/>
              <w:spacing w:after="0"/>
              <w:rPr>
                <w:sz w:val="20"/>
                <w:szCs w:val="20"/>
                <w:color w:val="auto"/>
              </w:rPr>
            </w:pPr>
            <w:r>
              <w:rPr>
                <w:rFonts w:ascii="Arial" w:cs="Arial" w:eastAsia="Arial" w:hAnsi="Arial"/>
                <w:sz w:val="14"/>
                <w:szCs w:val="14"/>
                <w:color w:val="auto"/>
              </w:rPr>
              <w:t>12,607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13</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9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Stock-based compensation expense</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704</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60" w:type="dxa"/>
            <w:vAlign w:val="bottom"/>
            <w:tcBorders>
              <w:bottom w:val="single" w:sz="8" w:color="CCEEFF"/>
            </w:tcBorders>
          </w:tcPr>
          <w:p>
            <w:pPr>
              <w:ind w:left="220"/>
              <w:spacing w:after="0" w:line="149" w:lineRule="exact"/>
              <w:rPr>
                <w:sz w:val="20"/>
                <w:szCs w:val="20"/>
                <w:color w:val="auto"/>
              </w:rPr>
            </w:pPr>
            <w:r>
              <w:rPr>
                <w:rFonts w:ascii="Arial" w:cs="Arial" w:eastAsia="Arial" w:hAnsi="Arial"/>
                <w:sz w:val="14"/>
                <w:szCs w:val="14"/>
                <w:color w:val="auto"/>
              </w:rPr>
              <w:t>Net loss</w:t>
            </w:r>
          </w:p>
        </w:tc>
        <w:tc>
          <w:tcPr>
            <w:tcW w:w="10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(4,256)</w:t>
            </w: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(4,256)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Balance at March 31, 2019</w:t>
            </w:r>
          </w:p>
        </w:tc>
        <w:tc>
          <w:tcPr>
            <w:tcW w:w="10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17,108,063</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159,629</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38"/>
              <w:spacing w:after="0"/>
              <w:rPr>
                <w:sz w:val="20"/>
                <w:szCs w:val="20"/>
                <w:color w:val="auto"/>
              </w:rPr>
            </w:pPr>
            <w:r>
              <w:rPr>
                <w:rFonts w:ascii="Arial" w:cs="Arial" w:eastAsia="Arial" w:hAnsi="Arial"/>
                <w:sz w:val="10"/>
                <w:szCs w:val="10"/>
                <w:color w:val="auto"/>
                <w:w w:val="71"/>
              </w:rPr>
              <w:t>$</w:t>
            </w:r>
          </w:p>
        </w:tc>
        <w:tc>
          <w:tcPr>
            <w:tcW w:w="11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(138,249)</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21,382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960" w:type="dxa"/>
            <w:vAlign w:val="bottom"/>
          </w:tcPr>
          <w:p>
            <w:pPr>
              <w:ind w:left="220"/>
              <w:spacing w:after="0" w:line="130" w:lineRule="exact"/>
              <w:rPr>
                <w:sz w:val="20"/>
                <w:szCs w:val="20"/>
                <w:color w:val="auto"/>
              </w:rPr>
            </w:pPr>
            <w:r>
              <w:rPr>
                <w:rFonts w:ascii="Arial" w:cs="Arial" w:eastAsia="Arial" w:hAnsi="Arial"/>
                <w:sz w:val="14"/>
                <w:szCs w:val="14"/>
                <w:color w:val="auto"/>
              </w:rPr>
              <w:t>Issuance of common stock under stock</w:t>
            </w: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60" w:type="dxa"/>
            <w:vAlign w:val="bottom"/>
          </w:tcPr>
          <w:p>
            <w:pPr>
              <w:ind w:left="220"/>
              <w:spacing w:after="0"/>
              <w:rPr>
                <w:sz w:val="20"/>
                <w:szCs w:val="20"/>
                <w:color w:val="auto"/>
              </w:rPr>
            </w:pPr>
            <w:r>
              <w:rPr>
                <w:rFonts w:ascii="Arial" w:cs="Arial" w:eastAsia="Arial" w:hAnsi="Arial"/>
                <w:sz w:val="14"/>
                <w:szCs w:val="14"/>
                <w:color w:val="auto"/>
              </w:rPr>
              <w:t>incentive plans</w:t>
            </w:r>
          </w:p>
        </w:tc>
        <w:tc>
          <w:tcPr>
            <w:tcW w:w="1040" w:type="dxa"/>
            <w:vAlign w:val="bottom"/>
          </w:tcPr>
          <w:p>
            <w:pPr>
              <w:jc w:val="right"/>
              <w:spacing w:after="0"/>
              <w:rPr>
                <w:sz w:val="20"/>
                <w:szCs w:val="20"/>
                <w:color w:val="auto"/>
              </w:rPr>
            </w:pPr>
            <w:r>
              <w:rPr>
                <w:rFonts w:ascii="Arial" w:cs="Arial" w:eastAsia="Arial" w:hAnsi="Arial"/>
                <w:sz w:val="14"/>
                <w:szCs w:val="14"/>
                <w:color w:val="auto"/>
              </w:rPr>
              <w:t>43,227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137</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137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9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Stock-based compensation expense</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798</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60" w:type="dxa"/>
            <w:vAlign w:val="bottom"/>
            <w:tcBorders>
              <w:bottom w:val="single" w:sz="8" w:color="CCEEFF"/>
            </w:tcBorders>
          </w:tcPr>
          <w:p>
            <w:pPr>
              <w:ind w:left="220"/>
              <w:spacing w:after="0" w:line="149" w:lineRule="exact"/>
              <w:rPr>
                <w:sz w:val="20"/>
                <w:szCs w:val="20"/>
                <w:color w:val="auto"/>
              </w:rPr>
            </w:pPr>
            <w:r>
              <w:rPr>
                <w:rFonts w:ascii="Arial" w:cs="Arial" w:eastAsia="Arial" w:hAnsi="Arial"/>
                <w:sz w:val="14"/>
                <w:szCs w:val="14"/>
                <w:color w:val="auto"/>
              </w:rPr>
              <w:t>Net loss</w:t>
            </w:r>
          </w:p>
        </w:tc>
        <w:tc>
          <w:tcPr>
            <w:tcW w:w="10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(3,670)</w:t>
            </w: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(3,670)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6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at June 30, 2019</w:t>
            </w:r>
          </w:p>
        </w:tc>
        <w:tc>
          <w:tcPr>
            <w:tcW w:w="10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17,151,290</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w:t>
            </w:r>
          </w:p>
        </w:tc>
        <w:tc>
          <w:tcPr>
            <w:tcW w:w="1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160,564</w:t>
            </w:r>
          </w:p>
        </w:tc>
        <w:tc>
          <w:tcPr>
            <w:tcW w:w="14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0"/>
                <w:szCs w:val="10"/>
                <w:color w:val="auto"/>
                <w:w w:val="71"/>
              </w:rPr>
              <w:t>$</w:t>
            </w:r>
          </w:p>
        </w:tc>
        <w:tc>
          <w:tcPr>
            <w:tcW w:w="11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(141,919)</w:t>
            </w:r>
          </w:p>
        </w:tc>
        <w:tc>
          <w:tcPr>
            <w:tcW w:w="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18,647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EVERSPIN TECHNOLOGIES,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Statement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660" w:type="dxa"/>
            <w:vAlign w:val="bottom"/>
          </w:tcPr>
          <w:p>
            <w:pPr>
              <w:spacing w:after="0"/>
              <w:rPr>
                <w:sz w:val="14"/>
                <w:szCs w:val="14"/>
                <w:color w:val="auto"/>
              </w:rPr>
            </w:pPr>
          </w:p>
        </w:tc>
        <w:tc>
          <w:tcPr>
            <w:tcW w:w="2500" w:type="dxa"/>
            <w:vAlign w:val="bottom"/>
            <w:tcBorders>
              <w:bottom w:val="single" w:sz="8" w:color="auto"/>
            </w:tcBorders>
            <w:gridSpan w:val="4"/>
          </w:tcPr>
          <w:p>
            <w:pPr>
              <w:jc w:val="right"/>
              <w:ind w:right="109"/>
              <w:spacing w:after="0"/>
              <w:rPr>
                <w:sz w:val="20"/>
                <w:szCs w:val="20"/>
                <w:color w:val="auto"/>
              </w:rPr>
            </w:pPr>
            <w:r>
              <w:rPr>
                <w:rFonts w:ascii="Arial" w:cs="Arial" w:eastAsia="Arial" w:hAnsi="Arial"/>
                <w:sz w:val="14"/>
                <w:szCs w:val="14"/>
                <w:b w:val="1"/>
                <w:bCs w:val="1"/>
                <w:color w:val="auto"/>
              </w:rPr>
              <w:t>Six Months Ended June 30,</w:t>
            </w:r>
          </w:p>
        </w:tc>
        <w:tc>
          <w:tcPr>
            <w:tcW w:w="5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66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5660" w:type="dxa"/>
            <w:vAlign w:val="bottom"/>
            <w:shd w:val="clear" w:color="auto" w:fill="CCEEFF"/>
          </w:tcPr>
          <w:p>
            <w:pPr>
              <w:spacing w:after="0" w:line="156" w:lineRule="exact"/>
              <w:rPr>
                <w:sz w:val="20"/>
                <w:szCs w:val="20"/>
                <w:color w:val="auto"/>
              </w:rPr>
            </w:pPr>
            <w:r>
              <w:rPr>
                <w:rFonts w:ascii="Arial" w:cs="Arial" w:eastAsia="Arial" w:hAnsi="Arial"/>
                <w:sz w:val="15"/>
                <w:szCs w:val="15"/>
                <w:b w:val="1"/>
                <w:bCs w:val="1"/>
                <w:color w:val="auto"/>
              </w:rPr>
              <w:t>Cash flows from operating activities</w:t>
            </w:r>
          </w:p>
        </w:tc>
        <w:tc>
          <w:tcPr>
            <w:tcW w:w="8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660" w:type="dxa"/>
            <w:vAlign w:val="bottom"/>
          </w:tcPr>
          <w:p>
            <w:pPr>
              <w:spacing w:after="0" w:line="162" w:lineRule="exact"/>
              <w:rPr>
                <w:sz w:val="20"/>
                <w:szCs w:val="20"/>
                <w:color w:val="auto"/>
              </w:rPr>
            </w:pPr>
            <w:r>
              <w:rPr>
                <w:rFonts w:ascii="Arial" w:cs="Arial" w:eastAsia="Arial" w:hAnsi="Arial"/>
                <w:sz w:val="15"/>
                <w:szCs w:val="15"/>
                <w:color w:val="auto"/>
              </w:rPr>
              <w:t>Net loss</w:t>
            </w:r>
          </w:p>
        </w:tc>
        <w:tc>
          <w:tcPr>
            <w:tcW w:w="880" w:type="dxa"/>
            <w:vAlign w:val="bottom"/>
          </w:tcPr>
          <w:p>
            <w:pPr>
              <w:jc w:val="right"/>
              <w:ind w:right="767"/>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(3,026)</w:t>
            </w:r>
          </w:p>
        </w:tc>
        <w:tc>
          <w:tcPr>
            <w:tcW w:w="880" w:type="dxa"/>
            <w:vAlign w:val="bottom"/>
          </w:tcPr>
          <w:p>
            <w:pPr>
              <w:jc w:val="right"/>
              <w:ind w:right="769"/>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240"/>
              <w:spacing w:after="0" w:line="162" w:lineRule="exact"/>
              <w:rPr>
                <w:sz w:val="20"/>
                <w:szCs w:val="20"/>
                <w:color w:val="auto"/>
              </w:rPr>
            </w:pPr>
            <w:r>
              <w:rPr>
                <w:rFonts w:ascii="Arial" w:cs="Arial" w:eastAsia="Arial" w:hAnsi="Arial"/>
                <w:sz w:val="15"/>
                <w:szCs w:val="15"/>
                <w:color w:val="auto"/>
              </w:rPr>
              <w:t>(7,926)</w:t>
            </w:r>
          </w:p>
        </w:tc>
        <w:tc>
          <w:tcPr>
            <w:tcW w:w="0" w:type="dxa"/>
            <w:vAlign w:val="bottom"/>
          </w:tcPr>
          <w:p>
            <w:pPr>
              <w:spacing w:after="0"/>
              <w:rPr>
                <w:sz w:val="1"/>
                <w:szCs w:val="1"/>
                <w:color w:val="auto"/>
              </w:rPr>
            </w:pPr>
          </w:p>
        </w:tc>
      </w:tr>
      <w:tr>
        <w:trPr>
          <w:trHeight w:val="162"/>
        </w:trPr>
        <w:tc>
          <w:tcPr>
            <w:tcW w:w="566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Adjustments to reconcile net loss to net cash used in operating activities:</w:t>
            </w:r>
          </w:p>
        </w:tc>
        <w:tc>
          <w:tcPr>
            <w:tcW w:w="8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660" w:type="dxa"/>
            <w:vAlign w:val="bottom"/>
          </w:tcPr>
          <w:p>
            <w:pPr>
              <w:ind w:left="120"/>
              <w:spacing w:after="0" w:line="162" w:lineRule="exact"/>
              <w:rPr>
                <w:sz w:val="20"/>
                <w:szCs w:val="20"/>
                <w:color w:val="auto"/>
              </w:rPr>
            </w:pPr>
            <w:r>
              <w:rPr>
                <w:rFonts w:ascii="Arial" w:cs="Arial" w:eastAsia="Arial" w:hAnsi="Arial"/>
                <w:sz w:val="15"/>
                <w:szCs w:val="15"/>
                <w:color w:val="auto"/>
              </w:rPr>
              <w:t>Depreciation and amortization</w:t>
            </w:r>
          </w:p>
        </w:tc>
        <w:tc>
          <w:tcPr>
            <w:tcW w:w="880" w:type="dxa"/>
            <w:vAlign w:val="bottom"/>
          </w:tcPr>
          <w:p>
            <w:pPr>
              <w:spacing w:after="0"/>
              <w:rPr>
                <w:sz w:val="14"/>
                <w:szCs w:val="14"/>
                <w:color w:val="auto"/>
              </w:rPr>
            </w:pPr>
          </w:p>
        </w:tc>
        <w:tc>
          <w:tcPr>
            <w:tcW w:w="520" w:type="dxa"/>
            <w:vAlign w:val="bottom"/>
          </w:tcPr>
          <w:p>
            <w:pPr>
              <w:jc w:val="right"/>
              <w:spacing w:after="0" w:line="162" w:lineRule="exact"/>
              <w:rPr>
                <w:sz w:val="20"/>
                <w:szCs w:val="20"/>
                <w:color w:val="auto"/>
              </w:rPr>
            </w:pPr>
            <w:r>
              <w:rPr>
                <w:rFonts w:ascii="Arial" w:cs="Arial" w:eastAsia="Arial" w:hAnsi="Arial"/>
                <w:sz w:val="15"/>
                <w:szCs w:val="15"/>
                <w:color w:val="auto"/>
              </w:rPr>
              <w:t>813</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jc w:val="right"/>
              <w:spacing w:after="0" w:line="162" w:lineRule="exact"/>
              <w:rPr>
                <w:sz w:val="20"/>
                <w:szCs w:val="20"/>
                <w:color w:val="auto"/>
              </w:rPr>
            </w:pPr>
            <w:r>
              <w:rPr>
                <w:rFonts w:ascii="Arial" w:cs="Arial" w:eastAsia="Arial" w:hAnsi="Arial"/>
                <w:sz w:val="15"/>
                <w:szCs w:val="15"/>
                <w:color w:val="auto"/>
              </w:rPr>
              <w:t>876</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66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Loss on disposal of property and equipment</w:t>
            </w:r>
          </w:p>
        </w:tc>
        <w:tc>
          <w:tcPr>
            <w:tcW w:w="8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80"/>
              <w:spacing w:after="0" w:line="162" w:lineRule="exact"/>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20</w:t>
            </w:r>
          </w:p>
        </w:tc>
        <w:tc>
          <w:tcPr>
            <w:tcW w:w="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660" w:type="dxa"/>
            <w:vAlign w:val="bottom"/>
          </w:tcPr>
          <w:p>
            <w:pPr>
              <w:ind w:left="120"/>
              <w:spacing w:after="0" w:line="162" w:lineRule="exact"/>
              <w:rPr>
                <w:sz w:val="20"/>
                <w:szCs w:val="20"/>
                <w:color w:val="auto"/>
              </w:rPr>
            </w:pPr>
            <w:r>
              <w:rPr>
                <w:rFonts w:ascii="Arial" w:cs="Arial" w:eastAsia="Arial" w:hAnsi="Arial"/>
                <w:sz w:val="15"/>
                <w:szCs w:val="15"/>
                <w:color w:val="auto"/>
              </w:rPr>
              <w:t>Stock-based compensation</w:t>
            </w:r>
          </w:p>
        </w:tc>
        <w:tc>
          <w:tcPr>
            <w:tcW w:w="880" w:type="dxa"/>
            <w:vAlign w:val="bottom"/>
          </w:tcPr>
          <w:p>
            <w:pPr>
              <w:spacing w:after="0"/>
              <w:rPr>
                <w:sz w:val="14"/>
                <w:szCs w:val="14"/>
                <w:color w:val="auto"/>
              </w:rPr>
            </w:pPr>
          </w:p>
        </w:tc>
        <w:tc>
          <w:tcPr>
            <w:tcW w:w="520" w:type="dxa"/>
            <w:vAlign w:val="bottom"/>
          </w:tcPr>
          <w:p>
            <w:pPr>
              <w:jc w:val="right"/>
              <w:spacing w:after="0" w:line="162" w:lineRule="exact"/>
              <w:rPr>
                <w:sz w:val="20"/>
                <w:szCs w:val="20"/>
                <w:color w:val="auto"/>
              </w:rPr>
            </w:pPr>
            <w:r>
              <w:rPr>
                <w:rFonts w:ascii="Arial" w:cs="Arial" w:eastAsia="Arial" w:hAnsi="Arial"/>
                <w:sz w:val="15"/>
                <w:szCs w:val="15"/>
                <w:color w:val="auto"/>
              </w:rPr>
              <w:t>1,723</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jc w:val="right"/>
              <w:spacing w:after="0" w:line="162" w:lineRule="exact"/>
              <w:rPr>
                <w:sz w:val="20"/>
                <w:szCs w:val="20"/>
                <w:color w:val="auto"/>
              </w:rPr>
            </w:pPr>
            <w:r>
              <w:rPr>
                <w:rFonts w:ascii="Arial" w:cs="Arial" w:eastAsia="Arial" w:hAnsi="Arial"/>
                <w:sz w:val="15"/>
                <w:szCs w:val="15"/>
                <w:color w:val="auto"/>
              </w:rPr>
              <w:t>1,502</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66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Non-cash gain on warrant revaluation</w:t>
            </w:r>
          </w:p>
        </w:tc>
        <w:tc>
          <w:tcPr>
            <w:tcW w:w="8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7</w:t>
            </w: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8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5660" w:type="dxa"/>
            <w:vAlign w:val="bottom"/>
          </w:tcPr>
          <w:p>
            <w:pPr>
              <w:ind w:left="120"/>
              <w:spacing w:after="0" w:line="162" w:lineRule="exact"/>
              <w:rPr>
                <w:sz w:val="20"/>
                <w:szCs w:val="20"/>
                <w:color w:val="auto"/>
              </w:rPr>
            </w:pPr>
            <w:r>
              <w:rPr>
                <w:rFonts w:ascii="Arial" w:cs="Arial" w:eastAsia="Arial" w:hAnsi="Arial"/>
                <w:sz w:val="15"/>
                <w:szCs w:val="15"/>
                <w:color w:val="auto"/>
              </w:rPr>
              <w:t>Non-cash interest expense</w:t>
            </w:r>
          </w:p>
        </w:tc>
        <w:tc>
          <w:tcPr>
            <w:tcW w:w="880" w:type="dxa"/>
            <w:vAlign w:val="bottom"/>
          </w:tcPr>
          <w:p>
            <w:pPr>
              <w:spacing w:after="0"/>
              <w:rPr>
                <w:sz w:val="14"/>
                <w:szCs w:val="14"/>
                <w:color w:val="auto"/>
              </w:rPr>
            </w:pPr>
          </w:p>
        </w:tc>
        <w:tc>
          <w:tcPr>
            <w:tcW w:w="520" w:type="dxa"/>
            <w:vAlign w:val="bottom"/>
          </w:tcPr>
          <w:p>
            <w:pPr>
              <w:jc w:val="right"/>
              <w:spacing w:after="0" w:line="162" w:lineRule="exact"/>
              <w:rPr>
                <w:sz w:val="20"/>
                <w:szCs w:val="20"/>
                <w:color w:val="auto"/>
              </w:rPr>
            </w:pPr>
            <w:r>
              <w:rPr>
                <w:rFonts w:ascii="Arial" w:cs="Arial" w:eastAsia="Arial" w:hAnsi="Arial"/>
                <w:sz w:val="15"/>
                <w:szCs w:val="15"/>
                <w:color w:val="auto"/>
              </w:rPr>
              <w:t>147</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jc w:val="right"/>
              <w:spacing w:after="0" w:line="162" w:lineRule="exact"/>
              <w:rPr>
                <w:sz w:val="20"/>
                <w:szCs w:val="20"/>
                <w:color w:val="auto"/>
              </w:rPr>
            </w:pPr>
            <w:r>
              <w:rPr>
                <w:rFonts w:ascii="Arial" w:cs="Arial" w:eastAsia="Arial" w:hAnsi="Arial"/>
                <w:sz w:val="15"/>
                <w:szCs w:val="15"/>
                <w:color w:val="auto"/>
              </w:rPr>
              <w:t>153</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66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Changes in operating assets and liabilities:</w:t>
            </w:r>
          </w:p>
        </w:tc>
        <w:tc>
          <w:tcPr>
            <w:tcW w:w="8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660" w:type="dxa"/>
            <w:vAlign w:val="bottom"/>
          </w:tcPr>
          <w:p>
            <w:pPr>
              <w:ind w:left="120"/>
              <w:spacing w:after="0" w:line="162" w:lineRule="exact"/>
              <w:rPr>
                <w:sz w:val="20"/>
                <w:szCs w:val="20"/>
                <w:color w:val="auto"/>
              </w:rPr>
            </w:pPr>
            <w:r>
              <w:rPr>
                <w:rFonts w:ascii="Arial" w:cs="Arial" w:eastAsia="Arial" w:hAnsi="Arial"/>
                <w:sz w:val="15"/>
                <w:szCs w:val="15"/>
                <w:color w:val="auto"/>
              </w:rPr>
              <w:t>Accounts receivable</w:t>
            </w:r>
          </w:p>
        </w:tc>
        <w:tc>
          <w:tcPr>
            <w:tcW w:w="880" w:type="dxa"/>
            <w:vAlign w:val="bottom"/>
          </w:tcPr>
          <w:p>
            <w:pPr>
              <w:spacing w:after="0"/>
              <w:rPr>
                <w:sz w:val="14"/>
                <w:szCs w:val="14"/>
                <w:color w:val="auto"/>
              </w:rPr>
            </w:pPr>
          </w:p>
        </w:tc>
        <w:tc>
          <w:tcPr>
            <w:tcW w:w="74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(1,540)</w:t>
            </w:r>
          </w:p>
        </w:tc>
        <w:tc>
          <w:tcPr>
            <w:tcW w:w="880" w:type="dxa"/>
            <w:vAlign w:val="bottom"/>
          </w:tcPr>
          <w:p>
            <w:pPr>
              <w:spacing w:after="0"/>
              <w:rPr>
                <w:sz w:val="14"/>
                <w:szCs w:val="14"/>
                <w:color w:val="auto"/>
              </w:rPr>
            </w:pPr>
          </w:p>
        </w:tc>
        <w:tc>
          <w:tcPr>
            <w:tcW w:w="520" w:type="dxa"/>
            <w:vAlign w:val="bottom"/>
          </w:tcPr>
          <w:p>
            <w:pPr>
              <w:jc w:val="right"/>
              <w:spacing w:after="0" w:line="162" w:lineRule="exact"/>
              <w:rPr>
                <w:sz w:val="20"/>
                <w:szCs w:val="20"/>
                <w:color w:val="auto"/>
              </w:rPr>
            </w:pPr>
            <w:r>
              <w:rPr>
                <w:rFonts w:ascii="Arial" w:cs="Arial" w:eastAsia="Arial" w:hAnsi="Arial"/>
                <w:sz w:val="15"/>
                <w:szCs w:val="15"/>
                <w:color w:val="auto"/>
              </w:rPr>
              <w:t>1,658</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66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Inventory</w:t>
            </w:r>
          </w:p>
        </w:tc>
        <w:tc>
          <w:tcPr>
            <w:tcW w:w="8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(505)</w:t>
            </w:r>
          </w:p>
        </w:tc>
        <w:tc>
          <w:tcPr>
            <w:tcW w:w="8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133</w:t>
            </w:r>
          </w:p>
        </w:tc>
        <w:tc>
          <w:tcPr>
            <w:tcW w:w="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660" w:type="dxa"/>
            <w:vAlign w:val="bottom"/>
          </w:tcPr>
          <w:p>
            <w:pPr>
              <w:ind w:left="120"/>
              <w:spacing w:after="0" w:line="162" w:lineRule="exact"/>
              <w:rPr>
                <w:sz w:val="20"/>
                <w:szCs w:val="20"/>
                <w:color w:val="auto"/>
              </w:rPr>
            </w:pPr>
            <w:r>
              <w:rPr>
                <w:rFonts w:ascii="Arial" w:cs="Arial" w:eastAsia="Arial" w:hAnsi="Arial"/>
                <w:sz w:val="15"/>
                <w:szCs w:val="15"/>
                <w:color w:val="auto"/>
              </w:rPr>
              <w:t>Prepaid expenses and other current assets</w:t>
            </w:r>
          </w:p>
        </w:tc>
        <w:tc>
          <w:tcPr>
            <w:tcW w:w="880" w:type="dxa"/>
            <w:vAlign w:val="bottom"/>
          </w:tcPr>
          <w:p>
            <w:pPr>
              <w:spacing w:after="0"/>
              <w:rPr>
                <w:sz w:val="14"/>
                <w:szCs w:val="14"/>
                <w:color w:val="auto"/>
              </w:rPr>
            </w:pPr>
          </w:p>
        </w:tc>
        <w:tc>
          <w:tcPr>
            <w:tcW w:w="520" w:type="dxa"/>
            <w:vAlign w:val="bottom"/>
          </w:tcPr>
          <w:p>
            <w:pPr>
              <w:jc w:val="right"/>
              <w:spacing w:after="0" w:line="162" w:lineRule="exact"/>
              <w:rPr>
                <w:sz w:val="20"/>
                <w:szCs w:val="20"/>
                <w:color w:val="auto"/>
              </w:rPr>
            </w:pPr>
            <w:r>
              <w:rPr>
                <w:rFonts w:ascii="Arial" w:cs="Arial" w:eastAsia="Arial" w:hAnsi="Arial"/>
                <w:sz w:val="15"/>
                <w:szCs w:val="15"/>
                <w:color w:val="auto"/>
              </w:rPr>
              <w:t>38</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jc w:val="right"/>
              <w:spacing w:after="0" w:line="162" w:lineRule="exact"/>
              <w:rPr>
                <w:sz w:val="20"/>
                <w:szCs w:val="20"/>
                <w:color w:val="auto"/>
              </w:rPr>
            </w:pPr>
            <w:r>
              <w:rPr>
                <w:rFonts w:ascii="Arial" w:cs="Arial" w:eastAsia="Arial" w:hAnsi="Arial"/>
                <w:sz w:val="15"/>
                <w:szCs w:val="15"/>
                <w:color w:val="auto"/>
              </w:rPr>
              <w:t>200</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66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Accounts payable</w:t>
            </w:r>
          </w:p>
        </w:tc>
        <w:tc>
          <w:tcPr>
            <w:tcW w:w="8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(776)</w:t>
            </w:r>
          </w:p>
        </w:tc>
        <w:tc>
          <w:tcPr>
            <w:tcW w:w="8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40"/>
              <w:spacing w:after="0" w:line="162" w:lineRule="exact"/>
              <w:rPr>
                <w:sz w:val="20"/>
                <w:szCs w:val="20"/>
                <w:color w:val="auto"/>
              </w:rPr>
            </w:pPr>
            <w:r>
              <w:rPr>
                <w:rFonts w:ascii="Arial" w:cs="Arial" w:eastAsia="Arial" w:hAnsi="Arial"/>
                <w:sz w:val="15"/>
                <w:szCs w:val="15"/>
                <w:color w:val="auto"/>
              </w:rPr>
              <w:t>(456)</w:t>
            </w:r>
          </w:p>
        </w:tc>
        <w:tc>
          <w:tcPr>
            <w:tcW w:w="0" w:type="dxa"/>
            <w:vAlign w:val="bottom"/>
          </w:tcPr>
          <w:p>
            <w:pPr>
              <w:spacing w:after="0"/>
              <w:rPr>
                <w:sz w:val="1"/>
                <w:szCs w:val="1"/>
                <w:color w:val="auto"/>
              </w:rPr>
            </w:pPr>
          </w:p>
        </w:tc>
      </w:tr>
      <w:tr>
        <w:trPr>
          <w:trHeight w:val="162"/>
        </w:trPr>
        <w:tc>
          <w:tcPr>
            <w:tcW w:w="5660" w:type="dxa"/>
            <w:vAlign w:val="bottom"/>
          </w:tcPr>
          <w:p>
            <w:pPr>
              <w:ind w:left="120"/>
              <w:spacing w:after="0" w:line="162" w:lineRule="exact"/>
              <w:rPr>
                <w:sz w:val="20"/>
                <w:szCs w:val="20"/>
                <w:color w:val="auto"/>
              </w:rPr>
            </w:pPr>
            <w:r>
              <w:rPr>
                <w:rFonts w:ascii="Arial" w:cs="Arial" w:eastAsia="Arial" w:hAnsi="Arial"/>
                <w:sz w:val="15"/>
                <w:szCs w:val="15"/>
                <w:color w:val="auto"/>
              </w:rPr>
              <w:t>Accrued liabilities</w:t>
            </w:r>
          </w:p>
        </w:tc>
        <w:tc>
          <w:tcPr>
            <w:tcW w:w="880" w:type="dxa"/>
            <w:vAlign w:val="bottom"/>
          </w:tcPr>
          <w:p>
            <w:pPr>
              <w:spacing w:after="0"/>
              <w:rPr>
                <w:sz w:val="14"/>
                <w:szCs w:val="14"/>
                <w:color w:val="auto"/>
              </w:rPr>
            </w:pPr>
          </w:p>
        </w:tc>
        <w:tc>
          <w:tcPr>
            <w:tcW w:w="74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(1,008)</w:t>
            </w:r>
          </w:p>
        </w:tc>
        <w:tc>
          <w:tcPr>
            <w:tcW w:w="880" w:type="dxa"/>
            <w:vAlign w:val="bottom"/>
          </w:tcPr>
          <w:p>
            <w:pPr>
              <w:spacing w:after="0"/>
              <w:rPr>
                <w:sz w:val="14"/>
                <w:szCs w:val="14"/>
                <w:color w:val="auto"/>
              </w:rPr>
            </w:pPr>
          </w:p>
        </w:tc>
        <w:tc>
          <w:tcPr>
            <w:tcW w:w="760" w:type="dxa"/>
            <w:vAlign w:val="bottom"/>
            <w:gridSpan w:val="2"/>
          </w:tcPr>
          <w:p>
            <w:pPr>
              <w:jc w:val="right"/>
              <w:ind w:right="240"/>
              <w:spacing w:after="0" w:line="162" w:lineRule="exact"/>
              <w:rPr>
                <w:sz w:val="20"/>
                <w:szCs w:val="20"/>
                <w:color w:val="auto"/>
              </w:rPr>
            </w:pPr>
            <w:r>
              <w:rPr>
                <w:rFonts w:ascii="Arial" w:cs="Arial" w:eastAsia="Arial" w:hAnsi="Arial"/>
                <w:sz w:val="15"/>
                <w:szCs w:val="15"/>
                <w:color w:val="auto"/>
              </w:rPr>
              <w:t>(907)</w:t>
            </w:r>
          </w:p>
        </w:tc>
        <w:tc>
          <w:tcPr>
            <w:tcW w:w="0" w:type="dxa"/>
            <w:vAlign w:val="bottom"/>
          </w:tcPr>
          <w:p>
            <w:pPr>
              <w:spacing w:after="0"/>
              <w:rPr>
                <w:sz w:val="1"/>
                <w:szCs w:val="1"/>
                <w:color w:val="auto"/>
              </w:rPr>
            </w:pPr>
          </w:p>
        </w:tc>
      </w:tr>
      <w:tr>
        <w:trPr>
          <w:trHeight w:val="162"/>
        </w:trPr>
        <w:tc>
          <w:tcPr>
            <w:tcW w:w="566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Lease liabilities</w:t>
            </w:r>
          </w:p>
        </w:tc>
        <w:tc>
          <w:tcPr>
            <w:tcW w:w="8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(73)</w:t>
            </w:r>
          </w:p>
        </w:tc>
        <w:tc>
          <w:tcPr>
            <w:tcW w:w="8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40"/>
              <w:spacing w:after="0" w:line="162" w:lineRule="exact"/>
              <w:rPr>
                <w:sz w:val="20"/>
                <w:szCs w:val="20"/>
                <w:color w:val="auto"/>
              </w:rPr>
            </w:pPr>
            <w:r>
              <w:rPr>
                <w:rFonts w:ascii="Arial" w:cs="Arial" w:eastAsia="Arial" w:hAnsi="Arial"/>
                <w:sz w:val="15"/>
                <w:szCs w:val="15"/>
                <w:color w:val="auto"/>
              </w:rPr>
              <w:t>(43)</w:t>
            </w:r>
          </w:p>
        </w:tc>
        <w:tc>
          <w:tcPr>
            <w:tcW w:w="0" w:type="dxa"/>
            <w:vAlign w:val="bottom"/>
          </w:tcPr>
          <w:p>
            <w:pPr>
              <w:spacing w:after="0"/>
              <w:rPr>
                <w:sz w:val="1"/>
                <w:szCs w:val="1"/>
                <w:color w:val="auto"/>
              </w:rPr>
            </w:pPr>
          </w:p>
        </w:tc>
      </w:tr>
      <w:tr>
        <w:trPr>
          <w:trHeight w:val="156"/>
        </w:trPr>
        <w:tc>
          <w:tcPr>
            <w:tcW w:w="5660" w:type="dxa"/>
            <w:vAlign w:val="bottom"/>
            <w:tcBorders>
              <w:bottom w:val="single" w:sz="8" w:color="CCEEFF"/>
            </w:tcBorders>
          </w:tcPr>
          <w:p>
            <w:pPr>
              <w:ind w:left="120"/>
              <w:spacing w:after="0" w:line="156" w:lineRule="exact"/>
              <w:rPr>
                <w:sz w:val="20"/>
                <w:szCs w:val="20"/>
                <w:color w:val="auto"/>
              </w:rPr>
            </w:pPr>
            <w:r>
              <w:rPr>
                <w:rFonts w:ascii="Arial" w:cs="Arial" w:eastAsia="Arial" w:hAnsi="Arial"/>
                <w:sz w:val="15"/>
                <w:szCs w:val="15"/>
                <w:color w:val="auto"/>
              </w:rPr>
              <w:t>Net cash used in operating activities</w:t>
            </w:r>
          </w:p>
        </w:tc>
        <w:tc>
          <w:tcPr>
            <w:tcW w:w="88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(4,200)</w:t>
            </w:r>
          </w:p>
        </w:tc>
        <w:tc>
          <w:tcPr>
            <w:tcW w:w="220" w:type="dxa"/>
            <w:vAlign w:val="bottom"/>
            <w:tcBorders>
              <w:bottom w:val="single" w:sz="8" w:color="CCEEFF"/>
            </w:tcBorders>
          </w:tcPr>
          <w:p>
            <w:pPr>
              <w:spacing w:after="0"/>
              <w:rPr>
                <w:sz w:val="13"/>
                <w:szCs w:val="13"/>
                <w:color w:val="auto"/>
              </w:rPr>
            </w:pPr>
          </w:p>
        </w:tc>
        <w:tc>
          <w:tcPr>
            <w:tcW w:w="88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(4,790)</w:t>
            </w:r>
          </w:p>
        </w:tc>
        <w:tc>
          <w:tcPr>
            <w:tcW w:w="2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660" w:type="dxa"/>
            <w:vAlign w:val="bottom"/>
            <w:shd w:val="clear" w:color="auto" w:fill="CCEEFF"/>
          </w:tcPr>
          <w:p>
            <w:pPr>
              <w:spacing w:after="0" w:line="156" w:lineRule="exact"/>
              <w:rPr>
                <w:sz w:val="20"/>
                <w:szCs w:val="20"/>
                <w:color w:val="auto"/>
              </w:rPr>
            </w:pPr>
            <w:r>
              <w:rPr>
                <w:rFonts w:ascii="Arial" w:cs="Arial" w:eastAsia="Arial" w:hAnsi="Arial"/>
                <w:sz w:val="15"/>
                <w:szCs w:val="15"/>
                <w:b w:val="1"/>
                <w:bCs w:val="1"/>
                <w:color w:val="auto"/>
              </w:rPr>
              <w:t>Cash flows from investing activities</w:t>
            </w:r>
          </w:p>
        </w:tc>
        <w:tc>
          <w:tcPr>
            <w:tcW w:w="8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660" w:type="dxa"/>
            <w:vAlign w:val="bottom"/>
          </w:tcPr>
          <w:p>
            <w:pPr>
              <w:spacing w:after="0" w:line="162" w:lineRule="exact"/>
              <w:rPr>
                <w:sz w:val="20"/>
                <w:szCs w:val="20"/>
                <w:color w:val="auto"/>
              </w:rPr>
            </w:pPr>
            <w:r>
              <w:rPr>
                <w:rFonts w:ascii="Arial" w:cs="Arial" w:eastAsia="Arial" w:hAnsi="Arial"/>
                <w:sz w:val="15"/>
                <w:szCs w:val="15"/>
                <w:color w:val="auto"/>
              </w:rPr>
              <w:t>Purchases of property and equipment</w:t>
            </w:r>
          </w:p>
        </w:tc>
        <w:tc>
          <w:tcPr>
            <w:tcW w:w="880" w:type="dxa"/>
            <w:vAlign w:val="bottom"/>
          </w:tcPr>
          <w:p>
            <w:pPr>
              <w:spacing w:after="0"/>
              <w:rPr>
                <w:sz w:val="14"/>
                <w:szCs w:val="14"/>
                <w:color w:val="auto"/>
              </w:rPr>
            </w:pPr>
          </w:p>
        </w:tc>
        <w:tc>
          <w:tcPr>
            <w:tcW w:w="74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(277)</w:t>
            </w:r>
          </w:p>
        </w:tc>
        <w:tc>
          <w:tcPr>
            <w:tcW w:w="880" w:type="dxa"/>
            <w:vAlign w:val="bottom"/>
          </w:tcPr>
          <w:p>
            <w:pPr>
              <w:spacing w:after="0"/>
              <w:rPr>
                <w:sz w:val="14"/>
                <w:szCs w:val="14"/>
                <w:color w:val="auto"/>
              </w:rPr>
            </w:pPr>
          </w:p>
        </w:tc>
        <w:tc>
          <w:tcPr>
            <w:tcW w:w="760" w:type="dxa"/>
            <w:vAlign w:val="bottom"/>
            <w:gridSpan w:val="2"/>
          </w:tcPr>
          <w:p>
            <w:pPr>
              <w:jc w:val="right"/>
              <w:ind w:right="240"/>
              <w:spacing w:after="0" w:line="162" w:lineRule="exact"/>
              <w:rPr>
                <w:sz w:val="20"/>
                <w:szCs w:val="20"/>
                <w:color w:val="auto"/>
              </w:rPr>
            </w:pPr>
            <w:r>
              <w:rPr>
                <w:rFonts w:ascii="Arial" w:cs="Arial" w:eastAsia="Arial" w:hAnsi="Arial"/>
                <w:sz w:val="15"/>
                <w:szCs w:val="15"/>
                <w:color w:val="auto"/>
              </w:rPr>
              <w:t>(461)</w:t>
            </w:r>
          </w:p>
        </w:tc>
        <w:tc>
          <w:tcPr>
            <w:tcW w:w="0" w:type="dxa"/>
            <w:vAlign w:val="bottom"/>
          </w:tcPr>
          <w:p>
            <w:pPr>
              <w:spacing w:after="0"/>
              <w:rPr>
                <w:sz w:val="1"/>
                <w:szCs w:val="1"/>
                <w:color w:val="auto"/>
              </w:rPr>
            </w:pPr>
          </w:p>
        </w:tc>
      </w:tr>
      <w:tr>
        <w:trPr>
          <w:trHeight w:val="155"/>
        </w:trPr>
        <w:tc>
          <w:tcPr>
            <w:tcW w:w="5660" w:type="dxa"/>
            <w:vAlign w:val="bottom"/>
            <w:tcBorders>
              <w:top w:val="single" w:sz="8" w:color="CCEEFF"/>
            </w:tcBorders>
            <w:shd w:val="clear" w:color="auto" w:fill="CCEEFF"/>
          </w:tcPr>
          <w:p>
            <w:pPr>
              <w:ind w:left="120"/>
              <w:spacing w:after="0" w:line="156" w:lineRule="exact"/>
              <w:rPr>
                <w:sz w:val="20"/>
                <w:szCs w:val="20"/>
                <w:color w:val="auto"/>
              </w:rPr>
            </w:pPr>
            <w:r>
              <w:rPr>
                <w:rFonts w:ascii="Arial" w:cs="Arial" w:eastAsia="Arial" w:hAnsi="Arial"/>
                <w:sz w:val="15"/>
                <w:szCs w:val="15"/>
                <w:color w:val="auto"/>
              </w:rPr>
              <w:t>Net cash used in investing activities</w:t>
            </w:r>
          </w:p>
        </w:tc>
        <w:tc>
          <w:tcPr>
            <w:tcW w:w="880" w:type="dxa"/>
            <w:vAlign w:val="bottom"/>
            <w:tcBorders>
              <w:top w:val="single" w:sz="8" w:color="auto"/>
              <w:bottom w:val="single" w:sz="8" w:color="auto"/>
            </w:tcBorders>
            <w:shd w:val="clear" w:color="auto" w:fill="CCEEFF"/>
          </w:tcPr>
          <w:p>
            <w:pPr>
              <w:spacing w:after="0"/>
              <w:rPr>
                <w:sz w:val="13"/>
                <w:szCs w:val="13"/>
                <w:color w:val="auto"/>
              </w:rPr>
            </w:pPr>
          </w:p>
        </w:tc>
        <w:tc>
          <w:tcPr>
            <w:tcW w:w="52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(277)</w:t>
            </w:r>
          </w:p>
        </w:tc>
        <w:tc>
          <w:tcPr>
            <w:tcW w:w="22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auto"/>
              <w:bottom w:val="single" w:sz="8" w:color="auto"/>
            </w:tcBorders>
            <w:shd w:val="clear" w:color="auto" w:fill="CCEEFF"/>
          </w:tcPr>
          <w:p>
            <w:pPr>
              <w:spacing w:after="0"/>
              <w:rPr>
                <w:sz w:val="13"/>
                <w:szCs w:val="13"/>
                <w:color w:val="auto"/>
              </w:rPr>
            </w:pPr>
          </w:p>
        </w:tc>
        <w:tc>
          <w:tcPr>
            <w:tcW w:w="52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(461)</w:t>
            </w:r>
          </w:p>
        </w:tc>
        <w:tc>
          <w:tcPr>
            <w:tcW w:w="2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660" w:type="dxa"/>
            <w:vAlign w:val="bottom"/>
          </w:tcPr>
          <w:p>
            <w:pPr>
              <w:spacing w:after="0" w:line="156" w:lineRule="exact"/>
              <w:rPr>
                <w:sz w:val="20"/>
                <w:szCs w:val="20"/>
                <w:color w:val="auto"/>
              </w:rPr>
            </w:pPr>
            <w:r>
              <w:rPr>
                <w:rFonts w:ascii="Arial" w:cs="Arial" w:eastAsia="Arial" w:hAnsi="Arial"/>
                <w:sz w:val="15"/>
                <w:szCs w:val="15"/>
                <w:b w:val="1"/>
                <w:bCs w:val="1"/>
                <w:color w:val="auto"/>
              </w:rPr>
              <w:t>Cash flows from financing activities</w:t>
            </w:r>
          </w:p>
        </w:tc>
        <w:tc>
          <w:tcPr>
            <w:tcW w:w="8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66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Payments on debt</w:t>
            </w:r>
          </w:p>
        </w:tc>
        <w:tc>
          <w:tcPr>
            <w:tcW w:w="8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80"/>
              <w:spacing w:after="0" w:line="162" w:lineRule="exact"/>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40"/>
              <w:spacing w:after="0" w:line="162" w:lineRule="exact"/>
              <w:rPr>
                <w:sz w:val="20"/>
                <w:szCs w:val="20"/>
                <w:color w:val="auto"/>
              </w:rPr>
            </w:pPr>
            <w:r>
              <w:rPr>
                <w:rFonts w:ascii="Arial" w:cs="Arial" w:eastAsia="Arial" w:hAnsi="Arial"/>
                <w:sz w:val="15"/>
                <w:szCs w:val="15"/>
                <w:color w:val="auto"/>
              </w:rPr>
              <w:t>(3,000)</w:t>
            </w:r>
          </w:p>
        </w:tc>
        <w:tc>
          <w:tcPr>
            <w:tcW w:w="0" w:type="dxa"/>
            <w:vAlign w:val="bottom"/>
          </w:tcPr>
          <w:p>
            <w:pPr>
              <w:spacing w:after="0"/>
              <w:rPr>
                <w:sz w:val="1"/>
                <w:szCs w:val="1"/>
                <w:color w:val="auto"/>
              </w:rPr>
            </w:pPr>
          </w:p>
        </w:tc>
      </w:tr>
      <w:tr>
        <w:trPr>
          <w:trHeight w:val="162"/>
        </w:trPr>
        <w:tc>
          <w:tcPr>
            <w:tcW w:w="5660" w:type="dxa"/>
            <w:vAlign w:val="bottom"/>
          </w:tcPr>
          <w:p>
            <w:pPr>
              <w:spacing w:after="0" w:line="162" w:lineRule="exact"/>
              <w:rPr>
                <w:sz w:val="20"/>
                <w:szCs w:val="20"/>
                <w:color w:val="auto"/>
              </w:rPr>
            </w:pPr>
            <w:r>
              <w:rPr>
                <w:rFonts w:ascii="Arial" w:cs="Arial" w:eastAsia="Arial" w:hAnsi="Arial"/>
                <w:sz w:val="15"/>
                <w:szCs w:val="15"/>
                <w:color w:val="auto"/>
              </w:rPr>
              <w:t>Payments on finance lease obligation</w:t>
            </w:r>
          </w:p>
        </w:tc>
        <w:tc>
          <w:tcPr>
            <w:tcW w:w="880" w:type="dxa"/>
            <w:vAlign w:val="bottom"/>
          </w:tcPr>
          <w:p>
            <w:pPr>
              <w:spacing w:after="0"/>
              <w:rPr>
                <w:sz w:val="14"/>
                <w:szCs w:val="14"/>
                <w:color w:val="auto"/>
              </w:rPr>
            </w:pPr>
          </w:p>
        </w:tc>
        <w:tc>
          <w:tcPr>
            <w:tcW w:w="74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(5)</w:t>
            </w:r>
          </w:p>
        </w:tc>
        <w:tc>
          <w:tcPr>
            <w:tcW w:w="880" w:type="dxa"/>
            <w:vAlign w:val="bottom"/>
          </w:tcPr>
          <w:p>
            <w:pPr>
              <w:spacing w:after="0"/>
              <w:rPr>
                <w:sz w:val="14"/>
                <w:szCs w:val="14"/>
                <w:color w:val="auto"/>
              </w:rPr>
            </w:pPr>
          </w:p>
        </w:tc>
        <w:tc>
          <w:tcPr>
            <w:tcW w:w="760" w:type="dxa"/>
            <w:vAlign w:val="bottom"/>
            <w:gridSpan w:val="2"/>
          </w:tcPr>
          <w:p>
            <w:pPr>
              <w:jc w:val="right"/>
              <w:ind w:right="240"/>
              <w:spacing w:after="0" w:line="162" w:lineRule="exact"/>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149"/>
        </w:trPr>
        <w:tc>
          <w:tcPr>
            <w:tcW w:w="566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rPr>
              <w:t>Proceeds from exercise of stock options and purchase of shares in employee stock</w:t>
            </w:r>
          </w:p>
        </w:tc>
        <w:tc>
          <w:tcPr>
            <w:tcW w:w="8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5660" w:type="dxa"/>
            <w:vAlign w:val="bottom"/>
            <w:shd w:val="clear" w:color="auto" w:fill="CCEEFF"/>
          </w:tcPr>
          <w:p>
            <w:pPr>
              <w:spacing w:after="0"/>
              <w:rPr>
                <w:sz w:val="20"/>
                <w:szCs w:val="20"/>
                <w:color w:val="auto"/>
              </w:rPr>
            </w:pPr>
            <w:r>
              <w:rPr>
                <w:rFonts w:ascii="Arial" w:cs="Arial" w:eastAsia="Arial" w:hAnsi="Arial"/>
                <w:sz w:val="15"/>
                <w:szCs w:val="15"/>
                <w:color w:val="auto"/>
              </w:rPr>
              <w:t>purchase plan</w:t>
            </w:r>
          </w:p>
        </w:tc>
        <w:tc>
          <w:tcPr>
            <w:tcW w:w="8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827</w:t>
            </w: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150</w:t>
            </w:r>
          </w:p>
        </w:tc>
        <w:tc>
          <w:tcPr>
            <w:tcW w:w="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5660" w:type="dxa"/>
            <w:vAlign w:val="bottom"/>
          </w:tcPr>
          <w:p>
            <w:pPr>
              <w:spacing w:after="0" w:line="162" w:lineRule="exact"/>
              <w:rPr>
                <w:sz w:val="20"/>
                <w:szCs w:val="20"/>
                <w:color w:val="auto"/>
              </w:rPr>
            </w:pPr>
            <w:r>
              <w:rPr>
                <w:rFonts w:ascii="Arial" w:cs="Arial" w:eastAsia="Arial" w:hAnsi="Arial"/>
                <w:sz w:val="15"/>
                <w:szCs w:val="15"/>
                <w:color w:val="auto"/>
                <w:w w:val="95"/>
              </w:rPr>
              <w:t>Proceeds from issuance of common stock in at-the-market offering, net of issuance costs</w:t>
            </w:r>
          </w:p>
        </w:tc>
        <w:tc>
          <w:tcPr>
            <w:tcW w:w="880" w:type="dxa"/>
            <w:vAlign w:val="bottom"/>
          </w:tcPr>
          <w:p>
            <w:pPr>
              <w:spacing w:after="0"/>
              <w:rPr>
                <w:sz w:val="14"/>
                <w:szCs w:val="14"/>
                <w:color w:val="auto"/>
              </w:rPr>
            </w:pPr>
          </w:p>
        </w:tc>
        <w:tc>
          <w:tcPr>
            <w:tcW w:w="520" w:type="dxa"/>
            <w:vAlign w:val="bottom"/>
          </w:tcPr>
          <w:p>
            <w:pPr>
              <w:jc w:val="right"/>
              <w:spacing w:after="0" w:line="162" w:lineRule="exact"/>
              <w:rPr>
                <w:sz w:val="20"/>
                <w:szCs w:val="20"/>
                <w:color w:val="auto"/>
              </w:rPr>
            </w:pPr>
            <w:r>
              <w:rPr>
                <w:rFonts w:ascii="Arial" w:cs="Arial" w:eastAsia="Arial" w:hAnsi="Arial"/>
                <w:sz w:val="15"/>
                <w:szCs w:val="15"/>
                <w:color w:val="auto"/>
              </w:rPr>
              <w:t>2,084</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60" w:type="dxa"/>
            <w:vAlign w:val="bottom"/>
            <w:gridSpan w:val="2"/>
          </w:tcPr>
          <w:p>
            <w:pPr>
              <w:jc w:val="right"/>
              <w:ind w:right="28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5"/>
        </w:trPr>
        <w:tc>
          <w:tcPr>
            <w:tcW w:w="5660" w:type="dxa"/>
            <w:vAlign w:val="bottom"/>
            <w:tcBorders>
              <w:top w:val="single" w:sz="8" w:color="CCEEFF"/>
            </w:tcBorders>
            <w:shd w:val="clear" w:color="auto" w:fill="CCEEFF"/>
          </w:tcPr>
          <w:p>
            <w:pPr>
              <w:ind w:left="120"/>
              <w:spacing w:after="0" w:line="156" w:lineRule="exact"/>
              <w:rPr>
                <w:sz w:val="20"/>
                <w:szCs w:val="20"/>
                <w:color w:val="auto"/>
              </w:rPr>
            </w:pPr>
            <w:r>
              <w:rPr>
                <w:rFonts w:ascii="Arial" w:cs="Arial" w:eastAsia="Arial" w:hAnsi="Arial"/>
                <w:sz w:val="15"/>
                <w:szCs w:val="15"/>
                <w:color w:val="auto"/>
              </w:rPr>
              <w:t>Net cash provided by (used in) financing activities</w:t>
            </w:r>
          </w:p>
        </w:tc>
        <w:tc>
          <w:tcPr>
            <w:tcW w:w="880" w:type="dxa"/>
            <w:vAlign w:val="bottom"/>
            <w:tcBorders>
              <w:top w:val="single" w:sz="8" w:color="auto"/>
              <w:bottom w:val="single" w:sz="8" w:color="auto"/>
            </w:tcBorders>
            <w:shd w:val="clear" w:color="auto" w:fill="CCEEFF"/>
          </w:tcPr>
          <w:p>
            <w:pPr>
              <w:spacing w:after="0"/>
              <w:rPr>
                <w:sz w:val="13"/>
                <w:szCs w:val="13"/>
                <w:color w:val="auto"/>
              </w:rPr>
            </w:pPr>
          </w:p>
        </w:tc>
        <w:tc>
          <w:tcPr>
            <w:tcW w:w="52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2,906</w:t>
            </w:r>
          </w:p>
        </w:tc>
        <w:tc>
          <w:tcPr>
            <w:tcW w:w="22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auto"/>
              <w:bottom w:val="single" w:sz="8" w:color="auto"/>
            </w:tcBorders>
            <w:shd w:val="clear" w:color="auto" w:fill="CCEEFF"/>
          </w:tcPr>
          <w:p>
            <w:pPr>
              <w:spacing w:after="0"/>
              <w:rPr>
                <w:sz w:val="13"/>
                <w:szCs w:val="13"/>
                <w:color w:val="auto"/>
              </w:rPr>
            </w:pPr>
          </w:p>
        </w:tc>
        <w:tc>
          <w:tcPr>
            <w:tcW w:w="52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(2,855)</w:t>
            </w:r>
          </w:p>
        </w:tc>
        <w:tc>
          <w:tcPr>
            <w:tcW w:w="2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660" w:type="dxa"/>
            <w:vAlign w:val="bottom"/>
          </w:tcPr>
          <w:p>
            <w:pPr>
              <w:spacing w:after="0" w:line="156" w:lineRule="exact"/>
              <w:rPr>
                <w:sz w:val="20"/>
                <w:szCs w:val="20"/>
                <w:color w:val="auto"/>
              </w:rPr>
            </w:pPr>
            <w:r>
              <w:rPr>
                <w:rFonts w:ascii="Arial" w:cs="Arial" w:eastAsia="Arial" w:hAnsi="Arial"/>
                <w:sz w:val="15"/>
                <w:szCs w:val="15"/>
                <w:color w:val="auto"/>
              </w:rPr>
              <w:t>Net decrease in cash and cash equivalents</w:t>
            </w:r>
          </w:p>
        </w:tc>
        <w:tc>
          <w:tcPr>
            <w:tcW w:w="880" w:type="dxa"/>
            <w:vAlign w:val="bottom"/>
          </w:tcPr>
          <w:p>
            <w:pPr>
              <w:spacing w:after="0"/>
              <w:rPr>
                <w:sz w:val="13"/>
                <w:szCs w:val="13"/>
                <w:color w:val="auto"/>
              </w:rPr>
            </w:pPr>
          </w:p>
        </w:tc>
        <w:tc>
          <w:tcPr>
            <w:tcW w:w="520" w:type="dxa"/>
            <w:vAlign w:val="bottom"/>
          </w:tcPr>
          <w:p>
            <w:pPr>
              <w:jc w:val="right"/>
              <w:spacing w:after="0" w:line="156" w:lineRule="exact"/>
              <w:rPr>
                <w:sz w:val="20"/>
                <w:szCs w:val="20"/>
                <w:color w:val="auto"/>
              </w:rPr>
            </w:pPr>
            <w:r>
              <w:rPr>
                <w:rFonts w:ascii="Arial" w:cs="Arial" w:eastAsia="Arial" w:hAnsi="Arial"/>
                <w:sz w:val="15"/>
                <w:szCs w:val="15"/>
                <w:color w:val="auto"/>
              </w:rPr>
              <w:t>(1,571)</w:t>
            </w: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20" w:type="dxa"/>
            <w:vAlign w:val="bottom"/>
          </w:tcPr>
          <w:p>
            <w:pPr>
              <w:jc w:val="right"/>
              <w:spacing w:after="0" w:line="156" w:lineRule="exact"/>
              <w:rPr>
                <w:sz w:val="20"/>
                <w:szCs w:val="20"/>
                <w:color w:val="auto"/>
              </w:rPr>
            </w:pPr>
            <w:r>
              <w:rPr>
                <w:rFonts w:ascii="Arial" w:cs="Arial" w:eastAsia="Arial" w:hAnsi="Arial"/>
                <w:sz w:val="15"/>
                <w:szCs w:val="15"/>
                <w:color w:val="auto"/>
              </w:rPr>
              <w:t>(8,106)</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66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Cash and cash equivalents at beginning of period</w:t>
            </w:r>
          </w:p>
        </w:tc>
        <w:tc>
          <w:tcPr>
            <w:tcW w:w="88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w w:val="95"/>
              </w:rPr>
              <w:t>14,487</w:t>
            </w:r>
          </w:p>
        </w:tc>
        <w:tc>
          <w:tcPr>
            <w:tcW w:w="220" w:type="dxa"/>
            <w:vAlign w:val="bottom"/>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23,379</w:t>
            </w:r>
          </w:p>
        </w:tc>
        <w:tc>
          <w:tcPr>
            <w:tcW w:w="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5660" w:type="dxa"/>
            <w:vAlign w:val="bottom"/>
            <w:tcBorders>
              <w:bottom w:val="single" w:sz="8" w:color="CCEEFF"/>
            </w:tcBorders>
          </w:tcPr>
          <w:p>
            <w:pPr>
              <w:spacing w:after="0" w:line="156" w:lineRule="exact"/>
              <w:rPr>
                <w:sz w:val="20"/>
                <w:szCs w:val="20"/>
                <w:color w:val="auto"/>
              </w:rPr>
            </w:pPr>
            <w:r>
              <w:rPr>
                <w:rFonts w:ascii="Arial" w:cs="Arial" w:eastAsia="Arial" w:hAnsi="Arial"/>
                <w:sz w:val="15"/>
                <w:szCs w:val="15"/>
                <w:color w:val="auto"/>
              </w:rPr>
              <w:t>Cash and cash equivalents at end of period</w:t>
            </w:r>
          </w:p>
        </w:tc>
        <w:tc>
          <w:tcPr>
            <w:tcW w:w="880" w:type="dxa"/>
            <w:vAlign w:val="bottom"/>
            <w:tcBorders>
              <w:bottom w:val="single" w:sz="8" w:color="auto"/>
            </w:tcBorders>
          </w:tcPr>
          <w:p>
            <w:pPr>
              <w:jc w:val="right"/>
              <w:ind w:right="767"/>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w w:val="95"/>
              </w:rPr>
              <w:t>12,916</w:t>
            </w:r>
          </w:p>
        </w:tc>
        <w:tc>
          <w:tcPr>
            <w:tcW w:w="22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ind w:right="769"/>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15,273</w:t>
            </w:r>
          </w:p>
        </w:tc>
        <w:tc>
          <w:tcPr>
            <w:tcW w:w="2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5660" w:type="dxa"/>
            <w:vAlign w:val="bottom"/>
            <w:shd w:val="clear" w:color="auto" w:fill="CCEEFF"/>
          </w:tcPr>
          <w:p>
            <w:pPr>
              <w:spacing w:after="0" w:line="143" w:lineRule="exact"/>
              <w:rPr>
                <w:sz w:val="20"/>
                <w:szCs w:val="20"/>
                <w:color w:val="auto"/>
              </w:rPr>
            </w:pPr>
            <w:r>
              <w:rPr>
                <w:rFonts w:ascii="Arial" w:cs="Arial" w:eastAsia="Arial" w:hAnsi="Arial"/>
                <w:sz w:val="15"/>
                <w:szCs w:val="15"/>
                <w:b w:val="1"/>
                <w:bCs w:val="1"/>
                <w:color w:val="auto"/>
              </w:rPr>
              <w:t>Supplementary cash flow information:</w:t>
            </w:r>
          </w:p>
        </w:tc>
        <w:tc>
          <w:tcPr>
            <w:tcW w:w="8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5660" w:type="dxa"/>
            <w:vAlign w:val="bottom"/>
            <w:tcBorders>
              <w:bottom w:val="single" w:sz="8" w:color="CCEEFF"/>
            </w:tcBorders>
          </w:tcPr>
          <w:p>
            <w:pPr>
              <w:spacing w:after="0" w:line="162" w:lineRule="exact"/>
              <w:rPr>
                <w:sz w:val="20"/>
                <w:szCs w:val="20"/>
                <w:color w:val="auto"/>
              </w:rPr>
            </w:pPr>
            <w:r>
              <w:rPr>
                <w:rFonts w:ascii="Arial" w:cs="Arial" w:eastAsia="Arial" w:hAnsi="Arial"/>
                <w:sz w:val="15"/>
                <w:szCs w:val="15"/>
                <w:color w:val="auto"/>
              </w:rPr>
              <w:t>Interest paid</w:t>
            </w:r>
          </w:p>
        </w:tc>
        <w:tc>
          <w:tcPr>
            <w:tcW w:w="880" w:type="dxa"/>
            <w:vAlign w:val="bottom"/>
            <w:tcBorders>
              <w:bottom w:val="single" w:sz="8" w:color="auto"/>
            </w:tcBorders>
          </w:tcPr>
          <w:p>
            <w:pPr>
              <w:jc w:val="right"/>
              <w:ind w:right="767"/>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197</w:t>
            </w:r>
          </w:p>
        </w:tc>
        <w:tc>
          <w:tcPr>
            <w:tcW w:w="22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ind w:right="769"/>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257</w:t>
            </w:r>
          </w:p>
        </w:tc>
        <w:tc>
          <w:tcPr>
            <w:tcW w:w="2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5660" w:type="dxa"/>
            <w:vAlign w:val="bottom"/>
            <w:tcBorders>
              <w:bottom w:val="single" w:sz="8" w:color="CCEEFF"/>
            </w:tcBorders>
            <w:shd w:val="clear" w:color="auto" w:fill="CCEEFF"/>
          </w:tcPr>
          <w:p>
            <w:pPr>
              <w:spacing w:after="0" w:line="143" w:lineRule="exact"/>
              <w:rPr>
                <w:sz w:val="20"/>
                <w:szCs w:val="20"/>
                <w:color w:val="auto"/>
              </w:rPr>
            </w:pPr>
            <w:r>
              <w:rPr>
                <w:rFonts w:ascii="Arial" w:cs="Arial" w:eastAsia="Arial" w:hAnsi="Arial"/>
                <w:sz w:val="15"/>
                <w:szCs w:val="15"/>
                <w:color w:val="auto"/>
              </w:rPr>
              <w:t>Operating cash flows paid for operating leases</w:t>
            </w:r>
          </w:p>
        </w:tc>
        <w:tc>
          <w:tcPr>
            <w:tcW w:w="880" w:type="dxa"/>
            <w:vAlign w:val="bottom"/>
            <w:tcBorders>
              <w:bottom w:val="single" w:sz="8" w:color="auto"/>
            </w:tcBorders>
            <w:shd w:val="clear" w:color="auto" w:fill="CCEEFF"/>
          </w:tcPr>
          <w:p>
            <w:pPr>
              <w:jc w:val="right"/>
              <w:ind w:right="767"/>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5"/>
                <w:szCs w:val="15"/>
                <w:color w:val="auto"/>
              </w:rPr>
              <w:t>862</w:t>
            </w:r>
          </w:p>
        </w:tc>
        <w:tc>
          <w:tcPr>
            <w:tcW w:w="22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ind w:right="769"/>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5"/>
                <w:szCs w:val="15"/>
                <w:color w:val="auto"/>
              </w:rPr>
              <w:t>837</w:t>
            </w:r>
          </w:p>
        </w:tc>
        <w:tc>
          <w:tcPr>
            <w:tcW w:w="24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660" w:type="dxa"/>
            <w:vAlign w:val="bottom"/>
            <w:vMerge w:val="restart"/>
          </w:tcPr>
          <w:p>
            <w:pPr>
              <w:spacing w:after="0"/>
              <w:rPr>
                <w:sz w:val="20"/>
                <w:szCs w:val="20"/>
                <w:color w:val="auto"/>
              </w:rPr>
            </w:pPr>
            <w:r>
              <w:rPr>
                <w:rFonts w:ascii="Arial" w:cs="Arial" w:eastAsia="Arial" w:hAnsi="Arial"/>
                <w:sz w:val="15"/>
                <w:szCs w:val="15"/>
                <w:color w:val="auto"/>
              </w:rPr>
              <w:t>Financing cash flows paid for finance leases</w:t>
            </w: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660" w:type="dxa"/>
            <w:vAlign w:val="bottom"/>
            <w:tcBorders>
              <w:bottom w:val="single" w:sz="8" w:color="CCEEFF"/>
            </w:tcBorders>
            <w:vMerge w:val="continue"/>
          </w:tcPr>
          <w:p>
            <w:pPr>
              <w:spacing w:after="0"/>
              <w:rPr>
                <w:sz w:val="15"/>
                <w:szCs w:val="15"/>
                <w:color w:val="auto"/>
              </w:rPr>
            </w:pPr>
          </w:p>
        </w:tc>
        <w:tc>
          <w:tcPr>
            <w:tcW w:w="880" w:type="dxa"/>
            <w:vAlign w:val="bottom"/>
            <w:tcBorders>
              <w:bottom w:val="single" w:sz="8" w:color="auto"/>
            </w:tcBorders>
          </w:tcPr>
          <w:p>
            <w:pPr>
              <w:jc w:val="right"/>
              <w:ind w:right="767"/>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5"/>
                <w:szCs w:val="15"/>
                <w:color w:val="auto"/>
              </w:rPr>
              <w:t>5</w:t>
            </w:r>
          </w:p>
        </w:tc>
        <w:tc>
          <w:tcPr>
            <w:tcW w:w="22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ind w:right="769"/>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5"/>
                <w:szCs w:val="15"/>
                <w:color w:val="auto"/>
              </w:rPr>
              <w:t>5</w:t>
            </w:r>
          </w:p>
        </w:tc>
        <w:tc>
          <w:tcPr>
            <w:tcW w:w="2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5660" w:type="dxa"/>
            <w:vAlign w:val="bottom"/>
            <w:shd w:val="clear" w:color="auto" w:fill="CCEEFF"/>
          </w:tcPr>
          <w:p>
            <w:pPr>
              <w:spacing w:after="0" w:line="143" w:lineRule="exact"/>
              <w:rPr>
                <w:sz w:val="20"/>
                <w:szCs w:val="20"/>
                <w:color w:val="auto"/>
              </w:rPr>
            </w:pPr>
            <w:r>
              <w:rPr>
                <w:rFonts w:ascii="Arial" w:cs="Arial" w:eastAsia="Arial" w:hAnsi="Arial"/>
                <w:sz w:val="15"/>
                <w:szCs w:val="15"/>
                <w:b w:val="1"/>
                <w:bCs w:val="1"/>
                <w:color w:val="auto"/>
              </w:rPr>
              <w:t>Non-cash investing and financing activities:</w:t>
            </w:r>
          </w:p>
        </w:tc>
        <w:tc>
          <w:tcPr>
            <w:tcW w:w="8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5660" w:type="dxa"/>
            <w:vAlign w:val="bottom"/>
            <w:tcBorders>
              <w:bottom w:val="single" w:sz="8" w:color="CCEEFF"/>
            </w:tcBorders>
          </w:tcPr>
          <w:p>
            <w:pPr>
              <w:spacing w:after="0" w:line="162" w:lineRule="exact"/>
              <w:rPr>
                <w:sz w:val="20"/>
                <w:szCs w:val="20"/>
                <w:color w:val="auto"/>
              </w:rPr>
            </w:pPr>
            <w:r>
              <w:rPr>
                <w:rFonts w:ascii="Arial" w:cs="Arial" w:eastAsia="Arial" w:hAnsi="Arial"/>
                <w:sz w:val="15"/>
                <w:szCs w:val="15"/>
                <w:color w:val="auto"/>
              </w:rPr>
              <w:t>Right-of-use assets obtained in exchange for new operating leases</w:t>
            </w:r>
          </w:p>
        </w:tc>
        <w:tc>
          <w:tcPr>
            <w:tcW w:w="880" w:type="dxa"/>
            <w:vAlign w:val="bottom"/>
            <w:tcBorders>
              <w:bottom w:val="single" w:sz="8" w:color="auto"/>
            </w:tcBorders>
          </w:tcPr>
          <w:p>
            <w:pPr>
              <w:jc w:val="right"/>
              <w:ind w:right="767"/>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w:t>
            </w:r>
          </w:p>
        </w:tc>
        <w:tc>
          <w:tcPr>
            <w:tcW w:w="22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ind w:right="769"/>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23</w:t>
            </w:r>
          </w:p>
        </w:tc>
        <w:tc>
          <w:tcPr>
            <w:tcW w:w="2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5660" w:type="dxa"/>
            <w:vAlign w:val="bottom"/>
            <w:tcBorders>
              <w:bottom w:val="single" w:sz="8" w:color="CCEEFF"/>
            </w:tcBorders>
            <w:shd w:val="clear" w:color="auto" w:fill="CCEEFF"/>
          </w:tcPr>
          <w:p>
            <w:pPr>
              <w:spacing w:after="0" w:line="143" w:lineRule="exact"/>
              <w:rPr>
                <w:sz w:val="20"/>
                <w:szCs w:val="20"/>
                <w:color w:val="auto"/>
              </w:rPr>
            </w:pPr>
            <w:r>
              <w:rPr>
                <w:rFonts w:ascii="Arial" w:cs="Arial" w:eastAsia="Arial" w:hAnsi="Arial"/>
                <w:sz w:val="15"/>
                <w:szCs w:val="15"/>
                <w:color w:val="auto"/>
              </w:rPr>
              <w:t>Increase of right-of-use asset and lease liability due to lease modification</w:t>
            </w:r>
          </w:p>
        </w:tc>
        <w:tc>
          <w:tcPr>
            <w:tcW w:w="880" w:type="dxa"/>
            <w:vAlign w:val="bottom"/>
            <w:tcBorders>
              <w:bottom w:val="single" w:sz="8" w:color="auto"/>
            </w:tcBorders>
            <w:shd w:val="clear" w:color="auto" w:fill="CCEEFF"/>
          </w:tcPr>
          <w:p>
            <w:pPr>
              <w:jc w:val="right"/>
              <w:ind w:right="767"/>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5"/>
                <w:szCs w:val="15"/>
                <w:color w:val="auto"/>
              </w:rPr>
              <w:t>545</w:t>
            </w:r>
          </w:p>
        </w:tc>
        <w:tc>
          <w:tcPr>
            <w:tcW w:w="22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ind w:right="769"/>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5"/>
                <w:szCs w:val="15"/>
                <w:color w:val="auto"/>
              </w:rPr>
              <w:t>—</w:t>
            </w:r>
          </w:p>
        </w:tc>
        <w:tc>
          <w:tcPr>
            <w:tcW w:w="24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660" w:type="dxa"/>
            <w:vAlign w:val="bottom"/>
            <w:vMerge w:val="restart"/>
          </w:tcPr>
          <w:p>
            <w:pPr>
              <w:spacing w:after="0"/>
              <w:rPr>
                <w:sz w:val="20"/>
                <w:szCs w:val="20"/>
                <w:color w:val="auto"/>
              </w:rPr>
            </w:pPr>
            <w:r>
              <w:rPr>
                <w:rFonts w:ascii="Arial" w:cs="Arial" w:eastAsia="Arial" w:hAnsi="Arial"/>
                <w:sz w:val="15"/>
                <w:szCs w:val="15"/>
                <w:color w:val="auto"/>
              </w:rPr>
              <w:t>Purchase of property and equipment in accounts payable and accrued liabilities</w:t>
            </w: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660" w:type="dxa"/>
            <w:vAlign w:val="bottom"/>
            <w:tcBorders>
              <w:bottom w:val="single" w:sz="8" w:color="CCEEFF"/>
            </w:tcBorders>
            <w:vMerge w:val="continue"/>
          </w:tcPr>
          <w:p>
            <w:pPr>
              <w:spacing w:after="0"/>
              <w:rPr>
                <w:sz w:val="15"/>
                <w:szCs w:val="15"/>
                <w:color w:val="auto"/>
              </w:rPr>
            </w:pPr>
          </w:p>
        </w:tc>
        <w:tc>
          <w:tcPr>
            <w:tcW w:w="880" w:type="dxa"/>
            <w:vAlign w:val="bottom"/>
            <w:tcBorders>
              <w:bottom w:val="single" w:sz="8" w:color="auto"/>
            </w:tcBorders>
          </w:tcPr>
          <w:p>
            <w:pPr>
              <w:jc w:val="right"/>
              <w:ind w:right="767"/>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5"/>
                <w:szCs w:val="15"/>
                <w:color w:val="auto"/>
              </w:rPr>
              <w:t>22</w:t>
            </w:r>
          </w:p>
        </w:tc>
        <w:tc>
          <w:tcPr>
            <w:tcW w:w="22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ind w:right="769"/>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5"/>
                <w:szCs w:val="15"/>
                <w:color w:val="auto"/>
              </w:rPr>
              <w:t>27</w:t>
            </w:r>
          </w:p>
        </w:tc>
        <w:tc>
          <w:tcPr>
            <w:tcW w:w="2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5660" w:type="dxa"/>
            <w:vAlign w:val="bottom"/>
            <w:tcBorders>
              <w:bottom w:val="single" w:sz="8" w:color="CCEEFF"/>
            </w:tcBorders>
            <w:shd w:val="clear" w:color="auto" w:fill="CCEEFF"/>
          </w:tcPr>
          <w:p>
            <w:pPr>
              <w:spacing w:after="0" w:line="143" w:lineRule="exact"/>
              <w:rPr>
                <w:sz w:val="20"/>
                <w:szCs w:val="20"/>
                <w:color w:val="auto"/>
              </w:rPr>
            </w:pPr>
            <w:r>
              <w:rPr>
                <w:rFonts w:ascii="Arial" w:cs="Arial" w:eastAsia="Arial" w:hAnsi="Arial"/>
                <w:sz w:val="15"/>
                <w:szCs w:val="15"/>
                <w:color w:val="auto"/>
              </w:rPr>
              <w:t>Bonus settled in shares of common stock</w:t>
            </w:r>
          </w:p>
        </w:tc>
        <w:tc>
          <w:tcPr>
            <w:tcW w:w="880" w:type="dxa"/>
            <w:vAlign w:val="bottom"/>
            <w:tcBorders>
              <w:bottom w:val="single" w:sz="8" w:color="auto"/>
            </w:tcBorders>
            <w:shd w:val="clear" w:color="auto" w:fill="CCEEFF"/>
          </w:tcPr>
          <w:p>
            <w:pPr>
              <w:jc w:val="right"/>
              <w:ind w:right="767"/>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5"/>
                <w:szCs w:val="15"/>
                <w:color w:val="auto"/>
              </w:rPr>
              <w:t>315</w:t>
            </w:r>
          </w:p>
        </w:tc>
        <w:tc>
          <w:tcPr>
            <w:tcW w:w="22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ind w:right="769"/>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5"/>
                <w:szCs w:val="15"/>
                <w:color w:val="auto"/>
              </w:rPr>
              <w:t>—</w:t>
            </w:r>
          </w:p>
        </w:tc>
        <w:tc>
          <w:tcPr>
            <w:tcW w:w="24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EVERSPIN TECHNOLOGIES, INC.</w:t>
      </w:r>
    </w:p>
    <w:p>
      <w:pPr>
        <w:spacing w:after="0" w:line="225"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 Organization and Nature of Business</w:t>
      </w:r>
    </w:p>
    <w:p>
      <w:pPr>
        <w:spacing w:after="0" w:line="229" w:lineRule="exact"/>
        <w:rPr>
          <w:sz w:val="20"/>
          <w:szCs w:val="20"/>
          <w:color w:val="auto"/>
        </w:rPr>
      </w:pPr>
    </w:p>
    <w:p>
      <w:pPr>
        <w:ind w:left="40" w:right="99" w:firstLine="324"/>
        <w:spacing w:after="0" w:line="255" w:lineRule="auto"/>
        <w:rPr>
          <w:sz w:val="20"/>
          <w:szCs w:val="20"/>
          <w:color w:val="auto"/>
        </w:rPr>
      </w:pPr>
      <w:r>
        <w:rPr>
          <w:rFonts w:ascii="Arial" w:cs="Arial" w:eastAsia="Arial" w:hAnsi="Arial"/>
          <w:sz w:val="18"/>
          <w:szCs w:val="18"/>
          <w:color w:val="auto"/>
        </w:rPr>
        <w:t>Everspin Technologies, Inc. (the Company) was incorporated in Delaware on May 16, 2008. The Company’s magnetoresistive random-access memory (MRAM) solutions offer the persistence of non-volatile memory with the speed and endurance of random-access memory (RAM) and enable the protection of mission critical data particularly in the event of power interruption or failure. The Company’s MRAM solutions allow its customers in the industrial, automotive, transportation, and enterprise storage markets to design high performance, power efficient and reliable systems without the need for bulky batteries or capacitors.</w:t>
      </w:r>
    </w:p>
    <w:p>
      <w:pPr>
        <w:spacing w:after="0" w:line="19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Ability to continue as a going concern</w:t>
      </w:r>
    </w:p>
    <w:p>
      <w:pPr>
        <w:spacing w:after="0" w:line="320" w:lineRule="exact"/>
        <w:rPr>
          <w:sz w:val="20"/>
          <w:szCs w:val="20"/>
          <w:color w:val="auto"/>
        </w:rPr>
      </w:pPr>
    </w:p>
    <w:p>
      <w:pPr>
        <w:ind w:left="40" w:right="79" w:firstLine="401"/>
        <w:spacing w:after="0" w:line="289" w:lineRule="auto"/>
        <w:rPr>
          <w:sz w:val="20"/>
          <w:szCs w:val="20"/>
          <w:color w:val="auto"/>
        </w:rPr>
      </w:pPr>
      <w:r>
        <w:rPr>
          <w:rFonts w:ascii="Arial" w:cs="Arial" w:eastAsia="Arial" w:hAnsi="Arial"/>
          <w:sz w:val="16"/>
          <w:szCs w:val="16"/>
          <w:color w:val="auto"/>
        </w:rPr>
        <w:t>The Company believes that its existing cash and cash equivalents as of June 30, 2020, coupled with its anticipated growth and sales levels will be sufficient to meet its anticipated cash requirements for at least the next twelve months from the financial statement issuance date. The Company’s future capital requirements will depend on many factors, including its growth rate, the timing and extent of its spending to support research and development activities, the timing and cost of establishing additional sales and marketing capabilities, and the introduction of new products. The Company may be required at some point in the future to seek additional equity or debt financing, to sustain operations beyond that point, and such additional financing may not be available on acceptable terms or at all. If the Company is unable to raise additional capital or generate sufficient cash from operations to adequately fund its operations, it will need to curtail planned activities to reduce costs. Doing so will likely harm its ability to execute on its business plan.</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left="40" w:right="119" w:firstLine="324"/>
        <w:spacing w:after="0" w:line="269" w:lineRule="auto"/>
        <w:rPr>
          <w:sz w:val="20"/>
          <w:szCs w:val="20"/>
          <w:color w:val="auto"/>
        </w:rPr>
      </w:pPr>
      <w:r>
        <w:rPr>
          <w:rFonts w:ascii="Arial" w:cs="Arial" w:eastAsia="Arial" w:hAnsi="Arial"/>
          <w:sz w:val="17"/>
          <w:szCs w:val="17"/>
          <w:color w:val="auto"/>
        </w:rPr>
        <w:t>The accompanying unaudited condensed financial statements have been prepared in accordance with generally accepted accounting principles in the United States of America (GAAP) and applicable rules and regulations of the Securities and Exchange Commission (SEC) regarding interim financial reporting. As permitted under those rules, certain footnotes or other financial information that are normally required by GAAP have been condensed or omitted, and accordingly the balance sheet as of December 31, 2019 has been derived from the audited financial statements at that date but does not include all of the information required by GAAP for complete financial statements. These unaudited interim condensed financial statements have been prepared on the same basis as the Company’s annual financial statements and, in the opinion of management, reflect all adjustments (consisting only of normal recurring adjustments) that are necessary for a fair statement of the Company’s financial information. The results of operations for the three and six months ended June 30, 2020 are not necessarily indicative of the results to be expected for the year ending December 31, 2020 or for any other interim period or for any other future year.</w:t>
      </w:r>
    </w:p>
    <w:p>
      <w:pPr>
        <w:spacing w:after="0" w:line="182" w:lineRule="exact"/>
        <w:rPr>
          <w:sz w:val="20"/>
          <w:szCs w:val="20"/>
          <w:color w:val="auto"/>
        </w:rPr>
      </w:pPr>
    </w:p>
    <w:p>
      <w:pPr>
        <w:ind w:left="40" w:right="299" w:firstLine="324"/>
        <w:spacing w:after="0" w:line="263" w:lineRule="auto"/>
        <w:rPr>
          <w:sz w:val="20"/>
          <w:szCs w:val="20"/>
          <w:color w:val="auto"/>
        </w:rPr>
      </w:pPr>
      <w:r>
        <w:rPr>
          <w:rFonts w:ascii="Arial" w:cs="Arial" w:eastAsia="Arial" w:hAnsi="Arial"/>
          <w:sz w:val="18"/>
          <w:szCs w:val="18"/>
          <w:color w:val="auto"/>
        </w:rPr>
        <w:t>The accompanying condensed financial statements and related financial information should be read in conjunction with the audited financial statements and the related notes thereto for the year ended December 31, 2019, included in the Company’s Annual Report on Form 10-K filed with the SEC.</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left="40" w:right="79" w:firstLine="324"/>
        <w:spacing w:after="0" w:line="272" w:lineRule="auto"/>
        <w:rPr>
          <w:sz w:val="20"/>
          <w:szCs w:val="20"/>
          <w:color w:val="auto"/>
        </w:rPr>
      </w:pPr>
      <w:r>
        <w:rPr>
          <w:rFonts w:ascii="Arial" w:cs="Arial" w:eastAsia="Arial" w:hAnsi="Arial"/>
          <w:sz w:val="17"/>
          <w:szCs w:val="17"/>
          <w:color w:val="auto"/>
        </w:rPr>
        <w:t>The preparation of the condensed financial statements in conformity with GAAP requires management to make estimates and assumptions that affect the reported amounts of assets and liabilities and disclosure of contingent assets and liabilities as of the date of the condensed financial statements and the reported amounts of revenues and expenses during the reporting period. On an ongoing basis, management evaluates its estimates, including those related to revenue recognition, fair value of assets and liabilities, inventory reserves, product warranty reserves, deferred tax assets and related valuation allowances, and stock-based compensation. The Company believes its estimates and assumptions are reasonable; however, actual results may differ from the Company’s estimates.</w:t>
      </w:r>
    </w:p>
    <w:p>
      <w:pPr>
        <w:sectPr>
          <w:pgSz w:w="11900" w:h="16838" w:orient="portrait"/>
          <w:cols w:equalWidth="0" w:num="1">
            <w:col w:w="9019"/>
          </w:cols>
          <w:pgMar w:left="1440" w:top="517" w:right="1440" w:bottom="1440" w:gutter="0" w:footer="0" w:header="0"/>
        </w:sect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 w:name="page8"/>
    <w:bookmarkEnd w:id="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Accounts receivable, net</w:t>
      </w:r>
    </w:p>
    <w:p>
      <w:pPr>
        <w:spacing w:after="0" w:line="225" w:lineRule="exact"/>
        <w:rPr>
          <w:sz w:val="20"/>
          <w:szCs w:val="20"/>
          <w:color w:val="auto"/>
        </w:rPr>
      </w:pPr>
    </w:p>
    <w:p>
      <w:pPr>
        <w:ind w:left="40" w:right="179" w:firstLine="324"/>
        <w:spacing w:after="0" w:line="255" w:lineRule="auto"/>
        <w:rPr>
          <w:sz w:val="20"/>
          <w:szCs w:val="20"/>
          <w:color w:val="auto"/>
        </w:rPr>
      </w:pPr>
      <w:r>
        <w:rPr>
          <w:rFonts w:ascii="Arial" w:cs="Arial" w:eastAsia="Arial" w:hAnsi="Arial"/>
          <w:sz w:val="18"/>
          <w:szCs w:val="18"/>
          <w:color w:val="auto"/>
        </w:rPr>
        <w:t>The Company establishes an allowance for product returns. The Company analyzes historical returns, current economic trends and changes in customer demand and acceptance of products when evaluating the adequacy of sales returns. Returns are processed as credits on future purchases, as a result, the allowance is recorded against the balance of trade accounts receivable. In addition, the Company establishes an allowance for estimated price concessions related to its distributor agreements. The Company estimates credits to distributors based on the historical rate of credits provided to distributors relative to sales.</w:t>
      </w:r>
    </w:p>
    <w:p>
      <w:pPr>
        <w:spacing w:after="0" w:line="19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Accounts receivable, net consisted of the following (in thousands):</w:t>
      </w:r>
    </w:p>
    <w:p>
      <w:pPr>
        <w:spacing w:after="0" w:line="218"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6"/>
              </w:rPr>
              <w:t>June 30,</w:t>
            </w:r>
          </w:p>
        </w:tc>
        <w:tc>
          <w:tcPr>
            <w:tcW w:w="92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5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2019</w:t>
            </w:r>
          </w:p>
        </w:tc>
      </w:tr>
      <w:tr>
        <w:trPr>
          <w:trHeight w:val="210"/>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Trade accounts receivable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6,978</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5,454</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Unbilled accounts receivable</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488</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576</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Allowance for product returns and price concessions</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(127)</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r>
      <w:tr>
        <w:trPr>
          <w:trHeight w:val="209"/>
        </w:trPr>
        <w:tc>
          <w:tcPr>
            <w:tcW w:w="5120" w:type="dxa"/>
            <w:vAlign w:val="bottom"/>
          </w:tcPr>
          <w:p>
            <w:pPr>
              <w:ind w:left="220"/>
              <w:spacing w:after="0"/>
              <w:rPr>
                <w:sz w:val="20"/>
                <w:szCs w:val="20"/>
                <w:color w:val="auto"/>
              </w:rPr>
            </w:pPr>
            <w:r>
              <w:rPr>
                <w:rFonts w:ascii="Arial" w:cs="Arial" w:eastAsia="Arial" w:hAnsi="Arial"/>
                <w:sz w:val="18"/>
                <w:szCs w:val="18"/>
                <w:color w:val="auto"/>
              </w:rPr>
              <w:t>Accounts receivable, net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7,339</w:t>
            </w:r>
          </w:p>
        </w:tc>
        <w:tc>
          <w:tcPr>
            <w:tcW w:w="16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5,799</w:t>
            </w:r>
          </w:p>
        </w:tc>
      </w:tr>
      <w:tr>
        <w:trPr>
          <w:trHeight w:val="20"/>
        </w:trPr>
        <w:tc>
          <w:tcPr>
            <w:tcW w:w="5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ind w:left="40" w:right="179" w:firstLine="324"/>
        <w:spacing w:after="0" w:line="257" w:lineRule="auto"/>
        <w:rPr>
          <w:sz w:val="20"/>
          <w:szCs w:val="20"/>
          <w:color w:val="auto"/>
        </w:rPr>
      </w:pPr>
      <w:r>
        <w:rPr>
          <w:rFonts w:ascii="Arial" w:cs="Arial" w:eastAsia="Arial" w:hAnsi="Arial"/>
          <w:sz w:val="18"/>
          <w:szCs w:val="18"/>
          <w:color w:val="auto"/>
        </w:rPr>
        <w:t>Financial instruments that potentially expose the Company to a concentration of credit risk consist principally of cash and cash equivalents that are held by a financial institution in the United States and accounts receivable. Amounts on deposit with a financial institution may at times exceed federally insured limits. The Company maintains its cash accounts with high credit quality financial institutions and, accordingly, minimal credit risk exists with respect to the financial institutions.</w:t>
      </w:r>
    </w:p>
    <w:p>
      <w:pPr>
        <w:spacing w:after="0" w:line="188" w:lineRule="exact"/>
        <w:rPr>
          <w:sz w:val="20"/>
          <w:szCs w:val="20"/>
          <w:color w:val="auto"/>
        </w:rPr>
      </w:pPr>
    </w:p>
    <w:p>
      <w:pPr>
        <w:ind w:left="40" w:right="99" w:firstLine="324"/>
        <w:spacing w:after="0" w:line="255" w:lineRule="auto"/>
        <w:rPr>
          <w:sz w:val="20"/>
          <w:szCs w:val="20"/>
          <w:color w:val="auto"/>
        </w:rPr>
      </w:pPr>
      <w:r>
        <w:rPr>
          <w:rFonts w:ascii="Arial" w:cs="Arial" w:eastAsia="Arial" w:hAnsi="Arial"/>
          <w:sz w:val="18"/>
          <w:szCs w:val="18"/>
          <w:color w:val="auto"/>
        </w:rPr>
        <w:t>Significant customers are those which represent more than 10% of the Company’s total revenue or net accounts receivable balance at each respective balance sheet date. For the purposes of this disclosure, the Company defines “customer” as the entity that is purchasing the products or licenses directly from the Company, which includes the distributors of the Company’s products in addition to end customers that the Company sells to directly. For each significant customer, revenue as a percentage of total revenue and accounts receivable as a percentage of total accounts receivable, net are as follows:</w:t>
      </w:r>
    </w:p>
    <w:p>
      <w:pPr>
        <w:spacing w:after="0" w:line="198" w:lineRule="exact"/>
        <w:rPr>
          <w:sz w:val="20"/>
          <w:szCs w:val="20"/>
          <w:color w:val="auto"/>
        </w:rPr>
      </w:pPr>
    </w:p>
    <w:tbl>
      <w:tblPr>
        <w:tblLayout w:type="fixed"/>
        <w:tblInd w:w="760" w:type="dxa"/>
        <w:tblCellMar>
          <w:top w:w="0" w:type="dxa"/>
          <w:left w:w="0" w:type="dxa"/>
          <w:bottom w:w="0" w:type="dxa"/>
          <w:right w:w="0" w:type="dxa"/>
        </w:tblCellMar>
      </w:tblPr>
      <w:tr>
        <w:trPr>
          <w:trHeight w:val="171"/>
        </w:trPr>
        <w:tc>
          <w:tcPr>
            <w:tcW w:w="2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4"/>
          </w:tcPr>
          <w:p>
            <w:pPr>
              <w:ind w:left="220"/>
              <w:spacing w:after="0"/>
              <w:rPr>
                <w:sz w:val="20"/>
                <w:szCs w:val="20"/>
                <w:color w:val="auto"/>
              </w:rPr>
            </w:pPr>
            <w:r>
              <w:rPr>
                <w:rFonts w:ascii="Arial" w:cs="Arial" w:eastAsia="Arial" w:hAnsi="Arial"/>
                <w:sz w:val="14"/>
                <w:szCs w:val="14"/>
                <w:b w:val="1"/>
                <w:bCs w:val="1"/>
                <w:color w:val="auto"/>
              </w:rPr>
              <w:t>Revenue</w:t>
            </w: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900" w:type="dxa"/>
            <w:vAlign w:val="bottom"/>
            <w:gridSpan w:val="4"/>
          </w:tcPr>
          <w:p>
            <w:pPr>
              <w:jc w:val="right"/>
              <w:ind w:right="230"/>
              <w:spacing w:after="0"/>
              <w:rPr>
                <w:sz w:val="20"/>
                <w:szCs w:val="20"/>
                <w:color w:val="auto"/>
              </w:rPr>
            </w:pPr>
            <w:r>
              <w:rPr>
                <w:rFonts w:ascii="Arial" w:cs="Arial" w:eastAsia="Arial" w:hAnsi="Arial"/>
                <w:sz w:val="14"/>
                <w:szCs w:val="14"/>
                <w:b w:val="1"/>
                <w:bCs w:val="1"/>
                <w:color w:val="auto"/>
                <w:w w:val="91"/>
              </w:rPr>
              <w:t>Accounts Receivable, net</w:t>
            </w:r>
          </w:p>
        </w:tc>
        <w:tc>
          <w:tcPr>
            <w:tcW w:w="0" w:type="dxa"/>
            <w:vAlign w:val="bottom"/>
          </w:tcPr>
          <w:p>
            <w:pPr>
              <w:spacing w:after="0"/>
              <w:rPr>
                <w:sz w:val="1"/>
                <w:szCs w:val="1"/>
                <w:color w:val="auto"/>
              </w:rPr>
            </w:pPr>
          </w:p>
        </w:tc>
      </w:tr>
      <w:tr>
        <w:trPr>
          <w:trHeight w:val="119"/>
        </w:trPr>
        <w:tc>
          <w:tcPr>
            <w:tcW w:w="2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00" w:type="dxa"/>
            <w:vAlign w:val="bottom"/>
            <w:tcBorders>
              <w:top w:val="single" w:sz="8" w:color="auto"/>
            </w:tcBorders>
            <w:gridSpan w:val="5"/>
          </w:tcPr>
          <w:p>
            <w:pPr>
              <w:jc w:val="center"/>
              <w:ind w:right="70"/>
              <w:spacing w:after="0" w:line="119" w:lineRule="exact"/>
              <w:rPr>
                <w:sz w:val="20"/>
                <w:szCs w:val="20"/>
                <w:color w:val="auto"/>
              </w:rPr>
            </w:pPr>
            <w:r>
              <w:rPr>
                <w:rFonts w:ascii="Arial" w:cs="Arial" w:eastAsia="Arial" w:hAnsi="Arial"/>
                <w:sz w:val="13"/>
                <w:szCs w:val="13"/>
                <w:b w:val="1"/>
                <w:bCs w:val="1"/>
                <w:color w:val="auto"/>
              </w:rPr>
              <w:t>Three Months Ended</w:t>
            </w:r>
          </w:p>
        </w:tc>
        <w:tc>
          <w:tcPr>
            <w:tcW w:w="1260" w:type="dxa"/>
            <w:vAlign w:val="bottom"/>
            <w:tcBorders>
              <w:top w:val="single" w:sz="8" w:color="auto"/>
            </w:tcBorders>
            <w:gridSpan w:val="3"/>
          </w:tcPr>
          <w:p>
            <w:pPr>
              <w:jc w:val="center"/>
              <w:spacing w:after="0" w:line="119" w:lineRule="exact"/>
              <w:rPr>
                <w:sz w:val="20"/>
                <w:szCs w:val="20"/>
                <w:color w:val="auto"/>
              </w:rPr>
            </w:pPr>
            <w:r>
              <w:rPr>
                <w:rFonts w:ascii="Arial" w:cs="Arial" w:eastAsia="Arial" w:hAnsi="Arial"/>
                <w:sz w:val="13"/>
                <w:szCs w:val="13"/>
                <w:b w:val="1"/>
                <w:bCs w:val="1"/>
                <w:color w:val="auto"/>
              </w:rPr>
              <w:t>Six Months Ended</w:t>
            </w:r>
          </w:p>
        </w:tc>
        <w:tc>
          <w:tcPr>
            <w:tcW w:w="44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gridSpan w:val="2"/>
          </w:tcPr>
          <w:p>
            <w:pPr>
              <w:jc w:val="right"/>
              <w:ind w:right="595"/>
              <w:spacing w:after="0" w:line="119" w:lineRule="exact"/>
              <w:rPr>
                <w:sz w:val="20"/>
                <w:szCs w:val="20"/>
                <w:color w:val="auto"/>
              </w:rPr>
            </w:pPr>
            <w:r>
              <w:rPr>
                <w:rFonts w:ascii="Arial" w:cs="Arial" w:eastAsia="Arial" w:hAnsi="Arial"/>
                <w:sz w:val="13"/>
                <w:szCs w:val="13"/>
                <w:b w:val="1"/>
                <w:bCs w:val="1"/>
                <w:color w:val="auto"/>
              </w:rPr>
              <w:t>As of</w:t>
            </w: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Customers</w:t>
            </w:r>
          </w:p>
        </w:tc>
        <w:tc>
          <w:tcPr>
            <w:tcW w:w="900" w:type="dxa"/>
            <w:vAlign w:val="bottom"/>
            <w:gridSpan w:val="3"/>
          </w:tcPr>
          <w:p>
            <w:pPr>
              <w:jc w:val="center"/>
              <w:ind w:left="317"/>
              <w:spacing w:after="0"/>
              <w:rPr>
                <w:sz w:val="20"/>
                <w:szCs w:val="20"/>
                <w:color w:val="auto"/>
              </w:rPr>
            </w:pPr>
            <w:r>
              <w:rPr>
                <w:rFonts w:ascii="Arial" w:cs="Arial" w:eastAsia="Arial" w:hAnsi="Arial"/>
                <w:sz w:val="14"/>
                <w:szCs w:val="14"/>
                <w:b w:val="1"/>
                <w:bCs w:val="1"/>
                <w:color w:val="auto"/>
                <w:w w:val="89"/>
              </w:rPr>
              <w:t>June 30,</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4"/>
          </w:tcPr>
          <w:p>
            <w:pPr>
              <w:jc w:val="center"/>
              <w:ind w:right="390"/>
              <w:spacing w:after="0"/>
              <w:rPr>
                <w:sz w:val="20"/>
                <w:szCs w:val="20"/>
                <w:color w:val="auto"/>
              </w:rPr>
            </w:pPr>
            <w:r>
              <w:rPr>
                <w:rFonts w:ascii="Arial" w:cs="Arial" w:eastAsia="Arial" w:hAnsi="Arial"/>
                <w:sz w:val="14"/>
                <w:szCs w:val="14"/>
                <w:b w:val="1"/>
                <w:bCs w:val="1"/>
                <w:color w:val="auto"/>
                <w:w w:val="89"/>
              </w:rPr>
              <w:t>June 30,</w:t>
            </w:r>
          </w:p>
        </w:tc>
        <w:tc>
          <w:tcPr>
            <w:tcW w:w="740" w:type="dxa"/>
            <w:vAlign w:val="bottom"/>
            <w:gridSpan w:val="2"/>
          </w:tcPr>
          <w:p>
            <w:pPr>
              <w:jc w:val="right"/>
              <w:ind w:right="142"/>
              <w:spacing w:after="0"/>
              <w:rPr>
                <w:sz w:val="20"/>
                <w:szCs w:val="20"/>
                <w:color w:val="auto"/>
              </w:rPr>
            </w:pPr>
            <w:r>
              <w:rPr>
                <w:rFonts w:ascii="Arial" w:cs="Arial" w:eastAsia="Arial" w:hAnsi="Arial"/>
                <w:sz w:val="14"/>
                <w:szCs w:val="14"/>
                <w:b w:val="1"/>
                <w:bCs w:val="1"/>
                <w:color w:val="auto"/>
                <w:w w:val="89"/>
              </w:rPr>
              <w:t>June 30,</w:t>
            </w:r>
          </w:p>
        </w:tc>
        <w:tc>
          <w:tcPr>
            <w:tcW w:w="1160" w:type="dxa"/>
            <w:vAlign w:val="bottom"/>
            <w:gridSpan w:val="2"/>
          </w:tcPr>
          <w:p>
            <w:pPr>
              <w:jc w:val="right"/>
              <w:ind w:right="23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42"/>
        </w:trPr>
        <w:tc>
          <w:tcPr>
            <w:tcW w:w="2400" w:type="dxa"/>
            <w:vAlign w:val="bottom"/>
            <w:gridSpan w:val="2"/>
            <w:vMerge w:val="continue"/>
          </w:tcPr>
          <w:p>
            <w:pPr>
              <w:spacing w:after="0"/>
              <w:rPr>
                <w:sz w:val="12"/>
                <w:szCs w:val="12"/>
                <w:color w:val="auto"/>
              </w:rPr>
            </w:pPr>
          </w:p>
        </w:tc>
        <w:tc>
          <w:tcPr>
            <w:tcW w:w="620" w:type="dxa"/>
            <w:vAlign w:val="bottom"/>
            <w:tcBorders>
              <w:top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89"/>
              </w:rPr>
              <w:t>2019</w:t>
            </w:r>
          </w:p>
        </w:tc>
        <w:tc>
          <w:tcPr>
            <w:tcW w:w="160" w:type="dxa"/>
            <w:vAlign w:val="bottom"/>
          </w:tcPr>
          <w:p>
            <w:pPr>
              <w:spacing w:after="0"/>
              <w:rPr>
                <w:sz w:val="12"/>
                <w:szCs w:val="12"/>
                <w:color w:val="auto"/>
              </w:rPr>
            </w:pPr>
          </w:p>
        </w:tc>
        <w:tc>
          <w:tcPr>
            <w:tcW w:w="560" w:type="dxa"/>
            <w:vAlign w:val="bottom"/>
            <w:tcBorders>
              <w:top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2019</w:t>
            </w:r>
          </w:p>
        </w:tc>
        <w:tc>
          <w:tcPr>
            <w:tcW w:w="440" w:type="dxa"/>
            <w:vAlign w:val="bottom"/>
          </w:tcPr>
          <w:p>
            <w:pPr>
              <w:spacing w:after="0"/>
              <w:rPr>
                <w:sz w:val="12"/>
                <w:szCs w:val="12"/>
                <w:color w:val="auto"/>
              </w:rPr>
            </w:pPr>
          </w:p>
        </w:tc>
        <w:tc>
          <w:tcPr>
            <w:tcW w:w="580" w:type="dxa"/>
            <w:vAlign w:val="bottom"/>
            <w:tcBorders>
              <w:top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920" w:type="dxa"/>
            <w:vAlign w:val="bottom"/>
            <w:tcBorders>
              <w:top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Customer A</w:t>
            </w: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6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w:t>
            </w:r>
          </w:p>
        </w:tc>
        <w:tc>
          <w:tcPr>
            <w:tcW w:w="1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6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440" w:type="dxa"/>
            <w:vAlign w:val="bottom"/>
            <w:tcBorders>
              <w:top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4"/>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2400" w:type="dxa"/>
            <w:vAlign w:val="bottom"/>
            <w:gridSpan w:val="2"/>
          </w:tcPr>
          <w:p>
            <w:pPr>
              <w:spacing w:after="0"/>
              <w:rPr>
                <w:sz w:val="20"/>
                <w:szCs w:val="20"/>
                <w:color w:val="auto"/>
              </w:rPr>
            </w:pPr>
            <w:r>
              <w:rPr>
                <w:rFonts w:ascii="Arial" w:cs="Arial" w:eastAsia="Arial" w:hAnsi="Arial"/>
                <w:sz w:val="18"/>
                <w:szCs w:val="18"/>
                <w:color w:val="auto"/>
              </w:rPr>
              <w:t>Customer B</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10"/>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16"/>
        </w:trPr>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 C</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13 %</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gridSpan w:val="2"/>
          </w:tcPr>
          <w:p>
            <w:pPr>
              <w:spacing w:after="0"/>
              <w:rPr>
                <w:sz w:val="20"/>
                <w:szCs w:val="20"/>
                <w:color w:val="auto"/>
              </w:rPr>
            </w:pPr>
            <w:r>
              <w:rPr>
                <w:rFonts w:ascii="Arial" w:cs="Arial" w:eastAsia="Arial" w:hAnsi="Arial"/>
                <w:sz w:val="18"/>
                <w:szCs w:val="18"/>
                <w:color w:val="auto"/>
              </w:rPr>
              <w:t>Customer D</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12 %</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210"/>
              <w:spacing w:after="0"/>
              <w:rPr>
                <w:sz w:val="20"/>
                <w:szCs w:val="20"/>
                <w:color w:val="auto"/>
              </w:rPr>
            </w:pPr>
            <w:r>
              <w:rPr>
                <w:rFonts w:ascii="Arial" w:cs="Arial" w:eastAsia="Arial" w:hAnsi="Arial"/>
                <w:sz w:val="18"/>
                <w:szCs w:val="18"/>
                <w:color w:val="auto"/>
              </w:rPr>
              <w:t>12 %</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 E</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12 %</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00" w:type="dxa"/>
            <w:vAlign w:val="bottom"/>
            <w:gridSpan w:val="2"/>
          </w:tcPr>
          <w:p>
            <w:pPr>
              <w:spacing w:after="0"/>
              <w:rPr>
                <w:sz w:val="20"/>
                <w:szCs w:val="20"/>
                <w:color w:val="auto"/>
              </w:rPr>
            </w:pPr>
            <w:r>
              <w:rPr>
                <w:rFonts w:ascii="Arial" w:cs="Arial" w:eastAsia="Arial" w:hAnsi="Arial"/>
                <w:sz w:val="18"/>
                <w:szCs w:val="18"/>
                <w:color w:val="auto"/>
              </w:rPr>
              <w:t>Customer F</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10 %</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59690</wp:posOffset>
            </wp:positionV>
            <wp:extent cx="13030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03020" cy="8890"/>
                    </a:xfrm>
                    <a:prstGeom prst="rect">
                      <a:avLst/>
                    </a:prstGeom>
                    <a:noFill/>
                  </pic:spPr>
                </pic:pic>
              </a:graphicData>
            </a:graphic>
          </wp:anchor>
        </w:drawing>
      </w:r>
    </w:p>
    <w:p>
      <w:pPr>
        <w:spacing w:after="0" w:line="167" w:lineRule="exact"/>
        <w:rPr>
          <w:sz w:val="20"/>
          <w:szCs w:val="20"/>
          <w:color w:val="auto"/>
        </w:rPr>
      </w:pPr>
    </w:p>
    <w:p>
      <w:pPr>
        <w:ind w:left="40"/>
        <w:spacing w:after="0"/>
        <w:tabs>
          <w:tab w:leader="none" w:pos="340" w:val="left"/>
        </w:tabs>
        <w:rPr>
          <w:sz w:val="20"/>
          <w:szCs w:val="20"/>
          <w:color w:val="auto"/>
        </w:rPr>
      </w:pPr>
      <w:r>
        <w:rPr>
          <w:rFonts w:ascii="Arial" w:cs="Arial" w:eastAsia="Arial" w:hAnsi="Arial"/>
          <w:sz w:val="18"/>
          <w:szCs w:val="18"/>
          <w:color w:val="auto"/>
        </w:rPr>
        <w:t>*</w:t>
        <w:tab/>
        <w:t>Less than 10%</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jc w:val="both"/>
        <w:ind w:left="40" w:right="79" w:firstLine="324"/>
        <w:spacing w:after="0" w:line="286" w:lineRule="auto"/>
        <w:rPr>
          <w:sz w:val="20"/>
          <w:szCs w:val="20"/>
          <w:color w:val="auto"/>
        </w:rPr>
      </w:pPr>
      <w:r>
        <w:rPr>
          <w:rFonts w:ascii="Arial" w:cs="Arial" w:eastAsia="Arial" w:hAnsi="Arial"/>
          <w:sz w:val="17"/>
          <w:szCs w:val="17"/>
          <w:color w:val="auto"/>
        </w:rPr>
        <w:t>Fair value is defined as an exit price, representing the amount that would be received to sell an asset, or paid to transfer a liability, in an orderly transaction between market participants. The framework for measuring fair value provides a three-tier hierarchy prioritizing inputs to valuation techniques used in measuring fair value as follows:</w:t>
      </w:r>
    </w:p>
    <w:p>
      <w:pPr>
        <w:spacing w:after="0" w:line="16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Level 1— Observable inputs such as quoted prices for identical assets or liabilities in active markets;</w:t>
      </w:r>
    </w:p>
    <w:p>
      <w:pPr>
        <w:spacing w:after="0" w:line="225" w:lineRule="exact"/>
        <w:rPr>
          <w:sz w:val="20"/>
          <w:szCs w:val="20"/>
          <w:color w:val="auto"/>
        </w:rPr>
      </w:pPr>
    </w:p>
    <w:p>
      <w:pPr>
        <w:ind w:left="360" w:right="419"/>
        <w:spacing w:after="0" w:line="277" w:lineRule="auto"/>
        <w:rPr>
          <w:sz w:val="20"/>
          <w:szCs w:val="20"/>
          <w:color w:val="auto"/>
        </w:rPr>
      </w:pPr>
      <w:r>
        <w:rPr>
          <w:rFonts w:ascii="Arial" w:cs="Arial" w:eastAsia="Arial" w:hAnsi="Arial"/>
          <w:sz w:val="18"/>
          <w:szCs w:val="18"/>
          <w:color w:val="auto"/>
        </w:rPr>
        <w:t>Level 2— Inputs, other than quoted prices for identical assets or liabilities in active markets, which are observable either directly or indirectly; and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 w:name="page9"/>
    <w:bookmarkEnd w:id="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360" w:right="339"/>
        <w:spacing w:after="0" w:line="277" w:lineRule="auto"/>
        <w:rPr>
          <w:sz w:val="20"/>
          <w:szCs w:val="20"/>
          <w:color w:val="auto"/>
        </w:rPr>
      </w:pPr>
      <w:r>
        <w:rPr>
          <w:rFonts w:ascii="Arial" w:cs="Arial" w:eastAsia="Arial" w:hAnsi="Arial"/>
          <w:sz w:val="18"/>
          <w:szCs w:val="18"/>
          <w:color w:val="auto"/>
        </w:rPr>
        <w:t>Level 3— Unobservable inputs in which there is little or no market data requiring the reporting entity to develop its own assumptions</w:t>
      </w:r>
    </w:p>
    <w:p>
      <w:pPr>
        <w:spacing w:after="0" w:line="170" w:lineRule="exact"/>
        <w:rPr>
          <w:sz w:val="20"/>
          <w:szCs w:val="20"/>
          <w:color w:val="auto"/>
        </w:rPr>
      </w:pPr>
    </w:p>
    <w:p>
      <w:pPr>
        <w:ind w:left="40" w:right="139" w:firstLine="324"/>
        <w:spacing w:after="0" w:line="273" w:lineRule="auto"/>
        <w:rPr>
          <w:sz w:val="20"/>
          <w:szCs w:val="20"/>
          <w:color w:val="auto"/>
        </w:rPr>
      </w:pPr>
      <w:r>
        <w:rPr>
          <w:rFonts w:ascii="Arial" w:cs="Arial" w:eastAsia="Arial" w:hAnsi="Arial"/>
          <w:sz w:val="17"/>
          <w:szCs w:val="17"/>
          <w:color w:val="auto"/>
        </w:rPr>
        <w:t>As of June 30, 2020, based on Level 2 inputs and the borrowing rates available to the Company for loans with similar terms and consideration of the Company’s credit risk, the carrying value of the Company’s variable interest rate debt, excluding unamortized debt issuance costs, approximates fair value. The Company’s financial instruments consist of Level 1 assets and a Level 3 liability. Where quoted prices are available in an active market, securities are classified as Level 1. Level 1 assets consist of highly liquid money market funds that are included in cash equivalents. The Company’s Level 3 liability consists of warrants issued in connection with the 2019 Credit Facility (Note 6).</w:t>
      </w:r>
    </w:p>
    <w:p>
      <w:pPr>
        <w:spacing w:after="0" w:line="178" w:lineRule="exact"/>
        <w:rPr>
          <w:sz w:val="20"/>
          <w:szCs w:val="20"/>
          <w:color w:val="auto"/>
        </w:rPr>
      </w:pPr>
    </w:p>
    <w:p>
      <w:pPr>
        <w:ind w:left="40" w:right="119" w:firstLine="324"/>
        <w:spacing w:after="0" w:line="277" w:lineRule="auto"/>
        <w:rPr>
          <w:sz w:val="20"/>
          <w:szCs w:val="20"/>
          <w:color w:val="auto"/>
        </w:rPr>
      </w:pPr>
      <w:r>
        <w:rPr>
          <w:rFonts w:ascii="Arial" w:cs="Arial" w:eastAsia="Arial" w:hAnsi="Arial"/>
          <w:sz w:val="18"/>
          <w:szCs w:val="18"/>
          <w:color w:val="auto"/>
        </w:rPr>
        <w:t>The following tables sets forth the fair value of the Company’s financial assets and liabilities measured at fair value on a recurring basis (in thousands):</w:t>
      </w:r>
    </w:p>
    <w:p>
      <w:pPr>
        <w:spacing w:after="0" w:line="175"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3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ind w:left="360"/>
              <w:spacing w:after="0"/>
              <w:rPr>
                <w:sz w:val="20"/>
                <w:szCs w:val="20"/>
                <w:color w:val="auto"/>
              </w:rPr>
            </w:pPr>
            <w:r>
              <w:rPr>
                <w:rFonts w:ascii="Arial" w:cs="Arial" w:eastAsia="Arial" w:hAnsi="Arial"/>
                <w:sz w:val="14"/>
                <w:szCs w:val="14"/>
                <w:b w:val="1"/>
                <w:bCs w:val="1"/>
                <w:color w:val="auto"/>
              </w:rPr>
              <w:t>June 30, 2020</w:t>
            </w: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r>
      <w:tr>
        <w:trPr>
          <w:trHeight w:val="142"/>
        </w:trPr>
        <w:tc>
          <w:tcPr>
            <w:tcW w:w="3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2"/>
                <w:szCs w:val="12"/>
                <w:color w:val="auto"/>
              </w:rPr>
            </w:pPr>
          </w:p>
        </w:tc>
        <w:tc>
          <w:tcPr>
            <w:tcW w:w="680" w:type="dxa"/>
            <w:vAlign w:val="bottom"/>
          </w:tcPr>
          <w:p>
            <w:pPr>
              <w:ind w:left="40"/>
              <w:spacing w:after="0" w:line="142" w:lineRule="exact"/>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ind w:left="60"/>
              <w:spacing w:after="0" w:line="142" w:lineRule="exact"/>
              <w:rPr>
                <w:sz w:val="20"/>
                <w:szCs w:val="20"/>
                <w:color w:val="auto"/>
              </w:rPr>
            </w:pPr>
            <w:r>
              <w:rPr>
                <w:rFonts w:ascii="Arial" w:cs="Arial" w:eastAsia="Arial" w:hAnsi="Arial"/>
                <w:sz w:val="14"/>
                <w:szCs w:val="14"/>
                <w:b w:val="1"/>
                <w:bCs w:val="1"/>
                <w:color w:val="auto"/>
              </w:rPr>
              <w:t>Level 3</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ind w:right="174"/>
              <w:spacing w:after="0" w:line="142" w:lineRule="exact"/>
              <w:rPr>
                <w:sz w:val="20"/>
                <w:szCs w:val="20"/>
                <w:color w:val="auto"/>
              </w:rPr>
            </w:pPr>
            <w:r>
              <w:rPr>
                <w:rFonts w:ascii="Arial" w:cs="Arial" w:eastAsia="Arial" w:hAnsi="Arial"/>
                <w:sz w:val="14"/>
                <w:szCs w:val="14"/>
                <w:b w:val="1"/>
                <w:bCs w:val="1"/>
                <w:color w:val="auto"/>
              </w:rPr>
              <w:t>Total</w:t>
            </w:r>
          </w:p>
        </w:tc>
      </w:tr>
      <w:tr>
        <w:trPr>
          <w:trHeight w:val="209"/>
        </w:trPr>
        <w:tc>
          <w:tcPr>
            <w:tcW w:w="3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Money market funds</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13,653</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ind w:left="46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ind w:left="48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13,653</w:t>
            </w:r>
          </w:p>
        </w:tc>
      </w:tr>
      <w:tr>
        <w:trPr>
          <w:trHeight w:val="210"/>
        </w:trPr>
        <w:tc>
          <w:tcPr>
            <w:tcW w:w="3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 measured at fair value</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13,653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13,653</w:t>
            </w:r>
          </w:p>
        </w:tc>
      </w:tr>
      <w:tr>
        <w:trPr>
          <w:trHeight w:val="20"/>
        </w:trPr>
        <w:tc>
          <w:tcPr>
            <w:tcW w:w="3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196"/>
        </w:trPr>
        <w:tc>
          <w:tcPr>
            <w:tcW w:w="3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Warrant liability</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ind w:left="46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ind w:left="480"/>
              <w:spacing w:after="0"/>
              <w:rPr>
                <w:sz w:val="20"/>
                <w:szCs w:val="20"/>
                <w:color w:val="auto"/>
              </w:rPr>
            </w:pPr>
            <w:r>
              <w:rPr>
                <w:rFonts w:ascii="Arial" w:cs="Arial" w:eastAsia="Arial" w:hAnsi="Arial"/>
                <w:sz w:val="18"/>
                <w:szCs w:val="18"/>
                <w:color w:val="auto"/>
                <w:w w:val="99"/>
              </w:rPr>
              <w:t>40</w:t>
            </w:r>
          </w:p>
        </w:tc>
        <w:tc>
          <w:tcPr>
            <w:tcW w:w="34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09"/>
        </w:trPr>
        <w:tc>
          <w:tcPr>
            <w:tcW w:w="3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measured at fair value</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w w:val="99"/>
              </w:rPr>
              <w:t>40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0"/>
        </w:trPr>
        <w:tc>
          <w:tcPr>
            <w:tcW w:w="3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359"/>
        </w:trPr>
        <w:tc>
          <w:tcPr>
            <w:tcW w:w="3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rPr>
              <w:t>December 31, 2019</w:t>
            </w: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r>
      <w:tr>
        <w:trPr>
          <w:trHeight w:val="142"/>
        </w:trPr>
        <w:tc>
          <w:tcPr>
            <w:tcW w:w="3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2"/>
                <w:szCs w:val="12"/>
                <w:color w:val="auto"/>
              </w:rPr>
            </w:pPr>
          </w:p>
        </w:tc>
        <w:tc>
          <w:tcPr>
            <w:tcW w:w="680" w:type="dxa"/>
            <w:vAlign w:val="bottom"/>
          </w:tcPr>
          <w:p>
            <w:pPr>
              <w:ind w:left="40"/>
              <w:spacing w:after="0" w:line="142" w:lineRule="exact"/>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ind w:left="60"/>
              <w:spacing w:after="0" w:line="142" w:lineRule="exact"/>
              <w:rPr>
                <w:sz w:val="20"/>
                <w:szCs w:val="20"/>
                <w:color w:val="auto"/>
              </w:rPr>
            </w:pPr>
            <w:r>
              <w:rPr>
                <w:rFonts w:ascii="Arial" w:cs="Arial" w:eastAsia="Arial" w:hAnsi="Arial"/>
                <w:sz w:val="14"/>
                <w:szCs w:val="14"/>
                <w:b w:val="1"/>
                <w:bCs w:val="1"/>
                <w:color w:val="auto"/>
              </w:rPr>
              <w:t>Level 3</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ind w:right="174"/>
              <w:spacing w:after="0" w:line="142" w:lineRule="exact"/>
              <w:rPr>
                <w:sz w:val="20"/>
                <w:szCs w:val="20"/>
                <w:color w:val="auto"/>
              </w:rPr>
            </w:pPr>
            <w:r>
              <w:rPr>
                <w:rFonts w:ascii="Arial" w:cs="Arial" w:eastAsia="Arial" w:hAnsi="Arial"/>
                <w:sz w:val="14"/>
                <w:szCs w:val="14"/>
                <w:b w:val="1"/>
                <w:bCs w:val="1"/>
                <w:color w:val="auto"/>
              </w:rPr>
              <w:t>Total</w:t>
            </w:r>
          </w:p>
        </w:tc>
      </w:tr>
      <w:tr>
        <w:trPr>
          <w:trHeight w:val="210"/>
        </w:trPr>
        <w:tc>
          <w:tcPr>
            <w:tcW w:w="3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Money market funds</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12,367</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ind w:left="46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ind w:left="48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12,367</w:t>
            </w:r>
          </w:p>
        </w:tc>
      </w:tr>
      <w:tr>
        <w:trPr>
          <w:trHeight w:val="209"/>
        </w:trPr>
        <w:tc>
          <w:tcPr>
            <w:tcW w:w="3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 measured at fair value</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12,367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12,367</w:t>
            </w:r>
          </w:p>
        </w:tc>
      </w:tr>
      <w:tr>
        <w:trPr>
          <w:trHeight w:val="20"/>
        </w:trPr>
        <w:tc>
          <w:tcPr>
            <w:tcW w:w="3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197"/>
        </w:trPr>
        <w:tc>
          <w:tcPr>
            <w:tcW w:w="3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Warrant liability</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ind w:left="46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ind w:left="480"/>
              <w:spacing w:after="0"/>
              <w:rPr>
                <w:sz w:val="20"/>
                <w:szCs w:val="20"/>
                <w:color w:val="auto"/>
              </w:rPr>
            </w:pPr>
            <w:r>
              <w:rPr>
                <w:rFonts w:ascii="Arial" w:cs="Arial" w:eastAsia="Arial" w:hAnsi="Arial"/>
                <w:sz w:val="18"/>
                <w:szCs w:val="18"/>
                <w:color w:val="auto"/>
                <w:w w:val="99"/>
              </w:rPr>
              <w:t>33</w:t>
            </w:r>
          </w:p>
        </w:tc>
        <w:tc>
          <w:tcPr>
            <w:tcW w:w="34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09"/>
        </w:trPr>
        <w:tc>
          <w:tcPr>
            <w:tcW w:w="3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measured at fair value</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w w:val="99"/>
              </w:rPr>
              <w:t>33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0"/>
        </w:trPr>
        <w:tc>
          <w:tcPr>
            <w:tcW w:w="3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Recently Issued Pronouncements</w:t>
      </w:r>
    </w:p>
    <w:p>
      <w:pPr>
        <w:spacing w:after="0" w:line="225" w:lineRule="exact"/>
        <w:rPr>
          <w:sz w:val="20"/>
          <w:szCs w:val="20"/>
          <w:color w:val="auto"/>
        </w:rPr>
      </w:pPr>
    </w:p>
    <w:p>
      <w:pPr>
        <w:ind w:left="40" w:right="59" w:firstLine="324"/>
        <w:spacing w:after="0" w:line="288" w:lineRule="auto"/>
        <w:rPr>
          <w:sz w:val="20"/>
          <w:szCs w:val="20"/>
          <w:color w:val="auto"/>
        </w:rPr>
      </w:pPr>
      <w:r>
        <w:rPr>
          <w:rFonts w:ascii="Arial" w:cs="Arial" w:eastAsia="Arial" w:hAnsi="Arial"/>
          <w:sz w:val="16"/>
          <w:szCs w:val="16"/>
          <w:color w:val="auto"/>
        </w:rPr>
        <w:t xml:space="preserve">In June 2016, the Financial Accounting Standards Board (FASB) issued Accounting Standards Update (ASU) No. 2016-13, Financial Instruments-Credit Losses (Topic 326): Measurement of Credit Losses on Financial Instruments, which amends the incurred loss impairment methodology in current GAAP with a methodology that reflects expected credit losses and requires consideration of a broader range of reasonable and supportable information to inform credit loss estimates. As the Company is a smaller reporting company, ASU 2016-13 is effective for the Company’s annual reporting periods, and interim periods within those years, beginning after December 15, 2022, and requires a cumulative effect adjustment to the balance sheet as of the beginning of the first reporting period in which the guidance is effective. In April 2019, the FASB issued ASU No. 2019-04, </w:t>
      </w:r>
      <w:r>
        <w:rPr>
          <w:rFonts w:ascii="Arial" w:cs="Arial" w:eastAsia="Arial" w:hAnsi="Arial"/>
          <w:sz w:val="16"/>
          <w:szCs w:val="16"/>
          <w:i w:val="1"/>
          <w:iCs w:val="1"/>
          <w:color w:val="auto"/>
        </w:rPr>
        <w:t>Codification Improvements Financial Instruments-Credit Losses (Topic 326)</w:t>
      </w:r>
      <w:r>
        <w:rPr>
          <w:rFonts w:ascii="Arial" w:cs="Arial" w:eastAsia="Arial" w:hAnsi="Arial"/>
          <w:sz w:val="16"/>
          <w:szCs w:val="16"/>
          <w:color w:val="auto"/>
        </w:rPr>
        <w:t>. The new ASU provides narrow-scope amendments to help apply ASU No. 2016-13. The Company is evaluating the impact of the adoption of ASU 2016-13 and ASU 2019-04 on its financial statements.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 w:name="page10"/>
    <w:bookmarkEnd w:id="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3. Revenue</w:t>
      </w:r>
    </w:p>
    <w:p>
      <w:pPr>
        <w:spacing w:after="0" w:line="229" w:lineRule="exact"/>
        <w:rPr>
          <w:sz w:val="20"/>
          <w:szCs w:val="20"/>
          <w:color w:val="auto"/>
        </w:rPr>
      </w:pPr>
    </w:p>
    <w:p>
      <w:pPr>
        <w:jc w:val="both"/>
        <w:ind w:left="40" w:right="679" w:firstLine="324"/>
        <w:spacing w:after="0" w:line="311" w:lineRule="auto"/>
        <w:rPr>
          <w:sz w:val="20"/>
          <w:szCs w:val="20"/>
          <w:color w:val="auto"/>
        </w:rPr>
      </w:pPr>
      <w:r>
        <w:rPr>
          <w:rFonts w:ascii="Arial" w:cs="Arial" w:eastAsia="Arial" w:hAnsi="Arial"/>
          <w:sz w:val="16"/>
          <w:szCs w:val="16"/>
          <w:color w:val="auto"/>
        </w:rPr>
        <w:t>The Company sells the majority of its products to its distributors, but also to original equipment manufacturers (OEMs). The Company also recognizes revenue under licensing and royalty agreements with some customers. The following table presents the Company’s revenues disaggregated by sales channel (in thousands):</w:t>
      </w:r>
    </w:p>
    <w:p>
      <w:pPr>
        <w:spacing w:after="0" w:line="154"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020" w:type="dxa"/>
            <w:vAlign w:val="bottom"/>
            <w:gridSpan w:val="5"/>
          </w:tcPr>
          <w:p>
            <w:pPr>
              <w:jc w:val="right"/>
              <w:ind w:right="15"/>
              <w:spacing w:after="0"/>
              <w:rPr>
                <w:sz w:val="20"/>
                <w:szCs w:val="20"/>
                <w:color w:val="auto"/>
              </w:rPr>
            </w:pPr>
            <w:r>
              <w:rPr>
                <w:rFonts w:ascii="Arial" w:cs="Arial" w:eastAsia="Arial" w:hAnsi="Arial"/>
                <w:sz w:val="14"/>
                <w:szCs w:val="14"/>
                <w:b w:val="1"/>
                <w:bCs w:val="1"/>
                <w:color w:val="auto"/>
                <w:w w:val="95"/>
              </w:rPr>
              <w:t>Three Months Ended June 30,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5"/>
          </w:tcPr>
          <w:p>
            <w:pPr>
              <w:ind w:left="40"/>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20" w:type="dxa"/>
            <w:vAlign w:val="bottom"/>
          </w:tcPr>
          <w:p>
            <w:pPr>
              <w:spacing w:after="0"/>
              <w:rPr>
                <w:sz w:val="12"/>
                <w:szCs w:val="12"/>
                <w:color w:val="auto"/>
              </w:rPr>
            </w:pPr>
          </w:p>
        </w:tc>
        <w:tc>
          <w:tcPr>
            <w:tcW w:w="28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7"/>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Distributor</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13,221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12,749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Non-distributor</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5,595</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3,082</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8,713</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5,923</w:t>
            </w:r>
          </w:p>
        </w:tc>
        <w:tc>
          <w:tcPr>
            <w:tcW w:w="100" w:type="dxa"/>
            <w:vAlign w:val="bottom"/>
            <w:tcBorders>
              <w:bottom w:val="single" w:sz="8" w:color="CCEEFF"/>
            </w:tcBorders>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28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revenue</w:t>
            </w: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11,826</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8,646</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21,934</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18,672</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following table presents the Company’s revenues disaggregated by timing of recognition (in thousands):</w:t>
      </w:r>
    </w:p>
    <w:p>
      <w:pPr>
        <w:spacing w:after="0" w:line="174" w:lineRule="exact"/>
        <w:rPr>
          <w:sz w:val="20"/>
          <w:szCs w:val="20"/>
          <w:color w:val="auto"/>
        </w:rPr>
      </w:pPr>
    </w:p>
    <w:tbl>
      <w:tblPr>
        <w:tblLayout w:type="fixed"/>
        <w:tblInd w:w="960" w:type="dxa"/>
        <w:tblCellMar>
          <w:top w:w="0" w:type="dxa"/>
          <w:left w:w="0" w:type="dxa"/>
          <w:bottom w:w="0" w:type="dxa"/>
          <w:right w:w="0" w:type="dxa"/>
        </w:tblCellMar>
      </w:tblPr>
      <w:tr>
        <w:trPr>
          <w:trHeight w:val="171"/>
        </w:trPr>
        <w:tc>
          <w:tcPr>
            <w:tcW w:w="2780" w:type="dxa"/>
            <w:vAlign w:val="bottom"/>
          </w:tcPr>
          <w:p>
            <w:pPr>
              <w:spacing w:after="0"/>
              <w:rPr>
                <w:sz w:val="14"/>
                <w:szCs w:val="14"/>
                <w:color w:val="auto"/>
              </w:rPr>
            </w:pPr>
          </w:p>
        </w:tc>
        <w:tc>
          <w:tcPr>
            <w:tcW w:w="2160" w:type="dxa"/>
            <w:vAlign w:val="bottom"/>
            <w:gridSpan w:val="6"/>
          </w:tcPr>
          <w:p>
            <w:pPr>
              <w:ind w:left="60"/>
              <w:spacing w:after="0"/>
              <w:rPr>
                <w:sz w:val="20"/>
                <w:szCs w:val="20"/>
                <w:color w:val="auto"/>
              </w:rPr>
            </w:pPr>
            <w:r>
              <w:rPr>
                <w:rFonts w:ascii="Arial" w:cs="Arial" w:eastAsia="Arial" w:hAnsi="Arial"/>
                <w:sz w:val="14"/>
                <w:szCs w:val="14"/>
                <w:b w:val="1"/>
                <w:bCs w:val="1"/>
                <w:color w:val="auto"/>
              </w:rPr>
              <w:t>Three Months Ended June 30,</w:t>
            </w:r>
          </w:p>
        </w:tc>
        <w:tc>
          <w:tcPr>
            <w:tcW w:w="140" w:type="dxa"/>
            <w:vAlign w:val="bottom"/>
          </w:tcPr>
          <w:p>
            <w:pPr>
              <w:spacing w:after="0"/>
              <w:rPr>
                <w:sz w:val="14"/>
                <w:szCs w:val="14"/>
                <w:color w:val="auto"/>
              </w:rPr>
            </w:pPr>
          </w:p>
        </w:tc>
        <w:tc>
          <w:tcPr>
            <w:tcW w:w="2020" w:type="dxa"/>
            <w:vAlign w:val="bottom"/>
            <w:gridSpan w:val="5"/>
          </w:tcPr>
          <w:p>
            <w:pPr>
              <w:ind w:left="20"/>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27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57"/>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r>
      <w:tr>
        <w:trPr>
          <w:trHeight w:val="210"/>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Point in time</w:t>
            </w:r>
          </w:p>
        </w:tc>
        <w:tc>
          <w:tcPr>
            <w:tcW w:w="2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11,183</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21,226</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17,631</w:t>
            </w:r>
          </w:p>
        </w:tc>
        <w:tc>
          <w:tcPr>
            <w:tcW w:w="120" w:type="dxa"/>
            <w:vAlign w:val="bottom"/>
            <w:shd w:val="clear" w:color="auto" w:fill="CCEEFF"/>
          </w:tcPr>
          <w:p>
            <w:pPr>
              <w:spacing w:after="0"/>
              <w:rPr>
                <w:sz w:val="18"/>
                <w:szCs w:val="18"/>
                <w:color w:val="auto"/>
              </w:rPr>
            </w:pPr>
          </w:p>
        </w:tc>
      </w:tr>
      <w:tr>
        <w:trPr>
          <w:trHeight w:val="216"/>
        </w:trPr>
        <w:tc>
          <w:tcPr>
            <w:tcW w:w="2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Over time</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708</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1,041</w:t>
            </w:r>
          </w:p>
        </w:tc>
        <w:tc>
          <w:tcPr>
            <w:tcW w:w="120" w:type="dxa"/>
            <w:vAlign w:val="bottom"/>
            <w:tcBorders>
              <w:bottom w:val="single" w:sz="8" w:color="CCEEFF"/>
            </w:tcBorders>
          </w:tcPr>
          <w:p>
            <w:pPr>
              <w:spacing w:after="0"/>
              <w:rPr>
                <w:sz w:val="18"/>
                <w:szCs w:val="18"/>
                <w:color w:val="auto"/>
              </w:rPr>
            </w:pPr>
          </w:p>
        </w:tc>
      </w:tr>
      <w:tr>
        <w:trPr>
          <w:trHeight w:val="209"/>
        </w:trPr>
        <w:tc>
          <w:tcPr>
            <w:tcW w:w="27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revenue</w:t>
            </w:r>
          </w:p>
        </w:tc>
        <w:tc>
          <w:tcPr>
            <w:tcW w:w="2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11,826</w:t>
            </w:r>
          </w:p>
        </w:tc>
        <w:tc>
          <w:tcPr>
            <w:tcW w:w="1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8,646</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21,934</w:t>
            </w:r>
          </w:p>
        </w:tc>
        <w:tc>
          <w:tcPr>
            <w:tcW w:w="1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18,672</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
        </w:trPr>
        <w:tc>
          <w:tcPr>
            <w:tcW w:w="2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presents the Company’s revenues disaggregated by type (in thousands):</w:t>
      </w:r>
    </w:p>
    <w:p>
      <w:pPr>
        <w:spacing w:after="0" w:line="230"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2840" w:type="dxa"/>
            <w:vAlign w:val="bottom"/>
          </w:tcPr>
          <w:p>
            <w:pPr>
              <w:spacing w:after="0"/>
              <w:rPr>
                <w:sz w:val="14"/>
                <w:szCs w:val="14"/>
                <w:color w:val="auto"/>
              </w:rPr>
            </w:pPr>
          </w:p>
        </w:tc>
        <w:tc>
          <w:tcPr>
            <w:tcW w:w="2040" w:type="dxa"/>
            <w:vAlign w:val="bottom"/>
            <w:gridSpan w:val="5"/>
          </w:tcPr>
          <w:p>
            <w:pPr>
              <w:jc w:val="right"/>
              <w:ind w:right="34"/>
              <w:spacing w:after="0"/>
              <w:rPr>
                <w:sz w:val="20"/>
                <w:szCs w:val="20"/>
                <w:color w:val="auto"/>
              </w:rPr>
            </w:pPr>
            <w:r>
              <w:rPr>
                <w:rFonts w:ascii="Arial" w:cs="Arial" w:eastAsia="Arial" w:hAnsi="Arial"/>
                <w:sz w:val="14"/>
                <w:szCs w:val="14"/>
                <w:b w:val="1"/>
                <w:bCs w:val="1"/>
                <w:color w:val="auto"/>
                <w:w w:val="95"/>
              </w:rPr>
              <w:t>Three Months Ended June 30,</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gridSpan w:val="6"/>
          </w:tcPr>
          <w:p>
            <w:pPr>
              <w:ind w:left="40"/>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284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r>
      <w:tr>
        <w:trPr>
          <w:trHeight w:val="210"/>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Product sales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20,562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17,026</w:t>
            </w:r>
          </w:p>
        </w:tc>
        <w:tc>
          <w:tcPr>
            <w:tcW w:w="120" w:type="dxa"/>
            <w:vAlign w:val="bottom"/>
            <w:shd w:val="clear" w:color="auto" w:fill="CCEEFF"/>
          </w:tcPr>
          <w:p>
            <w:pPr>
              <w:spacing w:after="0"/>
              <w:rPr>
                <w:sz w:val="18"/>
                <w:szCs w:val="18"/>
                <w:color w:val="auto"/>
              </w:rPr>
            </w:pP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Royalties</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664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605</w:t>
            </w:r>
          </w:p>
        </w:tc>
        <w:tc>
          <w:tcPr>
            <w:tcW w:w="120" w:type="dxa"/>
            <w:vAlign w:val="bottom"/>
          </w:tcPr>
          <w:p>
            <w:pPr>
              <w:spacing w:after="0"/>
              <w:rPr>
                <w:sz w:val="18"/>
                <w:szCs w:val="18"/>
                <w:color w:val="auto"/>
              </w:rPr>
            </w:pP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Other revenue</w:t>
            </w: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1,041</w:t>
            </w:r>
          </w:p>
        </w:tc>
        <w:tc>
          <w:tcPr>
            <w:tcW w:w="120" w:type="dxa"/>
            <w:vAlign w:val="bottom"/>
            <w:shd w:val="clear" w:color="auto" w:fill="CCEEFF"/>
          </w:tcPr>
          <w:p>
            <w:pPr>
              <w:spacing w:after="0"/>
              <w:rPr>
                <w:sz w:val="18"/>
                <w:szCs w:val="18"/>
                <w:color w:val="auto"/>
              </w:rPr>
            </w:pPr>
          </w:p>
        </w:tc>
      </w:tr>
      <w:tr>
        <w:trPr>
          <w:trHeight w:val="210"/>
        </w:trPr>
        <w:tc>
          <w:tcPr>
            <w:tcW w:w="2840" w:type="dxa"/>
            <w:vAlign w:val="bottom"/>
          </w:tcPr>
          <w:p>
            <w:pPr>
              <w:ind w:left="100"/>
              <w:spacing w:after="0"/>
              <w:rPr>
                <w:sz w:val="20"/>
                <w:szCs w:val="20"/>
                <w:color w:val="auto"/>
              </w:rPr>
            </w:pPr>
            <w:r>
              <w:rPr>
                <w:rFonts w:ascii="Arial" w:cs="Arial" w:eastAsia="Arial" w:hAnsi="Arial"/>
                <w:sz w:val="18"/>
                <w:szCs w:val="18"/>
                <w:color w:val="auto"/>
              </w:rPr>
              <w:t>Total revenue</w:t>
            </w: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11,826</w:t>
            </w:r>
          </w:p>
        </w:tc>
        <w:tc>
          <w:tcPr>
            <w:tcW w:w="160" w:type="dxa"/>
            <w:vAlign w:val="bottom"/>
          </w:tcPr>
          <w:p>
            <w:pPr>
              <w:spacing w:after="0"/>
              <w:rPr>
                <w:sz w:val="18"/>
                <w:szCs w:val="18"/>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8,646</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21,934</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18,672</w:t>
            </w:r>
          </w:p>
        </w:tc>
        <w:tc>
          <w:tcPr>
            <w:tcW w:w="120" w:type="dxa"/>
            <w:vAlign w:val="bottom"/>
          </w:tcPr>
          <w:p>
            <w:pPr>
              <w:spacing w:after="0"/>
              <w:rPr>
                <w:sz w:val="18"/>
                <w:szCs w:val="18"/>
                <w:color w:val="auto"/>
              </w:rPr>
            </w:pPr>
          </w:p>
        </w:tc>
      </w:tr>
      <w:tr>
        <w:trPr>
          <w:trHeight w:val="20"/>
        </w:trPr>
        <w:tc>
          <w:tcPr>
            <w:tcW w:w="2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right="99" w:firstLine="324"/>
        <w:spacing w:after="0" w:line="286" w:lineRule="auto"/>
        <w:rPr>
          <w:sz w:val="20"/>
          <w:szCs w:val="20"/>
          <w:color w:val="auto"/>
        </w:rPr>
      </w:pPr>
      <w:r>
        <w:rPr>
          <w:rFonts w:ascii="Arial" w:cs="Arial" w:eastAsia="Arial" w:hAnsi="Arial"/>
          <w:sz w:val="17"/>
          <w:szCs w:val="17"/>
          <w:color w:val="auto"/>
        </w:rPr>
        <w:t>The Company recognizes revenue in three primary geographic regions: North America; Europe, Middle East and Africa (EMEA); and Asia-Pacific and Japan (APJ). The following table presents the Company’s revenues disaggregated by the geographic region to which the product is delivered or licensee is located (in thousands):</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2160" w:type="dxa"/>
            <w:vAlign w:val="bottom"/>
            <w:gridSpan w:val="6"/>
          </w:tcPr>
          <w:p>
            <w:pPr>
              <w:ind w:left="60"/>
              <w:spacing w:after="0"/>
              <w:rPr>
                <w:sz w:val="20"/>
                <w:szCs w:val="20"/>
                <w:color w:val="auto"/>
              </w:rPr>
            </w:pPr>
            <w:r>
              <w:rPr>
                <w:rFonts w:ascii="Arial" w:cs="Arial" w:eastAsia="Arial" w:hAnsi="Arial"/>
                <w:sz w:val="14"/>
                <w:szCs w:val="14"/>
                <w:b w:val="1"/>
                <w:bCs w:val="1"/>
                <w:color w:val="auto"/>
              </w:rPr>
              <w:t>Three Months Ended June 30,</w:t>
            </w:r>
          </w:p>
        </w:tc>
        <w:tc>
          <w:tcPr>
            <w:tcW w:w="140" w:type="dxa"/>
            <w:vAlign w:val="bottom"/>
          </w:tcPr>
          <w:p>
            <w:pPr>
              <w:spacing w:after="0"/>
              <w:rPr>
                <w:sz w:val="14"/>
                <w:szCs w:val="14"/>
                <w:color w:val="auto"/>
              </w:rPr>
            </w:pPr>
          </w:p>
        </w:tc>
        <w:tc>
          <w:tcPr>
            <w:tcW w:w="2060" w:type="dxa"/>
            <w:vAlign w:val="bottom"/>
            <w:gridSpan w:val="11"/>
          </w:tcPr>
          <w:p>
            <w:pPr>
              <w:ind w:left="2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7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gridSpan w:val="3"/>
          </w:tcPr>
          <w:p>
            <w:pPr>
              <w:jc w:val="center"/>
              <w:ind w:right="56"/>
              <w:spacing w:after="0" w:line="142" w:lineRule="exact"/>
              <w:rPr>
                <w:sz w:val="20"/>
                <w:szCs w:val="20"/>
                <w:color w:val="auto"/>
              </w:rPr>
            </w:pPr>
            <w:r>
              <w:rPr>
                <w:rFonts w:ascii="Arial" w:cs="Arial" w:eastAsia="Arial" w:hAnsi="Arial"/>
                <w:sz w:val="14"/>
                <w:szCs w:val="14"/>
                <w:b w:val="1"/>
                <w:bCs w:val="1"/>
                <w:color w:val="auto"/>
                <w:w w:val="89"/>
              </w:rPr>
              <w:t>2020</w:t>
            </w:r>
          </w:p>
        </w:tc>
        <w:tc>
          <w:tcPr>
            <w:tcW w:w="100" w:type="dxa"/>
            <w:vAlign w:val="bottom"/>
            <w:tcBorders>
              <w:top w:val="single" w:sz="8" w:color="auto"/>
              <w:bottom w:val="single" w:sz="8" w:color="CCEEFF"/>
            </w:tcBorders>
          </w:tcPr>
          <w:p>
            <w:pPr>
              <w:spacing w:after="0"/>
              <w:rPr>
                <w:sz w:val="12"/>
                <w:szCs w:val="12"/>
                <w:color w:val="auto"/>
              </w:rPr>
            </w:pPr>
          </w:p>
        </w:tc>
        <w:tc>
          <w:tcPr>
            <w:tcW w:w="4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w w:val="89"/>
              </w:rPr>
              <w:t>2019</w:t>
            </w:r>
          </w:p>
        </w:tc>
        <w:tc>
          <w:tcPr>
            <w:tcW w:w="120" w:type="dxa"/>
            <w:vAlign w:val="bottom"/>
            <w:tcBorders>
              <w:bottom w:val="single" w:sz="8" w:color="CCEEFF"/>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2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1,820</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2,924</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5,717</w:t>
            </w:r>
          </w:p>
        </w:tc>
        <w:tc>
          <w:tcPr>
            <w:tcW w:w="1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EMEA</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1,619</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2,094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3,727</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4,728</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APJ</w:t>
            </w: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8,387</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3,024</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15,283</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8,227</w:t>
            </w:r>
          </w:p>
        </w:tc>
        <w:tc>
          <w:tcPr>
            <w:tcW w:w="1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780" w:type="dxa"/>
            <w:vAlign w:val="bottom"/>
          </w:tcPr>
          <w:p>
            <w:pPr>
              <w:ind w:left="100"/>
              <w:spacing w:after="0"/>
              <w:rPr>
                <w:sz w:val="20"/>
                <w:szCs w:val="20"/>
                <w:color w:val="auto"/>
              </w:rPr>
            </w:pPr>
            <w:r>
              <w:rPr>
                <w:rFonts w:ascii="Arial" w:cs="Arial" w:eastAsia="Arial" w:hAnsi="Arial"/>
                <w:sz w:val="18"/>
                <w:szCs w:val="18"/>
                <w:color w:val="auto"/>
              </w:rPr>
              <w:t>Total revenue</w:t>
            </w:r>
          </w:p>
        </w:tc>
        <w:tc>
          <w:tcPr>
            <w:tcW w:w="22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11,826</w:t>
            </w:r>
          </w:p>
        </w:tc>
        <w:tc>
          <w:tcPr>
            <w:tcW w:w="14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8,646</w:t>
            </w: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21,934</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w w:val="79"/>
              </w:rPr>
              <w:t>$</w:t>
            </w:r>
          </w:p>
        </w:tc>
        <w:tc>
          <w:tcPr>
            <w:tcW w:w="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18,672</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4. Balance Sheet Components</w:t>
            </w: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3700" w:type="dxa"/>
            <w:vAlign w:val="bottom"/>
            <w:gridSpan w:val="3"/>
            <w:vMerge w:val="continue"/>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70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Inventory</w:t>
            </w: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780" w:type="dxa"/>
            <w:vAlign w:val="bottom"/>
            <w:gridSpan w:val="6"/>
          </w:tcPr>
          <w:p>
            <w:pPr>
              <w:ind w:left="320"/>
              <w:spacing w:after="0"/>
              <w:rPr>
                <w:sz w:val="20"/>
                <w:szCs w:val="20"/>
                <w:color w:val="auto"/>
              </w:rPr>
            </w:pPr>
            <w:r>
              <w:rPr>
                <w:rFonts w:ascii="Arial" w:cs="Arial" w:eastAsia="Arial" w:hAnsi="Arial"/>
                <w:sz w:val="18"/>
                <w:szCs w:val="18"/>
                <w:color w:val="auto"/>
              </w:rPr>
              <w:t>Inventory consisted of the following (in thousands):</w:t>
            </w: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gridSpan w:val="2"/>
          </w:tcPr>
          <w:p>
            <w:pPr>
              <w:spacing w:after="0"/>
              <w:rPr>
                <w:sz w:val="20"/>
                <w:szCs w:val="20"/>
                <w:color w:val="auto"/>
              </w:rPr>
            </w:pPr>
            <w:r>
              <w:rPr>
                <w:rFonts w:ascii="Arial" w:cs="Arial" w:eastAsia="Arial" w:hAnsi="Arial"/>
                <w:sz w:val="14"/>
                <w:szCs w:val="14"/>
                <w:b w:val="1"/>
                <w:bCs w:val="1"/>
                <w:color w:val="auto"/>
                <w:w w:val="92"/>
              </w:rPr>
              <w:t>June 30,</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gridSpan w:val="4"/>
          </w:tcPr>
          <w:p>
            <w:pP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880" w:type="dxa"/>
            <w:vAlign w:val="bottom"/>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78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rPr>
              <w:t>Work-in-process</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4"/>
          </w:tcPr>
          <w:p>
            <w:pPr>
              <w:jc w:val="right"/>
              <w:spacing w:after="0"/>
              <w:rPr>
                <w:sz w:val="20"/>
                <w:szCs w:val="20"/>
                <w:color w:val="auto"/>
              </w:rPr>
            </w:pPr>
            <w:r>
              <w:rPr>
                <w:rFonts w:ascii="Arial" w:cs="Arial" w:eastAsia="Arial" w:hAnsi="Arial"/>
                <w:sz w:val="18"/>
                <w:szCs w:val="18"/>
                <w:color w:val="auto"/>
              </w:rPr>
              <w:t>6,233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6,329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1,833</w:t>
            </w: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1,415</w:t>
            </w:r>
          </w:p>
        </w:tc>
        <w:tc>
          <w:tcPr>
            <w:tcW w:w="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780" w:type="dxa"/>
            <w:vAlign w:val="bottom"/>
          </w:tcPr>
          <w:p>
            <w:pPr>
              <w:ind w:left="160"/>
              <w:spacing w:after="0"/>
              <w:rPr>
                <w:sz w:val="20"/>
                <w:szCs w:val="20"/>
                <w:color w:val="auto"/>
              </w:rPr>
            </w:pPr>
            <w:r>
              <w:rPr>
                <w:rFonts w:ascii="Arial" w:cs="Arial" w:eastAsia="Arial" w:hAnsi="Arial"/>
                <w:sz w:val="18"/>
                <w:szCs w:val="18"/>
                <w:color w:val="auto"/>
              </w:rPr>
              <w:t>Total inventory</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8,368</w:t>
            </w:r>
          </w:p>
        </w:tc>
        <w:tc>
          <w:tcPr>
            <w:tcW w:w="180" w:type="dxa"/>
            <w:vAlign w:val="bottom"/>
          </w:tcPr>
          <w:p>
            <w:pPr>
              <w:spacing w:after="0"/>
              <w:rPr>
                <w:sz w:val="18"/>
                <w:szCs w:val="18"/>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7,863</w:t>
            </w: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 w:name="page11"/>
    <w:bookmarkEnd w:id="1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Accrued Liabilities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Accrued liabilities consisted of the following (in thousands):</w:t>
      </w:r>
    </w:p>
    <w:p>
      <w:pPr>
        <w:spacing w:after="0" w:line="230" w:lineRule="exact"/>
        <w:rPr>
          <w:sz w:val="20"/>
          <w:szCs w:val="20"/>
          <w:color w:val="auto"/>
        </w:rPr>
      </w:pPr>
    </w:p>
    <w:tbl>
      <w:tblPr>
        <w:tblLayout w:type="fixed"/>
        <w:tblInd w:w="920" w:type="dxa"/>
        <w:tblCellMar>
          <w:top w:w="0" w:type="dxa"/>
          <w:left w:w="0" w:type="dxa"/>
          <w:bottom w:w="0" w:type="dxa"/>
          <w:right w:w="0" w:type="dxa"/>
        </w:tblCellMar>
      </w:tblPr>
      <w:tr>
        <w:trPr>
          <w:trHeight w:val="162"/>
        </w:trPr>
        <w:tc>
          <w:tcPr>
            <w:tcW w:w="5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4"/>
                <w:szCs w:val="14"/>
                <w:color w:val="auto"/>
              </w:rPr>
            </w:pP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w w:val="90"/>
              </w:rPr>
              <w:t>December 31,</w:t>
            </w:r>
          </w:p>
        </w:tc>
      </w:tr>
      <w:tr>
        <w:trPr>
          <w:trHeight w:val="171"/>
        </w:trPr>
        <w:tc>
          <w:tcPr>
            <w:tcW w:w="53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2019</w:t>
            </w:r>
          </w:p>
        </w:tc>
      </w:tr>
      <w:tr>
        <w:trPr>
          <w:trHeight w:val="209"/>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Accrued payroll-related expenses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1,236</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Accrued joint development agreement expenses</w:t>
            </w:r>
          </w:p>
        </w:tc>
        <w:tc>
          <w:tcPr>
            <w:tcW w:w="1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170</w:t>
            </w: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Accrued inventory</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Restructuring expenses</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782</w:t>
            </w: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w:t>
            </w:r>
          </w:p>
        </w:tc>
      </w:tr>
      <w:tr>
        <w:trPr>
          <w:trHeight w:val="209"/>
        </w:trPr>
        <w:tc>
          <w:tcPr>
            <w:tcW w:w="5360" w:type="dxa"/>
            <w:vAlign w:val="bottom"/>
          </w:tcPr>
          <w:p>
            <w:pPr>
              <w:ind w:left="200"/>
              <w:spacing w:after="0"/>
              <w:rPr>
                <w:sz w:val="20"/>
                <w:szCs w:val="20"/>
                <w:color w:val="auto"/>
              </w:rPr>
            </w:pPr>
            <w:r>
              <w:rPr>
                <w:rFonts w:ascii="Arial" w:cs="Arial" w:eastAsia="Arial" w:hAnsi="Arial"/>
                <w:sz w:val="18"/>
                <w:szCs w:val="18"/>
                <w:color w:val="auto"/>
              </w:rPr>
              <w:t>Total accrued liabilities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1,392</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2,727</w:t>
            </w:r>
          </w:p>
        </w:tc>
      </w:tr>
      <w:tr>
        <w:trPr>
          <w:trHeight w:val="20"/>
        </w:trPr>
        <w:tc>
          <w:tcPr>
            <w:tcW w:w="5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40" w:right="259" w:firstLine="648"/>
        <w:spacing w:after="0" w:line="311" w:lineRule="auto"/>
        <w:rPr>
          <w:sz w:val="20"/>
          <w:szCs w:val="20"/>
          <w:color w:val="auto"/>
        </w:rPr>
      </w:pPr>
      <w:r>
        <w:rPr>
          <w:rFonts w:ascii="Arial" w:cs="Arial" w:eastAsia="Arial" w:hAnsi="Arial"/>
          <w:sz w:val="16"/>
          <w:szCs w:val="16"/>
          <w:color w:val="auto"/>
        </w:rPr>
        <w:t>As of June 30, 2020, the Company completed the corporate restructuring activity initiated during the year ended December 31, 2019. Cash paid for employee severance and benefit arrangements in connection with the restructuring activity were $0.3 million and $0.7 million during the three months and six months ended June 30, 2020.</w:t>
      </w:r>
    </w:p>
    <w:p>
      <w:pPr>
        <w:spacing w:after="0" w:line="14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5. Leases</w:t>
      </w:r>
    </w:p>
    <w:p>
      <w:pPr>
        <w:spacing w:after="0" w:line="256" w:lineRule="exact"/>
        <w:rPr>
          <w:sz w:val="20"/>
          <w:szCs w:val="20"/>
          <w:color w:val="auto"/>
        </w:rPr>
      </w:pPr>
    </w:p>
    <w:p>
      <w:pPr>
        <w:ind w:left="40" w:right="199" w:firstLine="324"/>
        <w:spacing w:after="0" w:line="263" w:lineRule="auto"/>
        <w:rPr>
          <w:sz w:val="20"/>
          <w:szCs w:val="20"/>
          <w:color w:val="auto"/>
        </w:rPr>
      </w:pPr>
      <w:r>
        <w:rPr>
          <w:rFonts w:ascii="Arial" w:cs="Arial" w:eastAsia="Arial" w:hAnsi="Arial"/>
          <w:sz w:val="18"/>
          <w:szCs w:val="18"/>
          <w:color w:val="auto"/>
        </w:rPr>
        <w:t>Operating leases consist primarily of office space expiring at various dates through 2023. In May 2020, the Company executed an amendment to its lease agreement for its manufacturing facility. The amendment extended the lease term by one year and reduced the monthly rent payment.</w:t>
      </w:r>
    </w:p>
    <w:p>
      <w:pPr>
        <w:spacing w:after="0" w:line="184" w:lineRule="exact"/>
        <w:rPr>
          <w:sz w:val="20"/>
          <w:szCs w:val="20"/>
          <w:color w:val="auto"/>
        </w:rPr>
      </w:pPr>
    </w:p>
    <w:p>
      <w:pPr>
        <w:ind w:left="40" w:right="359" w:firstLine="324"/>
        <w:spacing w:after="0" w:line="277" w:lineRule="auto"/>
        <w:rPr>
          <w:sz w:val="20"/>
          <w:szCs w:val="20"/>
          <w:color w:val="auto"/>
        </w:rPr>
      </w:pPr>
      <w:r>
        <w:rPr>
          <w:rFonts w:ascii="Arial" w:cs="Arial" w:eastAsia="Arial" w:hAnsi="Arial"/>
          <w:sz w:val="18"/>
          <w:szCs w:val="18"/>
          <w:color w:val="auto"/>
        </w:rPr>
        <w:t>The undiscounted future non-cancellable lease payments under the Company’s operating leases were as follows (in thousands):</w:t>
      </w:r>
    </w:p>
    <w:p>
      <w:pPr>
        <w:spacing w:after="0" w:line="243"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940" w:type="dxa"/>
            <w:vAlign w:val="bottom"/>
          </w:tcPr>
          <w:p>
            <w:pPr>
              <w:spacing w:after="0"/>
              <w:rPr>
                <w:sz w:val="20"/>
                <w:szCs w:val="20"/>
                <w:color w:val="auto"/>
              </w:rPr>
            </w:pPr>
            <w:r>
              <w:rPr>
                <w:rFonts w:ascii="Arial" w:cs="Arial" w:eastAsia="Arial" w:hAnsi="Arial"/>
                <w:sz w:val="14"/>
                <w:szCs w:val="14"/>
                <w:b w:val="1"/>
                <w:bCs w:val="1"/>
                <w:color w:val="auto"/>
              </w:rPr>
              <w:t>As of June 30, 2020</w:t>
            </w:r>
          </w:p>
        </w:tc>
        <w:tc>
          <w:tcPr>
            <w:tcW w:w="160" w:type="dxa"/>
            <w:vAlign w:val="bottom"/>
          </w:tcPr>
          <w:p>
            <w:pPr>
              <w:spacing w:after="0"/>
              <w:rPr>
                <w:sz w:val="14"/>
                <w:szCs w:val="14"/>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Amount</w:t>
            </w:r>
          </w:p>
        </w:tc>
      </w:tr>
      <w:tr>
        <w:trPr>
          <w:trHeight w:val="210"/>
        </w:trPr>
        <w:tc>
          <w:tcPr>
            <w:tcW w:w="5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2020 (remaining six months)</w:t>
            </w: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873</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2021</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1,603</w:t>
            </w:r>
          </w:p>
        </w:tc>
        <w:tc>
          <w:tcPr>
            <w:tcW w:w="20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w:t>
            </w:r>
          </w:p>
        </w:tc>
        <w:tc>
          <w:tcPr>
            <w:tcW w:w="200" w:type="dxa"/>
            <w:vAlign w:val="bottom"/>
            <w:shd w:val="clear" w:color="auto" w:fill="CCEEFF"/>
          </w:tcPr>
          <w:p>
            <w:pPr>
              <w:spacing w:after="0"/>
              <w:rPr>
                <w:sz w:val="18"/>
                <w:szCs w:val="18"/>
                <w:color w:val="auto"/>
              </w:rPr>
            </w:pPr>
          </w:p>
        </w:tc>
      </w:tr>
      <w:tr>
        <w:trPr>
          <w:trHeight w:val="216"/>
        </w:trPr>
        <w:tc>
          <w:tcPr>
            <w:tcW w:w="5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2023</w:t>
            </w: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200" w:type="dxa"/>
            <w:vAlign w:val="bottom"/>
            <w:tcBorders>
              <w:bottom w:val="single" w:sz="8" w:color="CCEEFF"/>
            </w:tcBorders>
          </w:tcPr>
          <w:p>
            <w:pPr>
              <w:spacing w:after="0"/>
              <w:rPr>
                <w:sz w:val="18"/>
                <w:szCs w:val="18"/>
                <w:color w:val="auto"/>
              </w:rPr>
            </w:pPr>
          </w:p>
        </w:tc>
      </w:tr>
      <w:tr>
        <w:trPr>
          <w:trHeight w:val="210"/>
        </w:trPr>
        <w:tc>
          <w:tcPr>
            <w:tcW w:w="5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undiscounted lease payments</w:t>
            </w: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3,405</w:t>
            </w:r>
          </w:p>
        </w:tc>
        <w:tc>
          <w:tcPr>
            <w:tcW w:w="200" w:type="dxa"/>
            <w:vAlign w:val="bottom"/>
            <w:tcBorders>
              <w:bottom w:val="single" w:sz="8" w:color="CCEEFF"/>
            </w:tcBorders>
            <w:shd w:val="clear" w:color="auto" w:fill="CCEEFF"/>
          </w:tcPr>
          <w:p>
            <w:pPr>
              <w:spacing w:after="0"/>
              <w:rPr>
                <w:sz w:val="18"/>
                <w:szCs w:val="18"/>
                <w:color w:val="auto"/>
              </w:rPr>
            </w:pPr>
          </w:p>
        </w:tc>
      </w:tr>
      <w:tr>
        <w:trPr>
          <w:trHeight w:val="20"/>
        </w:trPr>
        <w:tc>
          <w:tcPr>
            <w:tcW w:w="5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3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6. Debt</w:t>
      </w:r>
    </w:p>
    <w:p>
      <w:pPr>
        <w:spacing w:after="0" w:line="200" w:lineRule="exact"/>
        <w:rPr>
          <w:sz w:val="20"/>
          <w:szCs w:val="20"/>
          <w:color w:val="auto"/>
        </w:rPr>
      </w:pPr>
    </w:p>
    <w:p>
      <w:pPr>
        <w:spacing w:after="0" w:line="24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2019 Credit Facility</w:t>
      </w:r>
    </w:p>
    <w:p>
      <w:pPr>
        <w:spacing w:after="0" w:line="225" w:lineRule="exact"/>
        <w:rPr>
          <w:sz w:val="20"/>
          <w:szCs w:val="20"/>
          <w:color w:val="auto"/>
        </w:rPr>
      </w:pPr>
    </w:p>
    <w:p>
      <w:pPr>
        <w:ind w:left="40" w:right="359" w:firstLine="324"/>
        <w:spacing w:after="0" w:line="275" w:lineRule="auto"/>
        <w:rPr>
          <w:sz w:val="20"/>
          <w:szCs w:val="20"/>
          <w:color w:val="auto"/>
        </w:rPr>
      </w:pPr>
      <w:r>
        <w:rPr>
          <w:rFonts w:ascii="Arial" w:cs="Arial" w:eastAsia="Arial" w:hAnsi="Arial"/>
          <w:sz w:val="17"/>
          <w:szCs w:val="17"/>
          <w:color w:val="auto"/>
        </w:rPr>
        <w:t>In August 2019, the Company executed an Amended and Restated Loan and Security Agreement (the 2019 Credit Facility), which amended and restated the 2017 Credit Facility, providing for a formula revolving line of credit (Line of Credit) and a term loan (2019 Term Loan) with Silicon Valley Bank (SVB) to refinance in full the outstanding principal balance of $8.0 million under the 2017 Credit Facility. In August 2019, the Company paid the final payment of $0.8 million, which was due upon the refinancing of the 2017 Credit Facility.</w:t>
      </w:r>
    </w:p>
    <w:p>
      <w:pPr>
        <w:spacing w:after="0" w:line="176" w:lineRule="exact"/>
        <w:rPr>
          <w:sz w:val="20"/>
          <w:szCs w:val="20"/>
          <w:color w:val="auto"/>
        </w:rPr>
      </w:pPr>
    </w:p>
    <w:p>
      <w:pPr>
        <w:ind w:left="40" w:right="139" w:firstLine="324"/>
        <w:spacing w:after="0" w:line="287" w:lineRule="auto"/>
        <w:rPr>
          <w:sz w:val="20"/>
          <w:szCs w:val="20"/>
          <w:color w:val="auto"/>
        </w:rPr>
      </w:pPr>
      <w:r>
        <w:rPr>
          <w:rFonts w:ascii="Arial" w:cs="Arial" w:eastAsia="Arial" w:hAnsi="Arial"/>
          <w:sz w:val="16"/>
          <w:szCs w:val="16"/>
          <w:color w:val="auto"/>
        </w:rPr>
        <w:t>The Line of Credit allows for a maximum draw of $5.0 million, subject to a formula borrowing base, has a two-year term and bears interest at a floating rate equal to the Wall Street Journal (WSJ) prime rate plus 1.5%, per annum, subject to a floor of 6.75%. As of June 30, 2020, the interest rate was 6.75%. The Line of Credit provides for a commitment fee of</w:t>
      </w:r>
    </w:p>
    <w:p>
      <w:pPr>
        <w:spacing w:after="0" w:line="2" w:lineRule="exact"/>
        <w:rPr>
          <w:sz w:val="20"/>
          <w:szCs w:val="20"/>
          <w:color w:val="auto"/>
        </w:rPr>
      </w:pPr>
    </w:p>
    <w:p>
      <w:pPr>
        <w:ind w:left="40" w:right="119"/>
        <w:spacing w:after="0" w:line="251" w:lineRule="auto"/>
        <w:rPr>
          <w:sz w:val="20"/>
          <w:szCs w:val="20"/>
          <w:color w:val="auto"/>
        </w:rPr>
      </w:pPr>
      <w:r>
        <w:rPr>
          <w:rFonts w:ascii="Arial" w:cs="Arial" w:eastAsia="Arial" w:hAnsi="Arial"/>
          <w:sz w:val="18"/>
          <w:szCs w:val="18"/>
          <w:color w:val="auto"/>
        </w:rPr>
        <w:t>1.6% of the maximum availability of the Line of Credit, which was paid in August 2019 upon closing, and was accounted for as a debt discount. The Line of Credit also provides for a termination fee equal to 1% of the maximum availability under the Line of Credit, which is due in case of a termination of the Line of Credit prior to the scheduled maturity date, and an unused facility fee equal to 0.125% per annum of the average unused portion of the Line of Credit, which is expensed as incurred. At execution, $2.0 million from the Line of Credit was used to refinance a portion of the outstanding balance of the 2017 Credit Facility, and $3.0 million remains available under the Line of Credit, subject to borrowing base availability. As of June 30, 2020, the effective interest rate under the Line of Credit was 10.57% and the outstanding balance was $2.0 million.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 w:name="page12"/>
    <w:bookmarkEnd w:id="1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right="99" w:firstLine="324"/>
        <w:spacing w:after="0" w:line="253" w:lineRule="auto"/>
        <w:rPr>
          <w:sz w:val="20"/>
          <w:szCs w:val="20"/>
          <w:color w:val="auto"/>
        </w:rPr>
      </w:pPr>
      <w:r>
        <w:rPr>
          <w:rFonts w:ascii="Arial" w:cs="Arial" w:eastAsia="Arial" w:hAnsi="Arial"/>
          <w:sz w:val="18"/>
          <w:szCs w:val="18"/>
          <w:color w:val="auto"/>
        </w:rPr>
        <w:t>The 2019 Term Loan provides for a $6.0 million term loan, which was used to refinance the remaining balance of the 2017 Credit Facility. The 2019 Term Loan has a term of 42 months, and a 12-month interest only period followed by 30 months of equal principal payments, plus accrued interest. The 2019 Term Loan bears interest at a floating rate equal to the WSJ prime rate minus 0.75%, subject to a floor of 4.75%. As of June 30, 2020, the interest rate was 4.75%. A final payment of 7% of the original principal amount of the 2019 Term Loan must be made when the 2019 Term Loan is prepaid or repaid, whether at maturity or as a result of a prepayment or acceleration or otherwise. The additional payment, which is accounted for as a debt discount, is being accreted using the effective interest method. The 2019 Term Loan has a prepayment fee equal to 2% of the total commitment, which is due only if the 2019 Term Loan is prepaid prior to the scheduled maturity date for any reason. As of June 30, 2020, the effective interest rate under the 2019 Term Loan was 8.66%.</w:t>
      </w:r>
    </w:p>
    <w:p>
      <w:pPr>
        <w:spacing w:after="0" w:line="194" w:lineRule="exact"/>
        <w:rPr>
          <w:sz w:val="20"/>
          <w:szCs w:val="20"/>
          <w:color w:val="auto"/>
        </w:rPr>
      </w:pPr>
    </w:p>
    <w:p>
      <w:pPr>
        <w:ind w:left="40" w:right="119" w:firstLine="324"/>
        <w:spacing w:after="0" w:line="289" w:lineRule="auto"/>
        <w:rPr>
          <w:sz w:val="20"/>
          <w:szCs w:val="20"/>
          <w:color w:val="auto"/>
        </w:rPr>
      </w:pPr>
      <w:r>
        <w:rPr>
          <w:rFonts w:ascii="Arial" w:cs="Arial" w:eastAsia="Arial" w:hAnsi="Arial"/>
          <w:sz w:val="16"/>
          <w:szCs w:val="16"/>
          <w:color w:val="auto"/>
        </w:rPr>
        <w:t>In conjunction with entering into the 2019 Credit Facility, on August 5, 2019, the Company and SVB amended and restated the warrant issued to SVB in connection with the First Amendment, which was a warrant to purchase 9,375 shares of the Company’s common stock at $8.91 per share, to add an option by SVB to put the warrant back to the Company for $50,000 upon expiration or a liquidity event, to be prorated if SVB exercises a portion of the warrant. The warrant expires on July 6, 2023. The warrant is classified as a liability and recorded at fair value within other liabilities in the Company’s condensed balance sheet. Due to the put right, the warrant is subject to fair value remeasurement at each subsequent reporting date until the exercise or expiration of the warrant. Any resulting change in the fair value of the warrant will be recorded as other (expense) income, net in the Company’s condensed statement of operations and comprehensive loss. The Company recognized other expense of $12,000 and $7,000 for the three and six months ended June 30, 2020, respectively.</w:t>
      </w:r>
    </w:p>
    <w:p>
      <w:pPr>
        <w:spacing w:after="0" w:line="166" w:lineRule="exact"/>
        <w:rPr>
          <w:sz w:val="20"/>
          <w:szCs w:val="20"/>
          <w:color w:val="auto"/>
        </w:rPr>
      </w:pPr>
    </w:p>
    <w:p>
      <w:pPr>
        <w:ind w:left="40" w:right="79" w:firstLine="324"/>
        <w:spacing w:after="0" w:line="269" w:lineRule="auto"/>
        <w:rPr>
          <w:sz w:val="20"/>
          <w:szCs w:val="20"/>
          <w:color w:val="auto"/>
        </w:rPr>
      </w:pPr>
      <w:r>
        <w:rPr>
          <w:rFonts w:ascii="Arial" w:cs="Arial" w:eastAsia="Arial" w:hAnsi="Arial"/>
          <w:sz w:val="17"/>
          <w:szCs w:val="17"/>
          <w:color w:val="auto"/>
        </w:rPr>
        <w:t>Collateral for the 2019 Credit Facility includes all of the Company’s assets except for intellectual property. The Company is required to comply with certain covenants under the 2019 Credit Facility, including requirements to maintain a minimum liquidity ratio, and restrictions on certain actions without the consent of the lender, such as limitations on its ability to engage in mergers or acquisitions, sell assets, incur indebtedness or grant liens or negative pledges on its assets, make loans or make other investments. Under these covenants, the Company is prohibited from paying cash dividends with respect to its capital stock. The Company was in compliance with all covenants at June 30, 2020. The 2019 Credit Facility contains a material adverse effect clause which provides that an event of default will occur if, among other triggers, an event occurs that could reasonably be expected to result in a material adverse effect on the Company’s business, operations or condition, or on the Company’s ability to perform its obligations under the term loan. As of June 30, 2020, management does not believe that it is probable that the clause will be triggered within the next 12 months, and therefore the term loan is classified as long-term.</w:t>
      </w:r>
    </w:p>
    <w:p>
      <w:pPr>
        <w:spacing w:after="0" w:line="18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carrying value of the Company’s 2019 Credit Facility at June 30, 2020 was as follows (in thousands):</w:t>
      </w:r>
    </w:p>
    <w:p>
      <w:pPr>
        <w:spacing w:after="0" w:line="218"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4640" w:type="dxa"/>
            <w:vAlign w:val="bottom"/>
          </w:tcPr>
          <w:p>
            <w:pPr>
              <w:spacing w:after="0"/>
              <w:rPr>
                <w:sz w:val="14"/>
                <w:szCs w:val="14"/>
                <w:color w:val="auto"/>
              </w:rPr>
            </w:pPr>
          </w:p>
        </w:tc>
        <w:tc>
          <w:tcPr>
            <w:tcW w:w="8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Current</w:t>
            </w:r>
          </w:p>
        </w:tc>
        <w:tc>
          <w:tcPr>
            <w:tcW w:w="8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5"/>
              </w:rPr>
              <w:t>Long-Term</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vMerge w:val="restart"/>
          </w:tcPr>
          <w:p>
            <w:pPr>
              <w:jc w:val="right"/>
              <w:ind w:right="11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9"/>
              </w:rPr>
              <w:t>Portion</w:t>
            </w:r>
          </w:p>
        </w:tc>
        <w:tc>
          <w:tcPr>
            <w:tcW w:w="160" w:type="dxa"/>
            <w:vAlign w:val="bottom"/>
          </w:tcPr>
          <w:p>
            <w:pPr>
              <w:spacing w:after="0"/>
              <w:rPr>
                <w:sz w:val="14"/>
                <w:szCs w:val="14"/>
                <w:color w:val="auto"/>
              </w:rPr>
            </w:pPr>
          </w:p>
        </w:tc>
        <w:tc>
          <w:tcPr>
            <w:tcW w:w="7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Debt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Credit Facility</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7,220</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8,420</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Unamortized debt discounts</w:t>
            </w: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(127)</w:t>
            </w:r>
          </w:p>
        </w:tc>
        <w:tc>
          <w:tcPr>
            <w:tcW w:w="16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(327)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10"/>
        </w:trPr>
        <w:tc>
          <w:tcPr>
            <w:tcW w:w="464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Net carrying value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7,966</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carrying value of the Company’s 2019 Credit Facility at December 31, 2019 was as follows (in thousands):</w:t>
      </w:r>
    </w:p>
    <w:p>
      <w:pPr>
        <w:spacing w:after="0" w:line="22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9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8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Current</w:t>
            </w:r>
          </w:p>
        </w:tc>
        <w:tc>
          <w:tcPr>
            <w:tcW w:w="8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5"/>
              </w:rPr>
              <w:t>Long-Term</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9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9"/>
              </w:rPr>
              <w:t>Portion</w:t>
            </w:r>
          </w:p>
        </w:tc>
        <w:tc>
          <w:tcPr>
            <w:tcW w:w="160" w:type="dxa"/>
            <w:vAlign w:val="bottom"/>
          </w:tcPr>
          <w:p>
            <w:pPr>
              <w:spacing w:after="0"/>
              <w:rPr>
                <w:sz w:val="14"/>
                <w:szCs w:val="14"/>
                <w:color w:val="auto"/>
              </w:rPr>
            </w:pPr>
          </w:p>
        </w:tc>
        <w:tc>
          <w:tcPr>
            <w:tcW w:w="7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Debt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00" w:type="dxa"/>
            <w:vAlign w:val="bottom"/>
          </w:tcPr>
          <w:p>
            <w:pPr>
              <w:spacing w:after="0"/>
              <w:rPr>
                <w:sz w:val="18"/>
                <w:szCs w:val="18"/>
                <w:color w:val="auto"/>
              </w:rPr>
            </w:pPr>
          </w:p>
        </w:tc>
        <w:tc>
          <w:tcPr>
            <w:tcW w:w="2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Credit Facility</w:t>
            </w:r>
          </w:p>
        </w:tc>
        <w:tc>
          <w:tcPr>
            <w:tcW w:w="19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7,620</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8,420</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Unamortized debt discounts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(130)</w:t>
            </w:r>
          </w:p>
        </w:tc>
        <w:tc>
          <w:tcPr>
            <w:tcW w:w="16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(471)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(601)</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00" w:type="dxa"/>
            <w:vAlign w:val="bottom"/>
          </w:tcPr>
          <w:p>
            <w:pPr>
              <w:spacing w:after="0"/>
              <w:rPr>
                <w:sz w:val="18"/>
                <w:szCs w:val="18"/>
                <w:color w:val="auto"/>
              </w:rPr>
            </w:pPr>
          </w:p>
        </w:tc>
        <w:tc>
          <w:tcPr>
            <w:tcW w:w="274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Net carrying value</w:t>
            </w:r>
          </w:p>
        </w:tc>
        <w:tc>
          <w:tcPr>
            <w:tcW w:w="19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7,819</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900" w:type="dxa"/>
            <w:vAlign w:val="bottom"/>
            <w:vMerge w:val="restart"/>
          </w:tcPr>
          <w:p>
            <w:pPr>
              <w:jc w:val="right"/>
              <w:ind w:right="91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9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9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90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2" w:name="page13"/>
    <w:bookmarkEnd w:id="1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table below includes the principal repayments due under the 2019 Credit Facility (in thousands):</w:t>
      </w:r>
    </w:p>
    <w:p>
      <w:pPr>
        <w:spacing w:after="0" w:line="366"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1300" w:type="dxa"/>
            <w:vAlign w:val="bottom"/>
            <w:gridSpan w:val="2"/>
          </w:tcPr>
          <w:p>
            <w:pPr>
              <w:spacing w:after="0"/>
              <w:rPr>
                <w:sz w:val="20"/>
                <w:szCs w:val="20"/>
                <w:color w:val="auto"/>
              </w:rPr>
            </w:pPr>
            <w:r>
              <w:rPr>
                <w:rFonts w:ascii="Arial" w:cs="Arial" w:eastAsia="Arial" w:hAnsi="Arial"/>
                <w:sz w:val="14"/>
                <w:szCs w:val="14"/>
                <w:b w:val="1"/>
                <w:bCs w:val="1"/>
                <w:color w:val="auto"/>
                <w:w w:val="92"/>
              </w:rPr>
              <w:t>Principal Repayment</w:t>
            </w:r>
          </w:p>
        </w:tc>
      </w:tr>
      <w:tr>
        <w:trPr>
          <w:trHeight w:val="171"/>
        </w:trPr>
        <w:tc>
          <w:tcPr>
            <w:tcW w:w="5820" w:type="dxa"/>
            <w:vAlign w:val="bottom"/>
            <w:tcBorders>
              <w:bottom w:val="single" w:sz="8" w:color="CCEEFF"/>
            </w:tcBorders>
          </w:tcPr>
          <w:p>
            <w:pPr>
              <w:spacing w:after="0"/>
              <w:rPr>
                <w:sz w:val="14"/>
                <w:szCs w:val="14"/>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as of June 30, 2020</w:t>
            </w:r>
          </w:p>
        </w:tc>
      </w:tr>
      <w:tr>
        <w:trPr>
          <w:trHeight w:val="209"/>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2020 (remaining six months)</w:t>
            </w: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2021</w:t>
            </w: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4,400</w:t>
            </w: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w:t>
            </w:r>
          </w:p>
        </w:tc>
      </w:tr>
      <w:tr>
        <w:trPr>
          <w:trHeight w:val="216"/>
        </w:trPr>
        <w:tc>
          <w:tcPr>
            <w:tcW w:w="5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2023</w:t>
            </w:r>
          </w:p>
        </w:tc>
        <w:tc>
          <w:tcPr>
            <w:tcW w:w="4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1,620</w:t>
            </w:r>
          </w:p>
        </w:tc>
      </w:tr>
      <w:tr>
        <w:trPr>
          <w:trHeight w:val="209"/>
        </w:trPr>
        <w:tc>
          <w:tcPr>
            <w:tcW w:w="5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principal repayments</w:t>
            </w:r>
          </w:p>
        </w:tc>
        <w:tc>
          <w:tcPr>
            <w:tcW w:w="4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8,420</w:t>
            </w:r>
          </w:p>
        </w:tc>
      </w:tr>
      <w:tr>
        <w:trPr>
          <w:trHeight w:val="20"/>
        </w:trPr>
        <w:tc>
          <w:tcPr>
            <w:tcW w:w="58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40" w:right="99" w:firstLine="324"/>
        <w:spacing w:after="0" w:line="290" w:lineRule="auto"/>
        <w:rPr>
          <w:sz w:val="20"/>
          <w:szCs w:val="20"/>
          <w:color w:val="auto"/>
        </w:rPr>
      </w:pPr>
      <w:r>
        <w:rPr>
          <w:rFonts w:ascii="Arial" w:cs="Arial" w:eastAsia="Arial" w:hAnsi="Arial"/>
          <w:sz w:val="16"/>
          <w:szCs w:val="16"/>
          <w:color w:val="auto"/>
        </w:rPr>
        <w:t>In July 2020, the Company executed an amendment to the 2019 Credit Facility with Silicon Valley Bank. The amendment extended the initial 12 months interest-only period for the term loan to a 16 months interest only period. The floor interest rate has been lowered by 100 basis points. The 2019 Term Loan bears interest at a floating rate equal to the WSJ prime rate minus 0.75%, subject to a floor of 3.75% p.a. The floor interest rate for the Line of Credit Facility has been lowered by 200 basis points. The Line of Credit now bears interest at a floating rate equal to the Wall Street Journal (WSJ) prime rate plus 1.5%, per annum, subject to a floor of 4.75% p.a. In conjunction with entering into the First Amendment to the 2019 Credit Facility, on July 15, 2020, the Company issued a warrant to Silicon Valley Bank to purchase 21,500 shares of the Company’s common stock at $0.01 per share. The warrant expires on July 15, 2025.</w:t>
      </w:r>
    </w:p>
    <w:p>
      <w:pPr>
        <w:spacing w:after="0" w:line="17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7. Stockholders’ Equity</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At-the-Market Sales Agreement</w:t>
      </w:r>
    </w:p>
    <w:p>
      <w:pPr>
        <w:spacing w:after="0" w:line="225" w:lineRule="exact"/>
        <w:rPr>
          <w:sz w:val="20"/>
          <w:szCs w:val="20"/>
          <w:color w:val="auto"/>
        </w:rPr>
      </w:pPr>
    </w:p>
    <w:p>
      <w:pPr>
        <w:ind w:left="40" w:right="99" w:firstLine="324"/>
        <w:spacing w:after="0" w:line="269" w:lineRule="auto"/>
        <w:rPr>
          <w:sz w:val="20"/>
          <w:szCs w:val="20"/>
          <w:color w:val="auto"/>
        </w:rPr>
      </w:pPr>
      <w:r>
        <w:rPr>
          <w:rFonts w:ascii="Arial" w:cs="Arial" w:eastAsia="Arial" w:hAnsi="Arial"/>
          <w:sz w:val="17"/>
          <w:szCs w:val="17"/>
          <w:color w:val="auto"/>
        </w:rPr>
        <w:t>In August 2019, the Company entered into an Open Market Sale Agreement, or the 2019 Sales Agreement, with Jefferies, LLC, or Jefferies, for the offer and sale of shares of its common stock having an aggregate offering of up to $25.0 million from time to time through Jefferies, acting as the Company’s sales agent. The issuance and sale of these shares by the Company pursuant to the 2019 Sales Agreement are deemed an “at-the-market” offering under the Securities Act of 1933, as amended. Under the 2019 Sales Agreement, the Company agreed to pay Jefferies a commission of up to 3% of the gross proceeds of any sales made pursuant to the Sales Agreement. During the six months ended June 30, 2020, the Company received net proceeds of $2.1 million after deducting commissions and expenses payable by the Company, from the sale of 468,427 shares of common stock pursuant to the 2019 Sales Agreement. The ATM sales were suspended in March 2020. As of June 30, 2020, the Company had an aggregate of $17.7 million available for future sales under the 2019 Sales Agreement.</w:t>
      </w:r>
    </w:p>
    <w:p>
      <w:pPr>
        <w:spacing w:after="0" w:line="18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8. Stock-Based Compensation</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the stock option and award activity for the six months ended June 30, 2020:</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Options Outstanding</w:t>
            </w: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360" w:type="dxa"/>
            <w:vAlign w:val="bottom"/>
          </w:tcPr>
          <w:p>
            <w:pPr>
              <w:spacing w:after="0"/>
              <w:rPr>
                <w:sz w:val="10"/>
                <w:szCs w:val="10"/>
                <w:color w:val="auto"/>
              </w:rPr>
            </w:pPr>
          </w:p>
        </w:tc>
        <w:tc>
          <w:tcPr>
            <w:tcW w:w="9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Options and</w:t>
            </w: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Weighted-</w:t>
            </w:r>
          </w:p>
        </w:tc>
        <w:tc>
          <w:tcPr>
            <w:tcW w:w="920" w:type="dxa"/>
            <w:vAlign w:val="bottom"/>
            <w:gridSpan w:val="2"/>
          </w:tcPr>
          <w:p>
            <w:pPr>
              <w:jc w:val="center"/>
              <w:ind w:right="140"/>
              <w:spacing w:after="0" w:line="119" w:lineRule="exact"/>
              <w:rPr>
                <w:sz w:val="20"/>
                <w:szCs w:val="20"/>
                <w:color w:val="auto"/>
              </w:rPr>
            </w:pPr>
            <w:r>
              <w:rPr>
                <w:rFonts w:ascii="Arial" w:cs="Arial" w:eastAsia="Arial" w:hAnsi="Arial"/>
                <w:sz w:val="13"/>
                <w:szCs w:val="13"/>
                <w:b w:val="1"/>
                <w:bCs w:val="1"/>
                <w:color w:val="auto"/>
                <w:w w:val="98"/>
              </w:rPr>
              <w:t>Weighted-</w:t>
            </w: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3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Average</w:t>
            </w:r>
          </w:p>
        </w:tc>
        <w:tc>
          <w:tcPr>
            <w:tcW w:w="9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2"/>
                <w:szCs w:val="12"/>
                <w:color w:val="auto"/>
              </w:rPr>
            </w:pPr>
          </w:p>
        </w:tc>
        <w:tc>
          <w:tcPr>
            <w:tcW w:w="800" w:type="dxa"/>
            <w:vAlign w:val="bottom"/>
            <w:vMerge w:val="restart"/>
          </w:tcPr>
          <w:p>
            <w:pPr>
              <w:jc w:val="center"/>
              <w:ind w:right="38"/>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9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Awards</w:t>
            </w:r>
          </w:p>
        </w:tc>
        <w:tc>
          <w:tcPr>
            <w:tcW w:w="9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7"/>
              </w:rPr>
              <w:t>Number of</w:t>
            </w:r>
          </w:p>
        </w:tc>
        <w:tc>
          <w:tcPr>
            <w:tcW w:w="780" w:type="dxa"/>
            <w:vAlign w:val="bottom"/>
            <w:gridSpan w:val="3"/>
          </w:tcPr>
          <w:p>
            <w:pPr>
              <w:jc w:val="right"/>
              <w:ind w:right="200"/>
              <w:spacing w:after="0" w:line="149" w:lineRule="exact"/>
              <w:rPr>
                <w:sz w:val="20"/>
                <w:szCs w:val="20"/>
                <w:color w:val="auto"/>
              </w:rPr>
            </w:pPr>
            <w:r>
              <w:rPr>
                <w:rFonts w:ascii="Arial" w:cs="Arial" w:eastAsia="Arial" w:hAnsi="Arial"/>
                <w:sz w:val="14"/>
                <w:szCs w:val="14"/>
                <w:b w:val="1"/>
                <w:bCs w:val="1"/>
                <w:color w:val="auto"/>
                <w:w w:val="97"/>
              </w:rPr>
              <w:t>Exercise</w:t>
            </w:r>
          </w:p>
        </w:tc>
        <w:tc>
          <w:tcPr>
            <w:tcW w:w="9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Remaining</w:t>
            </w:r>
          </w:p>
        </w:tc>
        <w:tc>
          <w:tcPr>
            <w:tcW w:w="1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60" w:type="dxa"/>
            <w:vAlign w:val="bottom"/>
          </w:tcPr>
          <w:p>
            <w:pPr>
              <w:spacing w:after="0"/>
              <w:rPr>
                <w:sz w:val="12"/>
                <w:szCs w:val="12"/>
                <w:color w:val="auto"/>
              </w:rPr>
            </w:pPr>
          </w:p>
        </w:tc>
        <w:tc>
          <w:tcPr>
            <w:tcW w:w="9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Available for</w:t>
            </w:r>
          </w:p>
        </w:tc>
        <w:tc>
          <w:tcPr>
            <w:tcW w:w="980" w:type="dxa"/>
            <w:vAlign w:val="bottom"/>
            <w:gridSpan w:val="2"/>
            <w:vMerge w:val="continue"/>
          </w:tcPr>
          <w:p>
            <w:pPr>
              <w:spacing w:after="0"/>
              <w:rPr>
                <w:sz w:val="12"/>
                <w:szCs w:val="12"/>
                <w:color w:val="auto"/>
              </w:rPr>
            </w:pPr>
          </w:p>
        </w:tc>
        <w:tc>
          <w:tcPr>
            <w:tcW w:w="78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Price Per</w:t>
            </w:r>
          </w:p>
        </w:tc>
        <w:tc>
          <w:tcPr>
            <w:tcW w:w="9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20" w:type="dxa"/>
            <w:vAlign w:val="bottom"/>
          </w:tcPr>
          <w:p>
            <w:pPr>
              <w:spacing w:after="0"/>
              <w:rPr>
                <w:sz w:val="12"/>
                <w:szCs w:val="12"/>
                <w:color w:val="auto"/>
              </w:rPr>
            </w:pPr>
          </w:p>
        </w:tc>
        <w:tc>
          <w:tcPr>
            <w:tcW w:w="80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4360" w:type="dxa"/>
            <w:vAlign w:val="bottom"/>
          </w:tcPr>
          <w:p>
            <w:pPr>
              <w:spacing w:after="0"/>
              <w:rPr>
                <w:sz w:val="14"/>
                <w:szCs w:val="14"/>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Grant</w:t>
            </w:r>
          </w:p>
        </w:tc>
        <w:tc>
          <w:tcPr>
            <w:tcW w:w="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Options</w:t>
            </w:r>
          </w:p>
        </w:tc>
        <w:tc>
          <w:tcPr>
            <w:tcW w:w="120" w:type="dxa"/>
            <w:vAlign w:val="bottom"/>
          </w:tcPr>
          <w:p>
            <w:pPr>
              <w:spacing w:after="0"/>
              <w:rPr>
                <w:sz w:val="14"/>
                <w:szCs w:val="14"/>
                <w:color w:val="auto"/>
              </w:rPr>
            </w:pPr>
          </w:p>
        </w:tc>
        <w:tc>
          <w:tcPr>
            <w:tcW w:w="6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Share</w:t>
            </w:r>
          </w:p>
        </w:tc>
        <w:tc>
          <w:tcPr>
            <w:tcW w:w="9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Life (years)</w:t>
            </w:r>
          </w:p>
        </w:tc>
        <w:tc>
          <w:tcPr>
            <w:tcW w:w="120" w:type="dxa"/>
            <w:vAlign w:val="bottom"/>
          </w:tcPr>
          <w:p>
            <w:pPr>
              <w:spacing w:after="0"/>
              <w:rPr>
                <w:sz w:val="14"/>
                <w:szCs w:val="14"/>
                <w:color w:val="auto"/>
              </w:rPr>
            </w:pPr>
          </w:p>
        </w:tc>
        <w:tc>
          <w:tcPr>
            <w:tcW w:w="800" w:type="dxa"/>
            <w:vAlign w:val="bottom"/>
          </w:tcPr>
          <w:p>
            <w:pPr>
              <w:jc w:val="center"/>
              <w:ind w:right="38"/>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42"/>
        </w:trPr>
        <w:tc>
          <w:tcPr>
            <w:tcW w:w="436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Balance—December 31, 2019</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638,227</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1,931,903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6"/>
        </w:trPr>
        <w:tc>
          <w:tcPr>
            <w:tcW w:w="4360" w:type="dxa"/>
            <w:vAlign w:val="bottom"/>
          </w:tcPr>
          <w:p>
            <w:pPr>
              <w:ind w:left="120"/>
              <w:spacing w:after="0"/>
              <w:rPr>
                <w:sz w:val="20"/>
                <w:szCs w:val="20"/>
                <w:color w:val="auto"/>
              </w:rPr>
            </w:pPr>
            <w:r>
              <w:rPr>
                <w:rFonts w:ascii="Arial" w:cs="Arial" w:eastAsia="Arial" w:hAnsi="Arial"/>
                <w:sz w:val="18"/>
                <w:szCs w:val="18"/>
                <w:color w:val="auto"/>
              </w:rPr>
              <w:t>Authorized</w:t>
            </w:r>
          </w:p>
        </w:tc>
        <w:tc>
          <w:tcPr>
            <w:tcW w:w="820" w:type="dxa"/>
            <w:vAlign w:val="bottom"/>
          </w:tcPr>
          <w:p>
            <w:pPr>
              <w:jc w:val="right"/>
              <w:spacing w:after="0"/>
              <w:rPr>
                <w:sz w:val="20"/>
                <w:szCs w:val="20"/>
                <w:color w:val="auto"/>
              </w:rPr>
            </w:pPr>
            <w:r>
              <w:rPr>
                <w:rFonts w:ascii="Arial" w:cs="Arial" w:eastAsia="Arial" w:hAnsi="Arial"/>
                <w:sz w:val="18"/>
                <w:szCs w:val="18"/>
                <w:color w:val="auto"/>
              </w:rPr>
              <w:t>542,452</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RSUs granted</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(405,054)</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120"/>
              <w:spacing w:after="0"/>
              <w:rPr>
                <w:sz w:val="20"/>
                <w:szCs w:val="20"/>
                <w:color w:val="auto"/>
              </w:rPr>
            </w:pPr>
            <w:r>
              <w:rPr>
                <w:rFonts w:ascii="Arial" w:cs="Arial" w:eastAsia="Arial" w:hAnsi="Arial"/>
                <w:sz w:val="18"/>
                <w:szCs w:val="18"/>
                <w:color w:val="auto"/>
              </w:rPr>
              <w:t>RSUs cancelled/forfeited</w:t>
            </w:r>
          </w:p>
        </w:tc>
        <w:tc>
          <w:tcPr>
            <w:tcW w:w="820" w:type="dxa"/>
            <w:vAlign w:val="bottom"/>
          </w:tcPr>
          <w:p>
            <w:pPr>
              <w:jc w:val="right"/>
              <w:spacing w:after="0"/>
              <w:rPr>
                <w:sz w:val="20"/>
                <w:szCs w:val="20"/>
                <w:color w:val="auto"/>
              </w:rPr>
            </w:pPr>
            <w:r>
              <w:rPr>
                <w:rFonts w:ascii="Arial" w:cs="Arial" w:eastAsia="Arial" w:hAnsi="Arial"/>
                <w:sz w:val="18"/>
                <w:szCs w:val="18"/>
                <w:color w:val="auto"/>
              </w:rPr>
              <w:t>24,697</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Options granted</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(787,955)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787,955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120"/>
              <w:spacing w:after="0"/>
              <w:rPr>
                <w:sz w:val="20"/>
                <w:szCs w:val="20"/>
                <w:color w:val="auto"/>
              </w:rPr>
            </w:pPr>
            <w:r>
              <w:rPr>
                <w:rFonts w:ascii="Arial" w:cs="Arial" w:eastAsia="Arial" w:hAnsi="Arial"/>
                <w:sz w:val="18"/>
                <w:szCs w:val="18"/>
                <w:color w:val="auto"/>
              </w:rPr>
              <w:t>Options exercised</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(144,774)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5.36</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Options cancelled/forfeited</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143,817</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(158,455)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Balance—June 30, 2020</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156,184</w:t>
            </w:r>
          </w:p>
        </w:tc>
        <w:tc>
          <w:tcPr>
            <w:tcW w:w="140" w:type="dxa"/>
            <w:vAlign w:val="bottom"/>
            <w:tcBorders>
              <w:bottom w:val="single" w:sz="8" w:color="CCEEFF"/>
            </w:tcBorders>
          </w:tcPr>
          <w:p>
            <w:pPr>
              <w:spacing w:after="0"/>
              <w:rPr>
                <w:sz w:val="21"/>
                <w:szCs w:val="21"/>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2,416,629</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5.65</w:t>
            </w:r>
          </w:p>
        </w:tc>
        <w:tc>
          <w:tcPr>
            <w:tcW w:w="140" w:type="dxa"/>
            <w:vAlign w:val="bottom"/>
            <w:tcBorders>
              <w:bottom w:val="single" w:sz="8" w:color="CCEEFF"/>
            </w:tcBorders>
          </w:tcPr>
          <w:p>
            <w:pPr>
              <w:spacing w:after="0"/>
              <w:rPr>
                <w:sz w:val="21"/>
                <w:szCs w:val="21"/>
                <w:color w:val="auto"/>
              </w:rPr>
            </w:pPr>
          </w:p>
        </w:tc>
        <w:tc>
          <w:tcPr>
            <w:tcW w:w="7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8.0</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4,347</w:t>
            </w:r>
          </w:p>
        </w:tc>
        <w:tc>
          <w:tcPr>
            <w:tcW w:w="0" w:type="dxa"/>
            <w:vAlign w:val="bottom"/>
          </w:tcPr>
          <w:p>
            <w:pPr>
              <w:spacing w:after="0"/>
              <w:rPr>
                <w:sz w:val="1"/>
                <w:szCs w:val="1"/>
                <w:color w:val="auto"/>
              </w:rPr>
            </w:pPr>
          </w:p>
        </w:tc>
      </w:tr>
      <w:tr>
        <w:trPr>
          <w:trHeight w:val="197"/>
        </w:trPr>
        <w:tc>
          <w:tcPr>
            <w:tcW w:w="436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Options exercisable—June 30, 2020</w:t>
            </w:r>
          </w:p>
        </w:tc>
        <w:tc>
          <w:tcPr>
            <w:tcW w:w="8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1,047,031</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7.29</w:t>
            </w:r>
          </w:p>
        </w:tc>
        <w:tc>
          <w:tcPr>
            <w:tcW w:w="1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6.4</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 w:name="page14"/>
    <w:bookmarkEnd w:id="1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right="299" w:firstLine="324"/>
        <w:spacing w:after="0" w:line="263" w:lineRule="auto"/>
        <w:rPr>
          <w:sz w:val="20"/>
          <w:szCs w:val="20"/>
          <w:color w:val="auto"/>
        </w:rPr>
      </w:pPr>
      <w:r>
        <w:rPr>
          <w:rFonts w:ascii="Arial" w:cs="Arial" w:eastAsia="Arial" w:hAnsi="Arial"/>
          <w:sz w:val="18"/>
          <w:szCs w:val="18"/>
          <w:color w:val="auto"/>
        </w:rPr>
        <w:t>The total grant date fair value of options vested was $527,000 and $516,000 during the three months ended June 30, 2020 and 2019, respectively, and $1.3 million and $1.2 million during the six months ended June 30, 2020 and 2019, respectively.</w:t>
      </w:r>
    </w:p>
    <w:p>
      <w:pPr>
        <w:spacing w:after="0" w:line="184" w:lineRule="exact"/>
        <w:rPr>
          <w:sz w:val="20"/>
          <w:szCs w:val="20"/>
          <w:color w:val="auto"/>
        </w:rPr>
      </w:pPr>
    </w:p>
    <w:p>
      <w:pPr>
        <w:ind w:left="40" w:right="139" w:firstLine="324"/>
        <w:spacing w:after="0" w:line="263" w:lineRule="auto"/>
        <w:rPr>
          <w:sz w:val="20"/>
          <w:szCs w:val="20"/>
          <w:color w:val="auto"/>
        </w:rPr>
      </w:pPr>
      <w:r>
        <w:rPr>
          <w:rFonts w:ascii="Arial" w:cs="Arial" w:eastAsia="Arial" w:hAnsi="Arial"/>
          <w:sz w:val="18"/>
          <w:szCs w:val="18"/>
          <w:color w:val="auto"/>
        </w:rPr>
        <w:t>The weighted-average grant date fair value of employee options granted was $1.84 and $4.34 per share during the three months ended June 30, 2020 and 2019, respectively, and $1.58 and $4.07 per share during the six months ended June 30, 2020 and 2019, respectively.</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2016 Employee Stock Purchase Plan</w:t>
      </w:r>
    </w:p>
    <w:p>
      <w:pPr>
        <w:spacing w:after="0" w:line="225" w:lineRule="exact"/>
        <w:rPr>
          <w:sz w:val="20"/>
          <w:szCs w:val="20"/>
          <w:color w:val="auto"/>
        </w:rPr>
      </w:pPr>
    </w:p>
    <w:p>
      <w:pPr>
        <w:ind w:left="40" w:right="179" w:firstLine="324"/>
        <w:spacing w:after="0" w:line="301" w:lineRule="auto"/>
        <w:rPr>
          <w:sz w:val="20"/>
          <w:szCs w:val="20"/>
          <w:color w:val="auto"/>
        </w:rPr>
      </w:pPr>
      <w:r>
        <w:rPr>
          <w:rFonts w:ascii="Arial" w:cs="Arial" w:eastAsia="Arial" w:hAnsi="Arial"/>
          <w:sz w:val="16"/>
          <w:szCs w:val="16"/>
          <w:color w:val="auto"/>
        </w:rPr>
        <w:t>In January 2020, there was an increase of 180,817 shares reserved for issuance under the Company’s Employee Stock Purchase Plan (ESPP). The Company had 554,343 shares available for future issuance under the Company’s ESPP as of June 30, 2020. Employees purchased 22,474 shares for $50,000 during the three and six months ended June 30, 2020. Employees purchased 22,405 shares for $130,000 during the three and six months ended June 30, 2019.</w:t>
      </w:r>
    </w:p>
    <w:p>
      <w:pPr>
        <w:spacing w:after="0" w:line="15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following table summarizes Restricted Stock Units (RSUs) activity for the six months ended June 30, 2020:</w:t>
      </w:r>
    </w:p>
    <w:p>
      <w:pPr>
        <w:spacing w:after="0" w:line="242"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5040" w:type="dxa"/>
            <w:vAlign w:val="bottom"/>
          </w:tcPr>
          <w:p>
            <w:pPr>
              <w:spacing w:after="0"/>
              <w:rPr>
                <w:sz w:val="14"/>
                <w:szCs w:val="14"/>
                <w:color w:val="auto"/>
              </w:rPr>
            </w:pPr>
          </w:p>
        </w:tc>
        <w:tc>
          <w:tcPr>
            <w:tcW w:w="2080" w:type="dxa"/>
            <w:vAlign w:val="bottom"/>
            <w:tcBorders>
              <w:bottom w:val="single" w:sz="8" w:color="auto"/>
            </w:tcBorders>
            <w:gridSpan w:val="4"/>
          </w:tcPr>
          <w:p>
            <w:pPr>
              <w:jc w:val="right"/>
              <w:ind w:right="379"/>
              <w:spacing w:after="0"/>
              <w:rPr>
                <w:sz w:val="20"/>
                <w:szCs w:val="20"/>
                <w:color w:val="auto"/>
              </w:rPr>
            </w:pPr>
            <w:r>
              <w:rPr>
                <w:rFonts w:ascii="Arial" w:cs="Arial" w:eastAsia="Arial" w:hAnsi="Arial"/>
                <w:sz w:val="14"/>
                <w:szCs w:val="14"/>
                <w:b w:val="1"/>
                <w:bCs w:val="1"/>
                <w:color w:val="auto"/>
              </w:rPr>
              <w:t>RSUs Outstanding</w:t>
            </w:r>
          </w:p>
        </w:tc>
        <w:tc>
          <w:tcPr>
            <w:tcW w:w="0" w:type="dxa"/>
            <w:vAlign w:val="bottom"/>
          </w:tcPr>
          <w:p>
            <w:pPr>
              <w:spacing w:after="0"/>
              <w:rPr>
                <w:sz w:val="1"/>
                <w:szCs w:val="1"/>
                <w:color w:val="auto"/>
              </w:rPr>
            </w:pPr>
          </w:p>
        </w:tc>
      </w:tr>
      <w:tr>
        <w:trPr>
          <w:trHeight w:val="119"/>
        </w:trPr>
        <w:tc>
          <w:tcPr>
            <w:tcW w:w="50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Weighted-</w:t>
            </w:r>
          </w:p>
        </w:tc>
        <w:tc>
          <w:tcPr>
            <w:tcW w:w="0" w:type="dxa"/>
            <w:vAlign w:val="bottom"/>
          </w:tcPr>
          <w:p>
            <w:pPr>
              <w:spacing w:after="0"/>
              <w:rPr>
                <w:sz w:val="1"/>
                <w:szCs w:val="1"/>
                <w:color w:val="auto"/>
              </w:rPr>
            </w:pPr>
          </w:p>
        </w:tc>
      </w:tr>
      <w:tr>
        <w:trPr>
          <w:trHeight w:val="148"/>
        </w:trPr>
        <w:tc>
          <w:tcPr>
            <w:tcW w:w="5040" w:type="dxa"/>
            <w:vAlign w:val="bottom"/>
          </w:tcPr>
          <w:p>
            <w:pPr>
              <w:spacing w:after="0"/>
              <w:rPr>
                <w:sz w:val="12"/>
                <w:szCs w:val="12"/>
                <w:color w:val="auto"/>
              </w:rPr>
            </w:pPr>
          </w:p>
        </w:tc>
        <w:tc>
          <w:tcPr>
            <w:tcW w:w="11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50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48"/>
        </w:trPr>
        <w:tc>
          <w:tcPr>
            <w:tcW w:w="5040" w:type="dxa"/>
            <w:vAlign w:val="bottom"/>
          </w:tcPr>
          <w:p>
            <w:pPr>
              <w:spacing w:after="0"/>
              <w:rPr>
                <w:sz w:val="12"/>
                <w:szCs w:val="12"/>
                <w:color w:val="auto"/>
              </w:rPr>
            </w:pPr>
          </w:p>
        </w:tc>
        <w:tc>
          <w:tcPr>
            <w:tcW w:w="11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Restricted Stock</w:t>
            </w: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6"/>
              </w:rPr>
              <w:t>Fair Value Per</w:t>
            </w:r>
          </w:p>
        </w:tc>
        <w:tc>
          <w:tcPr>
            <w:tcW w:w="0" w:type="dxa"/>
            <w:vAlign w:val="bottom"/>
          </w:tcPr>
          <w:p>
            <w:pPr>
              <w:spacing w:after="0"/>
              <w:rPr>
                <w:sz w:val="1"/>
                <w:szCs w:val="1"/>
                <w:color w:val="auto"/>
              </w:rPr>
            </w:pPr>
          </w:p>
        </w:tc>
      </w:tr>
      <w:tr>
        <w:trPr>
          <w:trHeight w:val="171"/>
        </w:trPr>
        <w:tc>
          <w:tcPr>
            <w:tcW w:w="5040" w:type="dxa"/>
            <w:vAlign w:val="bottom"/>
          </w:tcPr>
          <w:p>
            <w:pPr>
              <w:spacing w:after="0"/>
              <w:rPr>
                <w:sz w:val="14"/>
                <w:szCs w:val="14"/>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7"/>
              </w:rPr>
              <w:t>Units</w:t>
            </w:r>
          </w:p>
        </w:tc>
        <w:tc>
          <w:tcPr>
            <w:tcW w:w="10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7"/>
              </w:rPr>
              <w:t>Share</w:t>
            </w:r>
          </w:p>
        </w:tc>
        <w:tc>
          <w:tcPr>
            <w:tcW w:w="0" w:type="dxa"/>
            <w:vAlign w:val="bottom"/>
          </w:tcPr>
          <w:p>
            <w:pPr>
              <w:spacing w:after="0"/>
              <w:rPr>
                <w:sz w:val="1"/>
                <w:szCs w:val="1"/>
                <w:color w:val="auto"/>
              </w:rPr>
            </w:pPr>
          </w:p>
        </w:tc>
      </w:tr>
      <w:tr>
        <w:trPr>
          <w:trHeight w:val="210"/>
        </w:trPr>
        <w:tc>
          <w:tcPr>
            <w:tcW w:w="5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Balance—December 31, 2019</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211,962</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w:t>
            </w:r>
          </w:p>
        </w:tc>
        <w:tc>
          <w:tcPr>
            <w:tcW w:w="0" w:type="dxa"/>
            <w:vAlign w:val="bottom"/>
          </w:tcPr>
          <w:p>
            <w:pPr>
              <w:spacing w:after="0"/>
              <w:rPr>
                <w:sz w:val="1"/>
                <w:szCs w:val="1"/>
                <w:color w:val="auto"/>
              </w:rPr>
            </w:pPr>
          </w:p>
        </w:tc>
      </w:tr>
      <w:tr>
        <w:trPr>
          <w:trHeight w:val="216"/>
        </w:trPr>
        <w:tc>
          <w:tcPr>
            <w:tcW w:w="5040" w:type="dxa"/>
            <w:vAlign w:val="bottom"/>
          </w:tcPr>
          <w:p>
            <w:pPr>
              <w:ind w:left="100"/>
              <w:spacing w:after="0"/>
              <w:rPr>
                <w:sz w:val="20"/>
                <w:szCs w:val="20"/>
                <w:color w:val="auto"/>
              </w:rPr>
            </w:pPr>
            <w:r>
              <w:rPr>
                <w:rFonts w:ascii="Arial" w:cs="Arial" w:eastAsia="Arial" w:hAnsi="Arial"/>
                <w:sz w:val="18"/>
                <w:szCs w:val="18"/>
                <w:color w:val="auto"/>
              </w:rPr>
              <w:t>Granted</w:t>
            </w:r>
          </w:p>
        </w:tc>
        <w:tc>
          <w:tcPr>
            <w:tcW w:w="1020" w:type="dxa"/>
            <w:vAlign w:val="bottom"/>
          </w:tcPr>
          <w:p>
            <w:pPr>
              <w:jc w:val="right"/>
              <w:spacing w:after="0"/>
              <w:rPr>
                <w:sz w:val="20"/>
                <w:szCs w:val="20"/>
                <w:color w:val="auto"/>
              </w:rPr>
            </w:pPr>
            <w:r>
              <w:rPr>
                <w:rFonts w:ascii="Arial" w:cs="Arial" w:eastAsia="Arial" w:hAnsi="Arial"/>
                <w:sz w:val="18"/>
                <w:szCs w:val="18"/>
                <w:color w:val="auto"/>
              </w:rPr>
              <w:t>405,054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Vested</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(152,347)</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0" w:type="dxa"/>
            <w:vAlign w:val="bottom"/>
          </w:tcPr>
          <w:p>
            <w:pPr>
              <w:spacing w:after="0"/>
              <w:rPr>
                <w:sz w:val="1"/>
                <w:szCs w:val="1"/>
                <w:color w:val="auto"/>
              </w:rPr>
            </w:pPr>
          </w:p>
        </w:tc>
      </w:tr>
      <w:tr>
        <w:trPr>
          <w:trHeight w:val="216"/>
        </w:trPr>
        <w:tc>
          <w:tcPr>
            <w:tcW w:w="5040" w:type="dxa"/>
            <w:vAlign w:val="bottom"/>
          </w:tcPr>
          <w:p>
            <w:pPr>
              <w:ind w:left="100"/>
              <w:spacing w:after="0"/>
              <w:rPr>
                <w:sz w:val="20"/>
                <w:szCs w:val="20"/>
                <w:color w:val="auto"/>
              </w:rPr>
            </w:pPr>
            <w:r>
              <w:rPr>
                <w:rFonts w:ascii="Arial" w:cs="Arial" w:eastAsia="Arial" w:hAnsi="Arial"/>
                <w:sz w:val="18"/>
                <w:szCs w:val="18"/>
                <w:color w:val="auto"/>
              </w:rPr>
              <w:t>Cancelled/forfeited</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(24,697)</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7.59</w:t>
            </w:r>
          </w:p>
        </w:tc>
        <w:tc>
          <w:tcPr>
            <w:tcW w:w="0" w:type="dxa"/>
            <w:vAlign w:val="bottom"/>
          </w:tcPr>
          <w:p>
            <w:pPr>
              <w:spacing w:after="0"/>
              <w:rPr>
                <w:sz w:val="1"/>
                <w:szCs w:val="1"/>
                <w:color w:val="auto"/>
              </w:rPr>
            </w:pPr>
          </w:p>
        </w:tc>
      </w:tr>
      <w:tr>
        <w:trPr>
          <w:trHeight w:val="209"/>
        </w:trPr>
        <w:tc>
          <w:tcPr>
            <w:tcW w:w="50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Balance—June 30, 2020</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439,972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right="199" w:firstLine="324"/>
        <w:spacing w:after="0" w:line="263" w:lineRule="auto"/>
        <w:rPr>
          <w:sz w:val="20"/>
          <w:szCs w:val="20"/>
          <w:color w:val="auto"/>
        </w:rPr>
      </w:pPr>
      <w:r>
        <w:rPr>
          <w:rFonts w:ascii="Arial" w:cs="Arial" w:eastAsia="Arial" w:hAnsi="Arial"/>
          <w:sz w:val="18"/>
          <w:szCs w:val="18"/>
          <w:color w:val="auto"/>
        </w:rPr>
        <w:t>The fair value of RSUs is determined on the date of grant based on the market price of the Company’s common stock on that date. As of June 30, 2020, there was $1.9 million of unrecognized stock-based compensation expense related to RSUs to be recognized over a weighted-average period of 2.3 years.</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225" w:lineRule="exact"/>
        <w:rPr>
          <w:sz w:val="20"/>
          <w:szCs w:val="20"/>
          <w:color w:val="auto"/>
        </w:rPr>
      </w:pPr>
    </w:p>
    <w:p>
      <w:pPr>
        <w:ind w:left="40" w:right="279" w:firstLine="324"/>
        <w:spacing w:after="0" w:line="286" w:lineRule="auto"/>
        <w:rPr>
          <w:sz w:val="20"/>
          <w:szCs w:val="20"/>
          <w:color w:val="auto"/>
        </w:rPr>
      </w:pPr>
      <w:r>
        <w:rPr>
          <w:rFonts w:ascii="Arial" w:cs="Arial" w:eastAsia="Arial" w:hAnsi="Arial"/>
          <w:sz w:val="17"/>
          <w:szCs w:val="17"/>
          <w:color w:val="auto"/>
        </w:rPr>
        <w:t>As of June 30, 2020, there was $4.0 million of total unrecognized compensation expense related to unvested options which is expected to be recognized over a weighted-average period of 3.0 years. Compensation cost capitalized within inventory at June 30, 2020 and at December 31, 2019 was not material.</w:t>
      </w:r>
    </w:p>
    <w:p>
      <w:pPr>
        <w:spacing w:after="0" w:line="16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9. Significant Agreements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GLOBALFOUNDRIES, Inc. Joint Development Agreement</w:t>
      </w:r>
    </w:p>
    <w:p>
      <w:pPr>
        <w:spacing w:after="0" w:line="225" w:lineRule="exact"/>
        <w:rPr>
          <w:sz w:val="20"/>
          <w:szCs w:val="20"/>
          <w:color w:val="auto"/>
        </w:rPr>
      </w:pPr>
    </w:p>
    <w:p>
      <w:pPr>
        <w:ind w:left="40" w:right="99" w:firstLine="648"/>
        <w:spacing w:after="0" w:line="275" w:lineRule="auto"/>
        <w:rPr>
          <w:sz w:val="20"/>
          <w:szCs w:val="20"/>
          <w:color w:val="auto"/>
        </w:rPr>
      </w:pPr>
      <w:r>
        <w:rPr>
          <w:rFonts w:ascii="Arial" w:cs="Arial" w:eastAsia="Arial" w:hAnsi="Arial"/>
          <w:sz w:val="17"/>
          <w:szCs w:val="17"/>
          <w:color w:val="auto"/>
        </w:rPr>
        <w:t>Since October 17, 2014, the Company has participated in a joint development agreement with GLOBALFOUNDRIES Inc., a semiconductor foundry, for the joint development of STT-MRAM technology to produce of a family of discrete and embedded MRAM technologies. The term of the agreement is until the completion, termination, or expiration of the last statement of work entered into pursuant to the joint development agreement. The agreement was extended on December 31, 2019 to include a new phase of support for 12nm MRAM development.</w:t>
      </w:r>
    </w:p>
    <w:p>
      <w:pPr>
        <w:spacing w:after="0" w:line="176" w:lineRule="exact"/>
        <w:rPr>
          <w:sz w:val="20"/>
          <w:szCs w:val="20"/>
          <w:color w:val="auto"/>
        </w:rPr>
      </w:pPr>
    </w:p>
    <w:p>
      <w:pPr>
        <w:ind w:left="40" w:right="59" w:firstLine="324"/>
        <w:spacing w:after="0" w:line="272" w:lineRule="auto"/>
        <w:rPr>
          <w:sz w:val="20"/>
          <w:szCs w:val="20"/>
          <w:color w:val="auto"/>
        </w:rPr>
      </w:pPr>
      <w:r>
        <w:rPr>
          <w:rFonts w:ascii="Arial" w:cs="Arial" w:eastAsia="Arial" w:hAnsi="Arial"/>
          <w:sz w:val="17"/>
          <w:szCs w:val="17"/>
          <w:color w:val="auto"/>
        </w:rPr>
        <w:t>Under the current JDA extension terms, each party licenses its relevant intellectual property to the other party. For certain jointly developed works, the parties have agreed to follow an invention allocation procedure to determine ownership. In addition, GF possesses the exclusive right to manufacture the Company’s discrete and embedded STT-MRAM devices developed pursuant to the agreement until the earlier of three years after the qualification of the MRAM device for a particular technology node or four years after the completion of the relevant statement of work under which the device was developed. For the same exclusivity period associated with the relevant device, GF agreed not to license intellectual property developed in connection with the JDA to named competitors of the Company.</w:t>
      </w:r>
    </w:p>
    <w:p>
      <w:pPr>
        <w:sectPr>
          <w:pgSz w:w="11900" w:h="16838" w:orient="portrait"/>
          <w:cols w:equalWidth="0" w:num="1">
            <w:col w:w="9019"/>
          </w:cols>
          <w:pgMar w:left="1440" w:top="517" w:right="1440" w:bottom="1440" w:gutter="0" w:footer="0" w:header="0"/>
        </w:sectPr>
      </w:pP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 w:name="page15"/>
    <w:bookmarkEnd w:id="1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0" w:right="99" w:firstLine="324"/>
        <w:spacing w:after="0" w:line="259" w:lineRule="auto"/>
        <w:rPr>
          <w:sz w:val="20"/>
          <w:szCs w:val="20"/>
          <w:color w:val="auto"/>
        </w:rPr>
      </w:pPr>
      <w:r>
        <w:rPr>
          <w:rFonts w:ascii="Arial" w:cs="Arial" w:eastAsia="Arial" w:hAnsi="Arial"/>
          <w:sz w:val="18"/>
          <w:szCs w:val="18"/>
          <w:color w:val="auto"/>
        </w:rPr>
        <w:t>Generally, unless otherwise specified in the agreement or a statement of work, the Company and GF share project costs, which do not include personnel or production qualification costs, under the JDA. If GF manufactures, sells or transfers to customers wafers containing production quantified STT-MRAM devices that utilize certain design information, GF will be required to pay the Company a royalty.</w:t>
      </w:r>
    </w:p>
    <w:p>
      <w:pPr>
        <w:spacing w:after="0" w:line="187" w:lineRule="exact"/>
        <w:rPr>
          <w:sz w:val="20"/>
          <w:szCs w:val="20"/>
          <w:color w:val="auto"/>
        </w:rPr>
      </w:pPr>
    </w:p>
    <w:p>
      <w:pPr>
        <w:ind w:left="40" w:right="59" w:firstLine="324"/>
        <w:spacing w:after="0" w:line="279" w:lineRule="auto"/>
        <w:rPr>
          <w:sz w:val="20"/>
          <w:szCs w:val="20"/>
          <w:color w:val="auto"/>
        </w:rPr>
      </w:pPr>
      <w:r>
        <w:rPr>
          <w:rFonts w:ascii="Arial" w:cs="Arial" w:eastAsia="Arial" w:hAnsi="Arial"/>
          <w:sz w:val="17"/>
          <w:szCs w:val="17"/>
          <w:color w:val="auto"/>
        </w:rPr>
        <w:t>The Company incurred project costs of $0.4 million and $1.2 million for the three and six months ended June 30, 2019, respectively, which were recognized in research and development expense. No project costs were incurred during the three and six months ended June 30, 2020. The Company entered into a Statement of Work (SOW) and an Amendment to the SOW, under the JDA with GF effective August 2016 and June 2018, respectively.</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Silterra Malaysia Sdn. Bhd. Joint Collaboration Agreement</w:t>
      </w:r>
    </w:p>
    <w:p>
      <w:pPr>
        <w:spacing w:after="0" w:line="225" w:lineRule="exact"/>
        <w:rPr>
          <w:sz w:val="20"/>
          <w:szCs w:val="20"/>
          <w:color w:val="auto"/>
        </w:rPr>
      </w:pPr>
    </w:p>
    <w:p>
      <w:pPr>
        <w:ind w:left="40" w:right="199" w:firstLine="405"/>
        <w:spacing w:after="0" w:line="257" w:lineRule="auto"/>
        <w:rPr>
          <w:sz w:val="20"/>
          <w:szCs w:val="20"/>
          <w:color w:val="auto"/>
        </w:rPr>
      </w:pPr>
      <w:r>
        <w:rPr>
          <w:rFonts w:ascii="Arial" w:cs="Arial" w:eastAsia="Arial" w:hAnsi="Arial"/>
          <w:sz w:val="18"/>
          <w:szCs w:val="18"/>
          <w:color w:val="auto"/>
        </w:rPr>
        <w:t>In September 2018, the Company entered into a Joint Collaboration Agreement (JCA) with Silterra Malaysia Sdn. Bhd. (Silterra), and another third party. The JCA will create additional manufacturing capacity for the Company’s Toggle MRAM products. Initial production is expected to start in 2020. Under the JCA the Company will pay non-recurring engineering costs of $1.0 million. As of June 30, 2020, the Company has paid $600,000 of JCA costs. There were no JCA costs paid during the three and six months ended June 30, 2020.</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10. Net Loss Per Common Share</w:t>
      </w:r>
    </w:p>
    <w:p>
      <w:pPr>
        <w:spacing w:after="0" w:line="229" w:lineRule="exact"/>
        <w:rPr>
          <w:sz w:val="20"/>
          <w:szCs w:val="20"/>
          <w:color w:val="auto"/>
        </w:rPr>
      </w:pPr>
    </w:p>
    <w:p>
      <w:pPr>
        <w:ind w:left="40" w:right="659" w:firstLine="324"/>
        <w:spacing w:after="0" w:line="277" w:lineRule="auto"/>
        <w:rPr>
          <w:sz w:val="20"/>
          <w:szCs w:val="20"/>
          <w:color w:val="auto"/>
        </w:rPr>
      </w:pPr>
      <w:r>
        <w:rPr>
          <w:rFonts w:ascii="Arial" w:cs="Arial" w:eastAsia="Arial" w:hAnsi="Arial"/>
          <w:sz w:val="18"/>
          <w:szCs w:val="18"/>
          <w:color w:val="auto"/>
        </w:rPr>
        <w:t>The following outstanding shares of potentially dilutive securities have been excluded from diluted net loss per common share for the periods presented, because their inclusion would be anti-dilutive:</w:t>
      </w:r>
    </w:p>
    <w:p>
      <w:pPr>
        <w:spacing w:after="0" w:line="175"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200" w:type="dxa"/>
            <w:vAlign w:val="bottom"/>
          </w:tcPr>
          <w:p>
            <w:pPr>
              <w:spacing w:after="0"/>
              <w:rPr>
                <w:sz w:val="14"/>
                <w:szCs w:val="14"/>
                <w:color w:val="auto"/>
              </w:rPr>
            </w:pPr>
          </w:p>
        </w:tc>
        <w:tc>
          <w:tcPr>
            <w:tcW w:w="2160" w:type="dxa"/>
            <w:vAlign w:val="bottom"/>
            <w:gridSpan w:val="4"/>
          </w:tcPr>
          <w:p>
            <w:pPr>
              <w:ind w:left="60"/>
              <w:spacing w:after="0"/>
              <w:rPr>
                <w:sz w:val="20"/>
                <w:szCs w:val="20"/>
                <w:color w:val="auto"/>
              </w:rPr>
            </w:pPr>
            <w:r>
              <w:rPr>
                <w:rFonts w:ascii="Arial" w:cs="Arial" w:eastAsia="Arial" w:hAnsi="Arial"/>
                <w:sz w:val="14"/>
                <w:szCs w:val="14"/>
                <w:b w:val="1"/>
                <w:bCs w:val="1"/>
                <w:color w:val="auto"/>
              </w:rPr>
              <w:t>Three Months Ended June 30,</w:t>
            </w:r>
          </w:p>
        </w:tc>
        <w:tc>
          <w:tcPr>
            <w:tcW w:w="1820" w:type="dxa"/>
            <w:vAlign w:val="bottom"/>
            <w:gridSpan w:val="3"/>
          </w:tcPr>
          <w:p>
            <w:pPr>
              <w:jc w:val="right"/>
              <w:ind w:right="14"/>
              <w:spacing w:after="0"/>
              <w:rPr>
                <w:sz w:val="20"/>
                <w:szCs w:val="20"/>
                <w:color w:val="auto"/>
              </w:rPr>
            </w:pPr>
            <w:r>
              <w:rPr>
                <w:rFonts w:ascii="Arial" w:cs="Arial" w:eastAsia="Arial" w:hAnsi="Arial"/>
                <w:sz w:val="14"/>
                <w:szCs w:val="14"/>
                <w:b w:val="1"/>
                <w:bCs w:val="1"/>
                <w:color w:val="auto"/>
                <w:w w:val="93"/>
              </w:rPr>
              <w:t>Six Months Ended June 30,</w:t>
            </w:r>
          </w:p>
        </w:tc>
      </w:tr>
      <w:tr>
        <w:trPr>
          <w:trHeight w:val="196"/>
        </w:trPr>
        <w:tc>
          <w:tcPr>
            <w:tcW w:w="3200" w:type="dxa"/>
            <w:vAlign w:val="bottom"/>
            <w:tcBorders>
              <w:bottom w:val="single" w:sz="8" w:color="CCEEFF"/>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CEEFF"/>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bottom w:val="single" w:sz="8" w:color="CCEEFF"/>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2019</w:t>
            </w:r>
          </w:p>
        </w:tc>
      </w:tr>
      <w:tr>
        <w:trPr>
          <w:trHeight w:val="210"/>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Options to purchase common stock</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2,416,629</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1,873,563</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2,416,629</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1,873,563</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Restricted stock units</w:t>
            </w:r>
          </w:p>
        </w:tc>
        <w:tc>
          <w:tcPr>
            <w:tcW w:w="820" w:type="dxa"/>
            <w:vAlign w:val="bottom"/>
          </w:tcPr>
          <w:p>
            <w:pPr>
              <w:jc w:val="right"/>
              <w:spacing w:after="0"/>
              <w:rPr>
                <w:sz w:val="20"/>
                <w:szCs w:val="20"/>
                <w:color w:val="auto"/>
              </w:rPr>
            </w:pPr>
            <w:r>
              <w:rPr>
                <w:rFonts w:ascii="Arial" w:cs="Arial" w:eastAsia="Arial" w:hAnsi="Arial"/>
                <w:sz w:val="18"/>
                <w:szCs w:val="18"/>
                <w:color w:val="auto"/>
              </w:rPr>
              <w:t>439,972</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197,069</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439,972</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197,069</w:t>
            </w: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Common stock warrants</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27,836</w:t>
            </w:r>
          </w:p>
        </w:tc>
        <w:tc>
          <w:tcPr>
            <w:tcW w:w="14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27,836</w:t>
            </w:r>
          </w:p>
        </w:tc>
        <w:tc>
          <w:tcPr>
            <w:tcW w:w="14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27,836</w:t>
            </w:r>
          </w:p>
        </w:tc>
        <w:tc>
          <w:tcPr>
            <w:tcW w:w="16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27,836</w:t>
            </w:r>
          </w:p>
        </w:tc>
      </w:tr>
      <w:tr>
        <w:trPr>
          <w:trHeight w:val="210"/>
        </w:trPr>
        <w:tc>
          <w:tcPr>
            <w:tcW w:w="3200" w:type="dxa"/>
            <w:vAlign w:val="bottom"/>
          </w:tcPr>
          <w:p>
            <w:pPr>
              <w:ind w:left="100"/>
              <w:spacing w:after="0"/>
              <w:rPr>
                <w:sz w:val="20"/>
                <w:szCs w:val="20"/>
                <w:color w:val="auto"/>
              </w:rPr>
            </w:pPr>
            <w:r>
              <w:rPr>
                <w:rFonts w:ascii="Arial" w:cs="Arial" w:eastAsia="Arial" w:hAnsi="Arial"/>
                <w:sz w:val="18"/>
                <w:szCs w:val="18"/>
                <w:color w:val="auto"/>
              </w:rPr>
              <w:t>Total</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2,884,437</w:t>
            </w:r>
          </w:p>
        </w:tc>
        <w:tc>
          <w:tcPr>
            <w:tcW w:w="14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2,098,468</w:t>
            </w:r>
          </w:p>
        </w:tc>
        <w:tc>
          <w:tcPr>
            <w:tcW w:w="14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2,884,437</w:t>
            </w:r>
          </w:p>
        </w:tc>
        <w:tc>
          <w:tcPr>
            <w:tcW w:w="16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2,098,468</w:t>
            </w:r>
          </w:p>
        </w:tc>
      </w:tr>
      <w:tr>
        <w:trPr>
          <w:trHeight w:val="20"/>
        </w:trPr>
        <w:tc>
          <w:tcPr>
            <w:tcW w:w="3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11. Subsequent Events</w:t>
      </w:r>
    </w:p>
    <w:p>
      <w:pPr>
        <w:spacing w:after="0" w:line="229" w:lineRule="exact"/>
        <w:rPr>
          <w:sz w:val="20"/>
          <w:szCs w:val="20"/>
          <w:color w:val="auto"/>
        </w:rPr>
      </w:pPr>
    </w:p>
    <w:p>
      <w:pPr>
        <w:ind w:left="40" w:right="99" w:firstLine="324"/>
        <w:spacing w:after="0" w:line="273" w:lineRule="auto"/>
        <w:rPr>
          <w:sz w:val="20"/>
          <w:szCs w:val="20"/>
          <w:color w:val="auto"/>
        </w:rPr>
      </w:pPr>
      <w:r>
        <w:rPr>
          <w:rFonts w:ascii="Arial" w:cs="Arial" w:eastAsia="Arial" w:hAnsi="Arial"/>
          <w:sz w:val="17"/>
          <w:szCs w:val="17"/>
          <w:color w:val="auto"/>
        </w:rPr>
        <w:t>In July 2020, the Company executed an amendment to the 2019 Credit Facility with Silicon Valley Bank. The amendment extended the initial 12 months interest-only period for the term loan to a 16 months interest only period. The floor interest rate has been lowered by 100 basis points. The 2019 Term Loan bears interest at a floating rate equal to the WSJ prime rate minus 0.75%, subject to a floor of 3.75% p.a. The floor interest rate for the Line of Credit Facility has been lowered by 200 basis points. The Line of Credit now bears interest at a floating rate equal to the Wall Street Journal (WSJ) prime rate plus 1.5%, per annum, subject to a floor of 4.75% p.a.</w:t>
      </w:r>
    </w:p>
    <w:p>
      <w:pPr>
        <w:spacing w:after="0" w:line="178" w:lineRule="exact"/>
        <w:rPr>
          <w:sz w:val="20"/>
          <w:szCs w:val="20"/>
          <w:color w:val="auto"/>
        </w:rPr>
      </w:pPr>
    </w:p>
    <w:p>
      <w:pPr>
        <w:ind w:left="40" w:right="179" w:firstLine="324"/>
        <w:spacing w:after="0" w:line="259" w:lineRule="auto"/>
        <w:rPr>
          <w:sz w:val="20"/>
          <w:szCs w:val="20"/>
          <w:color w:val="auto"/>
        </w:rPr>
      </w:pPr>
      <w:r>
        <w:rPr>
          <w:rFonts w:ascii="Arial" w:cs="Arial" w:eastAsia="Arial" w:hAnsi="Arial"/>
          <w:sz w:val="18"/>
          <w:szCs w:val="18"/>
          <w:color w:val="auto"/>
        </w:rPr>
        <w:t>In conjunction with entering into the First Amendment to the 2019 Credit Facility, on July 15, 2020, the Company issued a warrant to Silicon Valley Bank to purchase 21,500 shares of our common stock at $0.01 per share. The warrant expires on July 15, 2025. The warrant was issued in reliance on Section 4(a)(2) of the Securities Act of 1933, as amended, in that it was issued to one sophisticated investor.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5" w:name="page16"/>
    <w:bookmarkEnd w:id="1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left="40" w:right="399" w:firstLine="324"/>
        <w:spacing w:after="0" w:line="259"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our condensed financial statements and related notes included in Part I, Item 1 of this report and with our audited financial statements and related notes thereto included as part of our Annual Report on Form 10-K for the year ended December 31, 2019.</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25" w:lineRule="exact"/>
        <w:rPr>
          <w:sz w:val="20"/>
          <w:szCs w:val="20"/>
          <w:color w:val="auto"/>
        </w:rPr>
      </w:pPr>
    </w:p>
    <w:p>
      <w:pPr>
        <w:ind w:left="40" w:right="99" w:firstLine="324"/>
        <w:spacing w:after="0" w:line="268" w:lineRule="auto"/>
        <w:rPr>
          <w:sz w:val="20"/>
          <w:szCs w:val="20"/>
          <w:color w:val="auto"/>
        </w:rPr>
      </w:pPr>
      <w:r>
        <w:rPr>
          <w:rFonts w:ascii="Arial" w:cs="Arial" w:eastAsia="Arial" w:hAnsi="Arial"/>
          <w:sz w:val="17"/>
          <w:szCs w:val="17"/>
          <w:i w:val="1"/>
          <w:iCs w:val="1"/>
          <w:color w:val="auto"/>
        </w:rPr>
        <w:t>This discussion contains certain forward-looking statements within the meaning of Section 27A of the Securities Act of 1933, as amended, and Section 21E of the Securities Exchange Act of 1934, as amended. Forward-looking statements are identified by words such as “believe,” “will,” “may,” “estimate,” “continue,” “anticipate,” “intend,” “should,” “plan,” “expect,” “predict,” “could,” “potentially” or the negative of these terms or similar expressions. You should read these statements carefully because they discuss future expectations, contain projections of future results of operations or financial condition, or state other “forward-looking” information. These statements relate to our future plans, strategies, objectives, expectations, intentions and financial performance and the assumptions that underlie these statements. These forward-looking statements are subject to certain risks and uncertainties that could cause actual results to differ materially from those anticipated in the forward-looking statements. Factors that might cause such a difference include, but are not limited to, those discussed in this report in Part II, Item 1A — “Risk Factors,” and elsewhere in this report. Forward-looking statements are based on our management’s beliefs and assumptions and on information currently available to our management. These statements, like all statements in this report, speak only as of their date, and we undertake no obligation to update or revise these statements in light of future developments. We caution investors that our business and financial performance are subject to substantial risks and uncertainties.</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40" w:right="359" w:firstLine="401"/>
        <w:spacing w:after="0" w:line="272" w:lineRule="auto"/>
        <w:rPr>
          <w:sz w:val="20"/>
          <w:szCs w:val="20"/>
          <w:color w:val="auto"/>
        </w:rPr>
      </w:pPr>
      <w:r>
        <w:rPr>
          <w:rFonts w:ascii="Arial" w:cs="Arial" w:eastAsia="Arial" w:hAnsi="Arial"/>
          <w:sz w:val="17"/>
          <w:szCs w:val="17"/>
          <w:color w:val="auto"/>
        </w:rPr>
        <w:t>Everspin is a pioneer in the successful commercialization of Magnetoresistive Random Access Memory (MRAM) technology. Our portfolio of MRAM technologies, including Toggle MRAM and Spin-transfer Torque MRAM (STT-MRAM), is delivering superior performance, persistence and reliability in non-volatile memories that transform how mission-critical data is protected against power loss. With over 10 years of MRAM technology and manufacturing leadership, our memory solutions deliver significant value to our customers in key markets such as industrial, medical, automotive/transportation, aerospace and data center. We are the leading supplier of discrete MRAM components and a successful licensor of our broad portfolio of related technology IP.</w:t>
      </w:r>
    </w:p>
    <w:p>
      <w:pPr>
        <w:spacing w:after="0" w:line="177" w:lineRule="exact"/>
        <w:rPr>
          <w:sz w:val="20"/>
          <w:szCs w:val="20"/>
          <w:color w:val="auto"/>
        </w:rPr>
      </w:pPr>
    </w:p>
    <w:p>
      <w:pPr>
        <w:ind w:left="40" w:right="159" w:firstLine="401"/>
        <w:spacing w:after="0" w:line="277" w:lineRule="auto"/>
        <w:rPr>
          <w:sz w:val="20"/>
          <w:szCs w:val="20"/>
          <w:color w:val="auto"/>
        </w:rPr>
      </w:pPr>
      <w:r>
        <w:rPr>
          <w:rFonts w:ascii="Arial" w:cs="Arial" w:eastAsia="Arial" w:hAnsi="Arial"/>
          <w:sz w:val="18"/>
          <w:szCs w:val="18"/>
          <w:color w:val="auto"/>
        </w:rPr>
        <w:t>We sell our products directly and through our established distribution channel to industry-leading original equipment manufacturers (OEMs) and original design manufacturers (ODMs).</w:t>
      </w:r>
    </w:p>
    <w:p>
      <w:pPr>
        <w:spacing w:after="0" w:line="170" w:lineRule="exact"/>
        <w:rPr>
          <w:sz w:val="20"/>
          <w:szCs w:val="20"/>
          <w:color w:val="auto"/>
        </w:rPr>
      </w:pPr>
    </w:p>
    <w:p>
      <w:pPr>
        <w:ind w:left="40" w:right="199" w:firstLine="401"/>
        <w:spacing w:after="0" w:line="257" w:lineRule="auto"/>
        <w:rPr>
          <w:sz w:val="20"/>
          <w:szCs w:val="20"/>
          <w:color w:val="auto"/>
        </w:rPr>
      </w:pPr>
      <w:r>
        <w:rPr>
          <w:rFonts w:ascii="Arial" w:cs="Arial" w:eastAsia="Arial" w:hAnsi="Arial"/>
          <w:sz w:val="18"/>
          <w:szCs w:val="18"/>
          <w:color w:val="auto"/>
        </w:rPr>
        <w:t>We manufacture our MRAM products using both captive and third-party manufacturing capabilities. We purchase industry-standard complementary metal-oxide semiconductor (CMOS) wafers from semiconductor foundries and perform back end of line (BEOL) processing that includes our magnetic-bit technology at our 200mm fabrication facility in Chandler, Arizona. We also manufacture full-flow 300mm STT-MRAM products as part of our strategic relationship with GLOBALFOUNDRIES.</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Key Metrics</w:t>
      </w:r>
    </w:p>
    <w:p>
      <w:pPr>
        <w:spacing w:after="0" w:line="229" w:lineRule="exact"/>
        <w:rPr>
          <w:sz w:val="20"/>
          <w:szCs w:val="20"/>
          <w:color w:val="auto"/>
        </w:rPr>
      </w:pPr>
    </w:p>
    <w:p>
      <w:pPr>
        <w:ind w:left="40" w:right="99" w:firstLine="401"/>
        <w:spacing w:after="0" w:line="293" w:lineRule="auto"/>
        <w:rPr>
          <w:sz w:val="20"/>
          <w:szCs w:val="20"/>
          <w:color w:val="auto"/>
        </w:rPr>
      </w:pPr>
      <w:r>
        <w:rPr>
          <w:rFonts w:ascii="Arial" w:cs="Arial" w:eastAsia="Arial" w:hAnsi="Arial"/>
          <w:sz w:val="16"/>
          <w:szCs w:val="16"/>
          <w:color w:val="auto"/>
        </w:rPr>
        <w:t>We monitor a variety of key financial metrics to help us evaluate trends, establish budgets, measure the effectiveness of our business strategies and assess operational efficiencies. These financial metrics include revenue, gross margin, operating expenses and operating income determined in accordance with GAAP. Additionally, we monitor and project cash flow to determine our sources and uses for working capital to fund our operations. We also monitor Adjusted EBITDA, a non-GAAP financial measure, and Design Wins. We define Adjusted EBITDA as net income or loss adjusted for interest expense, tax, depreciation and amortization, stock-based compensation expense, and restructuring costs.</w:t>
      </w:r>
    </w:p>
    <w:p>
      <w:pPr>
        <w:spacing w:after="0" w:line="164" w:lineRule="exact"/>
        <w:rPr>
          <w:sz w:val="20"/>
          <w:szCs w:val="20"/>
          <w:color w:val="auto"/>
        </w:rPr>
      </w:pPr>
    </w:p>
    <w:p>
      <w:pPr>
        <w:ind w:left="40" w:right="99" w:firstLine="401"/>
        <w:spacing w:after="0" w:line="301" w:lineRule="auto"/>
        <w:rPr>
          <w:sz w:val="20"/>
          <w:szCs w:val="20"/>
          <w:color w:val="auto"/>
        </w:rPr>
      </w:pPr>
      <w:r>
        <w:rPr>
          <w:rFonts w:ascii="Arial" w:cs="Arial" w:eastAsia="Arial" w:hAnsi="Arial"/>
          <w:sz w:val="16"/>
          <w:szCs w:val="16"/>
          <w:i w:val="1"/>
          <w:iCs w:val="1"/>
          <w:color w:val="auto"/>
        </w:rPr>
        <w:t xml:space="preserve">ADJUSTED EBITDA. </w:t>
      </w:r>
      <w:r>
        <w:rPr>
          <w:rFonts w:ascii="Arial" w:cs="Arial" w:eastAsia="Arial" w:hAnsi="Arial"/>
          <w:sz w:val="16"/>
          <w:szCs w:val="16"/>
          <w:color w:val="auto"/>
        </w:rPr>
        <w:t>Our management and board of directors use Adjusted EBITDA to understand and evaluate our</w:t>
      </w:r>
      <w:r>
        <w:rPr>
          <w:rFonts w:ascii="Arial" w:cs="Arial" w:eastAsia="Arial" w:hAnsi="Arial"/>
          <w:sz w:val="16"/>
          <w:szCs w:val="16"/>
          <w:i w:val="1"/>
          <w:iCs w:val="1"/>
          <w:color w:val="auto"/>
        </w:rPr>
        <w:t xml:space="preserve"> </w:t>
      </w:r>
      <w:r>
        <w:rPr>
          <w:rFonts w:ascii="Arial" w:cs="Arial" w:eastAsia="Arial" w:hAnsi="Arial"/>
          <w:sz w:val="16"/>
          <w:szCs w:val="16"/>
          <w:color w:val="auto"/>
        </w:rPr>
        <w:t>operating performance and trends, to prepare and approve our annual budget and to develop short-term and long-term operating and financing plans. Accordingly, we believe that Adjusted EBITDA provides useful information for investors in understanding and evaluating our operating results in the same manner as our management and our board of</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6" w:name="page17"/>
    <w:bookmarkEnd w:id="1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right="339"/>
        <w:spacing w:after="0" w:line="259" w:lineRule="auto"/>
        <w:rPr>
          <w:sz w:val="20"/>
          <w:szCs w:val="20"/>
          <w:color w:val="auto"/>
        </w:rPr>
      </w:pPr>
      <w:r>
        <w:rPr>
          <w:rFonts w:ascii="Arial" w:cs="Arial" w:eastAsia="Arial" w:hAnsi="Arial"/>
          <w:sz w:val="18"/>
          <w:szCs w:val="18"/>
          <w:color w:val="auto"/>
        </w:rPr>
        <w:t>directors. Adjusted EBITDA was $0.2 million and $(2.2) million for the three months ended June 30, 2020 and 2019, respectively. Adjusted EBIDTA was $(0.1) million and $(5.2) million for the six months ended June 30, 2020 and 2019, respectively. The following table presents a reconciliation of net loss, the most directly comparable GAAP measure, to Adjusted EBIDTA for the periods indicated:</w:t>
      </w:r>
    </w:p>
    <w:p>
      <w:pPr>
        <w:spacing w:after="0" w:line="192"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3000" w:type="dxa"/>
            <w:vAlign w:val="bottom"/>
          </w:tcPr>
          <w:p>
            <w:pPr>
              <w:spacing w:after="0"/>
              <w:rPr>
                <w:sz w:val="14"/>
                <w:szCs w:val="14"/>
                <w:color w:val="auto"/>
              </w:rPr>
            </w:pPr>
          </w:p>
        </w:tc>
        <w:tc>
          <w:tcPr>
            <w:tcW w:w="1980" w:type="dxa"/>
            <w:vAlign w:val="bottom"/>
            <w:gridSpan w:val="6"/>
          </w:tcPr>
          <w:p>
            <w:pPr>
              <w:spacing w:after="0"/>
              <w:rPr>
                <w:sz w:val="20"/>
                <w:szCs w:val="20"/>
                <w:color w:val="auto"/>
              </w:rPr>
            </w:pPr>
            <w:r>
              <w:rPr>
                <w:rFonts w:ascii="Arial" w:cs="Arial" w:eastAsia="Arial" w:hAnsi="Arial"/>
                <w:sz w:val="14"/>
                <w:szCs w:val="14"/>
                <w:b w:val="1"/>
                <w:bCs w:val="1"/>
                <w:color w:val="auto"/>
                <w:w w:val="98"/>
              </w:rPr>
              <w:t>Three Months Ended June 30,</w:t>
            </w:r>
          </w:p>
        </w:tc>
        <w:tc>
          <w:tcPr>
            <w:tcW w:w="80" w:type="dxa"/>
            <w:vAlign w:val="bottom"/>
          </w:tcPr>
          <w:p>
            <w:pPr>
              <w:spacing w:after="0"/>
              <w:rPr>
                <w:sz w:val="14"/>
                <w:szCs w:val="14"/>
                <w:color w:val="auto"/>
              </w:rPr>
            </w:pPr>
          </w:p>
        </w:tc>
        <w:tc>
          <w:tcPr>
            <w:tcW w:w="1800" w:type="dxa"/>
            <w:vAlign w:val="bottom"/>
            <w:gridSpan w:val="5"/>
          </w:tcPr>
          <w:p>
            <w:pPr>
              <w:jc w:val="right"/>
              <w:spacing w:after="0"/>
              <w:rPr>
                <w:sz w:val="20"/>
                <w:szCs w:val="20"/>
                <w:color w:val="auto"/>
              </w:rPr>
            </w:pPr>
            <w:r>
              <w:rPr>
                <w:rFonts w:ascii="Arial" w:cs="Arial" w:eastAsia="Arial" w:hAnsi="Arial"/>
                <w:sz w:val="14"/>
                <w:szCs w:val="14"/>
                <w:b w:val="1"/>
                <w:bCs w:val="1"/>
                <w:color w:val="auto"/>
                <w:w w:val="93"/>
              </w:rPr>
              <w:t>Six Months Ended June 30,</w:t>
            </w:r>
          </w:p>
        </w:tc>
      </w:tr>
      <w:tr>
        <w:trPr>
          <w:trHeight w:val="142"/>
        </w:trPr>
        <w:tc>
          <w:tcPr>
            <w:tcW w:w="300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2019</w:t>
            </w:r>
          </w:p>
        </w:tc>
      </w:tr>
      <w:tr>
        <w:trPr>
          <w:trHeight w:val="210"/>
        </w:trPr>
        <w:tc>
          <w:tcPr>
            <w:tcW w:w="3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 reconciliation:</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Net loss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(1,294)</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(3,670)</w:t>
            </w:r>
          </w:p>
        </w:tc>
        <w:tc>
          <w:tcPr>
            <w:tcW w:w="2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(3,026)</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(7,926)</w:t>
            </w: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w:t>
            </w: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918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798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1,723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1,502</w:t>
            </w: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w:t>
            </w:r>
          </w:p>
        </w:tc>
      </w:tr>
      <w:tr>
        <w:trPr>
          <w:trHeight w:val="210"/>
        </w:trPr>
        <w:tc>
          <w:tcPr>
            <w:tcW w:w="3000" w:type="dxa"/>
            <w:vAlign w:val="bottom"/>
          </w:tcPr>
          <w:p>
            <w:pPr>
              <w:ind w:left="100"/>
              <w:spacing w:after="0"/>
              <w:rPr>
                <w:sz w:val="20"/>
                <w:szCs w:val="20"/>
                <w:color w:val="auto"/>
              </w:rPr>
            </w:pPr>
            <w:r>
              <w:rPr>
                <w:rFonts w:ascii="Arial" w:cs="Arial" w:eastAsia="Arial" w:hAnsi="Arial"/>
                <w:sz w:val="18"/>
                <w:szCs w:val="18"/>
                <w:color w:val="auto"/>
              </w:rPr>
              <w:t>Adjusted EBITDA</w:t>
            </w: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160" w:type="dxa"/>
            <w:vAlign w:val="bottom"/>
          </w:tcPr>
          <w:p>
            <w:pPr>
              <w:spacing w:after="0"/>
              <w:rPr>
                <w:sz w:val="18"/>
                <w:szCs w:val="18"/>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160" w:type="dxa"/>
            <w:vAlign w:val="bottom"/>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(5,151)</w:t>
            </w:r>
          </w:p>
        </w:tc>
      </w:tr>
      <w:tr>
        <w:trPr>
          <w:trHeight w:val="20"/>
        </w:trPr>
        <w:tc>
          <w:tcPr>
            <w:tcW w:w="3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0" w:right="99" w:firstLine="648"/>
        <w:spacing w:after="0" w:line="293" w:lineRule="auto"/>
        <w:rPr>
          <w:sz w:val="20"/>
          <w:szCs w:val="20"/>
          <w:color w:val="auto"/>
        </w:rPr>
      </w:pPr>
      <w:r>
        <w:rPr>
          <w:rFonts w:ascii="Arial" w:cs="Arial" w:eastAsia="Arial" w:hAnsi="Arial"/>
          <w:sz w:val="16"/>
          <w:szCs w:val="16"/>
          <w:i w:val="1"/>
          <w:iCs w:val="1"/>
          <w:color w:val="auto"/>
        </w:rPr>
        <w:t>Design wins</w:t>
      </w:r>
      <w:r>
        <w:rPr>
          <w:rFonts w:ascii="Arial" w:cs="Arial" w:eastAsia="Arial" w:hAnsi="Arial"/>
          <w:sz w:val="16"/>
          <w:szCs w:val="16"/>
          <w:color w:val="auto"/>
        </w:rPr>
        <w:t>. To continue to grow our revenue, we must continue to achieve design wins for our MRAM products.</w:t>
      </w:r>
      <w:r>
        <w:rPr>
          <w:rFonts w:ascii="Arial" w:cs="Arial" w:eastAsia="Arial" w:hAnsi="Arial"/>
          <w:sz w:val="16"/>
          <w:szCs w:val="16"/>
          <w:i w:val="1"/>
          <w:iCs w:val="1"/>
          <w:color w:val="auto"/>
        </w:rPr>
        <w:t xml:space="preserve"> </w:t>
      </w:r>
      <w:r>
        <w:rPr>
          <w:rFonts w:ascii="Arial" w:cs="Arial" w:eastAsia="Arial" w:hAnsi="Arial"/>
          <w:sz w:val="16"/>
          <w:szCs w:val="16"/>
          <w:color w:val="auto"/>
        </w:rPr>
        <w:t>We consider a design win to occur when an OEM or contract manufacturer notifies us that it has qualified one of our products as a component in a product or system for production. Because the life cycles for our customers’ products can last for many years, if these products have successful commercial introductions, we expect to continue to generate revenues over an extended period of time for each successful design win. New design wins in the first and second quarters of 2020 were 37 and 43, respectively, compared to 14 and 13 in the first and second quarter of 2019, respectively.</w:t>
      </w:r>
    </w:p>
    <w:p>
      <w:pPr>
        <w:spacing w:after="0" w:line="16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Effect of the COVID-19 Pandemic on our Business</w:t>
      </w:r>
    </w:p>
    <w:p>
      <w:pPr>
        <w:spacing w:after="0" w:line="229" w:lineRule="exact"/>
        <w:rPr>
          <w:sz w:val="20"/>
          <w:szCs w:val="20"/>
          <w:color w:val="auto"/>
        </w:rPr>
      </w:pPr>
    </w:p>
    <w:p>
      <w:pPr>
        <w:ind w:left="40" w:right="79" w:firstLine="648"/>
        <w:spacing w:after="0" w:line="259" w:lineRule="auto"/>
        <w:rPr>
          <w:sz w:val="20"/>
          <w:szCs w:val="20"/>
          <w:color w:val="auto"/>
        </w:rPr>
      </w:pPr>
      <w:r>
        <w:rPr>
          <w:rFonts w:ascii="Arial" w:cs="Arial" w:eastAsia="Arial" w:hAnsi="Arial"/>
          <w:sz w:val="18"/>
          <w:szCs w:val="18"/>
          <w:color w:val="auto"/>
        </w:rPr>
        <w:t>We currently remain unable to fully predict the long-term impact of the coronavirus 2019 (COVID-19) on our business. Recent impacts have included electronics supply chain and demand disruptions from extended factory shutdowns, particularly in some Asian countries, which created unusual order patterns, and has subsequently slowed Toggle demand, particularly from our industrial customers.</w:t>
      </w:r>
    </w:p>
    <w:p>
      <w:pPr>
        <w:spacing w:after="0" w:line="187" w:lineRule="exact"/>
        <w:rPr>
          <w:sz w:val="20"/>
          <w:szCs w:val="20"/>
          <w:color w:val="auto"/>
        </w:rPr>
      </w:pPr>
    </w:p>
    <w:p>
      <w:pPr>
        <w:ind w:left="40" w:right="79" w:firstLine="648"/>
        <w:spacing w:after="0" w:line="257" w:lineRule="auto"/>
        <w:rPr>
          <w:sz w:val="20"/>
          <w:szCs w:val="20"/>
          <w:color w:val="auto"/>
        </w:rPr>
      </w:pPr>
      <w:r>
        <w:rPr>
          <w:rFonts w:ascii="Arial" w:cs="Arial" w:eastAsia="Arial" w:hAnsi="Arial"/>
          <w:sz w:val="18"/>
          <w:szCs w:val="18"/>
          <w:color w:val="auto"/>
        </w:rPr>
        <w:t>Overall, our business remains operational in the midst of the pandemic. We continue to work closely with our manufacturing partners and suppliers to support demand for our products. In an effort to protect the health and safety of our employees, we: transitioned most of our office and support employees and contractors to working from home; suspended all business travel; and implemented social distancing guidelines for our employees and contractors who must work in our manufacturing and laboratory locations.</w:t>
      </w:r>
    </w:p>
    <w:p>
      <w:pPr>
        <w:spacing w:after="0" w:line="188" w:lineRule="exact"/>
        <w:rPr>
          <w:sz w:val="20"/>
          <w:szCs w:val="20"/>
          <w:color w:val="auto"/>
        </w:rPr>
      </w:pPr>
    </w:p>
    <w:p>
      <w:pPr>
        <w:ind w:left="40" w:right="259" w:firstLine="648"/>
        <w:spacing w:after="0" w:line="263" w:lineRule="auto"/>
        <w:rPr>
          <w:sz w:val="20"/>
          <w:szCs w:val="20"/>
          <w:color w:val="auto"/>
        </w:rPr>
      </w:pPr>
      <w:r>
        <w:rPr>
          <w:rFonts w:ascii="Arial" w:cs="Arial" w:eastAsia="Arial" w:hAnsi="Arial"/>
          <w:sz w:val="18"/>
          <w:szCs w:val="18"/>
          <w:color w:val="auto"/>
        </w:rPr>
        <w:t>The remote working environment has had some impact on cost reduction projects given delays in data gathering and analysis, as well as inefficiencies of teams solving technical problems by remote-only means, which has negatively impacted our cost of sales.</w:t>
      </w:r>
    </w:p>
    <w:p>
      <w:pPr>
        <w:spacing w:after="0" w:line="184" w:lineRule="exact"/>
        <w:rPr>
          <w:sz w:val="20"/>
          <w:szCs w:val="20"/>
          <w:color w:val="auto"/>
        </w:rPr>
      </w:pPr>
    </w:p>
    <w:p>
      <w:pPr>
        <w:ind w:left="40" w:right="99" w:firstLine="648"/>
        <w:spacing w:after="0" w:line="263" w:lineRule="auto"/>
        <w:rPr>
          <w:sz w:val="20"/>
          <w:szCs w:val="20"/>
          <w:color w:val="auto"/>
        </w:rPr>
      </w:pPr>
      <w:r>
        <w:rPr>
          <w:rFonts w:ascii="Arial" w:cs="Arial" w:eastAsia="Arial" w:hAnsi="Arial"/>
          <w:sz w:val="18"/>
          <w:szCs w:val="18"/>
          <w:color w:val="auto"/>
        </w:rPr>
        <w:t>The full impact on our demand from customers remains unknown. We do not have clear visibility into the demand trends, both near-term and long-term. Management is thus planning for a broad range of possible demand outcomes in an effort to ensure the success of our business under a variety of end market conditions.</w:t>
      </w:r>
    </w:p>
    <w:p>
      <w:pPr>
        <w:spacing w:after="0" w:line="184" w:lineRule="exact"/>
        <w:rPr>
          <w:sz w:val="20"/>
          <w:szCs w:val="20"/>
          <w:color w:val="auto"/>
        </w:rPr>
      </w:pPr>
    </w:p>
    <w:p>
      <w:pPr>
        <w:ind w:left="40" w:right="439" w:firstLine="648"/>
        <w:spacing w:after="0" w:line="259" w:lineRule="auto"/>
        <w:rPr>
          <w:sz w:val="20"/>
          <w:szCs w:val="20"/>
          <w:color w:val="auto"/>
        </w:rPr>
      </w:pPr>
      <w:r>
        <w:rPr>
          <w:rFonts w:ascii="Arial" w:cs="Arial" w:eastAsia="Arial" w:hAnsi="Arial"/>
          <w:sz w:val="18"/>
          <w:szCs w:val="18"/>
          <w:color w:val="auto"/>
        </w:rPr>
        <w:t>We will continue to monitor the situation and take additional actions as warranted. These actions may include further altering our operations in order to protect the best interests of our employees, customers and suppliers, and to comply with government requirements, while also planning and executing our business to best support our customers, suppliers, and partners.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7" w:name="page18"/>
    <w:bookmarkEnd w:id="1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our results of operations for the periods indicated:</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7"/>
          </w:tcPr>
          <w:p>
            <w:pPr>
              <w:ind w:left="60"/>
              <w:spacing w:after="0"/>
              <w:rPr>
                <w:sz w:val="20"/>
                <w:szCs w:val="20"/>
                <w:color w:val="auto"/>
              </w:rPr>
            </w:pPr>
            <w:r>
              <w:rPr>
                <w:rFonts w:ascii="Arial" w:cs="Arial" w:eastAsia="Arial" w:hAnsi="Arial"/>
                <w:sz w:val="14"/>
                <w:szCs w:val="14"/>
                <w:b w:val="1"/>
                <w:bCs w:val="1"/>
                <w:color w:val="auto"/>
              </w:rPr>
              <w:t>Three Months Ended June 30,</w:t>
            </w:r>
          </w:p>
        </w:tc>
        <w:tc>
          <w:tcPr>
            <w:tcW w:w="6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6"/>
          </w:tcPr>
          <w:p>
            <w:pPr>
              <w:ind w:left="60"/>
              <w:spacing w:after="0"/>
              <w:rPr>
                <w:sz w:val="20"/>
                <w:szCs w:val="20"/>
                <w:color w:val="auto"/>
              </w:rPr>
            </w:pPr>
            <w:r>
              <w:rPr>
                <w:rFonts w:ascii="Arial" w:cs="Arial" w:eastAsia="Arial" w:hAnsi="Arial"/>
                <w:sz w:val="14"/>
                <w:szCs w:val="14"/>
                <w:b w:val="1"/>
                <w:bCs w:val="1"/>
                <w:color w:val="auto"/>
              </w:rPr>
              <w:t>Six Months Ended June 30,</w:t>
            </w:r>
          </w:p>
        </w:tc>
        <w:tc>
          <w:tcPr>
            <w:tcW w:w="6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color w:val="auto"/>
              </w:rPr>
              <w:t>June 30,</w:t>
            </w:r>
          </w:p>
        </w:tc>
        <w:tc>
          <w:tcPr>
            <w:tcW w:w="5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Borders>
              <w:bottom w:val="single" w:sz="8" w:color="auto"/>
            </w:tcBorders>
            <w:gridSpan w:val="3"/>
          </w:tcPr>
          <w:p>
            <w:pPr>
              <w:jc w:val="center"/>
              <w:ind w:left="513"/>
              <w:spacing w:after="0" w:line="142" w:lineRule="exact"/>
              <w:rPr>
                <w:sz w:val="20"/>
                <w:szCs w:val="20"/>
                <w:color w:val="auto"/>
              </w:rPr>
            </w:pPr>
            <w:r>
              <w:rPr>
                <w:rFonts w:ascii="Arial" w:cs="Arial" w:eastAsia="Arial" w:hAnsi="Arial"/>
                <w:sz w:val="14"/>
                <w:szCs w:val="14"/>
                <w:b w:val="1"/>
                <w:bCs w:val="1"/>
                <w:color w:val="auto"/>
                <w:w w:val="92"/>
              </w:rPr>
              <w:t>June 30,</w:t>
            </w:r>
          </w:p>
        </w:tc>
        <w:tc>
          <w:tcPr>
            <w:tcW w:w="6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color w:val="auto"/>
              </w:rPr>
              <w:t>June 30,</w:t>
            </w:r>
          </w:p>
        </w:tc>
        <w:tc>
          <w:tcPr>
            <w:tcW w:w="5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Borders>
              <w:bottom w:val="single" w:sz="8" w:color="auto"/>
            </w:tcBorders>
            <w:gridSpan w:val="3"/>
          </w:tcPr>
          <w:p>
            <w:pPr>
              <w:jc w:val="center"/>
              <w:ind w:left="513"/>
              <w:spacing w:after="0" w:line="142" w:lineRule="exact"/>
              <w:rPr>
                <w:sz w:val="20"/>
                <w:szCs w:val="20"/>
                <w:color w:val="auto"/>
              </w:rPr>
            </w:pPr>
            <w:r>
              <w:rPr>
                <w:rFonts w:ascii="Arial" w:cs="Arial" w:eastAsia="Arial" w:hAnsi="Arial"/>
                <w:sz w:val="14"/>
                <w:szCs w:val="14"/>
                <w:b w:val="1"/>
                <w:bCs w:val="1"/>
                <w:color w:val="auto"/>
                <w:w w:val="89"/>
              </w:rPr>
              <w:t>June 30,</w:t>
            </w:r>
          </w:p>
        </w:tc>
        <w:tc>
          <w:tcPr>
            <w:tcW w:w="64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2"/>
        </w:trPr>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2"/>
                <w:szCs w:val="12"/>
                <w:color w:val="auto"/>
              </w:rPr>
            </w:pPr>
          </w:p>
        </w:tc>
        <w:tc>
          <w:tcPr>
            <w:tcW w:w="84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2"/>
                <w:szCs w:val="12"/>
                <w:color w:val="auto"/>
              </w:rPr>
            </w:pPr>
          </w:p>
        </w:tc>
        <w:tc>
          <w:tcPr>
            <w:tcW w:w="84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2"/>
        </w:trPr>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5"/>
          </w:tcPr>
          <w:p>
            <w:pPr>
              <w:jc w:val="right"/>
              <w:ind w:right="251"/>
              <w:spacing w:after="0" w:line="142" w:lineRule="exact"/>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2"/>
                <w:szCs w:val="12"/>
                <w:color w:val="auto"/>
              </w:rPr>
            </w:pPr>
          </w:p>
        </w:tc>
        <w:tc>
          <w:tcPr>
            <w:tcW w:w="186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90"/>
              </w:rPr>
              <w:t>(As a percentage of revenue)</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5"/>
          </w:tcPr>
          <w:p>
            <w:pPr>
              <w:jc w:val="right"/>
              <w:ind w:right="271"/>
              <w:spacing w:after="0" w:line="142" w:lineRule="exact"/>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2"/>
                <w:szCs w:val="12"/>
                <w:color w:val="auto"/>
              </w:rPr>
            </w:pPr>
          </w:p>
        </w:tc>
        <w:tc>
          <w:tcPr>
            <w:tcW w:w="186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90"/>
              </w:rPr>
              <w:t>(As a percentage of revenue)</w:t>
            </w:r>
          </w:p>
        </w:tc>
        <w:tc>
          <w:tcPr>
            <w:tcW w:w="160" w:type="dxa"/>
            <w:vAlign w:val="bottom"/>
            <w:gridSpan w:val="2"/>
          </w:tcPr>
          <w:p>
            <w:pPr>
              <w:spacing w:after="0"/>
              <w:rPr>
                <w:sz w:val="12"/>
                <w:szCs w:val="12"/>
                <w:color w:val="auto"/>
              </w:rPr>
            </w:pPr>
          </w:p>
        </w:tc>
      </w:tr>
      <w:tr>
        <w:trPr>
          <w:trHeight w:val="216"/>
        </w:trPr>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Product sales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10,927</w:t>
            </w:r>
          </w:p>
        </w:tc>
        <w:tc>
          <w:tcPr>
            <w:tcW w:w="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8,003</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92 %</w:t>
            </w:r>
          </w:p>
        </w:tc>
        <w:tc>
          <w:tcPr>
            <w:tcW w:w="2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93 %$</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20,562</w:t>
            </w:r>
          </w:p>
        </w:tc>
        <w:tc>
          <w:tcPr>
            <w:tcW w:w="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17,026</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94 %</w:t>
            </w:r>
          </w:p>
        </w:tc>
        <w:tc>
          <w:tcPr>
            <w:tcW w:w="2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91 %</w:t>
            </w:r>
          </w:p>
        </w:tc>
      </w:tr>
      <w:tr>
        <w:trPr>
          <w:trHeight w:val="202"/>
        </w:trPr>
        <w:tc>
          <w:tcPr>
            <w:tcW w:w="1340" w:type="dxa"/>
            <w:vAlign w:val="bottom"/>
          </w:tcPr>
          <w:p>
            <w:pPr>
              <w:spacing w:after="0" w:line="201" w:lineRule="exact"/>
              <w:rPr>
                <w:sz w:val="20"/>
                <w:szCs w:val="20"/>
                <w:color w:val="auto"/>
              </w:rPr>
            </w:pPr>
            <w:r>
              <w:rPr>
                <w:rFonts w:ascii="Arial" w:cs="Arial" w:eastAsia="Arial" w:hAnsi="Arial"/>
                <w:sz w:val="18"/>
                <w:szCs w:val="18"/>
                <w:color w:val="auto"/>
              </w:rPr>
              <w:t>Licensing,</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w w:val="94"/>
              </w:rPr>
              <w:t>royalty, and other</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0"/>
        </w:trPr>
        <w:tc>
          <w:tcPr>
            <w:tcW w:w="1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revenue</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899</w:t>
            </w:r>
          </w:p>
        </w:tc>
        <w:tc>
          <w:tcPr>
            <w:tcW w:w="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w:t>
            </w:r>
          </w:p>
        </w:tc>
        <w:tc>
          <w:tcPr>
            <w:tcW w:w="14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1,372</w:t>
            </w:r>
          </w:p>
        </w:tc>
        <w:tc>
          <w:tcPr>
            <w:tcW w:w="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1,646</w:t>
            </w:r>
          </w:p>
        </w:tc>
        <w:tc>
          <w:tcPr>
            <w:tcW w:w="16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6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r>
      <w:tr>
        <w:trPr>
          <w:trHeight w:val="209"/>
        </w:trPr>
        <w:tc>
          <w:tcPr>
            <w:tcW w:w="1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revenue</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11,826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8,646</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21,934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18,672</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1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sales</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6,635</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4,627</w:t>
            </w:r>
          </w:p>
        </w:tc>
        <w:tc>
          <w:tcPr>
            <w:tcW w:w="14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11,392</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9,868</w:t>
            </w:r>
          </w:p>
        </w:tc>
        <w:tc>
          <w:tcPr>
            <w:tcW w:w="16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r>
      <w:tr>
        <w:trPr>
          <w:trHeight w:val="210"/>
        </w:trPr>
        <w:tc>
          <w:tcPr>
            <w:tcW w:w="1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Gross profit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4,019</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10,542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8,804</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02"/>
        </w:trPr>
        <w:tc>
          <w:tcPr>
            <w:tcW w:w="1340" w:type="dxa"/>
            <w:vAlign w:val="bottom"/>
          </w:tcPr>
          <w:p>
            <w:pPr>
              <w:spacing w:after="0" w:line="201" w:lineRule="exact"/>
              <w:rPr>
                <w:sz w:val="20"/>
                <w:szCs w:val="20"/>
                <w:color w:val="auto"/>
              </w:rPr>
            </w:pPr>
            <w:r>
              <w:rPr>
                <w:rFonts w:ascii="Arial" w:cs="Arial" w:eastAsia="Arial" w:hAnsi="Arial"/>
                <w:sz w:val="18"/>
                <w:szCs w:val="18"/>
                <w:color w:val="auto"/>
              </w:rPr>
              <w:t>Operating</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0"/>
        </w:trPr>
        <w:tc>
          <w:tcPr>
            <w:tcW w:w="1340" w:type="dxa"/>
            <w:vAlign w:val="bottom"/>
          </w:tcPr>
          <w:p>
            <w:pPr>
              <w:spacing w:after="0"/>
              <w:rPr>
                <w:sz w:val="20"/>
                <w:szCs w:val="20"/>
                <w:color w:val="auto"/>
              </w:rPr>
            </w:pPr>
            <w:r>
              <w:rPr>
                <w:rFonts w:ascii="Arial" w:cs="Arial" w:eastAsia="Arial" w:hAnsi="Arial"/>
                <w:sz w:val="18"/>
                <w:szCs w:val="18"/>
                <w:color w:val="auto"/>
              </w:rPr>
              <w:t>expenses: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02"/>
        </w:trPr>
        <w:tc>
          <w:tcPr>
            <w:tcW w:w="134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Research and</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30"/>
        </w:trPr>
        <w:tc>
          <w:tcPr>
            <w:tcW w:w="1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development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2,774</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3,519</w:t>
            </w: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5,804</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7,517</w:t>
            </w: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r>
      <w:tr>
        <w:trPr>
          <w:trHeight w:val="202"/>
        </w:trPr>
        <w:tc>
          <w:tcPr>
            <w:tcW w:w="1340" w:type="dxa"/>
            <w:vAlign w:val="bottom"/>
          </w:tcPr>
          <w:p>
            <w:pPr>
              <w:ind w:left="120"/>
              <w:spacing w:after="0" w:line="201" w:lineRule="exact"/>
              <w:rPr>
                <w:sz w:val="20"/>
                <w:szCs w:val="20"/>
                <w:color w:val="auto"/>
              </w:rPr>
            </w:pPr>
            <w:r>
              <w:rPr>
                <w:rFonts w:ascii="Arial" w:cs="Arial" w:eastAsia="Arial" w:hAnsi="Arial"/>
                <w:sz w:val="18"/>
                <w:szCs w:val="18"/>
                <w:color w:val="auto"/>
              </w:rPr>
              <w:t>General and</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0"/>
        </w:trPr>
        <w:tc>
          <w:tcPr>
            <w:tcW w:w="1340" w:type="dxa"/>
            <w:vAlign w:val="bottom"/>
          </w:tcPr>
          <w:p>
            <w:pPr>
              <w:ind w:left="120"/>
              <w:spacing w:after="0"/>
              <w:rPr>
                <w:sz w:val="20"/>
                <w:szCs w:val="20"/>
                <w:color w:val="auto"/>
              </w:rPr>
            </w:pPr>
            <w:r>
              <w:rPr>
                <w:rFonts w:ascii="Arial" w:cs="Arial" w:eastAsia="Arial" w:hAnsi="Arial"/>
                <w:sz w:val="18"/>
                <w:szCs w:val="18"/>
                <w:color w:val="auto"/>
              </w:rPr>
              <w:t>administrative</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2,448</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2,856</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5,248</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6,451</w:t>
            </w: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02"/>
        </w:trPr>
        <w:tc>
          <w:tcPr>
            <w:tcW w:w="134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Sales and</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30"/>
        </w:trPr>
        <w:tc>
          <w:tcPr>
            <w:tcW w:w="1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marketing</w:t>
            </w:r>
          </w:p>
        </w:tc>
        <w:tc>
          <w:tcPr>
            <w:tcW w:w="8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1,056</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1,239</w:t>
            </w:r>
          </w:p>
        </w:tc>
        <w:tc>
          <w:tcPr>
            <w:tcW w:w="140" w:type="dxa"/>
            <w:vAlign w:val="bottom"/>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8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2,159</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2,603</w:t>
            </w:r>
          </w:p>
        </w:tc>
        <w:tc>
          <w:tcPr>
            <w:tcW w:w="160" w:type="dxa"/>
            <w:vAlign w:val="bottom"/>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r>
      <w:tr>
        <w:trPr>
          <w:trHeight w:val="182"/>
        </w:trPr>
        <w:tc>
          <w:tcPr>
            <w:tcW w:w="1340" w:type="dxa"/>
            <w:vAlign w:val="bottom"/>
          </w:tcPr>
          <w:p>
            <w:pPr>
              <w:ind w:left="220"/>
              <w:spacing w:after="0" w:line="182" w:lineRule="exact"/>
              <w:rPr>
                <w:sz w:val="20"/>
                <w:szCs w:val="20"/>
                <w:color w:val="auto"/>
              </w:rPr>
            </w:pPr>
            <w:r>
              <w:rPr>
                <w:rFonts w:ascii="Arial" w:cs="Arial" w:eastAsia="Arial" w:hAnsi="Arial"/>
                <w:sz w:val="18"/>
                <w:szCs w:val="18"/>
                <w:color w:val="auto"/>
              </w:rPr>
              <w:t>Total</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216"/>
        </w:trPr>
        <w:tc>
          <w:tcPr>
            <w:tcW w:w="1340" w:type="dxa"/>
            <w:vAlign w:val="bottom"/>
          </w:tcPr>
          <w:p>
            <w:pPr>
              <w:ind w:left="220"/>
              <w:spacing w:after="0"/>
              <w:rPr>
                <w:sz w:val="20"/>
                <w:szCs w:val="20"/>
                <w:color w:val="auto"/>
              </w:rPr>
            </w:pPr>
            <w:r>
              <w:rPr>
                <w:rFonts w:ascii="Arial" w:cs="Arial" w:eastAsia="Arial" w:hAnsi="Arial"/>
                <w:sz w:val="18"/>
                <w:szCs w:val="18"/>
                <w:color w:val="auto"/>
              </w:rPr>
              <w:t>operating</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0"/>
        </w:trPr>
        <w:tc>
          <w:tcPr>
            <w:tcW w:w="13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expenses</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6,278</w:t>
            </w:r>
          </w:p>
        </w:tc>
        <w:tc>
          <w:tcPr>
            <w:tcW w:w="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7,614</w:t>
            </w:r>
          </w:p>
        </w:tc>
        <w:tc>
          <w:tcPr>
            <w:tcW w:w="14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1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13,211</w:t>
            </w:r>
          </w:p>
        </w:tc>
        <w:tc>
          <w:tcPr>
            <w:tcW w:w="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16,571</w:t>
            </w:r>
          </w:p>
        </w:tc>
        <w:tc>
          <w:tcPr>
            <w:tcW w:w="16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6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r>
      <w:tr>
        <w:trPr>
          <w:trHeight w:val="182"/>
        </w:trPr>
        <w:tc>
          <w:tcPr>
            <w:tcW w:w="13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Loss from</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230"/>
        </w:trPr>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operations</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(1,087)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1"/>
              </w:rPr>
              <w:t>(3,595)</w:t>
            </w:r>
          </w:p>
        </w:tc>
        <w:tc>
          <w:tcPr>
            <w:tcW w:w="10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(9)</w:t>
            </w:r>
          </w:p>
        </w:tc>
        <w:tc>
          <w:tcPr>
            <w:tcW w:w="2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(42)</w:t>
            </w:r>
          </w:p>
        </w:tc>
        <w:tc>
          <w:tcPr>
            <w:tcW w:w="14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(2,669)</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(7,767)</w:t>
            </w:r>
          </w:p>
        </w:tc>
        <w:tc>
          <w:tcPr>
            <w:tcW w:w="10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40" w:type="dxa"/>
            <w:vAlign w:val="bottom"/>
            <w:shd w:val="clear" w:color="auto" w:fill="CCEEFF"/>
          </w:tcPr>
          <w:p>
            <w:pPr>
              <w:spacing w:after="0"/>
              <w:rPr>
                <w:sz w:val="20"/>
                <w:szCs w:val="20"/>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w w:val="99"/>
              </w:rPr>
              <w:t>Interest expense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(186)</w:t>
            </w:r>
          </w:p>
        </w:tc>
        <w:tc>
          <w:tcPr>
            <w:tcW w:w="1020" w:type="dxa"/>
            <w:vAlign w:val="bottom"/>
            <w:gridSpan w:val="2"/>
          </w:tcPr>
          <w:p>
            <w:pPr>
              <w:jc w:val="right"/>
              <w:ind w:right="9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780" w:type="dxa"/>
            <w:vAlign w:val="bottom"/>
            <w:gridSpan w:val="2"/>
          </w:tcPr>
          <w:p>
            <w:pPr>
              <w:jc w:val="right"/>
              <w:ind w:right="7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(344)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(397)</w:t>
            </w:r>
          </w:p>
        </w:tc>
        <w:tc>
          <w:tcPr>
            <w:tcW w:w="1000" w:type="dxa"/>
            <w:vAlign w:val="bottom"/>
            <w:gridSpan w:val="2"/>
          </w:tcPr>
          <w:p>
            <w:pPr>
              <w:jc w:val="right"/>
              <w:ind w:right="7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8"/>
                <w:szCs w:val="18"/>
                <w:color w:val="auto"/>
              </w:rPr>
              <w:t>(2)</w:t>
            </w:r>
          </w:p>
        </w:tc>
      </w:tr>
      <w:tr>
        <w:trPr>
          <w:trHeight w:val="202"/>
        </w:trPr>
        <w:tc>
          <w:tcPr>
            <w:tcW w:w="1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 (expense)</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30"/>
        </w:trPr>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income, net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40" w:type="dxa"/>
            <w:vAlign w:val="bottom"/>
            <w:shd w:val="clear" w:color="auto" w:fill="CCEEFF"/>
          </w:tcPr>
          <w:p>
            <w:pPr>
              <w:spacing w:after="0"/>
              <w:rPr>
                <w:sz w:val="20"/>
                <w:szCs w:val="20"/>
                <w:color w:val="auto"/>
              </w:rPr>
            </w:pPr>
          </w:p>
        </w:tc>
        <w:tc>
          <w:tcPr>
            <w:tcW w:w="12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60" w:type="dxa"/>
            <w:vAlign w:val="bottom"/>
            <w:shd w:val="clear" w:color="auto" w:fill="CCEEFF"/>
          </w:tcPr>
          <w:p>
            <w:pPr>
              <w:spacing w:after="0"/>
              <w:rPr>
                <w:sz w:val="20"/>
                <w:szCs w:val="20"/>
                <w:color w:val="auto"/>
              </w:rPr>
            </w:pPr>
          </w:p>
        </w:tc>
        <w:tc>
          <w:tcPr>
            <w:tcW w:w="12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r>
      <w:tr>
        <w:trPr>
          <w:trHeight w:val="210"/>
        </w:trPr>
        <w:tc>
          <w:tcPr>
            <w:tcW w:w="1340" w:type="dxa"/>
            <w:vAlign w:val="bottom"/>
          </w:tcPr>
          <w:p>
            <w:pPr>
              <w:spacing w:after="0"/>
              <w:rPr>
                <w:sz w:val="20"/>
                <w:szCs w:val="20"/>
                <w:color w:val="auto"/>
              </w:rPr>
            </w:pPr>
            <w:r>
              <w:rPr>
                <w:rFonts w:ascii="Arial" w:cs="Arial" w:eastAsia="Arial" w:hAnsi="Arial"/>
                <w:sz w:val="18"/>
                <w:szCs w:val="18"/>
                <w:color w:val="auto"/>
              </w:rPr>
              <w:t>Net loss</w:t>
            </w:r>
          </w:p>
        </w:tc>
        <w:tc>
          <w:tcPr>
            <w:tcW w:w="8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(1,294)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(3,670)</w:t>
            </w:r>
          </w:p>
        </w:tc>
        <w:tc>
          <w:tcPr>
            <w:tcW w:w="14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(3,026)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(7,926)</w:t>
            </w:r>
          </w:p>
        </w:tc>
        <w:tc>
          <w:tcPr>
            <w:tcW w:w="16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60" w:type="dxa"/>
            <w:vAlign w:val="bottom"/>
          </w:tcPr>
          <w:p>
            <w:pPr>
              <w:jc w:val="center"/>
              <w:spacing w:after="0"/>
              <w:rPr>
                <w:sz w:val="20"/>
                <w:szCs w:val="20"/>
                <w:color w:val="auto"/>
              </w:rPr>
            </w:pPr>
            <w:r>
              <w:rPr>
                <w:rFonts w:ascii="Arial" w:cs="Arial" w:eastAsia="Arial" w:hAnsi="Arial"/>
                <w:sz w:val="18"/>
                <w:szCs w:val="18"/>
                <w:color w:val="auto"/>
                <w:w w:val="87"/>
              </w:rPr>
              <w:t>%</w:t>
            </w:r>
          </w:p>
        </w:tc>
        <w:tc>
          <w:tcPr>
            <w:tcW w:w="2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w w:val="74"/>
              </w:rPr>
              <w:t>%</w:t>
            </w:r>
          </w:p>
        </w:tc>
      </w:tr>
      <w:tr>
        <w:trPr>
          <w:trHeight w:val="20"/>
        </w:trPr>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Comparison of the three months ended June 30, 2020 and 2019</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left="40" w:right="319" w:firstLine="401"/>
        <w:spacing w:after="0" w:line="277" w:lineRule="auto"/>
        <w:rPr>
          <w:sz w:val="20"/>
          <w:szCs w:val="20"/>
          <w:color w:val="auto"/>
        </w:rPr>
      </w:pPr>
      <w:r>
        <w:rPr>
          <w:rFonts w:ascii="Arial" w:cs="Arial" w:eastAsia="Arial" w:hAnsi="Arial"/>
          <w:sz w:val="18"/>
          <w:szCs w:val="18"/>
          <w:color w:val="auto"/>
        </w:rPr>
        <w:t>We generated 52.7% and 64.3% of our revenue from products sold through distributors for the three months ended June 30, 2020 and 2019, respectively.</w:t>
      </w:r>
    </w:p>
    <w:p>
      <w:pPr>
        <w:spacing w:after="0" w:line="170" w:lineRule="exact"/>
        <w:rPr>
          <w:sz w:val="20"/>
          <w:szCs w:val="20"/>
          <w:color w:val="auto"/>
        </w:rPr>
      </w:pPr>
    </w:p>
    <w:p>
      <w:pPr>
        <w:ind w:left="40" w:right="279" w:firstLine="401"/>
        <w:spacing w:after="0" w:line="257" w:lineRule="auto"/>
        <w:rPr>
          <w:sz w:val="20"/>
          <w:szCs w:val="20"/>
          <w:color w:val="auto"/>
        </w:rPr>
      </w:pPr>
      <w:r>
        <w:rPr>
          <w:rFonts w:ascii="Arial" w:cs="Arial" w:eastAsia="Arial" w:hAnsi="Arial"/>
          <w:sz w:val="18"/>
          <w:szCs w:val="18"/>
          <w:color w:val="auto"/>
        </w:rPr>
        <w:t>We maintain a direct selling relationship, for strategic purposes, with several key customer accounts. We have organized our sales team and representatives into three primary regions: North America; Europe, Middle East and Africa (EMEA); and Asia-Pacific and Japan (APJ). We recognize revenue by geography based on the region in which our products are sold, and not to where the end products in which they are assembled are shipped. Our revenue by region for the periods indicated was as follows (in thousands):</w:t>
      </w:r>
    </w:p>
    <w:p>
      <w:pPr>
        <w:spacing w:after="0" w:line="260"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4880" w:type="dxa"/>
            <w:vAlign w:val="bottom"/>
          </w:tcPr>
          <w:p>
            <w:pPr>
              <w:spacing w:after="0"/>
              <w:rPr>
                <w:sz w:val="14"/>
                <w:szCs w:val="14"/>
                <w:color w:val="auto"/>
              </w:rPr>
            </w:pPr>
          </w:p>
        </w:tc>
        <w:tc>
          <w:tcPr>
            <w:tcW w:w="19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94"/>
              </w:rPr>
              <w:t>Three Months Ended June 30,</w:t>
            </w:r>
          </w:p>
        </w:tc>
      </w:tr>
      <w:tr>
        <w:trPr>
          <w:trHeight w:val="196"/>
        </w:trPr>
        <w:tc>
          <w:tcPr>
            <w:tcW w:w="48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2019</w:t>
            </w:r>
          </w:p>
        </w:tc>
      </w:tr>
      <w:tr>
        <w:trPr>
          <w:trHeight w:val="210"/>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3,528</w:t>
            </w: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EMEA</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1,619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2,094</w:t>
            </w: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APJ</w:t>
            </w: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3,024</w:t>
            </w:r>
          </w:p>
        </w:tc>
      </w:tr>
      <w:tr>
        <w:trPr>
          <w:trHeight w:val="209"/>
        </w:trPr>
        <w:tc>
          <w:tcPr>
            <w:tcW w:w="4880" w:type="dxa"/>
            <w:vAlign w:val="bottom"/>
          </w:tcPr>
          <w:p>
            <w:pPr>
              <w:ind w:left="100"/>
              <w:spacing w:after="0"/>
              <w:rPr>
                <w:sz w:val="20"/>
                <w:szCs w:val="20"/>
                <w:color w:val="auto"/>
              </w:rPr>
            </w:pPr>
            <w:r>
              <w:rPr>
                <w:rFonts w:ascii="Arial" w:cs="Arial" w:eastAsia="Arial" w:hAnsi="Arial"/>
                <w:sz w:val="18"/>
                <w:szCs w:val="18"/>
                <w:color w:val="auto"/>
              </w:rPr>
              <w:t>Total revenue</w:t>
            </w:r>
          </w:p>
        </w:tc>
        <w:tc>
          <w:tcPr>
            <w:tcW w:w="2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11,826</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8,646</w:t>
            </w:r>
          </w:p>
        </w:tc>
      </w:tr>
      <w:tr>
        <w:trPr>
          <w:trHeight w:val="20"/>
        </w:trPr>
        <w:tc>
          <w:tcPr>
            <w:tcW w:w="48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 w:name="page19"/>
    <w:bookmarkEnd w:id="1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2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2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w w:val="99"/>
              </w:rPr>
              <w:t>Three Months Ended</w:t>
            </w:r>
          </w:p>
        </w:tc>
        <w:tc>
          <w:tcPr>
            <w:tcW w:w="140" w:type="dxa"/>
            <w:vAlign w:val="bottom"/>
          </w:tcPr>
          <w:p>
            <w:pPr>
              <w:spacing w:after="0"/>
              <w:rPr>
                <w:sz w:val="14"/>
                <w:szCs w:val="14"/>
                <w:color w:val="auto"/>
              </w:rPr>
            </w:pPr>
          </w:p>
        </w:tc>
        <w:tc>
          <w:tcPr>
            <w:tcW w:w="1080" w:type="dxa"/>
            <w:vAlign w:val="bottom"/>
            <w:gridSpan w:val="2"/>
            <w:vMerge w:val="restart"/>
          </w:tcPr>
          <w:p>
            <w:pPr>
              <w:ind w:left="520"/>
              <w:spacing w:after="0"/>
              <w:rPr>
                <w:sz w:val="20"/>
                <w:szCs w:val="20"/>
                <w:color w:val="auto"/>
              </w:rPr>
            </w:pPr>
            <w:r>
              <w:rPr>
                <w:rFonts w:ascii="Arial" w:cs="Arial" w:eastAsia="Arial" w:hAnsi="Arial"/>
                <w:sz w:val="14"/>
                <w:szCs w:val="14"/>
                <w:b w:val="1"/>
                <w:bCs w:val="1"/>
                <w:color w:val="auto"/>
              </w:rPr>
              <w:t>Change</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vMerge w:val="continue"/>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rPr>
              <w:t>Amount</w:t>
            </w:r>
          </w:p>
        </w:tc>
        <w:tc>
          <w:tcPr>
            <w:tcW w:w="560" w:type="dxa"/>
            <w:vAlign w:val="bottom"/>
            <w:tcBorders>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6"/>
              </w:rPr>
              <w:t>(Dollars in</w:t>
            </w:r>
          </w:p>
        </w:tc>
        <w:tc>
          <w:tcPr>
            <w:tcW w:w="140" w:type="dxa"/>
            <w:vAlign w:val="bottom"/>
          </w:tcPr>
          <w:p>
            <w:pPr>
              <w:spacing w:after="0"/>
              <w:rPr>
                <w:sz w:val="11"/>
                <w:szCs w:val="11"/>
                <w:color w:val="auto"/>
              </w:rPr>
            </w:pPr>
          </w:p>
        </w:tc>
        <w:tc>
          <w:tcPr>
            <w:tcW w:w="12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thousands)</w:t>
            </w: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Product sales</w:t>
            </w:r>
          </w:p>
        </w:tc>
        <w:tc>
          <w:tcPr>
            <w:tcW w:w="3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10,927</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2,924</w:t>
            </w:r>
          </w:p>
        </w:tc>
        <w:tc>
          <w:tcPr>
            <w:tcW w:w="3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36.5 %</w:t>
            </w:r>
          </w:p>
        </w:tc>
        <w:tc>
          <w:tcPr>
            <w:tcW w:w="0" w:type="dxa"/>
            <w:vAlign w:val="bottom"/>
          </w:tcPr>
          <w:p>
            <w:pPr>
              <w:spacing w:after="0"/>
              <w:rPr>
                <w:sz w:val="1"/>
                <w:szCs w:val="1"/>
                <w:color w:val="auto"/>
              </w:rPr>
            </w:pPr>
          </w:p>
        </w:tc>
      </w:tr>
      <w:tr>
        <w:trPr>
          <w:trHeight w:val="216"/>
        </w:trPr>
        <w:tc>
          <w:tcPr>
            <w:tcW w:w="2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3"/>
              </w:rPr>
              <w:t>Licensing, royalty, and other revenue</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899</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w:t>
            </w:r>
          </w:p>
        </w:tc>
        <w:tc>
          <w:tcPr>
            <w:tcW w:w="36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39.8 %</w:t>
            </w:r>
          </w:p>
        </w:tc>
        <w:tc>
          <w:tcPr>
            <w:tcW w:w="0" w:type="dxa"/>
            <w:vAlign w:val="bottom"/>
          </w:tcPr>
          <w:p>
            <w:pPr>
              <w:spacing w:after="0"/>
              <w:rPr>
                <w:sz w:val="1"/>
                <w:szCs w:val="1"/>
                <w:color w:val="auto"/>
              </w:rPr>
            </w:pPr>
          </w:p>
        </w:tc>
      </w:tr>
      <w:tr>
        <w:trPr>
          <w:trHeight w:val="210"/>
        </w:trPr>
        <w:tc>
          <w:tcPr>
            <w:tcW w:w="2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11,826</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8,646</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3,180</w:t>
            </w:r>
          </w:p>
        </w:tc>
        <w:tc>
          <w:tcPr>
            <w:tcW w:w="3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36.8 %</w:t>
            </w: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right="159" w:firstLine="324"/>
        <w:spacing w:after="0" w:line="263" w:lineRule="auto"/>
        <w:rPr>
          <w:sz w:val="20"/>
          <w:szCs w:val="20"/>
          <w:color w:val="auto"/>
        </w:rPr>
      </w:pPr>
      <w:r>
        <w:rPr>
          <w:rFonts w:ascii="Arial" w:cs="Arial" w:eastAsia="Arial" w:hAnsi="Arial"/>
          <w:sz w:val="18"/>
          <w:szCs w:val="18"/>
          <w:color w:val="auto"/>
        </w:rPr>
        <w:t>Total revenue increased by $3.2 million, or 36.8%, from $8.6 million during the three months ended June 30, 2019, to $11.8 million during the three months ended June 30, 2020. Product sales increased by $2.9 million or 36.5% from $8.0 million to $10.9 million. The increase was driven by new product sales.</w:t>
      </w:r>
    </w:p>
    <w:p>
      <w:pPr>
        <w:spacing w:after="0" w:line="184" w:lineRule="exact"/>
        <w:rPr>
          <w:sz w:val="20"/>
          <w:szCs w:val="20"/>
          <w:color w:val="auto"/>
        </w:rPr>
      </w:pPr>
    </w:p>
    <w:p>
      <w:pPr>
        <w:ind w:left="40" w:right="99" w:firstLine="324"/>
        <w:spacing w:after="0" w:line="277" w:lineRule="auto"/>
        <w:rPr>
          <w:sz w:val="20"/>
          <w:szCs w:val="20"/>
          <w:color w:val="auto"/>
        </w:rPr>
      </w:pPr>
      <w:r>
        <w:rPr>
          <w:rFonts w:ascii="Arial" w:cs="Arial" w:eastAsia="Arial" w:hAnsi="Arial"/>
          <w:sz w:val="18"/>
          <w:szCs w:val="18"/>
          <w:color w:val="auto"/>
        </w:rPr>
        <w:t>Licensing, royalty, and other revenue is a highly variable revenue item characterized by a small number of transactions annually with revenue based on size and terms of each transaction.</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Cost of Sales and Gross Margin</w:t>
      </w:r>
    </w:p>
    <w:p>
      <w:pPr>
        <w:spacing w:after="0" w:line="218"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24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6"/>
              </w:rPr>
              <w:t>Three Months Ended</w:t>
            </w:r>
          </w:p>
        </w:tc>
        <w:tc>
          <w:tcPr>
            <w:tcW w:w="40" w:type="dxa"/>
            <w:vAlign w:val="bottom"/>
          </w:tcPr>
          <w:p>
            <w:pPr>
              <w:spacing w:after="0"/>
              <w:rPr>
                <w:sz w:val="14"/>
                <w:szCs w:val="14"/>
                <w:color w:val="auto"/>
              </w:rPr>
            </w:pPr>
          </w:p>
        </w:tc>
        <w:tc>
          <w:tcPr>
            <w:tcW w:w="1380" w:type="dxa"/>
            <w:vAlign w:val="bottom"/>
            <w:gridSpan w:val="3"/>
            <w:vMerge w:val="restart"/>
          </w:tcPr>
          <w:p>
            <w:pPr>
              <w:jc w:val="right"/>
              <w:ind w:right="5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24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2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rPr>
              <w:t>June 30,</w:t>
            </w:r>
          </w:p>
        </w:tc>
        <w:tc>
          <w:tcPr>
            <w:tcW w:w="40" w:type="dxa"/>
            <w:vAlign w:val="bottom"/>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4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ind w:right="228"/>
              <w:spacing w:after="0" w:line="142" w:lineRule="exact"/>
              <w:rPr>
                <w:sz w:val="20"/>
                <w:szCs w:val="20"/>
                <w:color w:val="auto"/>
              </w:rPr>
            </w:pPr>
            <w:r>
              <w:rPr>
                <w:rFonts w:ascii="Arial" w:cs="Arial" w:eastAsia="Arial" w:hAnsi="Arial"/>
                <w:sz w:val="14"/>
                <w:szCs w:val="14"/>
                <w:b w:val="1"/>
                <w:bCs w:val="1"/>
                <w:color w:val="auto"/>
              </w:rPr>
              <w:t>2020</w:t>
            </w:r>
          </w:p>
        </w:tc>
        <w:tc>
          <w:tcPr>
            <w:tcW w:w="68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rPr>
              <w:t>Amount</w:t>
            </w:r>
          </w:p>
        </w:tc>
        <w:tc>
          <w:tcPr>
            <w:tcW w:w="52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4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20" w:type="dxa"/>
            <w:vAlign w:val="bottom"/>
            <w:gridSpan w:val="4"/>
          </w:tcPr>
          <w:p>
            <w:pPr>
              <w:jc w:val="right"/>
              <w:ind w:right="168"/>
              <w:spacing w:after="0" w:line="129" w:lineRule="exact"/>
              <w:rPr>
                <w:sz w:val="20"/>
                <w:szCs w:val="20"/>
                <w:color w:val="auto"/>
              </w:rPr>
            </w:pPr>
            <w:r>
              <w:rPr>
                <w:rFonts w:ascii="Arial" w:cs="Arial" w:eastAsia="Arial" w:hAnsi="Arial"/>
                <w:sz w:val="14"/>
                <w:szCs w:val="14"/>
                <w:b w:val="1"/>
                <w:bCs w:val="1"/>
                <w:color w:val="auto"/>
                <w:w w:val="91"/>
              </w:rPr>
              <w:t>(Dollars in thousands)</w:t>
            </w: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32"/>
        </w:trPr>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216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$ 6,635</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$ 4,627</w:t>
            </w:r>
          </w:p>
        </w:tc>
        <w:tc>
          <w:tcPr>
            <w:tcW w:w="20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w w:val="93"/>
              </w:rPr>
              <w:t>$ 2,008</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43.4 %</w:t>
            </w:r>
          </w:p>
        </w:tc>
        <w:tc>
          <w:tcPr>
            <w:tcW w:w="0" w:type="dxa"/>
            <w:vAlign w:val="bottom"/>
          </w:tcPr>
          <w:p>
            <w:pPr>
              <w:spacing w:after="0"/>
              <w:rPr>
                <w:sz w:val="1"/>
                <w:szCs w:val="1"/>
                <w:color w:val="auto"/>
              </w:rPr>
            </w:pPr>
          </w:p>
        </w:tc>
      </w:tr>
      <w:tr>
        <w:trPr>
          <w:trHeight w:val="230"/>
        </w:trPr>
        <w:tc>
          <w:tcPr>
            <w:tcW w:w="2400" w:type="dxa"/>
            <w:vAlign w:val="bottom"/>
          </w:tcPr>
          <w:p>
            <w:pPr>
              <w:spacing w:after="0"/>
              <w:rPr>
                <w:sz w:val="20"/>
                <w:szCs w:val="20"/>
                <w:color w:val="auto"/>
              </w:rPr>
            </w:pPr>
            <w:r>
              <w:rPr>
                <w:rFonts w:ascii="Arial" w:cs="Arial" w:eastAsia="Arial" w:hAnsi="Arial"/>
                <w:sz w:val="18"/>
                <w:szCs w:val="18"/>
                <w:color w:val="auto"/>
              </w:rPr>
              <w:t>Gross margin</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43.9 %</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46.5 %</w:t>
            </w: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40" w:right="279" w:firstLine="324"/>
        <w:spacing w:after="0" w:line="263" w:lineRule="auto"/>
        <w:rPr>
          <w:sz w:val="20"/>
          <w:szCs w:val="20"/>
          <w:color w:val="auto"/>
        </w:rPr>
      </w:pPr>
      <w:r>
        <w:rPr>
          <w:rFonts w:ascii="Arial" w:cs="Arial" w:eastAsia="Arial" w:hAnsi="Arial"/>
          <w:sz w:val="18"/>
          <w:szCs w:val="18"/>
          <w:color w:val="auto"/>
        </w:rPr>
        <w:t>Cost of sales increased by $2.0 million or 43.4%, from $4.6 million during the three months ended June 30, 2019, to $6.6 million during the three months ended June 30, 2020. The increase was due to higher volume of units produced and sold.</w:t>
      </w:r>
    </w:p>
    <w:p>
      <w:pPr>
        <w:spacing w:after="0" w:line="184" w:lineRule="exact"/>
        <w:rPr>
          <w:sz w:val="20"/>
          <w:szCs w:val="20"/>
          <w:color w:val="auto"/>
        </w:rPr>
      </w:pPr>
    </w:p>
    <w:p>
      <w:pPr>
        <w:ind w:left="40" w:right="79" w:firstLine="324"/>
        <w:spacing w:after="0" w:line="263" w:lineRule="auto"/>
        <w:rPr>
          <w:sz w:val="20"/>
          <w:szCs w:val="20"/>
          <w:color w:val="auto"/>
        </w:rPr>
      </w:pPr>
      <w:r>
        <w:rPr>
          <w:rFonts w:ascii="Arial" w:cs="Arial" w:eastAsia="Arial" w:hAnsi="Arial"/>
          <w:sz w:val="18"/>
          <w:szCs w:val="18"/>
          <w:color w:val="auto"/>
        </w:rPr>
        <w:t>Gross margin decreased from 46.5% during the three months ended June 30, 2019, to 43.9% during the three months ended June 30, 2020. The decrease in gross margin was due primarily to delays in cost reduction projects for our 1GB STT-MRAM product.</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Operating Expenses</w:t>
      </w:r>
    </w:p>
    <w:p>
      <w:pPr>
        <w:spacing w:after="0" w:line="225" w:lineRule="exact"/>
        <w:rPr>
          <w:sz w:val="20"/>
          <w:szCs w:val="20"/>
          <w:color w:val="auto"/>
        </w:rPr>
      </w:pPr>
    </w:p>
    <w:p>
      <w:pPr>
        <w:ind w:left="40" w:right="239" w:firstLine="401"/>
        <w:spacing w:after="0" w:line="263" w:lineRule="auto"/>
        <w:rPr>
          <w:sz w:val="20"/>
          <w:szCs w:val="20"/>
          <w:color w:val="auto"/>
        </w:rPr>
      </w:pPr>
      <w:r>
        <w:rPr>
          <w:rFonts w:ascii="Arial" w:cs="Arial" w:eastAsia="Arial" w:hAnsi="Arial"/>
          <w:sz w:val="18"/>
          <w:szCs w:val="18"/>
          <w:color w:val="auto"/>
        </w:rPr>
        <w:t>Our operating expenses consist of research and development, general and administrative and sales and marketing expenses. Personnel-related expenses, including salaries, benefits, bonuses and stock-based compensation, are among the most significant component of each of our operating expense categories.</w:t>
      </w:r>
    </w:p>
    <w:p>
      <w:pPr>
        <w:spacing w:after="0" w:line="184" w:lineRule="exact"/>
        <w:rPr>
          <w:sz w:val="20"/>
          <w:szCs w:val="20"/>
          <w:color w:val="auto"/>
        </w:rPr>
      </w:pPr>
    </w:p>
    <w:p>
      <w:pPr>
        <w:ind w:left="40" w:right="159" w:firstLine="401"/>
        <w:spacing w:after="0" w:line="273" w:lineRule="auto"/>
        <w:rPr>
          <w:sz w:val="20"/>
          <w:szCs w:val="20"/>
          <w:color w:val="auto"/>
        </w:rPr>
      </w:pPr>
      <w:r>
        <w:rPr>
          <w:rFonts w:ascii="Arial" w:cs="Arial" w:eastAsia="Arial" w:hAnsi="Arial"/>
          <w:sz w:val="17"/>
          <w:szCs w:val="17"/>
          <w:i w:val="1"/>
          <w:iCs w:val="1"/>
          <w:color w:val="auto"/>
        </w:rPr>
        <w:t xml:space="preserve">Research and Development Expenses. </w:t>
      </w:r>
      <w:r>
        <w:rPr>
          <w:rFonts w:ascii="Arial" w:cs="Arial" w:eastAsia="Arial" w:hAnsi="Arial"/>
          <w:sz w:val="17"/>
          <w:szCs w:val="17"/>
          <w:color w:val="auto"/>
        </w:rPr>
        <w:t>Our research and development expenses consist primarily of personnel-related</w:t>
      </w:r>
      <w:r>
        <w:rPr>
          <w:rFonts w:ascii="Arial" w:cs="Arial" w:eastAsia="Arial" w:hAnsi="Arial"/>
          <w:sz w:val="17"/>
          <w:szCs w:val="17"/>
          <w:i w:val="1"/>
          <w:iCs w:val="1"/>
          <w:color w:val="auto"/>
        </w:rPr>
        <w:t xml:space="preserve"> </w:t>
      </w:r>
      <w:r>
        <w:rPr>
          <w:rFonts w:ascii="Arial" w:cs="Arial" w:eastAsia="Arial" w:hAnsi="Arial"/>
          <w:sz w:val="17"/>
          <w:szCs w:val="17"/>
          <w:color w:val="auto"/>
        </w:rPr>
        <w:t>expenses for the design and development of our products and technologies, development wafers required to validate and characterize our technology, and expenses associated with our joint development activities. Research and development expenses also include consulting services, circuit design costs, materials and laboratory supplies, fabrication and new packaging technology, and an allocation of related facilities and equipment costs. We recognize research and development expenses as they are incurred.</w:t>
      </w:r>
    </w:p>
    <w:p>
      <w:pPr>
        <w:spacing w:after="0" w:line="171"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8"/>
              </w:rPr>
              <w:t>Three Months Ended</w:t>
            </w:r>
          </w:p>
        </w:tc>
        <w:tc>
          <w:tcPr>
            <w:tcW w:w="60" w:type="dxa"/>
            <w:vAlign w:val="bottom"/>
          </w:tcPr>
          <w:p>
            <w:pPr>
              <w:spacing w:after="0"/>
              <w:rPr>
                <w:sz w:val="14"/>
                <w:szCs w:val="14"/>
                <w:color w:val="auto"/>
              </w:rPr>
            </w:pPr>
          </w:p>
        </w:tc>
        <w:tc>
          <w:tcPr>
            <w:tcW w:w="1340" w:type="dxa"/>
            <w:vAlign w:val="bottom"/>
            <w:gridSpan w:val="3"/>
            <w:vMerge w:val="restart"/>
          </w:tcPr>
          <w:p>
            <w:pPr>
              <w:ind w:left="3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3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2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rPr>
              <w:t>June 30,</w:t>
            </w:r>
          </w:p>
        </w:tc>
        <w:tc>
          <w:tcPr>
            <w:tcW w:w="6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2020</w:t>
            </w:r>
          </w:p>
        </w:tc>
        <w:tc>
          <w:tcPr>
            <w:tcW w:w="64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Amount</w:t>
            </w:r>
          </w:p>
        </w:tc>
        <w:tc>
          <w:tcPr>
            <w:tcW w:w="540" w:type="dxa"/>
            <w:vAlign w:val="bottom"/>
            <w:tcBorders>
              <w:top w:val="single" w:sz="8" w:color="auto"/>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300" w:type="dxa"/>
            <w:vAlign w:val="bottom"/>
            <w:gridSpan w:val="5"/>
          </w:tcPr>
          <w:p>
            <w:pPr>
              <w:ind w:left="740"/>
              <w:spacing w:after="0" w:line="142" w:lineRule="exact"/>
              <w:rPr>
                <w:sz w:val="20"/>
                <w:szCs w:val="20"/>
                <w:color w:val="auto"/>
              </w:rPr>
            </w:pPr>
            <w:r>
              <w:rPr>
                <w:rFonts w:ascii="Arial" w:cs="Arial" w:eastAsia="Arial" w:hAnsi="Arial"/>
                <w:sz w:val="14"/>
                <w:szCs w:val="14"/>
                <w:b w:val="1"/>
                <w:bCs w:val="1"/>
                <w:color w:val="auto"/>
              </w:rPr>
              <w:t>(Dollars in thousands)</w:t>
            </w: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32"/>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10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$ 2,774</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$ 3,519</w:t>
            </w:r>
          </w:p>
        </w:tc>
        <w:tc>
          <w:tcPr>
            <w:tcW w:w="180" w:type="dxa"/>
            <w:vAlign w:val="bottom"/>
            <w:shd w:val="clear" w:color="auto" w:fill="CCEEFF"/>
          </w:tcPr>
          <w:p>
            <w:pPr>
              <w:spacing w:after="0"/>
              <w:rPr>
                <w:sz w:val="24"/>
                <w:szCs w:val="24"/>
                <w:color w:val="auto"/>
              </w:rPr>
            </w:pP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 (745)</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w w:val="95"/>
              </w:rPr>
              <w:t>Research and development as a % of revenue</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23 %</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41 %</w:t>
            </w: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40" w:right="59" w:firstLine="324"/>
        <w:spacing w:after="0" w:line="301" w:lineRule="auto"/>
        <w:rPr>
          <w:sz w:val="20"/>
          <w:szCs w:val="20"/>
          <w:color w:val="auto"/>
        </w:rPr>
      </w:pPr>
      <w:r>
        <w:rPr>
          <w:rFonts w:ascii="Arial" w:cs="Arial" w:eastAsia="Arial" w:hAnsi="Arial"/>
          <w:sz w:val="16"/>
          <w:szCs w:val="16"/>
          <w:color w:val="auto"/>
        </w:rPr>
        <w:t>Research and development expenses decreased by $0.7 million or 21.2%, from $3.5 million during the three months ended June 30, 2019, to $2.8 million during the three months ended June 30, 2020. The decrease was due to a $0.4 million decrease in expenses incurred in connection with our joint development agreement with GLOBALFOUNDRIES due to less spending on STT-MRAM process and product development and a $0.4 million decrease in employee and</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9" w:name="page20"/>
    <w:bookmarkEnd w:id="1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right="599"/>
        <w:spacing w:after="0" w:line="277" w:lineRule="auto"/>
        <w:rPr>
          <w:sz w:val="20"/>
          <w:szCs w:val="20"/>
          <w:color w:val="auto"/>
        </w:rPr>
      </w:pPr>
      <w:r>
        <w:rPr>
          <w:rFonts w:ascii="Arial" w:cs="Arial" w:eastAsia="Arial" w:hAnsi="Arial"/>
          <w:sz w:val="18"/>
          <w:szCs w:val="18"/>
          <w:color w:val="auto"/>
        </w:rPr>
        <w:t>contract labor related costs due to a decrease in headcount as a result of our corporate restructuring plan approved in December 2019.</w:t>
      </w:r>
    </w:p>
    <w:p>
      <w:pPr>
        <w:spacing w:after="0" w:line="163"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8"/>
              </w:rPr>
              <w:t>Three Months Ended</w:t>
            </w:r>
          </w:p>
        </w:tc>
        <w:tc>
          <w:tcPr>
            <w:tcW w:w="60" w:type="dxa"/>
            <w:vAlign w:val="bottom"/>
          </w:tcPr>
          <w:p>
            <w:pPr>
              <w:spacing w:after="0"/>
              <w:rPr>
                <w:sz w:val="14"/>
                <w:szCs w:val="14"/>
                <w:color w:val="auto"/>
              </w:rPr>
            </w:pPr>
          </w:p>
        </w:tc>
        <w:tc>
          <w:tcPr>
            <w:tcW w:w="1340" w:type="dxa"/>
            <w:vAlign w:val="bottom"/>
            <w:gridSpan w:val="3"/>
            <w:vMerge w:val="restart"/>
          </w:tcPr>
          <w:p>
            <w:pPr>
              <w:ind w:left="3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3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2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rPr>
              <w:t>June 30,</w:t>
            </w:r>
          </w:p>
        </w:tc>
        <w:tc>
          <w:tcPr>
            <w:tcW w:w="6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2020</w:t>
            </w:r>
          </w:p>
        </w:tc>
        <w:tc>
          <w:tcPr>
            <w:tcW w:w="64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Amount</w:t>
            </w:r>
          </w:p>
        </w:tc>
        <w:tc>
          <w:tcPr>
            <w:tcW w:w="540" w:type="dxa"/>
            <w:vAlign w:val="bottom"/>
            <w:tcBorders>
              <w:top w:val="single" w:sz="8" w:color="auto"/>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300" w:type="dxa"/>
            <w:vAlign w:val="bottom"/>
            <w:gridSpan w:val="5"/>
          </w:tcPr>
          <w:p>
            <w:pPr>
              <w:ind w:left="740"/>
              <w:spacing w:after="0" w:line="142" w:lineRule="exact"/>
              <w:rPr>
                <w:sz w:val="20"/>
                <w:szCs w:val="20"/>
                <w:color w:val="auto"/>
              </w:rPr>
            </w:pPr>
            <w:r>
              <w:rPr>
                <w:rFonts w:ascii="Arial" w:cs="Arial" w:eastAsia="Arial" w:hAnsi="Arial"/>
                <w:sz w:val="14"/>
                <w:szCs w:val="14"/>
                <w:b w:val="1"/>
                <w:bCs w:val="1"/>
                <w:color w:val="auto"/>
              </w:rPr>
              <w:t>(Dollars in thousands)</w:t>
            </w: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32"/>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08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$ 2,448</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$ 2,856</w:t>
            </w:r>
          </w:p>
        </w:tc>
        <w:tc>
          <w:tcPr>
            <w:tcW w:w="180" w:type="dxa"/>
            <w:vAlign w:val="bottom"/>
            <w:shd w:val="clear" w:color="auto" w:fill="CCEEFF"/>
          </w:tcPr>
          <w:p>
            <w:pPr>
              <w:spacing w:after="0"/>
              <w:rPr>
                <w:sz w:val="24"/>
                <w:szCs w:val="24"/>
                <w:color w:val="auto"/>
              </w:rPr>
            </w:pP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 (408)</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w w:val="96"/>
              </w:rPr>
              <w:t>General and administrative as a % of revenue</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21 %</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33 %</w:t>
            </w: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40" w:right="119" w:firstLine="324"/>
        <w:spacing w:after="0" w:line="257"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General and administrative expenses decreased by $0.4 million or 14.3%, from</w:t>
      </w:r>
      <w:r>
        <w:rPr>
          <w:rFonts w:ascii="Arial" w:cs="Arial" w:eastAsia="Arial" w:hAnsi="Arial"/>
          <w:sz w:val="18"/>
          <w:szCs w:val="18"/>
          <w:i w:val="1"/>
          <w:iCs w:val="1"/>
          <w:color w:val="auto"/>
        </w:rPr>
        <w:t xml:space="preserve"> </w:t>
      </w:r>
      <w:r>
        <w:rPr>
          <w:rFonts w:ascii="Arial" w:cs="Arial" w:eastAsia="Arial" w:hAnsi="Arial"/>
          <w:sz w:val="18"/>
          <w:szCs w:val="18"/>
          <w:color w:val="auto"/>
        </w:rPr>
        <w:t>$2.9 million during the three months ended June 30, 2019, to $2.5 million during the three months ended June 30, 2020. The decrease was primarily due to a $0.3 million decrease in employee and contract labor related costs due to a decrease in headcount as a result of our corporate restructuring plan approved in December 2019 and a $0.2 million decrease in professional service related costs.</w:t>
      </w:r>
    </w:p>
    <w:p>
      <w:pPr>
        <w:spacing w:after="0" w:line="180"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3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8"/>
              </w:rPr>
              <w:t>Three Months Ended</w:t>
            </w:r>
          </w:p>
        </w:tc>
        <w:tc>
          <w:tcPr>
            <w:tcW w:w="60" w:type="dxa"/>
            <w:vAlign w:val="bottom"/>
          </w:tcPr>
          <w:p>
            <w:pPr>
              <w:spacing w:after="0"/>
              <w:rPr>
                <w:sz w:val="14"/>
                <w:szCs w:val="14"/>
                <w:color w:val="auto"/>
              </w:rPr>
            </w:pPr>
          </w:p>
        </w:tc>
        <w:tc>
          <w:tcPr>
            <w:tcW w:w="1340" w:type="dxa"/>
            <w:vAlign w:val="bottom"/>
            <w:gridSpan w:val="3"/>
            <w:vMerge w:val="restart"/>
          </w:tcPr>
          <w:p>
            <w:pPr>
              <w:ind w:left="3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3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2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rPr>
              <w:t>June 30,</w:t>
            </w:r>
          </w:p>
        </w:tc>
        <w:tc>
          <w:tcPr>
            <w:tcW w:w="6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2020</w:t>
            </w:r>
          </w:p>
        </w:tc>
        <w:tc>
          <w:tcPr>
            <w:tcW w:w="64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Amount</w:t>
            </w:r>
          </w:p>
        </w:tc>
        <w:tc>
          <w:tcPr>
            <w:tcW w:w="540" w:type="dxa"/>
            <w:vAlign w:val="bottom"/>
            <w:tcBorders>
              <w:top w:val="single" w:sz="8" w:color="auto"/>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300" w:type="dxa"/>
            <w:vAlign w:val="bottom"/>
            <w:gridSpan w:val="5"/>
          </w:tcPr>
          <w:p>
            <w:pPr>
              <w:ind w:left="740"/>
              <w:spacing w:after="0" w:line="142" w:lineRule="exact"/>
              <w:rPr>
                <w:sz w:val="20"/>
                <w:szCs w:val="20"/>
                <w:color w:val="auto"/>
              </w:rPr>
            </w:pPr>
            <w:r>
              <w:rPr>
                <w:rFonts w:ascii="Arial" w:cs="Arial" w:eastAsia="Arial" w:hAnsi="Arial"/>
                <w:sz w:val="14"/>
                <w:szCs w:val="14"/>
                <w:b w:val="1"/>
                <w:bCs w:val="1"/>
                <w:color w:val="auto"/>
              </w:rPr>
              <w:t>(Dollars in thousands)</w:t>
            </w: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32"/>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32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$ 1,056</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$ 1,239</w:t>
            </w:r>
          </w:p>
        </w:tc>
        <w:tc>
          <w:tcPr>
            <w:tcW w:w="180" w:type="dxa"/>
            <w:vAlign w:val="bottom"/>
            <w:shd w:val="clear" w:color="auto" w:fill="CCEEFF"/>
          </w:tcPr>
          <w:p>
            <w:pPr>
              <w:spacing w:after="0"/>
              <w:rPr>
                <w:sz w:val="24"/>
                <w:szCs w:val="24"/>
                <w:color w:val="auto"/>
              </w:rPr>
            </w:pP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 (183)</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30"/>
        </w:trPr>
        <w:tc>
          <w:tcPr>
            <w:tcW w:w="3320" w:type="dxa"/>
            <w:vAlign w:val="bottom"/>
          </w:tcPr>
          <w:p>
            <w:pPr>
              <w:spacing w:after="0"/>
              <w:rPr>
                <w:sz w:val="20"/>
                <w:szCs w:val="20"/>
                <w:color w:val="auto"/>
              </w:rPr>
            </w:pPr>
            <w:r>
              <w:rPr>
                <w:rFonts w:ascii="Arial" w:cs="Arial" w:eastAsia="Arial" w:hAnsi="Arial"/>
                <w:sz w:val="18"/>
                <w:szCs w:val="18"/>
                <w:color w:val="auto"/>
              </w:rPr>
              <w:t>Sales and marketing as a % of revenue</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9 %</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14 %</w:t>
            </w: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40" w:right="239" w:firstLine="324"/>
        <w:spacing w:after="0" w:line="259" w:lineRule="auto"/>
        <w:rPr>
          <w:sz w:val="20"/>
          <w:szCs w:val="20"/>
          <w:color w:val="auto"/>
        </w:rPr>
      </w:pPr>
      <w:r>
        <w:rPr>
          <w:rFonts w:ascii="Arial" w:cs="Arial" w:eastAsia="Arial" w:hAnsi="Arial"/>
          <w:sz w:val="18"/>
          <w:szCs w:val="18"/>
          <w:i w:val="1"/>
          <w:iCs w:val="1"/>
          <w:color w:val="auto"/>
        </w:rPr>
        <w:t xml:space="preserve">Sales and Marketing Expenses. </w:t>
      </w:r>
      <w:r>
        <w:rPr>
          <w:rFonts w:ascii="Arial" w:cs="Arial" w:eastAsia="Arial" w:hAnsi="Arial"/>
          <w:sz w:val="18"/>
          <w:szCs w:val="18"/>
          <w:color w:val="auto"/>
        </w:rPr>
        <w:t>Sales and marketing expenses decreased by $0.2 million or 14.8%, from $1.2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during the three months ended June 30, 2019, to $1.0 million during the three months ended June 30, 2020. The decrease was primarily due to a decrease in employee and contract labor related costs due to a decrease in headcount as a result of our corporate restructuring plan approved in December 2019.</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Interest Expense</w:t>
      </w:r>
    </w:p>
    <w:p>
      <w:pPr>
        <w:spacing w:after="0" w:line="218"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3"/>
          </w:tcPr>
          <w:p>
            <w:pPr>
              <w:jc w:val="center"/>
              <w:ind w:right="19"/>
              <w:spacing w:after="0"/>
              <w:rPr>
                <w:sz w:val="20"/>
                <w:szCs w:val="20"/>
                <w:color w:val="auto"/>
              </w:rPr>
            </w:pPr>
            <w:r>
              <w:rPr>
                <w:rFonts w:ascii="Arial" w:cs="Arial" w:eastAsia="Arial" w:hAnsi="Arial"/>
                <w:sz w:val="14"/>
                <w:szCs w:val="14"/>
                <w:b w:val="1"/>
                <w:bCs w:val="1"/>
                <w:color w:val="auto"/>
                <w:w w:val="93"/>
              </w:rPr>
              <w:t>Three Months Ended</w:t>
            </w:r>
          </w:p>
        </w:tc>
        <w:tc>
          <w:tcPr>
            <w:tcW w:w="140" w:type="dxa"/>
            <w:vAlign w:val="bottom"/>
          </w:tcPr>
          <w:p>
            <w:pPr>
              <w:spacing w:after="0"/>
              <w:rPr>
                <w:sz w:val="14"/>
                <w:szCs w:val="14"/>
                <w:color w:val="auto"/>
              </w:rPr>
            </w:pPr>
          </w:p>
        </w:tc>
        <w:tc>
          <w:tcPr>
            <w:tcW w:w="1240" w:type="dxa"/>
            <w:vAlign w:val="bottom"/>
            <w:gridSpan w:val="3"/>
            <w:vMerge w:val="restart"/>
          </w:tcPr>
          <w:p>
            <w:pPr>
              <w:ind w:left="3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4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left="284"/>
              <w:spacing w:after="0"/>
              <w:rPr>
                <w:sz w:val="20"/>
                <w:szCs w:val="20"/>
                <w:color w:val="auto"/>
              </w:rPr>
            </w:pPr>
            <w:r>
              <w:rPr>
                <w:rFonts w:ascii="Arial" w:cs="Arial" w:eastAsia="Arial" w:hAnsi="Arial"/>
                <w:sz w:val="14"/>
                <w:szCs w:val="14"/>
                <w:b w:val="1"/>
                <w:bCs w:val="1"/>
                <w:color w:val="auto"/>
                <w:w w:val="92"/>
              </w:rPr>
              <w:t>June 30,</w:t>
            </w: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84"/>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w w:val="96"/>
              </w:rPr>
              <w:t>2019</w:t>
            </w:r>
          </w:p>
        </w:tc>
        <w:tc>
          <w:tcPr>
            <w:tcW w:w="140" w:type="dxa"/>
            <w:vAlign w:val="bottom"/>
          </w:tcPr>
          <w:p>
            <w:pPr>
              <w:spacing w:after="0"/>
              <w:rPr>
                <w:sz w:val="12"/>
                <w:szCs w:val="12"/>
                <w:color w:val="auto"/>
              </w:rPr>
            </w:pPr>
          </w:p>
        </w:tc>
        <w:tc>
          <w:tcPr>
            <w:tcW w:w="62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Amount</w:t>
            </w:r>
          </w:p>
        </w:tc>
        <w:tc>
          <w:tcPr>
            <w:tcW w:w="440" w:type="dxa"/>
            <w:vAlign w:val="bottom"/>
            <w:tcBorders>
              <w:top w:val="single" w:sz="8" w:color="auto"/>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4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160" w:type="dxa"/>
            <w:vAlign w:val="bottom"/>
            <w:gridSpan w:val="5"/>
          </w:tcPr>
          <w:p>
            <w:pPr>
              <w:ind w:left="580"/>
              <w:spacing w:after="0" w:line="129" w:lineRule="exact"/>
              <w:rPr>
                <w:sz w:val="20"/>
                <w:szCs w:val="20"/>
                <w:color w:val="auto"/>
              </w:rPr>
            </w:pPr>
            <w:r>
              <w:rPr>
                <w:rFonts w:ascii="Arial" w:cs="Arial" w:eastAsia="Arial" w:hAnsi="Arial"/>
                <w:sz w:val="14"/>
                <w:szCs w:val="14"/>
                <w:b w:val="1"/>
                <w:bCs w:val="1"/>
                <w:color w:val="auto"/>
              </w:rPr>
              <w:t>(Dollars in thousands)</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172</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7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  (14)</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0" w:right="139" w:firstLine="324"/>
        <w:spacing w:after="0" w:line="257" w:lineRule="auto"/>
        <w:rPr>
          <w:sz w:val="20"/>
          <w:szCs w:val="20"/>
          <w:color w:val="auto"/>
        </w:rPr>
      </w:pPr>
      <w:r>
        <w:rPr>
          <w:rFonts w:ascii="Arial" w:cs="Arial" w:eastAsia="Arial" w:hAnsi="Arial"/>
          <w:sz w:val="18"/>
          <w:szCs w:val="18"/>
          <w:color w:val="auto"/>
        </w:rPr>
        <w:t>Interest expense remained relatively flat at $0.2 million during the three months ended June 30, 2020, compared to the three months ended June 30, 2019. The slight decrease was partially due to a decrease in non-cash interest related to the amortization of debt discounts derived from the issuance of a warrant, the end of term fee and debt issuance costs and a decrease in interest paid on our credit facilities as a result of a lower outstanding principal balance under our 2019 credit facilities.</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Other (Expense) Income, Net</w:t>
      </w:r>
    </w:p>
    <w:p>
      <w:pPr>
        <w:spacing w:after="0" w:line="218"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13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140" w:type="dxa"/>
            <w:vAlign w:val="bottom"/>
          </w:tcPr>
          <w:p>
            <w:pPr>
              <w:spacing w:after="0"/>
              <w:rPr>
                <w:sz w:val="14"/>
                <w:szCs w:val="14"/>
                <w:color w:val="auto"/>
              </w:rPr>
            </w:pPr>
          </w:p>
        </w:tc>
        <w:tc>
          <w:tcPr>
            <w:tcW w:w="1480" w:type="dxa"/>
            <w:vAlign w:val="bottom"/>
            <w:gridSpan w:val="3"/>
            <w:vMerge w:val="restart"/>
          </w:tcPr>
          <w:p>
            <w:pPr>
              <w:ind w:left="3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3860" w:type="dxa"/>
            <w:vAlign w:val="bottom"/>
          </w:tcPr>
          <w:p>
            <w:pPr>
              <w:spacing w:after="0"/>
              <w:rPr>
                <w:sz w:val="14"/>
                <w:szCs w:val="14"/>
                <w:color w:val="auto"/>
              </w:rPr>
            </w:pPr>
          </w:p>
        </w:tc>
        <w:tc>
          <w:tcPr>
            <w:tcW w:w="920" w:type="dxa"/>
            <w:vAlign w:val="bottom"/>
            <w:gridSpan w:val="2"/>
          </w:tcPr>
          <w:p>
            <w:pPr>
              <w:jc w:val="center"/>
              <w:ind w:left="344"/>
              <w:spacing w:after="0"/>
              <w:rPr>
                <w:sz w:val="20"/>
                <w:szCs w:val="20"/>
                <w:color w:val="auto"/>
              </w:rPr>
            </w:pPr>
            <w:r>
              <w:rPr>
                <w:rFonts w:ascii="Arial" w:cs="Arial" w:eastAsia="Arial" w:hAnsi="Arial"/>
                <w:sz w:val="14"/>
                <w:szCs w:val="14"/>
                <w:b w:val="1"/>
                <w:bCs w:val="1"/>
                <w:color w:val="auto"/>
                <w:w w:val="89"/>
              </w:rPr>
              <w:t>June 30,</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6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64"/>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w w:val="89"/>
              </w:rPr>
              <w:t>2019</w:t>
            </w:r>
          </w:p>
        </w:tc>
        <w:tc>
          <w:tcPr>
            <w:tcW w:w="140" w:type="dxa"/>
            <w:vAlign w:val="bottom"/>
            <w:vMerge w:val="restart"/>
          </w:tcPr>
          <w:p>
            <w:pPr>
              <w:spacing w:after="0"/>
              <w:rPr>
                <w:sz w:val="20"/>
                <w:szCs w:val="20"/>
                <w:color w:val="auto"/>
              </w:rPr>
            </w:pPr>
            <w:r>
              <w:rPr>
                <w:rFonts w:ascii="Arial" w:cs="Arial" w:eastAsia="Arial" w:hAnsi="Arial"/>
                <w:sz w:val="14"/>
                <w:szCs w:val="14"/>
                <w:b w:val="1"/>
                <w:bCs w:val="1"/>
                <w:color w:val="auto"/>
                <w:w w:val="96"/>
              </w:rPr>
              <w:t>in</w:t>
            </w:r>
          </w:p>
        </w:tc>
        <w:tc>
          <w:tcPr>
            <w:tcW w:w="68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Amount</w:t>
            </w:r>
          </w:p>
        </w:tc>
        <w:tc>
          <w:tcPr>
            <w:tcW w:w="56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95"/>
              </w:rPr>
              <w:t>(Dollars</w:t>
            </w:r>
          </w:p>
        </w:tc>
        <w:tc>
          <w:tcPr>
            <w:tcW w:w="140" w:type="dxa"/>
            <w:vAlign w:val="bottom"/>
            <w:vMerge w:val="continue"/>
          </w:tcPr>
          <w:p>
            <w:pPr>
              <w:spacing w:after="0"/>
              <w:rPr>
                <w:sz w:val="11"/>
                <w:szCs w:val="11"/>
                <w:color w:val="auto"/>
              </w:rPr>
            </w:pPr>
          </w:p>
        </w:tc>
        <w:tc>
          <w:tcPr>
            <w:tcW w:w="680" w:type="dxa"/>
            <w:vAlign w:val="bottom"/>
          </w:tcPr>
          <w:p>
            <w:pPr>
              <w:spacing w:after="0" w:line="129" w:lineRule="exact"/>
              <w:rPr>
                <w:sz w:val="20"/>
                <w:szCs w:val="20"/>
                <w:color w:val="auto"/>
              </w:rPr>
            </w:pPr>
            <w:r>
              <w:rPr>
                <w:rFonts w:ascii="Arial" w:cs="Arial" w:eastAsia="Arial" w:hAnsi="Arial"/>
                <w:sz w:val="14"/>
                <w:szCs w:val="14"/>
                <w:b w:val="1"/>
                <w:bCs w:val="1"/>
                <w:color w:val="auto"/>
                <w:w w:val="87"/>
              </w:rPr>
              <w:t>thousands)</w:t>
            </w: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32"/>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 net</w:t>
            </w:r>
          </w:p>
        </w:tc>
        <w:tc>
          <w:tcPr>
            <w:tcW w:w="70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rPr>
              <w:t>$   (35)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8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 (146)</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(131.5) %</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40" w:right="119" w:firstLine="324"/>
        <w:spacing w:after="0" w:line="311" w:lineRule="auto"/>
        <w:rPr>
          <w:sz w:val="20"/>
          <w:szCs w:val="20"/>
          <w:color w:val="auto"/>
        </w:rPr>
      </w:pPr>
      <w:r>
        <w:rPr>
          <w:rFonts w:ascii="Arial" w:cs="Arial" w:eastAsia="Arial" w:hAnsi="Arial"/>
          <w:sz w:val="16"/>
          <w:szCs w:val="16"/>
          <w:color w:val="auto"/>
        </w:rPr>
        <w:t>Other (expense) income, net changed by $0.1 million from income of $0.1 million during the three months ended June 30, 2019, to expense of $35,000 during the three months ended June 30, 2020. The change was primarily due to a decrease in interest income earned on our cash balances during the quarter from the lower interest rate environment.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0" w:name="page21"/>
    <w:bookmarkEnd w:id="2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Comparison of the six months ended June 30, 2020 and 2019</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i w:val="1"/>
          <w:iCs w:val="1"/>
          <w:u w:val="single" w:color="auto"/>
          <w:color w:val="auto"/>
        </w:rPr>
        <w:t>Revenue</w:t>
      </w:r>
    </w:p>
    <w:p>
      <w:pPr>
        <w:spacing w:after="0" w:line="225" w:lineRule="exact"/>
        <w:rPr>
          <w:sz w:val="20"/>
          <w:szCs w:val="20"/>
          <w:color w:val="auto"/>
        </w:rPr>
      </w:pPr>
    </w:p>
    <w:p>
      <w:pPr>
        <w:ind w:left="40" w:right="119" w:firstLine="389"/>
        <w:spacing w:after="0" w:line="277" w:lineRule="auto"/>
        <w:rPr>
          <w:sz w:val="20"/>
          <w:szCs w:val="20"/>
          <w:color w:val="auto"/>
        </w:rPr>
      </w:pPr>
      <w:r>
        <w:rPr>
          <w:rFonts w:ascii="Arial" w:cs="Arial" w:eastAsia="Arial" w:hAnsi="Arial"/>
          <w:sz w:val="18"/>
          <w:szCs w:val="18"/>
          <w:color w:val="auto"/>
        </w:rPr>
        <w:t>We generated 60% and 68% of our revenue from products sold through distributors for the six months ended June 30, 2020 and 2019, respectively.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revenue by region for the periods indicated was as follows (in thousands):</w:t>
      </w:r>
    </w:p>
    <w:p>
      <w:pPr>
        <w:spacing w:after="0" w:line="298"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2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7"/>
          </w:tcPr>
          <w:p>
            <w:pPr>
              <w:jc w:val="right"/>
              <w:ind w:right="160"/>
              <w:spacing w:after="0"/>
              <w:rPr>
                <w:sz w:val="20"/>
                <w:szCs w:val="20"/>
                <w:color w:val="auto"/>
              </w:rPr>
            </w:pPr>
            <w:r>
              <w:rPr>
                <w:rFonts w:ascii="Arial" w:cs="Arial" w:eastAsia="Arial" w:hAnsi="Arial"/>
                <w:sz w:val="14"/>
                <w:szCs w:val="14"/>
                <w:b w:val="1"/>
                <w:bCs w:val="1"/>
                <w:color w:val="auto"/>
                <w:w w:val="92"/>
              </w:rPr>
              <w:t>Six Months Ended June 30,</w:t>
            </w:r>
          </w:p>
        </w:tc>
        <w:tc>
          <w:tcPr>
            <w:tcW w:w="0" w:type="dxa"/>
            <w:vAlign w:val="bottom"/>
          </w:tcPr>
          <w:p>
            <w:pPr>
              <w:spacing w:after="0"/>
              <w:rPr>
                <w:sz w:val="1"/>
                <w:szCs w:val="1"/>
                <w:color w:val="auto"/>
              </w:rPr>
            </w:pPr>
          </w:p>
        </w:tc>
      </w:tr>
      <w:tr>
        <w:trPr>
          <w:trHeight w:val="196"/>
        </w:trPr>
        <w:tc>
          <w:tcPr>
            <w:tcW w:w="288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66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66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5,717</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EMEA</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3,727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4,728</w:t>
            </w: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APJ</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15,283</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8,227</w:t>
            </w:r>
          </w:p>
        </w:tc>
        <w:tc>
          <w:tcPr>
            <w:tcW w:w="0" w:type="dxa"/>
            <w:vAlign w:val="bottom"/>
          </w:tcPr>
          <w:p>
            <w:pPr>
              <w:spacing w:after="0"/>
              <w:rPr>
                <w:sz w:val="1"/>
                <w:szCs w:val="1"/>
                <w:color w:val="auto"/>
              </w:rPr>
            </w:pPr>
          </w:p>
        </w:tc>
      </w:tr>
      <w:tr>
        <w:trPr>
          <w:trHeight w:val="209"/>
        </w:trPr>
        <w:tc>
          <w:tcPr>
            <w:tcW w:w="2880" w:type="dxa"/>
            <w:vAlign w:val="bottom"/>
          </w:tcPr>
          <w:p>
            <w:pPr>
              <w:ind w:left="100"/>
              <w:spacing w:after="0"/>
              <w:rPr>
                <w:sz w:val="20"/>
                <w:szCs w:val="20"/>
                <w:color w:val="auto"/>
              </w:rPr>
            </w:pPr>
            <w:r>
              <w:rPr>
                <w:rFonts w:ascii="Arial" w:cs="Arial" w:eastAsia="Arial" w:hAnsi="Arial"/>
                <w:sz w:val="18"/>
                <w:szCs w:val="18"/>
                <w:color w:val="auto"/>
              </w:rPr>
              <w:t>Total revenue</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21,934</w:t>
            </w:r>
          </w:p>
        </w:tc>
        <w:tc>
          <w:tcPr>
            <w:tcW w:w="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18,672</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0" w:type="dxa"/>
            <w:vAlign w:val="bottom"/>
            <w:gridSpan w:val="5"/>
            <w:vMerge w:val="restart"/>
          </w:tcPr>
          <w:p>
            <w:pPr>
              <w:ind w:left="160"/>
              <w:spacing w:after="0"/>
              <w:rPr>
                <w:sz w:val="20"/>
                <w:szCs w:val="20"/>
                <w:color w:val="auto"/>
              </w:rPr>
            </w:pPr>
            <w:r>
              <w:rPr>
                <w:rFonts w:ascii="Arial" w:cs="Arial" w:eastAsia="Arial" w:hAnsi="Arial"/>
                <w:sz w:val="14"/>
                <w:szCs w:val="14"/>
                <w:b w:val="1"/>
                <w:bCs w:val="1"/>
                <w:color w:val="auto"/>
              </w:rPr>
              <w:t>Six Months Ended</w:t>
            </w: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0" w:type="dxa"/>
            <w:vAlign w:val="bottom"/>
            <w:gridSpan w:val="5"/>
            <w:vMerge w:val="continue"/>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5"/>
            <w:vMerge w:val="restart"/>
          </w:tcPr>
          <w:p>
            <w:pPr>
              <w:jc w:val="right"/>
              <w:ind w:right="10"/>
              <w:spacing w:after="0"/>
              <w:rPr>
                <w:sz w:val="20"/>
                <w:szCs w:val="20"/>
                <w:color w:val="auto"/>
              </w:rPr>
            </w:pPr>
            <w:r>
              <w:rPr>
                <w:rFonts w:ascii="Arial" w:cs="Arial" w:eastAsia="Arial" w:hAnsi="Arial"/>
                <w:sz w:val="14"/>
                <w:szCs w:val="14"/>
                <w:b w:val="1"/>
                <w:bCs w:val="1"/>
                <w:color w:val="auto"/>
              </w:rPr>
              <w:t>Change</w:t>
            </w: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8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5"/>
            <w:vMerge w:val="continue"/>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ind w:right="199"/>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ind w:right="197"/>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jc w:val="right"/>
              <w:ind w:right="234"/>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8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3"/>
              </w:rPr>
              <w:t>(Dollars in</w:t>
            </w:r>
          </w:p>
        </w:tc>
        <w:tc>
          <w:tcPr>
            <w:tcW w:w="160" w:type="dxa"/>
            <w:vAlign w:val="bottom"/>
            <w:gridSpan w:val="2"/>
          </w:tcPr>
          <w:p>
            <w:pPr>
              <w:spacing w:after="0"/>
              <w:rPr>
                <w:sz w:val="11"/>
                <w:szCs w:val="11"/>
                <w:color w:val="auto"/>
              </w:rPr>
            </w:pPr>
          </w:p>
        </w:tc>
        <w:tc>
          <w:tcPr>
            <w:tcW w:w="84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rPr>
              <w:t>thousands)</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Product sales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20,562</w:t>
            </w:r>
          </w:p>
        </w:tc>
        <w:tc>
          <w:tcPr>
            <w:tcW w:w="34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17,026</w:t>
            </w:r>
          </w:p>
        </w:tc>
        <w:tc>
          <w:tcPr>
            <w:tcW w:w="1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3,536</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20.8 %</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w w:val="96"/>
              </w:rPr>
              <w:t>Licensing, royalty, and other revenue</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1,372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1,646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(274)</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0"/>
        </w:trPr>
        <w:tc>
          <w:tcPr>
            <w:tcW w:w="28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21,934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18,672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3,262</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17.5 %</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40" w:right="259" w:firstLine="324"/>
        <w:spacing w:after="0" w:line="263" w:lineRule="auto"/>
        <w:rPr>
          <w:sz w:val="20"/>
          <w:szCs w:val="20"/>
          <w:color w:val="auto"/>
        </w:rPr>
      </w:pPr>
      <w:r>
        <w:rPr>
          <w:rFonts w:ascii="Arial" w:cs="Arial" w:eastAsia="Arial" w:hAnsi="Arial"/>
          <w:sz w:val="18"/>
          <w:szCs w:val="18"/>
          <w:color w:val="auto"/>
        </w:rPr>
        <w:t>Total revenue increased by $3.2 million, or 17.5%, from $18.7 million during the six months ended June 30, 2019, to $21.9 million during the three months ended June 30, 2020. Product sales increased by $3.5 million or 20.8% from $17.0 million to $20.5 million. The increase was driven by new product sales.</w:t>
      </w:r>
    </w:p>
    <w:p>
      <w:pPr>
        <w:spacing w:after="0" w:line="184" w:lineRule="exact"/>
        <w:rPr>
          <w:sz w:val="20"/>
          <w:szCs w:val="20"/>
          <w:color w:val="auto"/>
        </w:rPr>
      </w:pPr>
    </w:p>
    <w:p>
      <w:pPr>
        <w:ind w:left="40" w:right="99" w:firstLine="324"/>
        <w:spacing w:after="0" w:line="277" w:lineRule="auto"/>
        <w:rPr>
          <w:sz w:val="20"/>
          <w:szCs w:val="20"/>
          <w:color w:val="auto"/>
        </w:rPr>
      </w:pPr>
      <w:r>
        <w:rPr>
          <w:rFonts w:ascii="Arial" w:cs="Arial" w:eastAsia="Arial" w:hAnsi="Arial"/>
          <w:sz w:val="18"/>
          <w:szCs w:val="18"/>
          <w:color w:val="auto"/>
        </w:rPr>
        <w:t>Licensing, royalty, and other revenue is a highly variable revenue item characterized by a small number of transactions annually with revenue based on size and terms of each transaction.</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i w:val="1"/>
          <w:iCs w:val="1"/>
          <w:u w:val="single" w:color="auto"/>
          <w:color w:val="auto"/>
        </w:rPr>
        <w:t>Cost of Sales and Gross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1488440</wp:posOffset>
            </wp:positionH>
            <wp:positionV relativeFrom="paragraph">
              <wp:posOffset>-121920</wp:posOffset>
            </wp:positionV>
            <wp:extent cx="25400"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5400" cy="128905"/>
                    </a:xfrm>
                    <a:prstGeom prst="rect">
                      <a:avLst/>
                    </a:prstGeom>
                    <a:noFill/>
                  </pic:spPr>
                </pic:pic>
              </a:graphicData>
            </a:graphic>
          </wp:anchor>
        </w:drawing>
      </w:r>
    </w:p>
    <w:p>
      <w:pPr>
        <w:spacing w:after="0" w:line="198"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17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Six Months Ended</w:t>
            </w:r>
          </w:p>
        </w:tc>
        <w:tc>
          <w:tcPr>
            <w:tcW w:w="60" w:type="dxa"/>
            <w:vAlign w:val="bottom"/>
          </w:tcPr>
          <w:p>
            <w:pPr>
              <w:spacing w:after="0"/>
              <w:rPr>
                <w:sz w:val="14"/>
                <w:szCs w:val="14"/>
                <w:color w:val="auto"/>
              </w:rPr>
            </w:pPr>
          </w:p>
        </w:tc>
        <w:tc>
          <w:tcPr>
            <w:tcW w:w="1340" w:type="dxa"/>
            <w:vAlign w:val="bottom"/>
            <w:gridSpan w:val="3"/>
            <w:vMerge w:val="restart"/>
          </w:tcPr>
          <w:p>
            <w:pPr>
              <w:jc w:val="right"/>
              <w:ind w:right="5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3740" w:type="dxa"/>
            <w:vAlign w:val="bottom"/>
          </w:tcPr>
          <w:p>
            <w:pPr>
              <w:spacing w:after="0"/>
              <w:rPr>
                <w:sz w:val="14"/>
                <w:szCs w:val="14"/>
                <w:color w:val="auto"/>
              </w:rPr>
            </w:pPr>
          </w:p>
        </w:tc>
        <w:tc>
          <w:tcPr>
            <w:tcW w:w="172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rPr>
              <w:t>June 30,</w:t>
            </w:r>
          </w:p>
        </w:tc>
        <w:tc>
          <w:tcPr>
            <w:tcW w:w="6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74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ind w:right="322"/>
              <w:spacing w:after="0" w:line="142" w:lineRule="exact"/>
              <w:rPr>
                <w:sz w:val="20"/>
                <w:szCs w:val="20"/>
                <w:color w:val="auto"/>
              </w:rPr>
            </w:pPr>
            <w:r>
              <w:rPr>
                <w:rFonts w:ascii="Arial" w:cs="Arial" w:eastAsia="Arial" w:hAnsi="Arial"/>
                <w:sz w:val="14"/>
                <w:szCs w:val="14"/>
                <w:b w:val="1"/>
                <w:bCs w:val="1"/>
                <w:color w:val="auto"/>
              </w:rPr>
              <w:t>2020</w:t>
            </w:r>
          </w:p>
        </w:tc>
        <w:tc>
          <w:tcPr>
            <w:tcW w:w="64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w w:val="98"/>
              </w:rPr>
              <w:t>Amount</w:t>
            </w:r>
          </w:p>
        </w:tc>
        <w:tc>
          <w:tcPr>
            <w:tcW w:w="50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3740" w:type="dxa"/>
            <w:vAlign w:val="bottom"/>
          </w:tcPr>
          <w:p>
            <w:pPr>
              <w:spacing w:after="0"/>
              <w:rPr>
                <w:sz w:val="11"/>
                <w:szCs w:val="11"/>
                <w:color w:val="auto"/>
              </w:rPr>
            </w:pPr>
          </w:p>
        </w:tc>
        <w:tc>
          <w:tcPr>
            <w:tcW w:w="2440" w:type="dxa"/>
            <w:vAlign w:val="bottom"/>
            <w:gridSpan w:val="5"/>
          </w:tcPr>
          <w:p>
            <w:pPr>
              <w:jc w:val="right"/>
              <w:ind w:right="208"/>
              <w:spacing w:after="0" w:line="129" w:lineRule="exact"/>
              <w:rPr>
                <w:sz w:val="20"/>
                <w:szCs w:val="20"/>
                <w:color w:val="auto"/>
              </w:rPr>
            </w:pPr>
            <w:r>
              <w:rPr>
                <w:rFonts w:ascii="Arial" w:cs="Arial" w:eastAsia="Arial" w:hAnsi="Arial"/>
                <w:sz w:val="14"/>
                <w:szCs w:val="14"/>
                <w:b w:val="1"/>
                <w:bCs w:val="1"/>
                <w:color w:val="auto"/>
              </w:rPr>
              <w:t>(Dollars in thousands)</w:t>
            </w: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32"/>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900" w:type="dxa"/>
            <w:vAlign w:val="bottom"/>
            <w:shd w:val="clear" w:color="auto" w:fill="CCEEFF"/>
          </w:tcPr>
          <w:p>
            <w:pPr>
              <w:jc w:val="right"/>
              <w:ind w:right="182"/>
              <w:spacing w:after="0"/>
              <w:rPr>
                <w:sz w:val="20"/>
                <w:szCs w:val="20"/>
                <w:color w:val="auto"/>
              </w:rPr>
            </w:pPr>
            <w:r>
              <w:rPr>
                <w:rFonts w:ascii="Arial" w:cs="Arial" w:eastAsia="Arial" w:hAnsi="Arial"/>
                <w:sz w:val="18"/>
                <w:szCs w:val="18"/>
                <w:color w:val="auto"/>
                <w:w w:val="88"/>
              </w:rPr>
              <w:t>$ 11,392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$ 9,868</w:t>
            </w:r>
          </w:p>
        </w:tc>
        <w:tc>
          <w:tcPr>
            <w:tcW w:w="18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w w:val="96"/>
              </w:rPr>
              <w:t>$ 1,524</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15.4 %</w:t>
            </w:r>
          </w:p>
        </w:tc>
        <w:tc>
          <w:tcPr>
            <w:tcW w:w="0" w:type="dxa"/>
            <w:vAlign w:val="bottom"/>
          </w:tcPr>
          <w:p>
            <w:pPr>
              <w:spacing w:after="0"/>
              <w:rPr>
                <w:sz w:val="1"/>
                <w:szCs w:val="1"/>
                <w:color w:val="auto"/>
              </w:rPr>
            </w:pP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Gross margin</w:t>
            </w:r>
          </w:p>
        </w:tc>
        <w:tc>
          <w:tcPr>
            <w:tcW w:w="900" w:type="dxa"/>
            <w:vAlign w:val="bottom"/>
          </w:tcPr>
          <w:p>
            <w:pPr>
              <w:jc w:val="right"/>
              <w:spacing w:after="0"/>
              <w:rPr>
                <w:sz w:val="20"/>
                <w:szCs w:val="20"/>
                <w:color w:val="auto"/>
              </w:rPr>
            </w:pPr>
            <w:r>
              <w:rPr>
                <w:rFonts w:ascii="Arial" w:cs="Arial" w:eastAsia="Arial" w:hAnsi="Arial"/>
                <w:sz w:val="18"/>
                <w:szCs w:val="18"/>
                <w:color w:val="auto"/>
              </w:rPr>
              <w:t>48.1 %</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47.2 %</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40" w:right="359" w:firstLine="324"/>
        <w:spacing w:after="0" w:line="263" w:lineRule="auto"/>
        <w:rPr>
          <w:sz w:val="20"/>
          <w:szCs w:val="20"/>
          <w:color w:val="auto"/>
        </w:rPr>
      </w:pPr>
      <w:r>
        <w:rPr>
          <w:rFonts w:ascii="Arial" w:cs="Arial" w:eastAsia="Arial" w:hAnsi="Arial"/>
          <w:sz w:val="18"/>
          <w:szCs w:val="18"/>
          <w:color w:val="auto"/>
        </w:rPr>
        <w:t>Cost of sales increased by $1.5 million or 15.4%, from $9.9 million during the six months ended June 30, 2019, to $11.4 million during the six months ended June 30, 2020. The increase was due to higher volume of units produced and sold.</w:t>
      </w:r>
    </w:p>
    <w:p>
      <w:pPr>
        <w:spacing w:after="0" w:line="184" w:lineRule="exact"/>
        <w:rPr>
          <w:sz w:val="20"/>
          <w:szCs w:val="20"/>
          <w:color w:val="auto"/>
        </w:rPr>
      </w:pPr>
    </w:p>
    <w:p>
      <w:pPr>
        <w:ind w:left="40" w:right="559" w:firstLine="324"/>
        <w:spacing w:after="0" w:line="263" w:lineRule="auto"/>
        <w:rPr>
          <w:sz w:val="20"/>
          <w:szCs w:val="20"/>
          <w:color w:val="auto"/>
        </w:rPr>
      </w:pPr>
      <w:r>
        <w:rPr>
          <w:rFonts w:ascii="Arial" w:cs="Arial" w:eastAsia="Arial" w:hAnsi="Arial"/>
          <w:sz w:val="18"/>
          <w:szCs w:val="18"/>
          <w:color w:val="auto"/>
        </w:rPr>
        <w:t>Gross margin increased from 47.2% during the six months ended June 30, 2019, to 48.1% during the six months ended June 30, 2020. The increase in gross margin was due to improvements in manufacturing yields of our mature products.</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i w:val="1"/>
          <w:iCs w:val="1"/>
          <w:u w:val="single" w:color="auto"/>
          <w:color w:val="auto"/>
        </w:rPr>
        <w:t>Operating Expenses</w:t>
      </w:r>
    </w:p>
    <w:p>
      <w:pPr>
        <w:spacing w:after="0" w:line="23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Research and Development Expenses</w:t>
      </w:r>
    </w:p>
    <w:p>
      <w:pPr>
        <w:spacing w:after="0" w:line="230"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3320" w:type="dxa"/>
            <w:vAlign w:val="bottom"/>
          </w:tcPr>
          <w:p>
            <w:pPr>
              <w:spacing w:after="0"/>
              <w:rPr>
                <w:sz w:val="14"/>
                <w:szCs w:val="14"/>
                <w:color w:val="auto"/>
              </w:rPr>
            </w:pPr>
          </w:p>
        </w:tc>
        <w:tc>
          <w:tcPr>
            <w:tcW w:w="202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4"/>
              </w:rPr>
              <w:t>Six Months Ended June 30,</w:t>
            </w:r>
          </w:p>
        </w:tc>
        <w:tc>
          <w:tcPr>
            <w:tcW w:w="40" w:type="dxa"/>
            <w:vAlign w:val="bottom"/>
          </w:tcPr>
          <w:p>
            <w:pPr>
              <w:spacing w:after="0"/>
              <w:rPr>
                <w:sz w:val="14"/>
                <w:szCs w:val="14"/>
                <w:color w:val="auto"/>
              </w:rPr>
            </w:pPr>
          </w:p>
        </w:tc>
        <w:tc>
          <w:tcPr>
            <w:tcW w:w="148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rPr>
              <w:t>Change</w:t>
            </w:r>
          </w:p>
        </w:tc>
      </w:tr>
      <w:tr>
        <w:trPr>
          <w:trHeight w:val="142"/>
        </w:trPr>
        <w:tc>
          <w:tcPr>
            <w:tcW w:w="3320" w:type="dxa"/>
            <w:vAlign w:val="bottom"/>
          </w:tcPr>
          <w:p>
            <w:pPr>
              <w:spacing w:after="0"/>
              <w:rPr>
                <w:sz w:val="12"/>
                <w:szCs w:val="12"/>
                <w:color w:val="auto"/>
              </w:rPr>
            </w:pPr>
          </w:p>
        </w:tc>
        <w:tc>
          <w:tcPr>
            <w:tcW w:w="960" w:type="dxa"/>
            <w:vAlign w:val="bottom"/>
            <w:tcBorders>
              <w:top w:val="single" w:sz="8" w:color="auto"/>
              <w:bottom w:val="single" w:sz="8" w:color="auto"/>
            </w:tcBorders>
          </w:tcPr>
          <w:p>
            <w:pPr>
              <w:jc w:val="right"/>
              <w:ind w:right="339"/>
              <w:spacing w:after="0" w:line="142" w:lineRule="exact"/>
              <w:rPr>
                <w:sz w:val="20"/>
                <w:szCs w:val="20"/>
                <w:color w:val="auto"/>
              </w:rPr>
            </w:pPr>
            <w:r>
              <w:rPr>
                <w:rFonts w:ascii="Arial" w:cs="Arial" w:eastAsia="Arial" w:hAnsi="Arial"/>
                <w:sz w:val="14"/>
                <w:szCs w:val="14"/>
                <w:b w:val="1"/>
                <w:bCs w:val="1"/>
                <w:color w:val="auto"/>
              </w:rPr>
              <w:t>2020</w:t>
            </w:r>
          </w:p>
        </w:tc>
        <w:tc>
          <w:tcPr>
            <w:tcW w:w="860" w:type="dxa"/>
            <w:vAlign w:val="bottom"/>
            <w:tcBorders>
              <w:top w:val="single" w:sz="8" w:color="auto"/>
              <w:bottom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center"/>
              <w:ind w:right="28"/>
              <w:spacing w:after="0" w:line="142" w:lineRule="exact"/>
              <w:rPr>
                <w:sz w:val="20"/>
                <w:szCs w:val="20"/>
                <w:color w:val="auto"/>
              </w:rPr>
            </w:pPr>
            <w:r>
              <w:rPr>
                <w:rFonts w:ascii="Arial" w:cs="Arial" w:eastAsia="Arial" w:hAnsi="Arial"/>
                <w:sz w:val="14"/>
                <w:szCs w:val="14"/>
                <w:b w:val="1"/>
                <w:bCs w:val="1"/>
                <w:color w:val="auto"/>
                <w:w w:val="94"/>
              </w:rPr>
              <w:t>Amount</w:t>
            </w:r>
          </w:p>
        </w:tc>
        <w:tc>
          <w:tcPr>
            <w:tcW w:w="560" w:type="dxa"/>
            <w:vAlign w:val="bottom"/>
            <w:tcBorders>
              <w:top w:val="single" w:sz="8" w:color="auto"/>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r>
      <w:tr>
        <w:trPr>
          <w:trHeight w:val="142"/>
        </w:trPr>
        <w:tc>
          <w:tcPr>
            <w:tcW w:w="3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60" w:type="dxa"/>
            <w:vAlign w:val="bottom"/>
            <w:gridSpan w:val="4"/>
          </w:tcPr>
          <w:p>
            <w:pPr>
              <w:ind w:left="40"/>
              <w:spacing w:after="0" w:line="142" w:lineRule="exact"/>
              <w:rPr>
                <w:sz w:val="20"/>
                <w:szCs w:val="20"/>
                <w:color w:val="auto"/>
              </w:rPr>
            </w:pPr>
            <w:r>
              <w:rPr>
                <w:rFonts w:ascii="Arial" w:cs="Arial" w:eastAsia="Arial" w:hAnsi="Arial"/>
                <w:sz w:val="14"/>
                <w:szCs w:val="14"/>
                <w:b w:val="1"/>
                <w:bCs w:val="1"/>
                <w:color w:val="auto"/>
              </w:rPr>
              <w:t>(Dollars in thousands)</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432"/>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960" w:type="dxa"/>
            <w:vAlign w:val="bottom"/>
            <w:shd w:val="clear" w:color="auto" w:fill="CCEEFF"/>
          </w:tcPr>
          <w:p>
            <w:pPr>
              <w:jc w:val="right"/>
              <w:ind w:right="159"/>
              <w:spacing w:after="0"/>
              <w:rPr>
                <w:sz w:val="20"/>
                <w:szCs w:val="20"/>
                <w:color w:val="auto"/>
              </w:rPr>
            </w:pPr>
            <w:r>
              <w:rPr>
                <w:rFonts w:ascii="Arial" w:cs="Arial" w:eastAsia="Arial" w:hAnsi="Arial"/>
                <w:sz w:val="18"/>
                <w:szCs w:val="18"/>
                <w:color w:val="auto"/>
                <w:w w:val="99"/>
              </w:rPr>
              <w:t>$   5,804</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7,517</w:t>
            </w:r>
          </w:p>
        </w:tc>
        <w:tc>
          <w:tcPr>
            <w:tcW w:w="2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w w:val="94"/>
              </w:rPr>
              <w:t>$ (1,713)</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(22.8)%</w:t>
            </w:r>
          </w:p>
        </w:tc>
      </w:tr>
      <w:tr>
        <w:trPr>
          <w:trHeight w:val="202"/>
        </w:trPr>
        <w:tc>
          <w:tcPr>
            <w:tcW w:w="3320" w:type="dxa"/>
            <w:vAlign w:val="bottom"/>
          </w:tcPr>
          <w:p>
            <w:pPr>
              <w:spacing w:after="0" w:line="201" w:lineRule="exact"/>
              <w:rPr>
                <w:sz w:val="20"/>
                <w:szCs w:val="20"/>
                <w:color w:val="auto"/>
              </w:rPr>
            </w:pPr>
            <w:r>
              <w:rPr>
                <w:rFonts w:ascii="Arial" w:cs="Arial" w:eastAsia="Arial" w:hAnsi="Arial"/>
                <w:sz w:val="18"/>
                <w:szCs w:val="18"/>
                <w:color w:val="auto"/>
              </w:rPr>
              <w:t>Research and development as a % of</w:t>
            </w:r>
          </w:p>
        </w:tc>
        <w:tc>
          <w:tcPr>
            <w:tcW w:w="9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3320" w:type="dxa"/>
            <w:vAlign w:val="bottom"/>
          </w:tcPr>
          <w:p>
            <w:pPr>
              <w:spacing w:after="0"/>
              <w:rPr>
                <w:sz w:val="20"/>
                <w:szCs w:val="20"/>
                <w:color w:val="auto"/>
              </w:rPr>
            </w:pPr>
            <w:r>
              <w:rPr>
                <w:rFonts w:ascii="Arial" w:cs="Arial" w:eastAsia="Arial" w:hAnsi="Arial"/>
                <w:sz w:val="18"/>
                <w:szCs w:val="18"/>
                <w:color w:val="auto"/>
              </w:rPr>
              <w:t>revenue</w:t>
            </w:r>
          </w:p>
        </w:tc>
        <w:tc>
          <w:tcPr>
            <w:tcW w:w="960" w:type="dxa"/>
            <w:vAlign w:val="bottom"/>
          </w:tcPr>
          <w:p>
            <w:pPr>
              <w:jc w:val="right"/>
              <w:spacing w:after="0"/>
              <w:rPr>
                <w:sz w:val="20"/>
                <w:szCs w:val="20"/>
                <w:color w:val="auto"/>
              </w:rPr>
            </w:pPr>
            <w:r>
              <w:rPr>
                <w:rFonts w:ascii="Arial" w:cs="Arial" w:eastAsia="Arial" w:hAnsi="Arial"/>
                <w:sz w:val="18"/>
                <w:szCs w:val="18"/>
                <w:color w:val="auto"/>
              </w:rPr>
              <w:t>26 %</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40 %</w:t>
            </w: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1" w:name="page22"/>
    <w:bookmarkEnd w:id="2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40" w:right="59" w:firstLine="324"/>
        <w:spacing w:after="0" w:line="296" w:lineRule="auto"/>
        <w:rPr>
          <w:sz w:val="20"/>
          <w:szCs w:val="20"/>
          <w:color w:val="auto"/>
        </w:rPr>
      </w:pPr>
      <w:r>
        <w:rPr>
          <w:rFonts w:ascii="Arial" w:cs="Arial" w:eastAsia="Arial" w:hAnsi="Arial"/>
          <w:sz w:val="16"/>
          <w:szCs w:val="16"/>
          <w:color w:val="auto"/>
        </w:rPr>
        <w:t>Research and development expenses decreased by $1.7 million or 22.8%, from $7.5 million during the six months ended June 30, 2019, to $5.8 million during the six months ended June 30, 2020. The decrease was due to a $1.2 million decrease in expenses incurred in connection with our joint development agreement with GLOBALFOUNDRIES due to less spending on STT-MRAM process and product development, and a $0.4 million decrease in employee and contract labor related costs due to a decrease in headcount as a result of our corporate restructuring plan approved in December 2019.</w:t>
      </w:r>
    </w:p>
    <w:p>
      <w:pPr>
        <w:spacing w:after="0" w:line="167"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3320" w:type="dxa"/>
            <w:vAlign w:val="bottom"/>
          </w:tcPr>
          <w:p>
            <w:pPr>
              <w:spacing w:after="0"/>
              <w:rPr>
                <w:sz w:val="14"/>
                <w:szCs w:val="14"/>
                <w:color w:val="auto"/>
              </w:rPr>
            </w:pPr>
          </w:p>
        </w:tc>
        <w:tc>
          <w:tcPr>
            <w:tcW w:w="202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4"/>
              </w:rPr>
              <w:t>Six Months Ended June 30,</w:t>
            </w:r>
          </w:p>
        </w:tc>
        <w:tc>
          <w:tcPr>
            <w:tcW w:w="40" w:type="dxa"/>
            <w:vAlign w:val="bottom"/>
          </w:tcPr>
          <w:p>
            <w:pPr>
              <w:spacing w:after="0"/>
              <w:rPr>
                <w:sz w:val="14"/>
                <w:szCs w:val="14"/>
                <w:color w:val="auto"/>
              </w:rPr>
            </w:pPr>
          </w:p>
        </w:tc>
        <w:tc>
          <w:tcPr>
            <w:tcW w:w="148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rPr>
              <w:t>Change</w:t>
            </w:r>
          </w:p>
        </w:tc>
      </w:tr>
      <w:tr>
        <w:trPr>
          <w:trHeight w:val="142"/>
        </w:trPr>
        <w:tc>
          <w:tcPr>
            <w:tcW w:w="3320" w:type="dxa"/>
            <w:vAlign w:val="bottom"/>
          </w:tcPr>
          <w:p>
            <w:pPr>
              <w:spacing w:after="0"/>
              <w:rPr>
                <w:sz w:val="12"/>
                <w:szCs w:val="12"/>
                <w:color w:val="auto"/>
              </w:rPr>
            </w:pPr>
          </w:p>
        </w:tc>
        <w:tc>
          <w:tcPr>
            <w:tcW w:w="960" w:type="dxa"/>
            <w:vAlign w:val="bottom"/>
            <w:tcBorders>
              <w:top w:val="single" w:sz="8" w:color="auto"/>
              <w:bottom w:val="single" w:sz="8" w:color="auto"/>
            </w:tcBorders>
          </w:tcPr>
          <w:p>
            <w:pPr>
              <w:jc w:val="right"/>
              <w:ind w:right="339"/>
              <w:spacing w:after="0" w:line="142" w:lineRule="exact"/>
              <w:rPr>
                <w:sz w:val="20"/>
                <w:szCs w:val="20"/>
                <w:color w:val="auto"/>
              </w:rPr>
            </w:pPr>
            <w:r>
              <w:rPr>
                <w:rFonts w:ascii="Arial" w:cs="Arial" w:eastAsia="Arial" w:hAnsi="Arial"/>
                <w:sz w:val="14"/>
                <w:szCs w:val="14"/>
                <w:b w:val="1"/>
                <w:bCs w:val="1"/>
                <w:color w:val="auto"/>
              </w:rPr>
              <w:t>2020</w:t>
            </w:r>
          </w:p>
        </w:tc>
        <w:tc>
          <w:tcPr>
            <w:tcW w:w="860" w:type="dxa"/>
            <w:vAlign w:val="bottom"/>
            <w:tcBorders>
              <w:top w:val="single" w:sz="8" w:color="auto"/>
              <w:bottom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center"/>
              <w:ind w:right="28"/>
              <w:spacing w:after="0" w:line="142" w:lineRule="exact"/>
              <w:rPr>
                <w:sz w:val="20"/>
                <w:szCs w:val="20"/>
                <w:color w:val="auto"/>
              </w:rPr>
            </w:pPr>
            <w:r>
              <w:rPr>
                <w:rFonts w:ascii="Arial" w:cs="Arial" w:eastAsia="Arial" w:hAnsi="Arial"/>
                <w:sz w:val="14"/>
                <w:szCs w:val="14"/>
                <w:b w:val="1"/>
                <w:bCs w:val="1"/>
                <w:color w:val="auto"/>
                <w:w w:val="94"/>
              </w:rPr>
              <w:t>Amount</w:t>
            </w:r>
          </w:p>
        </w:tc>
        <w:tc>
          <w:tcPr>
            <w:tcW w:w="560" w:type="dxa"/>
            <w:vAlign w:val="bottom"/>
            <w:tcBorders>
              <w:top w:val="single" w:sz="8" w:color="auto"/>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r>
      <w:tr>
        <w:trPr>
          <w:trHeight w:val="142"/>
        </w:trPr>
        <w:tc>
          <w:tcPr>
            <w:tcW w:w="3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60" w:type="dxa"/>
            <w:vAlign w:val="bottom"/>
            <w:gridSpan w:val="4"/>
          </w:tcPr>
          <w:p>
            <w:pPr>
              <w:ind w:left="40"/>
              <w:spacing w:after="0" w:line="142" w:lineRule="exact"/>
              <w:rPr>
                <w:sz w:val="20"/>
                <w:szCs w:val="20"/>
                <w:color w:val="auto"/>
              </w:rPr>
            </w:pPr>
            <w:r>
              <w:rPr>
                <w:rFonts w:ascii="Arial" w:cs="Arial" w:eastAsia="Arial" w:hAnsi="Arial"/>
                <w:sz w:val="14"/>
                <w:szCs w:val="14"/>
                <w:b w:val="1"/>
                <w:bCs w:val="1"/>
                <w:color w:val="auto"/>
              </w:rPr>
              <w:t>(Dollars in thousands)</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432"/>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960" w:type="dxa"/>
            <w:vAlign w:val="bottom"/>
            <w:shd w:val="clear" w:color="auto" w:fill="CCEEFF"/>
          </w:tcPr>
          <w:p>
            <w:pPr>
              <w:jc w:val="right"/>
              <w:ind w:right="159"/>
              <w:spacing w:after="0"/>
              <w:rPr>
                <w:sz w:val="20"/>
                <w:szCs w:val="20"/>
                <w:color w:val="auto"/>
              </w:rPr>
            </w:pPr>
            <w:r>
              <w:rPr>
                <w:rFonts w:ascii="Arial" w:cs="Arial" w:eastAsia="Arial" w:hAnsi="Arial"/>
                <w:sz w:val="18"/>
                <w:szCs w:val="18"/>
                <w:color w:val="auto"/>
                <w:w w:val="99"/>
              </w:rPr>
              <w:t>$   5,248</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6,451</w:t>
            </w:r>
          </w:p>
        </w:tc>
        <w:tc>
          <w:tcPr>
            <w:tcW w:w="2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w w:val="94"/>
              </w:rPr>
              <w:t>$ (1,203)</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(18.6)%</w:t>
            </w:r>
          </w:p>
        </w:tc>
      </w:tr>
      <w:tr>
        <w:trPr>
          <w:trHeight w:val="202"/>
        </w:trPr>
        <w:tc>
          <w:tcPr>
            <w:tcW w:w="3320" w:type="dxa"/>
            <w:vAlign w:val="bottom"/>
          </w:tcPr>
          <w:p>
            <w:pPr>
              <w:spacing w:after="0" w:line="201" w:lineRule="exact"/>
              <w:rPr>
                <w:sz w:val="20"/>
                <w:szCs w:val="20"/>
                <w:color w:val="auto"/>
              </w:rPr>
            </w:pPr>
            <w:r>
              <w:rPr>
                <w:rFonts w:ascii="Arial" w:cs="Arial" w:eastAsia="Arial" w:hAnsi="Arial"/>
                <w:sz w:val="18"/>
                <w:szCs w:val="18"/>
                <w:color w:val="auto"/>
              </w:rPr>
              <w:t>General and administrative as a % of</w:t>
            </w:r>
          </w:p>
        </w:tc>
        <w:tc>
          <w:tcPr>
            <w:tcW w:w="9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3320" w:type="dxa"/>
            <w:vAlign w:val="bottom"/>
          </w:tcPr>
          <w:p>
            <w:pPr>
              <w:spacing w:after="0"/>
              <w:rPr>
                <w:sz w:val="20"/>
                <w:szCs w:val="20"/>
                <w:color w:val="auto"/>
              </w:rPr>
            </w:pPr>
            <w:r>
              <w:rPr>
                <w:rFonts w:ascii="Arial" w:cs="Arial" w:eastAsia="Arial" w:hAnsi="Arial"/>
                <w:sz w:val="18"/>
                <w:szCs w:val="18"/>
                <w:color w:val="auto"/>
              </w:rPr>
              <w:t>revenue</w:t>
            </w:r>
          </w:p>
        </w:tc>
        <w:tc>
          <w:tcPr>
            <w:tcW w:w="960" w:type="dxa"/>
            <w:vAlign w:val="bottom"/>
          </w:tcPr>
          <w:p>
            <w:pPr>
              <w:jc w:val="right"/>
              <w:spacing w:after="0"/>
              <w:rPr>
                <w:sz w:val="20"/>
                <w:szCs w:val="20"/>
                <w:color w:val="auto"/>
              </w:rPr>
            </w:pPr>
            <w:r>
              <w:rPr>
                <w:rFonts w:ascii="Arial" w:cs="Arial" w:eastAsia="Arial" w:hAnsi="Arial"/>
                <w:sz w:val="18"/>
                <w:szCs w:val="18"/>
                <w:color w:val="auto"/>
              </w:rPr>
              <w:t>24 %</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35 %</w:t>
            </w: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r>
    </w:tbl>
    <w:p>
      <w:pPr>
        <w:spacing w:after="0" w:line="202" w:lineRule="exact"/>
        <w:rPr>
          <w:sz w:val="20"/>
          <w:szCs w:val="20"/>
          <w:color w:val="auto"/>
        </w:rPr>
      </w:pPr>
    </w:p>
    <w:p>
      <w:pPr>
        <w:ind w:left="40" w:right="139" w:firstLine="324"/>
        <w:spacing w:after="0" w:line="257"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General and administrative expenses decreased by $1.2 million or 18.6%, from</w:t>
      </w:r>
      <w:r>
        <w:rPr>
          <w:rFonts w:ascii="Arial" w:cs="Arial" w:eastAsia="Arial" w:hAnsi="Arial"/>
          <w:sz w:val="18"/>
          <w:szCs w:val="18"/>
          <w:i w:val="1"/>
          <w:iCs w:val="1"/>
          <w:color w:val="auto"/>
        </w:rPr>
        <w:t xml:space="preserve"> </w:t>
      </w:r>
      <w:r>
        <w:rPr>
          <w:rFonts w:ascii="Arial" w:cs="Arial" w:eastAsia="Arial" w:hAnsi="Arial"/>
          <w:sz w:val="18"/>
          <w:szCs w:val="18"/>
          <w:color w:val="auto"/>
        </w:rPr>
        <w:t>$6.5 million during the six months ended June 30, 2019, to $5.3 million during the six months ended June 30, 2020. The decrease was primarily due to a $0.8 million decrease in employee and contract labor related costs due to a decrease in headcount as a result of our corporate restructuring plan approved in December 2019 and a $0.4 million decrease in professional service related costs.</w:t>
      </w:r>
    </w:p>
    <w:p>
      <w:pPr>
        <w:spacing w:after="0" w:line="193"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3460" w:type="dxa"/>
            <w:vAlign w:val="bottom"/>
          </w:tcPr>
          <w:p>
            <w:pPr>
              <w:spacing w:after="0"/>
              <w:rPr>
                <w:sz w:val="14"/>
                <w:szCs w:val="14"/>
                <w:color w:val="auto"/>
              </w:rPr>
            </w:pPr>
          </w:p>
        </w:tc>
        <w:tc>
          <w:tcPr>
            <w:tcW w:w="200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3"/>
              </w:rPr>
              <w:t>Six Months Ended June 30,</w:t>
            </w:r>
          </w:p>
        </w:tc>
        <w:tc>
          <w:tcPr>
            <w:tcW w:w="60" w:type="dxa"/>
            <w:vAlign w:val="bottom"/>
          </w:tcPr>
          <w:p>
            <w:pPr>
              <w:spacing w:after="0"/>
              <w:rPr>
                <w:sz w:val="14"/>
                <w:szCs w:val="14"/>
                <w:color w:val="auto"/>
              </w:rPr>
            </w:pPr>
          </w:p>
        </w:tc>
        <w:tc>
          <w:tcPr>
            <w:tcW w:w="1340" w:type="dxa"/>
            <w:vAlign w:val="bottom"/>
            <w:gridSpan w:val="3"/>
          </w:tcPr>
          <w:p>
            <w:pPr>
              <w:ind w:left="340"/>
              <w:spacing w:after="0"/>
              <w:rPr>
                <w:sz w:val="20"/>
                <w:szCs w:val="20"/>
                <w:color w:val="auto"/>
              </w:rPr>
            </w:pPr>
            <w:r>
              <w:rPr>
                <w:rFonts w:ascii="Arial" w:cs="Arial" w:eastAsia="Arial" w:hAnsi="Arial"/>
                <w:sz w:val="14"/>
                <w:szCs w:val="14"/>
                <w:b w:val="1"/>
                <w:bCs w:val="1"/>
                <w:color w:val="auto"/>
              </w:rPr>
              <w:t>Change</w:t>
            </w:r>
          </w:p>
        </w:tc>
      </w:tr>
      <w:tr>
        <w:trPr>
          <w:trHeight w:val="142"/>
        </w:trPr>
        <w:tc>
          <w:tcPr>
            <w:tcW w:w="346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ind w:right="319"/>
              <w:spacing w:after="0" w:line="142" w:lineRule="exact"/>
              <w:rPr>
                <w:sz w:val="20"/>
                <w:szCs w:val="20"/>
                <w:color w:val="auto"/>
              </w:rPr>
            </w:pPr>
            <w:r>
              <w:rPr>
                <w:rFonts w:ascii="Arial" w:cs="Arial" w:eastAsia="Arial" w:hAnsi="Arial"/>
                <w:sz w:val="14"/>
                <w:szCs w:val="14"/>
                <w:b w:val="1"/>
                <w:bCs w:val="1"/>
                <w:color w:val="auto"/>
              </w:rPr>
              <w:t>2020</w:t>
            </w:r>
          </w:p>
        </w:tc>
        <w:tc>
          <w:tcPr>
            <w:tcW w:w="900" w:type="dxa"/>
            <w:vAlign w:val="bottom"/>
            <w:tcBorders>
              <w:top w:val="single" w:sz="8" w:color="auto"/>
              <w:bottom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Amount</w:t>
            </w:r>
          </w:p>
        </w:tc>
        <w:tc>
          <w:tcPr>
            <w:tcW w:w="560" w:type="dxa"/>
            <w:vAlign w:val="bottom"/>
            <w:tcBorders>
              <w:top w:val="single" w:sz="8" w:color="auto"/>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r>
      <w:tr>
        <w:trPr>
          <w:trHeight w:val="142"/>
        </w:trPr>
        <w:tc>
          <w:tcPr>
            <w:tcW w:w="3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760" w:type="dxa"/>
            <w:vAlign w:val="bottom"/>
            <w:gridSpan w:val="4"/>
          </w:tcPr>
          <w:p>
            <w:pPr>
              <w:ind w:left="20"/>
              <w:spacing w:after="0" w:line="142" w:lineRule="exact"/>
              <w:rPr>
                <w:sz w:val="20"/>
                <w:szCs w:val="20"/>
                <w:color w:val="auto"/>
              </w:rPr>
            </w:pPr>
            <w:r>
              <w:rPr>
                <w:rFonts w:ascii="Arial" w:cs="Arial" w:eastAsia="Arial" w:hAnsi="Arial"/>
                <w:sz w:val="14"/>
                <w:szCs w:val="14"/>
                <w:b w:val="1"/>
                <w:bCs w:val="1"/>
                <w:color w:val="auto"/>
              </w:rPr>
              <w:t>(Dollars in thousands)</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432"/>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92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w w:val="99"/>
              </w:rPr>
              <w:t>$   2,159</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2,603</w:t>
            </w:r>
          </w:p>
        </w:tc>
        <w:tc>
          <w:tcPr>
            <w:tcW w:w="180" w:type="dxa"/>
            <w:vAlign w:val="bottom"/>
            <w:shd w:val="clear" w:color="auto" w:fill="CCEEFF"/>
          </w:tcPr>
          <w:p>
            <w:pPr>
              <w:spacing w:after="0"/>
              <w:rPr>
                <w:sz w:val="24"/>
                <w:szCs w:val="24"/>
                <w:color w:val="auto"/>
              </w:rPr>
            </w:pP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 (444)</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(17.1)%</w:t>
            </w:r>
          </w:p>
        </w:tc>
      </w:t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Sales and marketing as a % of revenue</w:t>
            </w:r>
          </w:p>
        </w:tc>
        <w:tc>
          <w:tcPr>
            <w:tcW w:w="920" w:type="dxa"/>
            <w:vAlign w:val="bottom"/>
          </w:tcPr>
          <w:p>
            <w:pPr>
              <w:jc w:val="right"/>
              <w:spacing w:after="0"/>
              <w:rPr>
                <w:sz w:val="20"/>
                <w:szCs w:val="20"/>
                <w:color w:val="auto"/>
              </w:rPr>
            </w:pPr>
            <w:r>
              <w:rPr>
                <w:rFonts w:ascii="Arial" w:cs="Arial" w:eastAsia="Arial" w:hAnsi="Arial"/>
                <w:sz w:val="18"/>
                <w:szCs w:val="18"/>
                <w:color w:val="auto"/>
              </w:rPr>
              <w:t>10 %</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14 %</w:t>
            </w: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r>
    </w:tbl>
    <w:p>
      <w:pPr>
        <w:spacing w:after="0" w:line="187" w:lineRule="exact"/>
        <w:rPr>
          <w:sz w:val="20"/>
          <w:szCs w:val="20"/>
          <w:color w:val="auto"/>
        </w:rPr>
      </w:pPr>
    </w:p>
    <w:p>
      <w:pPr>
        <w:jc w:val="both"/>
        <w:ind w:left="40" w:right="239" w:firstLine="324"/>
        <w:spacing w:after="0" w:line="259" w:lineRule="auto"/>
        <w:rPr>
          <w:sz w:val="20"/>
          <w:szCs w:val="20"/>
          <w:color w:val="auto"/>
        </w:rPr>
      </w:pPr>
      <w:r>
        <w:rPr>
          <w:rFonts w:ascii="Arial" w:cs="Arial" w:eastAsia="Arial" w:hAnsi="Arial"/>
          <w:sz w:val="18"/>
          <w:szCs w:val="18"/>
          <w:i w:val="1"/>
          <w:iCs w:val="1"/>
          <w:color w:val="auto"/>
        </w:rPr>
        <w:t xml:space="preserve">Sales and Marketing Expenses. </w:t>
      </w:r>
      <w:r>
        <w:rPr>
          <w:rFonts w:ascii="Arial" w:cs="Arial" w:eastAsia="Arial" w:hAnsi="Arial"/>
          <w:sz w:val="18"/>
          <w:szCs w:val="18"/>
          <w:color w:val="auto"/>
        </w:rPr>
        <w:t>Sales and marketing expenses decreased by $0.4 million or 17.1%, from $2.6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during the six months ended June 30, 2019, to $2.2 million during the six months ended June 30, 2020. The decrease was primarily due to a decrease in employee and contract labor related costs due to a decrease in headcount as a result of our corporate restructuring plan approved in December 2019.</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8"/>
          <w:szCs w:val="18"/>
          <w:i w:val="1"/>
          <w:iCs w:val="1"/>
          <w:u w:val="single" w:color="auto"/>
          <w:color w:val="auto"/>
        </w:rPr>
        <w:t>Interest Expense</w:t>
      </w:r>
    </w:p>
    <w:p>
      <w:pPr>
        <w:spacing w:after="0" w:line="218"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3"/>
              </w:rPr>
              <w:t>Six Months Ended</w:t>
            </w:r>
          </w:p>
        </w:tc>
        <w:tc>
          <w:tcPr>
            <w:tcW w:w="1340" w:type="dxa"/>
            <w:vAlign w:val="bottom"/>
            <w:gridSpan w:val="3"/>
            <w:vMerge w:val="restart"/>
          </w:tcPr>
          <w:p>
            <w:pPr>
              <w:ind w:left="3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3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3"/>
          </w:tcPr>
          <w:p>
            <w:pPr>
              <w:ind w:left="320"/>
              <w:spacing w:after="0"/>
              <w:rPr>
                <w:sz w:val="20"/>
                <w:szCs w:val="20"/>
                <w:color w:val="auto"/>
              </w:rPr>
            </w:pPr>
            <w:r>
              <w:rPr>
                <w:rFonts w:ascii="Arial" w:cs="Arial" w:eastAsia="Arial" w:hAnsi="Arial"/>
                <w:sz w:val="14"/>
                <w:szCs w:val="14"/>
                <w:b w:val="1"/>
                <w:bCs w:val="1"/>
                <w:color w:val="auto"/>
              </w:rPr>
              <w:t>June 30,</w:t>
            </w:r>
          </w:p>
        </w:tc>
        <w:tc>
          <w:tcPr>
            <w:tcW w:w="13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9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84"/>
              <w:spacing w:after="0" w:line="142" w:lineRule="exact"/>
              <w:rPr>
                <w:sz w:val="20"/>
                <w:szCs w:val="20"/>
                <w:color w:val="auto"/>
              </w:rPr>
            </w:pPr>
            <w:r>
              <w:rPr>
                <w:rFonts w:ascii="Arial" w:cs="Arial" w:eastAsia="Arial" w:hAnsi="Arial"/>
                <w:sz w:val="14"/>
                <w:szCs w:val="14"/>
                <w:b w:val="1"/>
                <w:bCs w:val="1"/>
                <w:color w:val="auto"/>
              </w:rPr>
              <w:t>2020</w:t>
            </w:r>
          </w:p>
        </w:tc>
        <w:tc>
          <w:tcPr>
            <w:tcW w:w="760" w:type="dxa"/>
            <w:vAlign w:val="bottom"/>
            <w:tcBorders>
              <w:top w:val="single" w:sz="8" w:color="auto"/>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Amount</w:t>
            </w:r>
          </w:p>
        </w:tc>
        <w:tc>
          <w:tcPr>
            <w:tcW w:w="540" w:type="dxa"/>
            <w:vAlign w:val="bottom"/>
            <w:tcBorders>
              <w:top w:val="single" w:sz="8" w:color="auto"/>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52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(Dollars in thousands)</w:t>
            </w: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397</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(53)</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0" w:right="99" w:firstLine="324"/>
        <w:spacing w:after="0" w:line="301" w:lineRule="auto"/>
        <w:rPr>
          <w:sz w:val="20"/>
          <w:szCs w:val="20"/>
          <w:color w:val="auto"/>
        </w:rPr>
      </w:pPr>
      <w:r>
        <w:rPr>
          <w:rFonts w:ascii="Arial" w:cs="Arial" w:eastAsia="Arial" w:hAnsi="Arial"/>
          <w:sz w:val="16"/>
          <w:szCs w:val="16"/>
          <w:color w:val="auto"/>
        </w:rPr>
        <w:t>Interest expense remained relatively flat during the six months ended June 30, 2019 compared to the six months ended June 30, 2020. The slight decrease was partially due to a decrease in non-cash interest related to the amortization of debt discounts derived from the issuance of a warrant, the end of term fee and debt issuance costs and a decrease in interest paid on our credit facilities as a result of a lower outstanding principal balance under our 2019 credit facilities.</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i w:val="1"/>
          <w:iCs w:val="1"/>
          <w:u w:val="single" w:color="auto"/>
          <w:color w:val="auto"/>
        </w:rPr>
        <w:t>Other (Expense) Income, Net</w:t>
      </w:r>
    </w:p>
    <w:p>
      <w:pPr>
        <w:spacing w:after="0" w:line="230" w:lineRule="exact"/>
        <w:rPr>
          <w:sz w:val="20"/>
          <w:szCs w:val="20"/>
          <w:color w:val="auto"/>
        </w:rPr>
      </w:pPr>
    </w:p>
    <w:tbl>
      <w:tblPr>
        <w:tblLayout w:type="fixed"/>
        <w:tblInd w:w="1080" w:type="dxa"/>
        <w:tblCellMar>
          <w:top w:w="0" w:type="dxa"/>
          <w:left w:w="0" w:type="dxa"/>
          <w:bottom w:w="0" w:type="dxa"/>
          <w:right w:w="0" w:type="dxa"/>
        </w:tblCellMar>
      </w:tblPr>
      <w:tr>
        <w:trPr>
          <w:trHeight w:val="186"/>
        </w:trPr>
        <w:tc>
          <w:tcPr>
            <w:tcW w:w="30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Six Months Ended</w:t>
            </w: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0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June 30,</w:t>
            </w:r>
          </w:p>
        </w:tc>
        <w:tc>
          <w:tcPr>
            <w:tcW w:w="140" w:type="dxa"/>
            <w:vAlign w:val="bottom"/>
          </w:tcPr>
          <w:p>
            <w:pPr>
              <w:spacing w:after="0"/>
              <w:rPr>
                <w:sz w:val="17"/>
                <w:szCs w:val="17"/>
                <w:color w:val="auto"/>
              </w:rPr>
            </w:pPr>
          </w:p>
        </w:tc>
        <w:tc>
          <w:tcPr>
            <w:tcW w:w="1480" w:type="dxa"/>
            <w:vAlign w:val="bottom"/>
            <w:gridSpan w:val="3"/>
          </w:tcPr>
          <w:p>
            <w:pPr>
              <w:ind w:left="3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30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2020</w:t>
            </w:r>
          </w:p>
        </w:tc>
        <w:tc>
          <w:tcPr>
            <w:tcW w:w="600" w:type="dxa"/>
            <w:vAlign w:val="bottom"/>
            <w:tcBorders>
              <w:top w:val="single" w:sz="8" w:color="auto"/>
              <w:bottom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vMerge w:val="restart"/>
          </w:tcPr>
          <w:p>
            <w:pPr>
              <w:ind w:left="40"/>
              <w:spacing w:after="0"/>
              <w:rPr>
                <w:sz w:val="20"/>
                <w:szCs w:val="20"/>
                <w:color w:val="auto"/>
              </w:rPr>
            </w:pPr>
            <w:r>
              <w:rPr>
                <w:rFonts w:ascii="Arial" w:cs="Arial" w:eastAsia="Arial" w:hAnsi="Arial"/>
                <w:sz w:val="12"/>
                <w:szCs w:val="12"/>
                <w:b w:val="1"/>
                <w:bCs w:val="1"/>
                <w:color w:val="auto"/>
                <w:w w:val="74"/>
              </w:rPr>
              <w:t>in</w:t>
            </w:r>
          </w:p>
        </w:tc>
        <w:tc>
          <w:tcPr>
            <w:tcW w:w="62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Amount</w:t>
            </w:r>
          </w:p>
        </w:tc>
        <w:tc>
          <w:tcPr>
            <w:tcW w:w="62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0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(Dollars</w:t>
            </w:r>
          </w:p>
        </w:tc>
        <w:tc>
          <w:tcPr>
            <w:tcW w:w="140" w:type="dxa"/>
            <w:vAlign w:val="bottom"/>
            <w:vMerge w:val="continue"/>
          </w:tcPr>
          <w:p>
            <w:pPr>
              <w:spacing w:after="0"/>
              <w:rPr>
                <w:sz w:val="11"/>
                <w:szCs w:val="11"/>
                <w:color w:val="auto"/>
              </w:rPr>
            </w:pPr>
          </w:p>
        </w:tc>
        <w:tc>
          <w:tcPr>
            <w:tcW w:w="1240" w:type="dxa"/>
            <w:vAlign w:val="bottom"/>
            <w:gridSpan w:val="2"/>
          </w:tcPr>
          <w:p>
            <w:pPr>
              <w:ind w:left="60"/>
              <w:spacing w:after="0" w:line="129" w:lineRule="exact"/>
              <w:rPr>
                <w:sz w:val="20"/>
                <w:szCs w:val="20"/>
                <w:color w:val="auto"/>
              </w:rPr>
            </w:pPr>
            <w:r>
              <w:rPr>
                <w:rFonts w:ascii="Arial" w:cs="Arial" w:eastAsia="Arial" w:hAnsi="Arial"/>
                <w:sz w:val="14"/>
                <w:szCs w:val="14"/>
                <w:b w:val="1"/>
                <w:bCs w:val="1"/>
                <w:color w:val="auto"/>
              </w:rPr>
              <w:t>thousands)</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32"/>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 net</w:t>
            </w:r>
          </w:p>
        </w:tc>
        <w:tc>
          <w:tcPr>
            <w:tcW w:w="16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  (13)</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$ 238</w:t>
            </w:r>
          </w:p>
        </w:tc>
        <w:tc>
          <w:tcPr>
            <w:tcW w:w="7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 (251)</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(105.5) %</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Other (expense) income, net changed by $0.2 million from income of $0.2 million during the six months</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6"/>
          <w:szCs w:val="16"/>
          <w:color w:val="auto"/>
        </w:rPr>
        <w:t>ended June 30, 2019, to an expense of $12,000 during the six months ended June 30, 2020. The change was primarily due</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 a decrease in interest income earned on our cash balances during the quarter.</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2" w:name="page23"/>
    <w:bookmarkEnd w:id="2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40" w:right="79" w:firstLine="324"/>
        <w:spacing w:after="0" w:line="255" w:lineRule="auto"/>
        <w:rPr>
          <w:sz w:val="20"/>
          <w:szCs w:val="20"/>
          <w:color w:val="auto"/>
        </w:rPr>
      </w:pPr>
      <w:r>
        <w:rPr>
          <w:rFonts w:ascii="Arial" w:cs="Arial" w:eastAsia="Arial" w:hAnsi="Arial"/>
          <w:sz w:val="18"/>
          <w:szCs w:val="18"/>
          <w:color w:val="auto"/>
        </w:rPr>
        <w:t>We have generated significant losses since our inception and had an accumulated deficit of $151.7 million as of June 30, 2020, compared to $148.7 million as of December 31, 2019. We have financed our operations primarily through the sale of our common stock in our initial public offering (IPO) and follow-on public offering, sales of our common stock under our at-the-market sales agreement, sales of our redeemable convertible preferred stock, debt financing and the sale of our products. As of June 30, 2020, we had $12.9 million of cash and cash equivalents, compared to $14.5 million as of December 31, 2019.</w:t>
      </w:r>
    </w:p>
    <w:p>
      <w:pPr>
        <w:spacing w:after="0" w:line="192" w:lineRule="exact"/>
        <w:rPr>
          <w:sz w:val="20"/>
          <w:szCs w:val="20"/>
          <w:color w:val="auto"/>
        </w:rPr>
      </w:pPr>
    </w:p>
    <w:p>
      <w:pPr>
        <w:ind w:left="40" w:right="119" w:firstLine="324"/>
        <w:spacing w:after="0" w:line="296" w:lineRule="auto"/>
        <w:rPr>
          <w:sz w:val="20"/>
          <w:szCs w:val="20"/>
          <w:color w:val="auto"/>
        </w:rPr>
      </w:pPr>
      <w:r>
        <w:rPr>
          <w:rFonts w:ascii="Arial" w:cs="Arial" w:eastAsia="Arial" w:hAnsi="Arial"/>
          <w:sz w:val="16"/>
          <w:szCs w:val="16"/>
          <w:color w:val="auto"/>
        </w:rPr>
        <w:t>In May 2017, we executed a Loan and Security Agreement (2017 Credit Facility) with Silicon Valley Bank for a $12.0 million term loan, which we subsequently amended in January 2019 and June 2019. In August 2019, we executed an Amended and Restated Loan and Security Agreement (the 2019 Credit Facility) providing for a formula revolving line of credit (Line of Credit) and a term loan (2019 Term Loan) with Silicon Valley Bank to refinance in full the outstanding principal balance under the 2017 Credit Facility. The 2019 Credit Facility amended and restated the 2017 Credit Facility.</w:t>
      </w:r>
    </w:p>
    <w:p>
      <w:pPr>
        <w:spacing w:after="0" w:line="161" w:lineRule="exact"/>
        <w:rPr>
          <w:sz w:val="20"/>
          <w:szCs w:val="20"/>
          <w:color w:val="auto"/>
        </w:rPr>
      </w:pPr>
    </w:p>
    <w:p>
      <w:pPr>
        <w:ind w:left="40" w:right="99" w:firstLine="324"/>
        <w:spacing w:after="0" w:line="271" w:lineRule="auto"/>
        <w:rPr>
          <w:sz w:val="20"/>
          <w:szCs w:val="20"/>
          <w:color w:val="auto"/>
        </w:rPr>
      </w:pPr>
      <w:r>
        <w:rPr>
          <w:rFonts w:ascii="Arial" w:cs="Arial" w:eastAsia="Arial" w:hAnsi="Arial"/>
          <w:sz w:val="17"/>
          <w:szCs w:val="17"/>
          <w:color w:val="auto"/>
        </w:rPr>
        <w:t>In July 2020, we executed an amendment to the 2019 Credit Facility with Silicon Valley Bank. The amendment extended the initial 12 months interest-only period for the term loan to a 16 months interest only period. The floor interest rate has been lowered by 100 basis points. The 2019 Term Loan bears interest at a floating rate equal to the WSJ prime rate minus 0.75%, subject to a floor of 3.75% p.a. The floor interest rate for the Line of Credit Facility has been lowered by 200 basis points. The Line of Credit now bears interest at a floating rate equal to the Wall Street Journal (WSJ) prime rate plus 1.5%, per annum, subject to a floor of 4.75% p.a. In conjunction with entering into the First Amendment to the 2019 Credit Facility, on July 15, 2020, we issued a warrant to Silicon Valley Bank to purchase 21,500 shares of our common stock at $0.01 per share. The warrant expires on July 15, 2025.</w:t>
      </w:r>
    </w:p>
    <w:p>
      <w:pPr>
        <w:spacing w:after="0" w:line="178" w:lineRule="exact"/>
        <w:rPr>
          <w:sz w:val="20"/>
          <w:szCs w:val="20"/>
          <w:color w:val="auto"/>
        </w:rPr>
      </w:pPr>
    </w:p>
    <w:p>
      <w:pPr>
        <w:ind w:left="40" w:right="79" w:firstLine="324"/>
        <w:spacing w:after="0" w:line="269" w:lineRule="auto"/>
        <w:rPr>
          <w:sz w:val="20"/>
          <w:szCs w:val="20"/>
          <w:color w:val="auto"/>
        </w:rPr>
      </w:pPr>
      <w:r>
        <w:rPr>
          <w:rFonts w:ascii="Arial" w:cs="Arial" w:eastAsia="Arial" w:hAnsi="Arial"/>
          <w:sz w:val="17"/>
          <w:szCs w:val="17"/>
          <w:color w:val="auto"/>
        </w:rPr>
        <w:t>In August 2019, we entered into an open market sale agreement (2019 Sales Agreement) with Jefferies, LLC (Jefferies), for the offer and sale of shares of our common stock having an aggregate offering of up to $25.0 million from time to time through Jefferies, acting as sales agent. The issuance and sale of these shares by us pursuant to the 2019 Sales Agreement were deemed an “at-the-market” offering under the Securities Act of 1933, as amended. Under the 2019 Sales Agreement, we agreed to pay Jefferies a commission of up to 3% of the gross proceeds of any sales made pursuant to the 2019 Sales Agreement. During the six months ended June 30, 2020, we received net proceeds of $2.1 million after deducting commissions and expenses payable by us, from the sale of 468,427 shares of common stock pursuant to the 2019 Sales Agreement. The ATM sales were suspended in March 2020. As of June 30, 2020, we had an aggregate of $17.7 million available for future sales under the 2019 Sales Agreement. The Company has currently suspended sales under the 2019 Sales Agreement.</w:t>
      </w:r>
    </w:p>
    <w:p>
      <w:pPr>
        <w:spacing w:after="0" w:line="185" w:lineRule="exact"/>
        <w:rPr>
          <w:sz w:val="20"/>
          <w:szCs w:val="20"/>
          <w:color w:val="auto"/>
        </w:rPr>
      </w:pPr>
    </w:p>
    <w:p>
      <w:pPr>
        <w:ind w:left="40" w:right="139" w:firstLine="324"/>
        <w:spacing w:after="0" w:line="301" w:lineRule="auto"/>
        <w:rPr>
          <w:sz w:val="20"/>
          <w:szCs w:val="20"/>
          <w:color w:val="auto"/>
        </w:rPr>
      </w:pPr>
      <w:r>
        <w:rPr>
          <w:rFonts w:ascii="Arial" w:cs="Arial" w:eastAsia="Arial" w:hAnsi="Arial"/>
          <w:sz w:val="16"/>
          <w:szCs w:val="16"/>
          <w:color w:val="auto"/>
        </w:rPr>
        <w:t>We believe that our existing cash and cash equivalents as of June 30, 2020, coupled with the amount available under our Line of Credit entered into in August 2019, our anticipated growth and sales levels will be sufficient to meet our anticipated cash requirements for at least the next twelve months. Our future capital requirements will depend on many factors, including our revenue growth rate, our ability to control operating expenses and achieve our cost reduction targets.</w:t>
      </w:r>
    </w:p>
    <w:p>
      <w:pPr>
        <w:spacing w:after="0" w:line="15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our cash flows for the periods indicated (in thousands):</w:t>
      </w:r>
    </w:p>
    <w:p>
      <w:pPr>
        <w:spacing w:after="0" w:line="230" w:lineRule="exact"/>
        <w:rPr>
          <w:sz w:val="20"/>
          <w:szCs w:val="20"/>
          <w:color w:val="auto"/>
        </w:rPr>
      </w:pPr>
    </w:p>
    <w:p>
      <w:pPr>
        <w:ind w:left="6400"/>
        <w:spacing w:after="0"/>
        <w:rPr>
          <w:sz w:val="20"/>
          <w:szCs w:val="20"/>
          <w:color w:val="auto"/>
        </w:rPr>
      </w:pPr>
      <w:r>
        <w:rPr>
          <w:rFonts w:ascii="Arial" w:cs="Arial" w:eastAsia="Arial" w:hAnsi="Arial"/>
          <w:sz w:val="14"/>
          <w:szCs w:val="14"/>
          <w:b w:val="1"/>
          <w:bCs w:val="1"/>
          <w:color w:val="auto"/>
        </w:rPr>
        <w:t>Six Months Ended</w:t>
      </w:r>
    </w:p>
    <w:p>
      <w:pPr>
        <w:ind w:left="6680"/>
        <w:spacing w:after="0" w:line="236" w:lineRule="auto"/>
        <w:rPr>
          <w:sz w:val="20"/>
          <w:szCs w:val="20"/>
          <w:color w:val="auto"/>
        </w:rPr>
      </w:pPr>
      <w:r>
        <w:rPr>
          <w:rFonts w:ascii="Arial" w:cs="Arial" w:eastAsia="Arial" w:hAnsi="Arial"/>
          <w:sz w:val="14"/>
          <w:szCs w:val="14"/>
          <w:b w:val="1"/>
          <w:bCs w:val="1"/>
          <w:color w:val="auto"/>
        </w:rPr>
        <w:t>June 30,</w:t>
      </w:r>
    </w:p>
    <w:tbl>
      <w:tblPr>
        <w:tblLayout w:type="fixed"/>
        <w:tblInd w:w="1080" w:type="dxa"/>
        <w:tblCellMar>
          <w:top w:w="0" w:type="dxa"/>
          <w:left w:w="0" w:type="dxa"/>
          <w:bottom w:w="0" w:type="dxa"/>
          <w:right w:w="0" w:type="dxa"/>
        </w:tblCellMar>
      </w:tblPr>
      <w:tr>
        <w:trPr>
          <w:trHeight w:val="142"/>
        </w:trPr>
        <w:tc>
          <w:tcPr>
            <w:tcW w:w="490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7"/>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2"/>
                <w:szCs w:val="12"/>
                <w:color w:val="auto"/>
              </w:rPr>
            </w:pPr>
          </w:p>
        </w:tc>
      </w:tr>
      <w:tr>
        <w:trPr>
          <w:trHeight w:val="129"/>
        </w:trPr>
        <w:tc>
          <w:tcPr>
            <w:tcW w:w="4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760" w:type="dxa"/>
            <w:vAlign w:val="bottom"/>
            <w:gridSpan w:val="4"/>
          </w:tcPr>
          <w:p>
            <w:pPr>
              <w:jc w:val="right"/>
              <w:ind w:right="455"/>
              <w:spacing w:after="0" w:line="129" w:lineRule="exact"/>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1"/>
                <w:szCs w:val="1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Cash used in operating activities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(4,200)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(4,790)</w:t>
            </w:r>
          </w:p>
        </w:tc>
        <w:tc>
          <w:tcPr>
            <w:tcW w:w="20" w:type="dxa"/>
            <w:vAlign w:val="bottom"/>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Cash used in investing activities</w:t>
            </w:r>
          </w:p>
        </w:tc>
        <w:tc>
          <w:tcPr>
            <w:tcW w:w="2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(277)</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(461)</w:t>
            </w:r>
          </w:p>
        </w:tc>
        <w:tc>
          <w:tcPr>
            <w:tcW w:w="20" w:type="dxa"/>
            <w:vAlign w:val="bottom"/>
          </w:tcPr>
          <w:p>
            <w:pPr>
              <w:spacing w:after="0"/>
              <w:rPr>
                <w:sz w:val="18"/>
                <w:szCs w:val="18"/>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(used in) financing activities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2,906</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(2,855)</w:t>
            </w:r>
          </w:p>
        </w:tc>
        <w:tc>
          <w:tcPr>
            <w:tcW w:w="20" w:type="dxa"/>
            <w:vAlign w:val="bottom"/>
          </w:tcPr>
          <w:p>
            <w:pPr>
              <w:spacing w:after="0"/>
              <w:rPr>
                <w:sz w:val="18"/>
                <w:szCs w:val="18"/>
                <w:color w:val="auto"/>
              </w:rPr>
            </w:pPr>
          </w:p>
        </w:tc>
      </w:tr>
    </w:tbl>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225" w:lineRule="exact"/>
        <w:rPr>
          <w:sz w:val="20"/>
          <w:szCs w:val="20"/>
          <w:color w:val="auto"/>
        </w:rPr>
      </w:pPr>
    </w:p>
    <w:p>
      <w:pPr>
        <w:ind w:left="40" w:right="59" w:firstLine="324"/>
        <w:spacing w:after="0" w:line="342" w:lineRule="auto"/>
        <w:rPr>
          <w:sz w:val="20"/>
          <w:szCs w:val="20"/>
          <w:color w:val="auto"/>
        </w:rPr>
      </w:pPr>
      <w:r>
        <w:rPr>
          <w:rFonts w:ascii="Arial" w:cs="Arial" w:eastAsia="Arial" w:hAnsi="Arial"/>
          <w:sz w:val="16"/>
          <w:szCs w:val="16"/>
          <w:color w:val="auto"/>
        </w:rPr>
        <w:t>During the six months ended June 30, 2020, cash used in operating activities was $4.2 million, which consisted of a net loss of $3.0 million, adjusted by non-cash charges of $2.7 million and a change of $3.9 million in our net operating</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3" w:name="page24"/>
    <w:bookmarkEnd w:id="2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right="59"/>
        <w:spacing w:after="0" w:line="255" w:lineRule="auto"/>
        <w:rPr>
          <w:sz w:val="20"/>
          <w:szCs w:val="20"/>
          <w:color w:val="auto"/>
        </w:rPr>
      </w:pPr>
      <w:r>
        <w:rPr>
          <w:rFonts w:ascii="Arial" w:cs="Arial" w:eastAsia="Arial" w:hAnsi="Arial"/>
          <w:sz w:val="18"/>
          <w:szCs w:val="18"/>
          <w:color w:val="auto"/>
        </w:rPr>
        <w:t>assets and liabilities. The non-cash charges primarily consisted of stock-based compensation of $1.7 million, depreciation and amortization of $0.8 million, and interest expense related to the amortization of debt issuance costs of $0.1 million. The use of cash due to the change in our net operating assets and liabilities was primarily due to a decrease of $1.8 million in accounts payable and accrued liabilities due to the timing of payments, an increase in accounts receivable of $1.5 million due to timing of cash receipts for outstanding balances, and an increase of $0.5 million in inventory due to adjusting purchasing practices to meet expected sales volumes.</w:t>
      </w:r>
    </w:p>
    <w:p>
      <w:pPr>
        <w:spacing w:after="0" w:line="192" w:lineRule="exact"/>
        <w:rPr>
          <w:sz w:val="20"/>
          <w:szCs w:val="20"/>
          <w:color w:val="auto"/>
        </w:rPr>
      </w:pPr>
    </w:p>
    <w:p>
      <w:pPr>
        <w:ind w:left="40" w:right="59" w:firstLine="324"/>
        <w:spacing w:after="0" w:line="270" w:lineRule="auto"/>
        <w:rPr>
          <w:sz w:val="20"/>
          <w:szCs w:val="20"/>
          <w:color w:val="auto"/>
        </w:rPr>
      </w:pPr>
      <w:r>
        <w:rPr>
          <w:rFonts w:ascii="Arial" w:cs="Arial" w:eastAsia="Arial" w:hAnsi="Arial"/>
          <w:sz w:val="17"/>
          <w:szCs w:val="17"/>
          <w:color w:val="auto"/>
        </w:rPr>
        <w:t>During the six months ended June 30, 2019, cash used in operating activities was $4.8 million, which consisted of a net loss of $7.9 million, adjusted by non-cash charges of $2.6 million and a change of $0.6 million in our net operating assets and liabilities. The non-cash charges primarily consisted of stock-based compensation of $1.5 million, depreciation and amortization of $0.9 million, and interest expense related to the amortization of debt issuance costs of $0.2 million. The cash provided by the change in our net operating assets and liabilities was primarily due to a decrease in accounts receivable of $1.7 million due to timing of cash receipts for outstanding balances, a decrease of $0.1 million in inventory, and a decrease of $0.2 million in prepaid expenses and other current assets due to the timing of payments. These effects were partially offset by a decrease of $1.4 million in accrued liabilities and accounts payable due to a decrease in accrued payroll costs, accrued manufacturing costs, and the timing of payments.</w:t>
      </w:r>
    </w:p>
    <w:p>
      <w:pPr>
        <w:spacing w:after="0" w:line="18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225" w:lineRule="exact"/>
        <w:rPr>
          <w:sz w:val="20"/>
          <w:szCs w:val="20"/>
          <w:color w:val="auto"/>
        </w:rPr>
      </w:pPr>
    </w:p>
    <w:p>
      <w:pPr>
        <w:ind w:left="40" w:right="539" w:firstLine="324"/>
        <w:spacing w:after="0" w:line="277" w:lineRule="auto"/>
        <w:rPr>
          <w:sz w:val="20"/>
          <w:szCs w:val="20"/>
          <w:color w:val="auto"/>
        </w:rPr>
      </w:pPr>
      <w:r>
        <w:rPr>
          <w:rFonts w:ascii="Arial" w:cs="Arial" w:eastAsia="Arial" w:hAnsi="Arial"/>
          <w:sz w:val="18"/>
          <w:szCs w:val="18"/>
          <w:color w:val="auto"/>
        </w:rPr>
        <w:t>Cash used in investing activities during the six months ended June 30, 2020 and 2019, was $0.3 million and $0.5 million, respectively, for the purchase of manufacturing and computer equipment.</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225" w:lineRule="exact"/>
        <w:rPr>
          <w:sz w:val="20"/>
          <w:szCs w:val="20"/>
          <w:color w:val="auto"/>
        </w:rPr>
      </w:pPr>
    </w:p>
    <w:p>
      <w:pPr>
        <w:ind w:left="40" w:right="59" w:firstLine="324"/>
        <w:spacing w:after="0" w:line="259" w:lineRule="auto"/>
        <w:rPr>
          <w:sz w:val="20"/>
          <w:szCs w:val="20"/>
          <w:color w:val="auto"/>
        </w:rPr>
      </w:pPr>
      <w:r>
        <w:rPr>
          <w:rFonts w:ascii="Arial" w:cs="Arial" w:eastAsia="Arial" w:hAnsi="Arial"/>
          <w:sz w:val="18"/>
          <w:szCs w:val="18"/>
          <w:color w:val="auto"/>
        </w:rPr>
        <w:t>Cash provided by financing activities during the six months ended June 30, 2020 was $2.9 million, consisting of $2.1 million net proceeds from the sale of our common stock in our at-the-market offering under our 2019 Sales Agreement with Jefferies and $0.8 million in proceeds from stock options exercises and purchase of shares in our employee stock purchase plan.</w:t>
      </w:r>
    </w:p>
    <w:p>
      <w:pPr>
        <w:spacing w:after="0" w:line="187" w:lineRule="exact"/>
        <w:rPr>
          <w:sz w:val="20"/>
          <w:szCs w:val="20"/>
          <w:color w:val="auto"/>
        </w:rPr>
      </w:pPr>
    </w:p>
    <w:p>
      <w:pPr>
        <w:ind w:left="40" w:right="199" w:firstLine="324"/>
        <w:spacing w:after="0" w:line="263" w:lineRule="auto"/>
        <w:rPr>
          <w:sz w:val="20"/>
          <w:szCs w:val="20"/>
          <w:color w:val="auto"/>
        </w:rPr>
      </w:pPr>
      <w:r>
        <w:rPr>
          <w:rFonts w:ascii="Arial" w:cs="Arial" w:eastAsia="Arial" w:hAnsi="Arial"/>
          <w:sz w:val="18"/>
          <w:szCs w:val="18"/>
          <w:color w:val="auto"/>
        </w:rPr>
        <w:t>Cash used in financing activities during the six months ended June 30, 2019, was $2.9 million primarily consisting of $3.0 million in payments of long-term debt offset in part by $0.2 million in proceeds from stock options exercises and purchase of shares in our employee stock purchase plan</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have not entered into any off-balance sheet arrangements and do not have any holdings in variable interest entities.</w:t>
      </w:r>
    </w:p>
    <w:p>
      <w:pPr>
        <w:spacing w:after="0" w:line="24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Critical Accounting Policies and Significant Judgements and Estimates</w:t>
      </w:r>
    </w:p>
    <w:p>
      <w:pPr>
        <w:spacing w:after="0" w:line="229" w:lineRule="exact"/>
        <w:rPr>
          <w:sz w:val="20"/>
          <w:szCs w:val="20"/>
          <w:color w:val="auto"/>
        </w:rPr>
      </w:pPr>
    </w:p>
    <w:p>
      <w:pPr>
        <w:ind w:left="40" w:right="79" w:firstLine="324"/>
        <w:spacing w:after="0" w:line="271" w:lineRule="auto"/>
        <w:rPr>
          <w:sz w:val="20"/>
          <w:szCs w:val="20"/>
          <w:color w:val="auto"/>
        </w:rPr>
      </w:pPr>
      <w:r>
        <w:rPr>
          <w:rFonts w:ascii="Arial" w:cs="Arial" w:eastAsia="Arial" w:hAnsi="Arial"/>
          <w:sz w:val="17"/>
          <w:szCs w:val="17"/>
          <w:color w:val="auto"/>
        </w:rPr>
        <w:t>Our condensed financial statements have been prepared in accordance with generally accepted accounting principles in the United States, or U.S. GAAP. The preparation of these condensed financial statements requires us to make estimates and assumptions that affect the reported amounts of assets and liabilities and the disclosure of contingent assets and liabilities at the date of the financial statements, as well as the reported revenue generated and expenses incurred during the reporting periods. We base our estimates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78" w:lineRule="exact"/>
        <w:rPr>
          <w:sz w:val="20"/>
          <w:szCs w:val="20"/>
          <w:color w:val="auto"/>
        </w:rPr>
      </w:pPr>
    </w:p>
    <w:p>
      <w:pPr>
        <w:ind w:left="40" w:right="179" w:firstLine="324"/>
        <w:spacing w:after="0" w:line="286" w:lineRule="auto"/>
        <w:rPr>
          <w:sz w:val="20"/>
          <w:szCs w:val="20"/>
          <w:color w:val="auto"/>
        </w:rPr>
      </w:pPr>
      <w:r>
        <w:rPr>
          <w:rFonts w:ascii="Arial" w:cs="Arial" w:eastAsia="Arial" w:hAnsi="Arial"/>
          <w:sz w:val="17"/>
          <w:szCs w:val="17"/>
          <w:color w:val="auto"/>
        </w:rPr>
        <w:t>There have been no changes to our critical accounting policies and estimates described in the Annual Report on Form 10-K for the year ended December 31, 2019, filed with the Securities and Exchange Commission (SEC) on March 12, 2020, that have had a material impact on our condensed financial statements and related notes.</w:t>
      </w:r>
    </w:p>
    <w:p>
      <w:pPr>
        <w:spacing w:after="0" w:line="16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required for a smaller reporting company.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4" w:name="page25"/>
    <w:bookmarkEnd w:id="2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ind w:left="40" w:right="279" w:firstLine="324"/>
        <w:spacing w:after="0" w:line="279" w:lineRule="auto"/>
        <w:rPr>
          <w:sz w:val="20"/>
          <w:szCs w:val="20"/>
          <w:color w:val="auto"/>
        </w:rPr>
      </w:pPr>
      <w:r>
        <w:rPr>
          <w:rFonts w:ascii="Arial" w:cs="Arial" w:eastAsia="Arial" w:hAnsi="Arial"/>
          <w:sz w:val="17"/>
          <w:szCs w:val="17"/>
          <w:color w:val="auto"/>
        </w:rPr>
        <w:t>Our management, with the participation of our management team, including our Chief Executive Officer (CEO) and Chief Financial Officer (CFO), evaluated the effectiveness of the design and operation of our disclosure controls and procedures (as defined in Rules 13a-15(e) and 15d-15(e) under the Securities Exchange Act of 1934, as amended), as of June 30, 2020, the end of the period covered by this quarterly report on Form 10-Q.</w:t>
      </w:r>
    </w:p>
    <w:p>
      <w:pPr>
        <w:spacing w:after="0" w:line="171" w:lineRule="exact"/>
        <w:rPr>
          <w:sz w:val="20"/>
          <w:szCs w:val="20"/>
          <w:color w:val="auto"/>
        </w:rPr>
      </w:pPr>
    </w:p>
    <w:p>
      <w:pPr>
        <w:ind w:left="40" w:right="299" w:firstLine="324"/>
        <w:spacing w:after="0" w:line="277" w:lineRule="auto"/>
        <w:rPr>
          <w:sz w:val="20"/>
          <w:szCs w:val="20"/>
          <w:color w:val="auto"/>
        </w:rPr>
      </w:pPr>
      <w:r>
        <w:rPr>
          <w:rFonts w:ascii="Arial" w:cs="Arial" w:eastAsia="Arial" w:hAnsi="Arial"/>
          <w:sz w:val="18"/>
          <w:szCs w:val="18"/>
          <w:color w:val="auto"/>
        </w:rPr>
        <w:t>Based on this evaluation, our CEO and CFO concluded that our disclosure controls and procedures were effective at the reasonable assurance level as of June 30, 2020.</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Material weakness in internal control over financial reporting.</w:t>
      </w:r>
    </w:p>
    <w:p>
      <w:pPr>
        <w:spacing w:after="0" w:line="225" w:lineRule="exact"/>
        <w:rPr>
          <w:sz w:val="20"/>
          <w:szCs w:val="20"/>
          <w:color w:val="auto"/>
        </w:rPr>
      </w:pPr>
    </w:p>
    <w:p>
      <w:pPr>
        <w:ind w:left="40" w:right="79" w:firstLine="324"/>
        <w:spacing w:after="0" w:line="291" w:lineRule="auto"/>
        <w:rPr>
          <w:sz w:val="20"/>
          <w:szCs w:val="20"/>
          <w:color w:val="auto"/>
        </w:rPr>
      </w:pPr>
      <w:r>
        <w:rPr>
          <w:rFonts w:ascii="Arial" w:cs="Arial" w:eastAsia="Arial" w:hAnsi="Arial"/>
          <w:sz w:val="16"/>
          <w:szCs w:val="16"/>
          <w:color w:val="auto"/>
        </w:rPr>
        <w:t>A material weakness is a deficiency, or a combination of deficiencies, in internal control over financial reporting such that there is a reasonable possibility that a material misstatement of the annual or interim financial statements will not be prevented or detected on a timely basis. In connection with the preparation of our unaudited condensed financial statements for the quarter ended September 30, 2018, we identified an error in the previously filed financial statements that has caused us to restate and amend the our previously issued condensed financial statements and related financial information as of and for the three and six months ended June 30, 2018. This error was the result of a material weakness in our internal control over financial reporting, which we are remediating as of June 30, 2020 through the plan outlined below.</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Management’s plan to remediate the material weakness.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 remediate this material weakness, we took the following actions:</w:t>
      </w:r>
    </w:p>
    <w:p>
      <w:pPr>
        <w:spacing w:after="0" w:line="225" w:lineRule="exact"/>
        <w:rPr>
          <w:sz w:val="20"/>
          <w:szCs w:val="20"/>
          <w:color w:val="auto"/>
        </w:rPr>
      </w:pPr>
    </w:p>
    <w:p>
      <w:pPr>
        <w:ind w:left="640" w:right="219" w:hanging="245"/>
        <w:spacing w:after="0" w:line="263"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updated our information technology tools, including our ERP system, to enhance our ability to monitor inventory and its movement through our manufacturing process and to provide checks and balances to third-party reports.</w:t>
      </w:r>
    </w:p>
    <w:p>
      <w:pPr>
        <w:spacing w:after="0" w:line="183" w:lineRule="exact"/>
        <w:rPr>
          <w:rFonts w:ascii="Arial" w:cs="Arial" w:eastAsia="Arial" w:hAnsi="Arial"/>
          <w:sz w:val="18"/>
          <w:szCs w:val="18"/>
          <w:color w:val="auto"/>
        </w:rPr>
      </w:pPr>
    </w:p>
    <w:p>
      <w:pPr>
        <w:ind w:left="640" w:right="299" w:hanging="245"/>
        <w:spacing w:after="0" w:line="277"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put in place management dashboard tools to alert all involved as to the performance of inventory against our business goals.</w:t>
      </w:r>
    </w:p>
    <w:p>
      <w:pPr>
        <w:spacing w:after="0" w:line="170" w:lineRule="exact"/>
        <w:rPr>
          <w:rFonts w:ascii="Arial" w:cs="Arial" w:eastAsia="Arial" w:hAnsi="Arial"/>
          <w:sz w:val="18"/>
          <w:szCs w:val="18"/>
          <w:color w:val="auto"/>
        </w:rPr>
      </w:pPr>
    </w:p>
    <w:p>
      <w:pPr>
        <w:ind w:left="640" w:right="579" w:hanging="245"/>
        <w:spacing w:after="0" w:line="277"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established multi-discipline processes to actively manage and make decisions regarding our inventory to support our business objectives.</w:t>
      </w:r>
    </w:p>
    <w:p>
      <w:pPr>
        <w:spacing w:after="0" w:line="170" w:lineRule="exact"/>
        <w:rPr>
          <w:rFonts w:ascii="Arial" w:cs="Arial" w:eastAsia="Arial" w:hAnsi="Arial"/>
          <w:sz w:val="18"/>
          <w:szCs w:val="18"/>
          <w:color w:val="auto"/>
        </w:rPr>
      </w:pPr>
    </w:p>
    <w:p>
      <w:pPr>
        <w:ind w:left="640" w:right="239" w:hanging="245"/>
        <w:spacing w:after="0" w:line="277"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provided additional training to our Operations Teams and updating procedures with our third-party Assembly Houses.</w:t>
      </w:r>
    </w:p>
    <w:p>
      <w:pPr>
        <w:spacing w:after="0" w:line="170" w:lineRule="exact"/>
        <w:rPr>
          <w:rFonts w:ascii="Arial" w:cs="Arial" w:eastAsia="Arial" w:hAnsi="Arial"/>
          <w:sz w:val="18"/>
          <w:szCs w:val="18"/>
          <w:color w:val="auto"/>
        </w:rPr>
      </w:pPr>
    </w:p>
    <w:p>
      <w:pPr>
        <w:ind w:left="640" w:right="59" w:hanging="245"/>
        <w:spacing w:after="0" w:line="277"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hired additional qualified personnel to assist management with its financial statement close process and provide oversight of our financial reporting.</w:t>
      </w:r>
    </w:p>
    <w:p>
      <w:pPr>
        <w:spacing w:after="0" w:line="170" w:lineRule="exact"/>
        <w:rPr>
          <w:sz w:val="20"/>
          <w:szCs w:val="20"/>
          <w:color w:val="auto"/>
        </w:rPr>
      </w:pPr>
    </w:p>
    <w:p>
      <w:pPr>
        <w:ind w:left="40" w:right="99" w:firstLine="648"/>
        <w:spacing w:after="0" w:line="296" w:lineRule="auto"/>
        <w:rPr>
          <w:sz w:val="20"/>
          <w:szCs w:val="20"/>
          <w:color w:val="auto"/>
        </w:rPr>
      </w:pPr>
      <w:r>
        <w:rPr>
          <w:rFonts w:ascii="Arial" w:cs="Arial" w:eastAsia="Arial" w:hAnsi="Arial"/>
          <w:sz w:val="16"/>
          <w:szCs w:val="16"/>
          <w:color w:val="auto"/>
        </w:rPr>
        <w:t>As of January 1, 2020, we implemented the new ERP system. We will continue to monitor stability of the platform and further enhance the business controls around inventory management. We continue to assess our accounting policies and internal controls documentation to ensure they are effective in helping us manage the business. Our management has concluded that the financial statements included elsewhere in this Quarterly Report on Form 10-Q present fairly, in all material respects, our financial position, results of operations and cash flows in conformity with GAAP.</w:t>
      </w:r>
    </w:p>
    <w:p>
      <w:pPr>
        <w:spacing w:after="0" w:line="161"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ind w:left="40" w:right="239" w:firstLine="324"/>
        <w:spacing w:after="0" w:line="259" w:lineRule="auto"/>
        <w:rPr>
          <w:sz w:val="20"/>
          <w:szCs w:val="20"/>
          <w:color w:val="auto"/>
        </w:rPr>
      </w:pPr>
      <w:r>
        <w:rPr>
          <w:rFonts w:ascii="Arial" w:cs="Arial" w:eastAsia="Arial" w:hAnsi="Arial"/>
          <w:sz w:val="18"/>
          <w:szCs w:val="18"/>
          <w:color w:val="auto"/>
        </w:rPr>
        <w:t>Except with respect to the remediation described above, there have been no changes in our internal control over financial reporting (as defined in Rules 13a-15(e) and 15d-15(e) under the Securities Exchange Act of 1934, as amended) that occurred during the three months ended June 30, 2020 that have materially affected, or are reasonably likely to materially affect, our internal control over financial reporting.</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5" w:name="page26"/>
    <w:bookmarkEnd w:id="2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Inherent limitation on the effectiveness of internal control.</w:t>
      </w:r>
    </w:p>
    <w:p>
      <w:pPr>
        <w:spacing w:after="0" w:line="225" w:lineRule="exact"/>
        <w:rPr>
          <w:sz w:val="20"/>
          <w:szCs w:val="20"/>
          <w:color w:val="auto"/>
        </w:rPr>
      </w:pPr>
    </w:p>
    <w:p>
      <w:pPr>
        <w:ind w:left="40" w:right="59" w:firstLine="324"/>
        <w:spacing w:after="0" w:line="253" w:lineRule="auto"/>
        <w:rPr>
          <w:sz w:val="20"/>
          <w:szCs w:val="20"/>
          <w:color w:val="auto"/>
        </w:rPr>
      </w:pPr>
      <w:r>
        <w:rPr>
          <w:rFonts w:ascii="Arial" w:cs="Arial" w:eastAsia="Arial" w:hAnsi="Arial"/>
          <w:sz w:val="18"/>
          <w:szCs w:val="18"/>
          <w:color w:val="auto"/>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any system of internal control over financial reporting, including ours, no matter how well designed and operated, can only provide reasonable, not absolute assurances.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cannot assure you that such improvements will be sufficient to provide us with effective internal control over financial reporting.</w:t>
      </w:r>
    </w:p>
    <w:p>
      <w:pPr>
        <w:spacing w:after="0" w:line="19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left="40" w:right="99" w:firstLine="324"/>
        <w:spacing w:after="0" w:line="277" w:lineRule="auto"/>
        <w:rPr>
          <w:sz w:val="20"/>
          <w:szCs w:val="20"/>
          <w:color w:val="auto"/>
        </w:rPr>
      </w:pPr>
      <w:r>
        <w:rPr>
          <w:rFonts w:ascii="Arial" w:cs="Arial" w:eastAsia="Arial" w:hAnsi="Arial"/>
          <w:sz w:val="18"/>
          <w:szCs w:val="18"/>
          <w:color w:val="auto"/>
        </w:rPr>
        <w:t>We are not party to any material legal proceedings at this time. From time to time, we may become involved in various legal proceedings that arise in the ordinary course of our business.</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left="40" w:right="179" w:firstLine="324"/>
        <w:spacing w:after="0" w:line="273" w:lineRule="auto"/>
        <w:rPr>
          <w:sz w:val="20"/>
          <w:szCs w:val="20"/>
          <w:color w:val="auto"/>
        </w:rPr>
      </w:pPr>
      <w:r>
        <w:rPr>
          <w:rFonts w:ascii="Arial" w:cs="Arial" w:eastAsia="Arial" w:hAnsi="Arial"/>
          <w:sz w:val="17"/>
          <w:szCs w:val="17"/>
          <w:i w:val="1"/>
          <w:iCs w:val="1"/>
          <w:color w:val="auto"/>
        </w:rPr>
        <w:t>The following are important factors that could cause actual results or events to differ materially from those contained in any forward-looking statements made by us or on our behalf. The risks and uncertainties described below are not the only ones we face. Additional risks and uncertainties not presently known to us or that we deem immaterial also may impair our business operations. If any of the following risks or such other risks actually occurs, our business could be harmed. In addition, many of the following risks and uncertainties may be exacerbated by the COVID-19 pandemic and any worsening of the global business and economic environment as a result.</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6" w:name="page27"/>
    <w:bookmarkEnd w:id="2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 Factors Related to Our Business and Our Industry</w:t>
      </w:r>
    </w:p>
    <w:p>
      <w:pPr>
        <w:spacing w:after="0" w:line="229" w:lineRule="exact"/>
        <w:rPr>
          <w:sz w:val="20"/>
          <w:szCs w:val="20"/>
          <w:color w:val="auto"/>
        </w:rPr>
      </w:pPr>
    </w:p>
    <w:p>
      <w:pPr>
        <w:ind w:left="40" w:right="99"/>
        <w:spacing w:after="0" w:line="277" w:lineRule="auto"/>
        <w:rPr>
          <w:sz w:val="20"/>
          <w:szCs w:val="20"/>
          <w:color w:val="auto"/>
        </w:rPr>
      </w:pPr>
      <w:r>
        <w:rPr>
          <w:rFonts w:ascii="Arial" w:cs="Arial" w:eastAsia="Arial" w:hAnsi="Arial"/>
          <w:sz w:val="18"/>
          <w:szCs w:val="18"/>
          <w:b w:val="1"/>
          <w:bCs w:val="1"/>
          <w:i w:val="1"/>
          <w:iCs w:val="1"/>
          <w:color w:val="auto"/>
        </w:rPr>
        <w:t>We may need additional funding and may be unable to raise capital when needed, which could force us to delay, reduce, or eliminate planned activities.</w:t>
      </w:r>
    </w:p>
    <w:p>
      <w:pPr>
        <w:spacing w:after="0" w:line="170" w:lineRule="exact"/>
        <w:rPr>
          <w:sz w:val="20"/>
          <w:szCs w:val="20"/>
          <w:color w:val="auto"/>
        </w:rPr>
      </w:pPr>
    </w:p>
    <w:p>
      <w:pPr>
        <w:ind w:left="40" w:right="59" w:firstLine="324"/>
        <w:spacing w:after="0" w:line="291" w:lineRule="auto"/>
        <w:rPr>
          <w:sz w:val="20"/>
          <w:szCs w:val="20"/>
          <w:color w:val="auto"/>
        </w:rPr>
      </w:pPr>
      <w:r>
        <w:rPr>
          <w:rFonts w:ascii="Arial" w:cs="Arial" w:eastAsia="Arial" w:hAnsi="Arial"/>
          <w:sz w:val="16"/>
          <w:szCs w:val="16"/>
          <w:color w:val="auto"/>
        </w:rPr>
        <w:t>Our total revenue was approximately $21.9 million for the six months ended June 30, 2020, and $37.5 million for the year ended December 31, 2019, and, as of June 30, 2020, we had cash and cash equivalents of approximately $12.9 million. Our existing capital may be insufficient to meet our long-term requirements. Based on our current operating plan including the execution of our reorganization plan announced in January 2020, we believe our cash and cash equivalents and availability under our revolving line of credit facility will be sufficient to fund our operating requirements for at least 12 months. Our reorganization plan completed in January 2020, which included a reduction in headcount of approximately 15%, was done to reduce operating expenses, increase operating efficiency and enhance our ability to become profitable.</w:t>
      </w:r>
    </w:p>
    <w:p>
      <w:pPr>
        <w:spacing w:after="0" w:line="166" w:lineRule="exact"/>
        <w:rPr>
          <w:sz w:val="20"/>
          <w:szCs w:val="20"/>
          <w:color w:val="auto"/>
        </w:rPr>
      </w:pPr>
    </w:p>
    <w:p>
      <w:pPr>
        <w:ind w:left="40" w:right="139" w:firstLine="324"/>
        <w:spacing w:after="0" w:line="275" w:lineRule="auto"/>
        <w:rPr>
          <w:sz w:val="20"/>
          <w:szCs w:val="20"/>
          <w:color w:val="auto"/>
        </w:rPr>
      </w:pPr>
      <w:r>
        <w:rPr>
          <w:rFonts w:ascii="Arial" w:cs="Arial" w:eastAsia="Arial" w:hAnsi="Arial"/>
          <w:sz w:val="17"/>
          <w:szCs w:val="17"/>
          <w:color w:val="auto"/>
        </w:rPr>
        <w:t>We have no committed sources of funding other than our revolving line of credit facility and there is no assurance that additional funding will be available to us in the future or be secured on acceptable terms. If adequate funding is not available when needed, we may be forced to curtail operations, including our commercial activities and research and development programs, or cease operations altogether, file for bankruptcy, or undertake any combination of the foregoing. In such event, our stockholders may lose their entire investment in our company.</w:t>
      </w:r>
    </w:p>
    <w:p>
      <w:pPr>
        <w:spacing w:after="0" w:line="176" w:lineRule="exact"/>
        <w:rPr>
          <w:sz w:val="20"/>
          <w:szCs w:val="20"/>
          <w:color w:val="auto"/>
        </w:rPr>
      </w:pPr>
    </w:p>
    <w:p>
      <w:pPr>
        <w:ind w:left="40" w:right="59" w:firstLine="324"/>
        <w:spacing w:after="0" w:line="257" w:lineRule="auto"/>
        <w:rPr>
          <w:sz w:val="20"/>
          <w:szCs w:val="20"/>
          <w:color w:val="auto"/>
        </w:rPr>
      </w:pPr>
      <w:r>
        <w:rPr>
          <w:rFonts w:ascii="Arial" w:cs="Arial" w:eastAsia="Arial" w:hAnsi="Arial"/>
          <w:sz w:val="18"/>
          <w:szCs w:val="18"/>
          <w:color w:val="auto"/>
        </w:rPr>
        <w:t>We may need to raise additional funds through financings or borrowings in order to accomplish our long-term planned objectives If we raise additional funds through issuances of equity, convertible debt securities or other securities convertible into equity, our existing stockholders could suffer significant dilution in their percentage ownership of our company, and any new equity securities we issue could have rights, preferences and privileges senior to those of holders of our common stock.</w:t>
      </w:r>
    </w:p>
    <w:p>
      <w:pPr>
        <w:spacing w:after="0" w:line="188" w:lineRule="exact"/>
        <w:rPr>
          <w:sz w:val="20"/>
          <w:szCs w:val="20"/>
          <w:color w:val="auto"/>
        </w:rPr>
      </w:pPr>
    </w:p>
    <w:p>
      <w:pPr>
        <w:ind w:left="40" w:right="79" w:firstLine="324"/>
        <w:spacing w:after="0" w:line="273" w:lineRule="auto"/>
        <w:rPr>
          <w:sz w:val="20"/>
          <w:szCs w:val="20"/>
          <w:color w:val="auto"/>
        </w:rPr>
      </w:pPr>
      <w:r>
        <w:rPr>
          <w:rFonts w:ascii="Arial" w:cs="Arial" w:eastAsia="Arial" w:hAnsi="Arial"/>
          <w:sz w:val="17"/>
          <w:szCs w:val="17"/>
          <w:color w:val="auto"/>
        </w:rPr>
        <w:t>In addition, if we do not meet our payment obligations to third parties as they become due, we may be subject to litigation claims and our creditworthiness would be adversely affected. Even if we are successful in defending against these claims, litigation could result in substantial costs and would be a distraction to management, and may have other unfavorable results that could further adversely impact our financial condition. Stockholders should not rely on our balance sheet as an indication of the amount of proceeds that would be available to satisfy claims of creditors, and potentially be available for distribution to stockholders, in the event of liquidation.</w:t>
      </w:r>
    </w:p>
    <w:p>
      <w:pPr>
        <w:spacing w:after="0" w:line="17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The COVID-19 Pandemic is having and may continue to have an adverse impact on our business.</w:t>
      </w:r>
    </w:p>
    <w:p>
      <w:pPr>
        <w:spacing w:after="0" w:line="225" w:lineRule="exact"/>
        <w:rPr>
          <w:sz w:val="20"/>
          <w:szCs w:val="20"/>
          <w:color w:val="auto"/>
        </w:rPr>
      </w:pPr>
    </w:p>
    <w:p>
      <w:pPr>
        <w:ind w:left="40" w:right="59" w:firstLine="324"/>
        <w:spacing w:after="0" w:line="269" w:lineRule="auto"/>
        <w:rPr>
          <w:sz w:val="20"/>
          <w:szCs w:val="20"/>
          <w:color w:val="auto"/>
        </w:rPr>
      </w:pPr>
      <w:r>
        <w:rPr>
          <w:rFonts w:ascii="Arial" w:cs="Arial" w:eastAsia="Arial" w:hAnsi="Arial"/>
          <w:sz w:val="17"/>
          <w:szCs w:val="17"/>
          <w:color w:val="auto"/>
        </w:rPr>
        <w:t>The full long-term impact of the coronavirus 2019 (COVID-19) on our business is uncertain and we are unable to predict the impacts it will have going forward. Recent impacts included the extended China factory shutdowns that resulted from the COVID-19 outbreak, which created a longer than usual pause in new orders and we believe also slowed Toggle demand growth in the weeks since then. We continue to see an impact as reflected in reduced demand from some customers and distributors. Further, the remote working environment we have implemented for our employees has had some impact on manufacturing yield improvement projects given delays in data gathering, analysis and inefficiencies of teams solving technical problems via remote-only means, which impacts our cost of sales. Although we will continue to monitor the situation and take further actions, which may include further altering our operations, in order to protect the best interests of our employees, customers and suppliers and comply with government requirements, the ultimate duration or severity of the COVID-19 pandemic is unknown, and we cannot predict how much, or for how long, we will be impacted by this pandemic.</w:t>
      </w:r>
    </w:p>
    <w:p>
      <w:pPr>
        <w:spacing w:after="0" w:line="182" w:lineRule="exact"/>
        <w:rPr>
          <w:sz w:val="20"/>
          <w:szCs w:val="20"/>
          <w:color w:val="auto"/>
        </w:rPr>
      </w:pPr>
    </w:p>
    <w:p>
      <w:pPr>
        <w:ind w:left="40" w:right="219" w:firstLine="324"/>
        <w:spacing w:after="0" w:line="277" w:lineRule="auto"/>
        <w:rPr>
          <w:sz w:val="20"/>
          <w:szCs w:val="20"/>
          <w:color w:val="auto"/>
        </w:rPr>
      </w:pPr>
      <w:r>
        <w:rPr>
          <w:rFonts w:ascii="Arial" w:cs="Arial" w:eastAsia="Arial" w:hAnsi="Arial"/>
          <w:sz w:val="18"/>
          <w:szCs w:val="18"/>
          <w:color w:val="auto"/>
        </w:rPr>
        <w:t>In addition, the effects of the COVID-19 pandemic may exacerbate some or many of the risks discussed in this “Risk Factors” section.</w:t>
      </w:r>
    </w:p>
    <w:p>
      <w:pPr>
        <w:spacing w:after="0" w:line="170" w:lineRule="exact"/>
        <w:rPr>
          <w:sz w:val="20"/>
          <w:szCs w:val="20"/>
          <w:color w:val="auto"/>
        </w:rPr>
      </w:pPr>
    </w:p>
    <w:p>
      <w:pPr>
        <w:ind w:left="40" w:right="239"/>
        <w:spacing w:after="0" w:line="277" w:lineRule="auto"/>
        <w:rPr>
          <w:sz w:val="20"/>
          <w:szCs w:val="20"/>
          <w:color w:val="auto"/>
        </w:rPr>
      </w:pPr>
      <w:r>
        <w:rPr>
          <w:rFonts w:ascii="Arial" w:cs="Arial" w:eastAsia="Arial" w:hAnsi="Arial"/>
          <w:sz w:val="18"/>
          <w:szCs w:val="18"/>
          <w:b w:val="1"/>
          <w:bCs w:val="1"/>
          <w:i w:val="1"/>
          <w:iCs w:val="1"/>
          <w:color w:val="auto"/>
        </w:rPr>
        <w:t>We have a history of losses which may continue in the future, and we cannot be certain that we will achieve or sustain profitability.</w:t>
      </w:r>
    </w:p>
    <w:p>
      <w:pPr>
        <w:spacing w:after="0" w:line="170" w:lineRule="exact"/>
        <w:rPr>
          <w:sz w:val="20"/>
          <w:szCs w:val="20"/>
          <w:color w:val="auto"/>
        </w:rPr>
      </w:pPr>
    </w:p>
    <w:p>
      <w:pPr>
        <w:ind w:left="40" w:right="219" w:firstLine="324"/>
        <w:spacing w:after="0" w:line="301" w:lineRule="auto"/>
        <w:rPr>
          <w:sz w:val="20"/>
          <w:szCs w:val="20"/>
          <w:color w:val="auto"/>
        </w:rPr>
      </w:pPr>
      <w:r>
        <w:rPr>
          <w:rFonts w:ascii="Arial" w:cs="Arial" w:eastAsia="Arial" w:hAnsi="Arial"/>
          <w:sz w:val="16"/>
          <w:szCs w:val="16"/>
          <w:color w:val="auto"/>
        </w:rPr>
        <w:t>We have incurred net losses since our inception. We incurred net losses of $14.7 million and $3.0 million for the year ended December 31, 2019 and the six months ended June 30, 2020, respectively. As of June 30, 2020, we had an accumulated deficit of $151.7 million. Our restructuring plan completed in January 2020, which targets achieving cash-flow break even on a quarterly basis by the end of 2020, is dependent on controlling expenses, growing revenue, and</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7" w:name="page28"/>
    <w:bookmarkEnd w:id="2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right="779"/>
        <w:spacing w:after="0" w:line="277" w:lineRule="auto"/>
        <w:rPr>
          <w:sz w:val="20"/>
          <w:szCs w:val="20"/>
          <w:color w:val="auto"/>
        </w:rPr>
      </w:pPr>
      <w:r>
        <w:rPr>
          <w:rFonts w:ascii="Arial" w:cs="Arial" w:eastAsia="Arial" w:hAnsi="Arial"/>
          <w:sz w:val="18"/>
          <w:szCs w:val="18"/>
          <w:color w:val="auto"/>
        </w:rPr>
        <w:t>achieving specific product cost objectives. One or more of these financial metrics may not be achieved and pose a significant risk to our ability to achieve our cash-flow objective.</w:t>
      </w:r>
    </w:p>
    <w:p>
      <w:pPr>
        <w:spacing w:after="0" w:line="170" w:lineRule="exact"/>
        <w:rPr>
          <w:sz w:val="20"/>
          <w:szCs w:val="20"/>
          <w:color w:val="auto"/>
        </w:rPr>
      </w:pPr>
    </w:p>
    <w:p>
      <w:pPr>
        <w:ind w:left="40" w:right="79" w:firstLine="324"/>
        <w:spacing w:after="0" w:line="270" w:lineRule="auto"/>
        <w:rPr>
          <w:sz w:val="20"/>
          <w:szCs w:val="20"/>
          <w:color w:val="auto"/>
        </w:rPr>
      </w:pPr>
      <w:r>
        <w:rPr>
          <w:rFonts w:ascii="Arial" w:cs="Arial" w:eastAsia="Arial" w:hAnsi="Arial"/>
          <w:sz w:val="17"/>
          <w:szCs w:val="17"/>
          <w:color w:val="auto"/>
        </w:rPr>
        <w:t>While our products offer unique benefits over other industry memory technologies, the rate of adoption of our products and our ability to capture market share from legacy technologies is uncertain. Our revenue may also be adversely impacted by a number of other possible reasons, many of which are outside our control, including business conditions that adversely affect the semiconductor memory industry resulting in a decline in end market demand for our products, the projected recession resulting from the COVID-19 pandemic, increased competition, or our failure to capitalize on growth opportunities. We also rely on achieving specific cost reduction targets that have uncertainty in their timing and magnitude. We may also incur unforeseen expenses in the ongoing operation of our business that cause us to exceed our operational spending plan. As a result, our ability to generate sufficient revenue growth to transition to profitability and generate consistent positive cash flows is uncertain.</w:t>
      </w:r>
    </w:p>
    <w:p>
      <w:pPr>
        <w:spacing w:after="0" w:line="181" w:lineRule="exact"/>
        <w:rPr>
          <w:sz w:val="20"/>
          <w:szCs w:val="20"/>
          <w:color w:val="auto"/>
        </w:rPr>
      </w:pPr>
    </w:p>
    <w:p>
      <w:pPr>
        <w:ind w:left="40" w:right="219" w:firstLine="324"/>
        <w:spacing w:after="0" w:line="263" w:lineRule="auto"/>
        <w:rPr>
          <w:sz w:val="20"/>
          <w:szCs w:val="20"/>
          <w:color w:val="auto"/>
        </w:rPr>
      </w:pPr>
      <w:r>
        <w:rPr>
          <w:rFonts w:ascii="Arial" w:cs="Arial" w:eastAsia="Arial" w:hAnsi="Arial"/>
          <w:sz w:val="18"/>
          <w:szCs w:val="18"/>
          <w:color w:val="auto"/>
        </w:rPr>
        <w:t>If we fail to generate sufficient revenue to support our operations, we may not be able to achieve or sustain profitability. If revenue does not grow sufficiently, we may not be able to meet our debt covenants, including the liquidity ratio and sales targets.</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The limited history of STT-MRAM adoption makes it difficult to evaluate our current business and future prospects.</w:t>
      </w:r>
    </w:p>
    <w:p>
      <w:pPr>
        <w:spacing w:after="0" w:line="248" w:lineRule="exact"/>
        <w:rPr>
          <w:sz w:val="20"/>
          <w:szCs w:val="20"/>
          <w:color w:val="auto"/>
        </w:rPr>
      </w:pPr>
    </w:p>
    <w:p>
      <w:pPr>
        <w:ind w:left="40" w:right="239" w:firstLine="324"/>
        <w:spacing w:after="0" w:line="301" w:lineRule="auto"/>
        <w:rPr>
          <w:sz w:val="20"/>
          <w:szCs w:val="20"/>
          <w:color w:val="auto"/>
        </w:rPr>
      </w:pPr>
      <w:r>
        <w:rPr>
          <w:rFonts w:ascii="Arial" w:cs="Arial" w:eastAsia="Arial" w:hAnsi="Arial"/>
          <w:sz w:val="16"/>
          <w:szCs w:val="16"/>
          <w:color w:val="auto"/>
        </w:rPr>
        <w:t>We have been in existence as a stand-alone company since 2008, when Freescale Semiconductor, Inc. (subsequently acquired by NXP Semiconductor) spun-out its MRAM business as Everspin. We have been shipping magnetoresistive random-access memory (MRAM) products since our incorporation in 2008. However, we only began to manufacture and ship our Spin Transfer Torque MRAM (STT-MRAM) products in the fourth quarter of 2017.</w:t>
      </w:r>
    </w:p>
    <w:p>
      <w:pPr>
        <w:spacing w:after="0" w:line="157" w:lineRule="exact"/>
        <w:rPr>
          <w:sz w:val="20"/>
          <w:szCs w:val="20"/>
          <w:color w:val="auto"/>
        </w:rPr>
      </w:pPr>
    </w:p>
    <w:p>
      <w:pPr>
        <w:ind w:left="40" w:right="79" w:firstLine="324"/>
        <w:spacing w:after="0" w:line="253" w:lineRule="auto"/>
        <w:rPr>
          <w:sz w:val="20"/>
          <w:szCs w:val="20"/>
          <w:color w:val="auto"/>
        </w:rPr>
      </w:pPr>
      <w:r>
        <w:rPr>
          <w:rFonts w:ascii="Arial" w:cs="Arial" w:eastAsia="Arial" w:hAnsi="Arial"/>
          <w:sz w:val="18"/>
          <w:szCs w:val="18"/>
          <w:color w:val="auto"/>
        </w:rPr>
        <w:t>Our limited experience selling our STT-MRAM products, combined with the rapidly evolving and competitive nature of our market, makes it difficult to evaluate our current business and future prospects. In addition, we have limited insight into emerging trends that may adversely affect our business, financial condition, results of operations and prospects. We have encountered and will continue to encounter risks and difficulties frequently experienced by growing companies in rapidly changing industries, including unpredictable and volatile revenue and increased expenses as we continue to grow our business. The viability and demand for our products may be affected by many factors outside of our control, such as the factors affecting the growth of the industrial, automotive, transportation, and enterprise storage industries and changes in macroeconomic conditions. If we do not manage these risks and overcome these difficulties successfully, our business will suffer.</w:t>
      </w:r>
    </w:p>
    <w:p>
      <w:pPr>
        <w:spacing w:after="0" w:line="129" w:lineRule="exact"/>
        <w:rPr>
          <w:sz w:val="20"/>
          <w:szCs w:val="20"/>
          <w:color w:val="auto"/>
        </w:rPr>
      </w:pPr>
    </w:p>
    <w:p>
      <w:pPr>
        <w:ind w:left="40" w:right="499"/>
        <w:spacing w:after="0" w:line="263" w:lineRule="auto"/>
        <w:rPr>
          <w:sz w:val="20"/>
          <w:szCs w:val="20"/>
          <w:color w:val="auto"/>
        </w:rPr>
      </w:pPr>
      <w:r>
        <w:rPr>
          <w:rFonts w:ascii="Arial" w:cs="Arial" w:eastAsia="Arial" w:hAnsi="Arial"/>
          <w:sz w:val="18"/>
          <w:szCs w:val="18"/>
          <w:b w:val="1"/>
          <w:bCs w:val="1"/>
          <w:i w:val="1"/>
          <w:iCs w:val="1"/>
          <w:color w:val="auto"/>
        </w:rPr>
        <w:t>We may be unable to match production with customer demand for a variety of reasons including our inability to accurately forecast customer demand or the capacity constraints of our suppliers, which could adversely affect our operating results.</w:t>
      </w:r>
    </w:p>
    <w:p>
      <w:pPr>
        <w:spacing w:after="0" w:line="184" w:lineRule="exact"/>
        <w:rPr>
          <w:sz w:val="20"/>
          <w:szCs w:val="20"/>
          <w:color w:val="auto"/>
        </w:rPr>
      </w:pPr>
    </w:p>
    <w:p>
      <w:pPr>
        <w:ind w:left="40" w:right="79" w:firstLine="401"/>
        <w:spacing w:after="0" w:line="285" w:lineRule="auto"/>
        <w:rPr>
          <w:sz w:val="20"/>
          <w:szCs w:val="20"/>
          <w:color w:val="auto"/>
        </w:rPr>
      </w:pPr>
      <w:r>
        <w:rPr>
          <w:rFonts w:ascii="Arial" w:cs="Arial" w:eastAsia="Arial" w:hAnsi="Arial"/>
          <w:sz w:val="16"/>
          <w:szCs w:val="16"/>
          <w:color w:val="auto"/>
        </w:rPr>
        <w:t>We make planning and spending decisions, including determining production levels, production schedules, component procurement commitments, personnel needs and other resource requirements, based on our estimates of product demand and customer requirements. Our products are typically purchased pursuant to individual purchase orders. While our customers may provide us with their demand forecasts, they are not contractually committed to buy any quantity of products beyond purchase orders. Furthermore, many of our customers may increase, decrease, cancel or delay purchase orders already in place without significant penalty. The short-term nature of commitments by our customers and the possibility of unexpected changes in demand for their products reduce our ability to accurately estimate future customer requirements. On occasion, customers may require rapid increases in production, which can strain our resources, necessitate more onerous procurement commitments and reduce our gross margin. If we overestimate customer demand, we may purchase products that we may not be able to sell, which could result in decreases in our prices or write-downs of unsold inventory. Conversely, if we underestimate customer demand or if sufficient manufacturing capacity is unavailable, we could lose sales opportunities and could lose market share or damage our customer relationships. We manufacture MRAM products at our 200mm facility we lease in Chandler, Arizona and use a single foundry, GLOBALFOUNDRIES, for production of higher density products on advanced technology nodes, which may not have sufficient capacity to meet customer demand. The rapid pace of innovation in our industry could also render significant portions of our inventory obsolete. Excess or obsolete inventory levels could result in unexpected expenses or write-downs of inventory values that could adversely affect our business, operating results and financial condition.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8" w:name="page29"/>
    <w:bookmarkEnd w:id="2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right="479"/>
        <w:spacing w:after="0" w:line="342" w:lineRule="auto"/>
        <w:rPr>
          <w:sz w:val="20"/>
          <w:szCs w:val="20"/>
          <w:color w:val="auto"/>
        </w:rPr>
      </w:pPr>
      <w:r>
        <w:rPr>
          <w:rFonts w:ascii="Arial" w:cs="Arial" w:eastAsia="Arial" w:hAnsi="Arial"/>
          <w:sz w:val="16"/>
          <w:szCs w:val="16"/>
          <w:b w:val="1"/>
          <w:bCs w:val="1"/>
          <w:i w:val="1"/>
          <w:iCs w:val="1"/>
          <w:color w:val="auto"/>
        </w:rPr>
        <w:t>As we expand into new potential markets, we expect to face intense competition, including from our customers and potential customers, and may not be able to compete effectively, which could harm our business.</w:t>
      </w:r>
    </w:p>
    <w:p>
      <w:pPr>
        <w:spacing w:after="0" w:line="124" w:lineRule="exact"/>
        <w:rPr>
          <w:sz w:val="20"/>
          <w:szCs w:val="20"/>
          <w:color w:val="auto"/>
        </w:rPr>
      </w:pPr>
    </w:p>
    <w:p>
      <w:pPr>
        <w:ind w:left="40" w:right="119" w:firstLine="401"/>
        <w:spacing w:after="0" w:line="269" w:lineRule="auto"/>
        <w:rPr>
          <w:sz w:val="20"/>
          <w:szCs w:val="20"/>
          <w:color w:val="auto"/>
        </w:rPr>
      </w:pPr>
      <w:r>
        <w:rPr>
          <w:rFonts w:ascii="Arial" w:cs="Arial" w:eastAsia="Arial" w:hAnsi="Arial"/>
          <w:sz w:val="17"/>
          <w:szCs w:val="17"/>
          <w:color w:val="auto"/>
        </w:rPr>
        <w:t>We expect that our new and future MRAM products will be applicable to markets in which we are not currently operating. The markets in which we operate and may operate in the future are extremely competitive and are characterized by rapid technological change, continuous evolving customer requirements and declining average selling prices. We may not be able to compete successfully against current or potential competitors, which include our current or potential customers as they seek to internally develop solutions competitive with ours or as we develop products potentially competitive with their existing products. If we do not compete successfully, our market share and revenue may decline. We compete with large semiconductor manufacturers and designers and others, and our current and potential competitors have longer operating histories, significantly greater resources and name recognition and a larger base of customers than we do. This may allow them to respond more quickly than we can to new or emerging technologies or changes in customer requirements. In addition, these competitors may have greater credibility with our existing and potential customers. Some of our current and potential customers with their own internally developed solutions may choose not to purchase products from third-party suppliers like us.</w:t>
      </w:r>
    </w:p>
    <w:p>
      <w:pPr>
        <w:spacing w:after="0" w:line="179" w:lineRule="exact"/>
        <w:rPr>
          <w:sz w:val="20"/>
          <w:szCs w:val="20"/>
          <w:color w:val="auto"/>
        </w:rPr>
      </w:pPr>
    </w:p>
    <w:p>
      <w:pPr>
        <w:jc w:val="both"/>
        <w:ind w:left="40" w:right="459"/>
        <w:spacing w:after="0" w:line="286" w:lineRule="auto"/>
        <w:rPr>
          <w:sz w:val="20"/>
          <w:szCs w:val="20"/>
          <w:color w:val="auto"/>
        </w:rPr>
      </w:pPr>
      <w:r>
        <w:rPr>
          <w:rFonts w:ascii="Arial" w:cs="Arial" w:eastAsia="Arial" w:hAnsi="Arial"/>
          <w:sz w:val="17"/>
          <w:szCs w:val="17"/>
          <w:b w:val="1"/>
          <w:bCs w:val="1"/>
          <w:i w:val="1"/>
          <w:iCs w:val="1"/>
          <w:color w:val="auto"/>
        </w:rPr>
        <w:t>We rely on third parties to distribute, manufacture, package, assemble and test our products, which exposes us to a number of risks, including reduced control over manufacturing and delivery timing and potential exposure to price fluctuations, which could result in a loss of revenue or reduced profitability.</w:t>
      </w:r>
    </w:p>
    <w:p>
      <w:pPr>
        <w:spacing w:after="0" w:line="165" w:lineRule="exact"/>
        <w:rPr>
          <w:sz w:val="20"/>
          <w:szCs w:val="20"/>
          <w:color w:val="auto"/>
        </w:rPr>
      </w:pPr>
    </w:p>
    <w:p>
      <w:pPr>
        <w:ind w:left="40" w:right="119" w:firstLine="324"/>
        <w:spacing w:after="0" w:line="273" w:lineRule="auto"/>
        <w:rPr>
          <w:sz w:val="20"/>
          <w:szCs w:val="20"/>
          <w:color w:val="auto"/>
        </w:rPr>
      </w:pPr>
      <w:r>
        <w:rPr>
          <w:rFonts w:ascii="Arial" w:cs="Arial" w:eastAsia="Arial" w:hAnsi="Arial"/>
          <w:sz w:val="17"/>
          <w:szCs w:val="17"/>
          <w:color w:val="auto"/>
        </w:rPr>
        <w:t>Although we operate an integrated magnetic fabrication line located in Chandler, Arizona, we purchase wafers from third parties and outsource the manufacturing, packaging, assembly and testing of our products to third-party foundries and assembly and testing service providers. We use a single foundry, GLOBALFOUNDRIES Singapore Pte. Ltd., for production of higher density products on advanced technology nodes. Our primary product package and test operations are located in China, Taiwan and other Asian countries. We also use standard CMOS wafers from third-party foundries, which we process at our Chandler, Arizona, facility.</w:t>
      </w:r>
    </w:p>
    <w:p>
      <w:pPr>
        <w:spacing w:after="0" w:line="178" w:lineRule="exact"/>
        <w:rPr>
          <w:sz w:val="20"/>
          <w:szCs w:val="20"/>
          <w:color w:val="auto"/>
        </w:rPr>
      </w:pPr>
    </w:p>
    <w:p>
      <w:pPr>
        <w:ind w:left="40" w:right="639" w:firstLine="324"/>
        <w:spacing w:after="0" w:line="277" w:lineRule="auto"/>
        <w:rPr>
          <w:sz w:val="20"/>
          <w:szCs w:val="20"/>
          <w:color w:val="auto"/>
        </w:rPr>
      </w:pPr>
      <w:r>
        <w:rPr>
          <w:rFonts w:ascii="Arial" w:cs="Arial" w:eastAsia="Arial" w:hAnsi="Arial"/>
          <w:sz w:val="18"/>
          <w:szCs w:val="18"/>
          <w:color w:val="auto"/>
        </w:rPr>
        <w:t>Relying on third-party distribution, manufacturing, assembly, packaging and testing presents a number of risks, including but not limited to:</w:t>
      </w:r>
    </w:p>
    <w:p>
      <w:pPr>
        <w:spacing w:after="0" w:line="184" w:lineRule="exact"/>
        <w:rPr>
          <w:sz w:val="20"/>
          <w:szCs w:val="20"/>
          <w:color w:val="auto"/>
        </w:rPr>
      </w:pPr>
    </w:p>
    <w:p>
      <w:pPr>
        <w:ind w:left="620" w:right="219" w:hanging="252"/>
        <w:spacing w:after="0" w:line="263" w:lineRule="auto"/>
        <w:tabs>
          <w:tab w:leader="none" w:pos="649"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interests could diverge from those of our foundries, or we may not be able to agree with them on ongoing development, manufacturing and operational activities, or on the amount, timing, or nature of further investments in our joint development;</w:t>
      </w:r>
    </w:p>
    <w:p>
      <w:pPr>
        <w:spacing w:after="0" w:line="183" w:lineRule="exact"/>
        <w:rPr>
          <w:rFonts w:ascii="Arial" w:cs="Arial" w:eastAsia="Arial" w:hAnsi="Arial"/>
          <w:sz w:val="18"/>
          <w:szCs w:val="18"/>
          <w:color w:val="auto"/>
        </w:rPr>
      </w:pPr>
    </w:p>
    <w:p>
      <w:pPr>
        <w:ind w:left="660" w:hanging="29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capacity and materials shortages during periods of high demand;</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reduced control over delivery schedules, inventories and quality;</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unavailability of, or potential delays in obtaining access to, key process technologies;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inability to achieve required production or test capacity and acceptable yields on a timely basis;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misappropriation of our intellectual property;</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third party’s ability to perform its obligations due to bankruptcy or other financial constraints;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exclusive representatives for certain customer engagements;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limited warranties on wafers or products supplied to us; and</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increases in prices.</w:t>
      </w:r>
    </w:p>
    <w:p>
      <w:pPr>
        <w:spacing w:after="0" w:line="225" w:lineRule="exact"/>
        <w:rPr>
          <w:sz w:val="20"/>
          <w:szCs w:val="20"/>
          <w:color w:val="auto"/>
        </w:rPr>
      </w:pPr>
    </w:p>
    <w:p>
      <w:pPr>
        <w:ind w:left="40" w:right="79" w:firstLine="324"/>
        <w:spacing w:after="0" w:line="296" w:lineRule="auto"/>
        <w:rPr>
          <w:sz w:val="20"/>
          <w:szCs w:val="20"/>
          <w:color w:val="auto"/>
        </w:rPr>
      </w:pPr>
      <w:r>
        <w:rPr>
          <w:rFonts w:ascii="Arial" w:cs="Arial" w:eastAsia="Arial" w:hAnsi="Arial"/>
          <w:sz w:val="16"/>
          <w:szCs w:val="16"/>
          <w:color w:val="auto"/>
        </w:rPr>
        <w:t>Our manufacturing agreement with GLOBALFOUNDRIES includes a customary forecast and ordering mechanism for the supply of certain of our wafers, and we are obligated to order and pay for, and GLOBALFOUNDRIES is obligated to supply, wafers consistent with the binding portion of our forecast. However, our manufacturing arrangement is also subject to both a minimum and maximum order quantity that while we believe currently addresses our projected foundry capacity needs, may not address our maximum foundry capacity requirements in the future. We may also be</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9" w:name="page30"/>
    <w:bookmarkEnd w:id="2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right="99"/>
        <w:spacing w:after="0" w:line="254" w:lineRule="auto"/>
        <w:rPr>
          <w:sz w:val="20"/>
          <w:szCs w:val="20"/>
          <w:color w:val="auto"/>
        </w:rPr>
      </w:pPr>
      <w:r>
        <w:rPr>
          <w:rFonts w:ascii="Arial" w:cs="Arial" w:eastAsia="Arial" w:hAnsi="Arial"/>
          <w:sz w:val="18"/>
          <w:szCs w:val="18"/>
          <w:color w:val="auto"/>
        </w:rPr>
        <w:t>obligated to pay for unused capacity if our demand decreases in the future, or if our estimates prove inaccurate. GLOBALFOUNDRIES also has the ability to discontinue its manufacture of any of our wafers upon due notice and completion of the notice period. This could cause us to have to find another foundry to manufacture those wafers or redesign our core technology and would mean that we may not have products to sell until such time. Any time spent engaging a new manufacturer or redesigning our core technology could be costly and time consuming and may allow potential competitors to take opportunities in the market place. Moreover, if we are unable to find another foundry to manufacture our products or if we have to redesign our core technology, this could cause material harm to our business and operating results.</w:t>
      </w:r>
    </w:p>
    <w:p>
      <w:pPr>
        <w:spacing w:after="0" w:line="192" w:lineRule="exact"/>
        <w:rPr>
          <w:sz w:val="20"/>
          <w:szCs w:val="20"/>
          <w:color w:val="auto"/>
        </w:rPr>
      </w:pPr>
    </w:p>
    <w:p>
      <w:pPr>
        <w:ind w:left="40" w:right="159" w:firstLine="324"/>
        <w:spacing w:after="0" w:line="255" w:lineRule="auto"/>
        <w:rPr>
          <w:sz w:val="20"/>
          <w:szCs w:val="20"/>
          <w:color w:val="auto"/>
        </w:rPr>
      </w:pPr>
      <w:r>
        <w:rPr>
          <w:rFonts w:ascii="Arial" w:cs="Arial" w:eastAsia="Arial" w:hAnsi="Arial"/>
          <w:sz w:val="18"/>
          <w:szCs w:val="18"/>
          <w:color w:val="auto"/>
        </w:rPr>
        <w:t>If we need other foundries or packaging, assembly and testing contractors, or if we are unable to obtain timely and adequate deliveries from our providers, we might not be able to cost-effectively and quickly retain other vendors to satisfy our requirements. Because the lead-time needed to establish a relationship with a new third-party supplier could be several quarters, there is no readily available alternative source of supply for any specific component. In addition, the time and expense to qualify a new foundry could result in additional expense, diversion of resources or lost sales, any of which would negatively impact our financial results.</w:t>
      </w:r>
    </w:p>
    <w:p>
      <w:pPr>
        <w:spacing w:after="0" w:line="192" w:lineRule="exact"/>
        <w:rPr>
          <w:sz w:val="20"/>
          <w:szCs w:val="20"/>
          <w:color w:val="auto"/>
        </w:rPr>
      </w:pPr>
    </w:p>
    <w:p>
      <w:pPr>
        <w:ind w:left="40" w:right="219" w:firstLine="324"/>
        <w:spacing w:after="0" w:line="257" w:lineRule="auto"/>
        <w:rPr>
          <w:sz w:val="20"/>
          <w:szCs w:val="20"/>
          <w:color w:val="auto"/>
        </w:rPr>
      </w:pPr>
      <w:r>
        <w:rPr>
          <w:rFonts w:ascii="Arial" w:cs="Arial" w:eastAsia="Arial" w:hAnsi="Arial"/>
          <w:sz w:val="18"/>
          <w:szCs w:val="18"/>
          <w:color w:val="auto"/>
        </w:rPr>
        <w:t>If any of our current or future foundries or packaging, assembly and testing subcontractors significantly increases the costs of wafers or other materials or services, interrupts or reduces our supply, including for reasons outside of their control, or if any of our relationships with our suppliers is terminated, our operating results could be adversely affected. Such occurrences could also damage our customer relationships, result in lost revenue, cause a loss in market share or damage our reputation.</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Our joint development agreement and strategic relationships involve numerous risks.</w:t>
      </w:r>
    </w:p>
    <w:p>
      <w:pPr>
        <w:spacing w:after="0" w:line="225" w:lineRule="exact"/>
        <w:rPr>
          <w:sz w:val="20"/>
          <w:szCs w:val="20"/>
          <w:color w:val="auto"/>
        </w:rPr>
      </w:pPr>
    </w:p>
    <w:p>
      <w:pPr>
        <w:ind w:left="40" w:right="219" w:firstLine="324"/>
        <w:spacing w:after="0" w:line="279" w:lineRule="auto"/>
        <w:rPr>
          <w:sz w:val="20"/>
          <w:szCs w:val="20"/>
          <w:color w:val="auto"/>
        </w:rPr>
      </w:pPr>
      <w:r>
        <w:rPr>
          <w:rFonts w:ascii="Arial" w:cs="Arial" w:eastAsia="Arial" w:hAnsi="Arial"/>
          <w:sz w:val="17"/>
          <w:szCs w:val="17"/>
          <w:color w:val="auto"/>
        </w:rPr>
        <w:t>We have entered into strategic relationships to manufacture products and develop new manufacturing process technologies and products. These relationships include our joint development agreement with GLOBALFOUNDRIES to develop advanced MTJ technology and STT-MRAM. These relationships are subject to various risks that could adversely affect the value of our investments and our results of operations. These risks include the following:</w:t>
      </w:r>
    </w:p>
    <w:p>
      <w:pPr>
        <w:spacing w:after="0" w:line="185" w:lineRule="exact"/>
        <w:rPr>
          <w:sz w:val="20"/>
          <w:szCs w:val="20"/>
          <w:color w:val="auto"/>
        </w:rPr>
      </w:pPr>
    </w:p>
    <w:p>
      <w:pPr>
        <w:ind w:left="620" w:right="219" w:hanging="252"/>
        <w:spacing w:after="0" w:line="263" w:lineRule="auto"/>
        <w:tabs>
          <w:tab w:leader="none" w:pos="649"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interests could diverge from those of our foundries, or we may not be able to agree with them on ongoing development, manufacturing and operational activities, or on the amount, timing, or nature of further investments in our joint development;</w:t>
      </w:r>
    </w:p>
    <w:p>
      <w:pPr>
        <w:spacing w:after="0" w:line="183" w:lineRule="exact"/>
        <w:rPr>
          <w:rFonts w:ascii="Arial" w:cs="Arial" w:eastAsia="Arial" w:hAnsi="Arial"/>
          <w:sz w:val="18"/>
          <w:szCs w:val="18"/>
          <w:color w:val="auto"/>
        </w:rPr>
      </w:pPr>
    </w:p>
    <w:p>
      <w:pPr>
        <w:ind w:left="660" w:hanging="29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experience difficulties in transferring technology to a foundry;</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experience difficulties and delays in getting to and/or ramping production at foundries;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control over the operations of foundries is limited;</w:t>
      </w:r>
    </w:p>
    <w:p>
      <w:pPr>
        <w:spacing w:after="0" w:line="225" w:lineRule="exact"/>
        <w:rPr>
          <w:rFonts w:ascii="Arial" w:cs="Arial" w:eastAsia="Arial" w:hAnsi="Arial"/>
          <w:sz w:val="18"/>
          <w:szCs w:val="18"/>
          <w:color w:val="auto"/>
        </w:rPr>
      </w:pPr>
    </w:p>
    <w:p>
      <w:pPr>
        <w:ind w:left="620" w:right="299" w:hanging="252"/>
        <w:spacing w:after="0" w:line="277" w:lineRule="auto"/>
        <w:tabs>
          <w:tab w:leader="none" w:pos="649" w:val="left"/>
        </w:tabs>
        <w:numPr>
          <w:ilvl w:val="0"/>
          <w:numId w:val="5"/>
        </w:numPr>
        <w:rPr>
          <w:rFonts w:ascii="Arial" w:cs="Arial" w:eastAsia="Arial" w:hAnsi="Arial"/>
          <w:sz w:val="18"/>
          <w:szCs w:val="18"/>
          <w:color w:val="auto"/>
        </w:rPr>
      </w:pPr>
      <w:r>
        <w:rPr>
          <w:rFonts w:ascii="Arial" w:cs="Arial" w:eastAsia="Arial" w:hAnsi="Arial"/>
          <w:sz w:val="18"/>
          <w:szCs w:val="18"/>
          <w:color w:val="auto"/>
        </w:rPr>
        <w:t>due to financial constraints, our joint development collaborators may be unable to meet their commitments to us and may pose credit risks for our transactions with them;</w:t>
      </w:r>
    </w:p>
    <w:p>
      <w:pPr>
        <w:spacing w:after="0" w:line="170" w:lineRule="exact"/>
        <w:rPr>
          <w:rFonts w:ascii="Arial" w:cs="Arial" w:eastAsia="Arial" w:hAnsi="Arial"/>
          <w:sz w:val="18"/>
          <w:szCs w:val="18"/>
          <w:color w:val="auto"/>
        </w:rPr>
      </w:pPr>
    </w:p>
    <w:p>
      <w:pPr>
        <w:ind w:left="620" w:right="639" w:hanging="252"/>
        <w:spacing w:after="0" w:line="308" w:lineRule="auto"/>
        <w:tabs>
          <w:tab w:leader="none" w:pos="649" w:val="left"/>
        </w:tabs>
        <w:numPr>
          <w:ilvl w:val="0"/>
          <w:numId w:val="5"/>
        </w:numPr>
        <w:rPr>
          <w:rFonts w:ascii="Arial" w:cs="Arial" w:eastAsia="Arial" w:hAnsi="Arial"/>
          <w:sz w:val="17"/>
          <w:szCs w:val="17"/>
          <w:color w:val="auto"/>
        </w:rPr>
      </w:pPr>
      <w:r>
        <w:rPr>
          <w:rFonts w:ascii="Arial" w:cs="Arial" w:eastAsia="Arial" w:hAnsi="Arial"/>
          <w:sz w:val="17"/>
          <w:szCs w:val="17"/>
          <w:color w:val="auto"/>
        </w:rPr>
        <w:t>due to differing business models or long-term business goals, our collaborators may decide not to join us in funding capital investment, which may result in higher levels of cash expenditures by us;</w:t>
      </w:r>
    </w:p>
    <w:p>
      <w:pPr>
        <w:spacing w:after="0" w:line="146" w:lineRule="exact"/>
        <w:rPr>
          <w:rFonts w:ascii="Arial" w:cs="Arial" w:eastAsia="Arial" w:hAnsi="Arial"/>
          <w:sz w:val="17"/>
          <w:szCs w:val="17"/>
          <w:color w:val="auto"/>
        </w:rPr>
      </w:pPr>
    </w:p>
    <w:p>
      <w:pPr>
        <w:ind w:left="660" w:hanging="29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cash flows may be inadequate to fund increased capital requirements;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experience difficulties or delays in collecting amounts due to us from our collaborators;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terms of our arrangements may turn out to be unfavorable;</w:t>
      </w:r>
    </w:p>
    <w:p>
      <w:pPr>
        <w:spacing w:after="0" w:line="225" w:lineRule="exact"/>
        <w:rPr>
          <w:rFonts w:ascii="Arial" w:cs="Arial" w:eastAsia="Arial" w:hAnsi="Arial"/>
          <w:sz w:val="18"/>
          <w:szCs w:val="18"/>
          <w:color w:val="auto"/>
        </w:rPr>
      </w:pPr>
    </w:p>
    <w:p>
      <w:pPr>
        <w:ind w:left="620" w:right="79" w:hanging="252"/>
        <w:spacing w:after="0" w:line="277" w:lineRule="auto"/>
        <w:tabs>
          <w:tab w:leader="none" w:pos="649"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are migrating toward a fabless model as 300mm production becomes required and this increases risks related to less control over our critical production processes; and</w:t>
      </w:r>
    </w:p>
    <w:p>
      <w:pPr>
        <w:spacing w:after="0" w:line="170" w:lineRule="exact"/>
        <w:rPr>
          <w:rFonts w:ascii="Arial" w:cs="Arial" w:eastAsia="Arial" w:hAnsi="Arial"/>
          <w:sz w:val="18"/>
          <w:szCs w:val="18"/>
          <w:color w:val="auto"/>
        </w:rPr>
      </w:pPr>
    </w:p>
    <w:p>
      <w:pPr>
        <w:ind w:left="660" w:hanging="29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tax, legal, or regulatory requirements may necessitate changes in our agreements.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term of the agreement, as amended, is the completion, termination, or expiration of the last statement of work</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0" w:name="page31"/>
    <w:bookmarkEnd w:id="3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spacing w:after="0"/>
        <w:rPr>
          <w:sz w:val="20"/>
          <w:szCs w:val="20"/>
          <w:color w:val="auto"/>
        </w:rPr>
      </w:pPr>
      <w:r>
        <w:rPr>
          <w:rFonts w:ascii="Arial" w:cs="Arial" w:eastAsia="Arial" w:hAnsi="Arial"/>
          <w:sz w:val="18"/>
          <w:szCs w:val="18"/>
          <w:color w:val="auto"/>
        </w:rPr>
        <w:t>entered into pursuant to the joint development agreement.</w:t>
      </w:r>
    </w:p>
    <w:p>
      <w:pPr>
        <w:spacing w:after="0" w:line="225" w:lineRule="exact"/>
        <w:rPr>
          <w:sz w:val="20"/>
          <w:szCs w:val="20"/>
          <w:color w:val="auto"/>
        </w:rPr>
      </w:pPr>
    </w:p>
    <w:p>
      <w:pPr>
        <w:ind w:left="40" w:right="659" w:firstLine="324"/>
        <w:spacing w:after="0" w:line="277" w:lineRule="auto"/>
        <w:rPr>
          <w:sz w:val="20"/>
          <w:szCs w:val="20"/>
          <w:color w:val="auto"/>
        </w:rPr>
      </w:pPr>
      <w:r>
        <w:rPr>
          <w:rFonts w:ascii="Arial" w:cs="Arial" w:eastAsia="Arial" w:hAnsi="Arial"/>
          <w:sz w:val="18"/>
          <w:szCs w:val="18"/>
          <w:color w:val="auto"/>
        </w:rPr>
        <w:t>If our strategic relationships are unsuccessful, our business, results of operations, or financial condition may be materially adversely affected.</w:t>
      </w:r>
    </w:p>
    <w:p>
      <w:pPr>
        <w:spacing w:after="0" w:line="170" w:lineRule="exact"/>
        <w:rPr>
          <w:sz w:val="20"/>
          <w:szCs w:val="20"/>
          <w:color w:val="auto"/>
        </w:rPr>
      </w:pPr>
    </w:p>
    <w:p>
      <w:pPr>
        <w:ind w:left="40" w:right="179"/>
        <w:spacing w:after="0" w:line="277" w:lineRule="auto"/>
        <w:rPr>
          <w:sz w:val="20"/>
          <w:szCs w:val="20"/>
          <w:color w:val="auto"/>
        </w:rPr>
      </w:pPr>
      <w:r>
        <w:rPr>
          <w:rFonts w:ascii="Arial" w:cs="Arial" w:eastAsia="Arial" w:hAnsi="Arial"/>
          <w:sz w:val="18"/>
          <w:szCs w:val="18"/>
          <w:b w:val="1"/>
          <w:bCs w:val="1"/>
          <w:i w:val="1"/>
          <w:iCs w:val="1"/>
          <w:color w:val="auto"/>
        </w:rPr>
        <w:t>The market for semiconductor memory products is characterized by declines in average selling prices, which we expect to continue, and which could negatively affect our revenue and margins.</w:t>
      </w:r>
    </w:p>
    <w:p>
      <w:pPr>
        <w:spacing w:after="0" w:line="170" w:lineRule="exact"/>
        <w:rPr>
          <w:sz w:val="20"/>
          <w:szCs w:val="20"/>
          <w:color w:val="auto"/>
        </w:rPr>
      </w:pPr>
    </w:p>
    <w:p>
      <w:pPr>
        <w:ind w:left="40" w:right="59" w:firstLine="324"/>
        <w:spacing w:after="0" w:line="268" w:lineRule="auto"/>
        <w:rPr>
          <w:sz w:val="20"/>
          <w:szCs w:val="20"/>
          <w:color w:val="auto"/>
        </w:rPr>
      </w:pPr>
      <w:r>
        <w:rPr>
          <w:rFonts w:ascii="Arial" w:cs="Arial" w:eastAsia="Arial" w:hAnsi="Arial"/>
          <w:sz w:val="17"/>
          <w:szCs w:val="17"/>
          <w:color w:val="auto"/>
        </w:rPr>
        <w:t>Our customers for some of our products may see the average selling price of competitive products decrease year-over-year and we expect this trend to continue. When such pricing declines occur, we may not be able to mitigate the effects by selling more or higher margin units, or by reducing our manufacturing costs. In such circumstances, our operating results could be materially and adversely affected. Our stand-alone and embedded MRAM products have experienced declining average selling prices over their life cycle. The rate of decline may be affected by a number of factors, including relative supply and demand, the level of competition, production costs and technological changes. As a result of the decreasing average selling prices of our products following their launch, our ability to increase or maintain our margins depends on our ability to introduce new or enhanced products with higher average selling prices and to reduce our per-unit cost of sales and our operating costs. We may not be able to reduce our costs as rapidly as companies that operate their own manufacturing, assembly and testing facilities, and our costs may even increase because we rely in part on third parties to manufacture, assemble and test our products, which could also reduce our gross margins. In addition, our new or enhanced products may not be as successful or enjoy as high margins as we expect. If we are unable to offset any reductions in average selling prices by introducing new products with higher average selling prices or reducing our costs, our revenue and margins will be negatively affected and may decrease.</w:t>
      </w:r>
    </w:p>
    <w:p>
      <w:pPr>
        <w:spacing w:after="0" w:line="184" w:lineRule="exact"/>
        <w:rPr>
          <w:sz w:val="20"/>
          <w:szCs w:val="20"/>
          <w:color w:val="auto"/>
        </w:rPr>
      </w:pPr>
    </w:p>
    <w:p>
      <w:pPr>
        <w:ind w:left="40" w:right="119" w:firstLine="324"/>
        <w:spacing w:after="0" w:line="255" w:lineRule="auto"/>
        <w:rPr>
          <w:sz w:val="20"/>
          <w:szCs w:val="20"/>
          <w:color w:val="auto"/>
        </w:rPr>
      </w:pPr>
      <w:r>
        <w:rPr>
          <w:rFonts w:ascii="Arial" w:cs="Arial" w:eastAsia="Arial" w:hAnsi="Arial"/>
          <w:sz w:val="18"/>
          <w:szCs w:val="18"/>
          <w:color w:val="auto"/>
        </w:rPr>
        <w:t>The semiconductor memory market is highly cyclical and has experienced severe downturns in the past, generally as a result of wide fluctuations in supply and demand, constant and rapid technological change, continuous new product introductions and price erosion. During downturns, periods of intense competition, or the presence of oversupply in the industry, the selling prices for our products may decline at a high rate over relatively short time periods as compared to historical rates of decline. We are unable to predict selling prices for any future periods and may experience unanticipated, sharp declines in selling prices for our products.</w:t>
      </w:r>
    </w:p>
    <w:p>
      <w:pPr>
        <w:spacing w:after="0" w:line="192" w:lineRule="exact"/>
        <w:rPr>
          <w:sz w:val="20"/>
          <w:szCs w:val="20"/>
          <w:color w:val="auto"/>
        </w:rPr>
      </w:pPr>
    </w:p>
    <w:p>
      <w:pPr>
        <w:ind w:left="40" w:right="499"/>
        <w:spacing w:after="0" w:line="277" w:lineRule="auto"/>
        <w:rPr>
          <w:sz w:val="20"/>
          <w:szCs w:val="20"/>
          <w:color w:val="auto"/>
        </w:rPr>
      </w:pPr>
      <w:r>
        <w:rPr>
          <w:rFonts w:ascii="Arial" w:cs="Arial" w:eastAsia="Arial" w:hAnsi="Arial"/>
          <w:sz w:val="18"/>
          <w:szCs w:val="18"/>
          <w:b w:val="1"/>
          <w:bCs w:val="1"/>
          <w:i w:val="1"/>
          <w:iCs w:val="1"/>
          <w:color w:val="auto"/>
        </w:rPr>
        <w:t>Unfavorable economic and market conditions, domestically and internationally, may adversely affect our business, financial condition, results of operations and cash flows.</w:t>
      </w:r>
    </w:p>
    <w:p>
      <w:pPr>
        <w:spacing w:after="0" w:line="170" w:lineRule="exact"/>
        <w:rPr>
          <w:sz w:val="20"/>
          <w:szCs w:val="20"/>
          <w:color w:val="auto"/>
        </w:rPr>
      </w:pPr>
    </w:p>
    <w:p>
      <w:pPr>
        <w:ind w:left="40" w:right="119" w:firstLine="324"/>
        <w:spacing w:after="0" w:line="273" w:lineRule="auto"/>
        <w:rPr>
          <w:sz w:val="20"/>
          <w:szCs w:val="20"/>
          <w:color w:val="auto"/>
        </w:rPr>
      </w:pPr>
      <w:r>
        <w:rPr>
          <w:rFonts w:ascii="Arial" w:cs="Arial" w:eastAsia="Arial" w:hAnsi="Arial"/>
          <w:sz w:val="17"/>
          <w:szCs w:val="17"/>
          <w:color w:val="auto"/>
        </w:rPr>
        <w:t>We have significant customer sales both in the U.S. and internationally. We also rely on domestic and international suppliers, manufacturing partners and distributors. We are therefore susceptible to adverse U.S. and international economic and market conditions. If any of our manufacturing partners, customers, distributors or suppliers experience slowdowns in their business, serious financial difficulties or cease operations, our business will be adversely affected. In addition, the adverse impact of an unfavorable economy may adversely impact consumer spending, which may adversely impact our customers’ spending and demand for our products.</w:t>
      </w:r>
    </w:p>
    <w:p>
      <w:pPr>
        <w:spacing w:after="0" w:line="178" w:lineRule="exact"/>
        <w:rPr>
          <w:sz w:val="20"/>
          <w:szCs w:val="20"/>
          <w:color w:val="auto"/>
        </w:rPr>
      </w:pPr>
    </w:p>
    <w:p>
      <w:pPr>
        <w:ind w:left="40" w:right="99"/>
        <w:spacing w:after="0" w:line="263" w:lineRule="auto"/>
        <w:rPr>
          <w:sz w:val="20"/>
          <w:szCs w:val="20"/>
          <w:color w:val="auto"/>
        </w:rPr>
      </w:pPr>
      <w:r>
        <w:rPr>
          <w:rFonts w:ascii="Arial" w:cs="Arial" w:eastAsia="Arial" w:hAnsi="Arial"/>
          <w:sz w:val="18"/>
          <w:szCs w:val="18"/>
          <w:b w:val="1"/>
          <w:bCs w:val="1"/>
          <w:i w:val="1"/>
          <w:iCs w:val="1"/>
          <w:color w:val="auto"/>
        </w:rPr>
        <w:t>We must continuously develop new and enhanced products, and if we are unable to successfully market our new and enhanced products for which we incur significant expenses to develop, our results of operations and financial condition will be materially adversely affected.</w:t>
      </w:r>
    </w:p>
    <w:p>
      <w:pPr>
        <w:spacing w:after="0" w:line="184" w:lineRule="exact"/>
        <w:rPr>
          <w:sz w:val="20"/>
          <w:szCs w:val="20"/>
          <w:color w:val="auto"/>
        </w:rPr>
      </w:pPr>
    </w:p>
    <w:p>
      <w:pPr>
        <w:ind w:left="40" w:right="59" w:firstLine="324"/>
        <w:spacing w:after="0" w:line="286" w:lineRule="auto"/>
        <w:rPr>
          <w:sz w:val="20"/>
          <w:szCs w:val="20"/>
          <w:color w:val="auto"/>
        </w:rPr>
      </w:pPr>
      <w:r>
        <w:rPr>
          <w:rFonts w:ascii="Arial" w:cs="Arial" w:eastAsia="Arial" w:hAnsi="Arial"/>
          <w:sz w:val="16"/>
          <w:szCs w:val="16"/>
          <w:color w:val="auto"/>
        </w:rPr>
        <w:t>To compete effectively in our markets, we must continually design, develop and introduce new and improved technology and products with improved features in a cost-effective manner in response to changing technologies and market demand. This requires us to devote substantial financial and other resources to research and development. We are developing new technology and products, which we expect to be one of the drivers of our revenue growth in the future. We also face the risk that customers may not value or be willing to bear the cost of incorporating our new and enhanced products into their products, particularly if they believe their customers are satisfied with current solutions. Regardless of the improved features or superior performance of our new and enhanced products, customers may be unwilling to adopt our solutions due to design or pricing constraints, or because they do not want to rely on a single or limited supply source. Because of the extensive time and resources that we invest in developing new and enhanced products, if we are unable to sell customers our new products, our revenue could decline and our business, financial condition, results of operations and cash flows would be negatively affected. While we expect revenue from our STT-MRAM products to increase, if we are unable to generate more customer adoption of our 1Gb product and address new growth opportunities with subsequent STT-MRAM products, we may not be able to materially increase our revenue. If we are unable to</w:t>
      </w:r>
    </w:p>
    <w:p>
      <w:pPr>
        <w:sectPr>
          <w:pgSz w:w="11900" w:h="16838" w:orient="portrait"/>
          <w:cols w:equalWidth="0" w:num="1">
            <w:col w:w="9019"/>
          </w:cols>
          <w:pgMar w:left="1440" w:top="517" w:right="1440" w:bottom="1440" w:gutter="0" w:footer="0" w:header="0"/>
        </w:sectPr>
      </w:pP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1" w:name="page32"/>
    <w:bookmarkEnd w:id="3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right="319"/>
        <w:spacing w:after="0" w:line="308" w:lineRule="auto"/>
        <w:rPr>
          <w:sz w:val="20"/>
          <w:szCs w:val="20"/>
          <w:color w:val="auto"/>
        </w:rPr>
      </w:pPr>
      <w:r>
        <w:rPr>
          <w:rFonts w:ascii="Arial" w:cs="Arial" w:eastAsia="Arial" w:hAnsi="Arial"/>
          <w:sz w:val="17"/>
          <w:szCs w:val="17"/>
          <w:color w:val="auto"/>
        </w:rPr>
        <w:t>successfully develop and market our new and enhanced products that we have incurred significant expenses developing, our results of operations and financial condition will be materially and adversely affected.</w:t>
      </w:r>
    </w:p>
    <w:p>
      <w:pPr>
        <w:spacing w:after="0" w:line="146" w:lineRule="exact"/>
        <w:rPr>
          <w:sz w:val="20"/>
          <w:szCs w:val="20"/>
          <w:color w:val="auto"/>
        </w:rPr>
      </w:pPr>
    </w:p>
    <w:p>
      <w:pPr>
        <w:ind w:left="40" w:right="879"/>
        <w:spacing w:after="0" w:line="340" w:lineRule="auto"/>
        <w:rPr>
          <w:sz w:val="20"/>
          <w:szCs w:val="20"/>
          <w:color w:val="auto"/>
        </w:rPr>
      </w:pPr>
      <w:r>
        <w:rPr>
          <w:rFonts w:ascii="Arial" w:cs="Arial" w:eastAsia="Arial" w:hAnsi="Arial"/>
          <w:sz w:val="15"/>
          <w:szCs w:val="15"/>
          <w:b w:val="1"/>
          <w:bCs w:val="1"/>
          <w:i w:val="1"/>
          <w:iCs w:val="1"/>
          <w:color w:val="auto"/>
        </w:rPr>
        <w:t>Our success and future revenue depend on our ability to secure design wins and on our customers’ ability to successfully sell the products that incorporate our solutions. Securing design wins is a lengthy, expensive and competitive process, and may not result in actual orders and sales, which could cause our revenue to decline.</w:t>
      </w:r>
    </w:p>
    <w:p>
      <w:pPr>
        <w:spacing w:after="0" w:line="131" w:lineRule="exact"/>
        <w:rPr>
          <w:sz w:val="20"/>
          <w:szCs w:val="20"/>
          <w:color w:val="auto"/>
        </w:rPr>
      </w:pPr>
    </w:p>
    <w:p>
      <w:pPr>
        <w:ind w:left="40" w:right="79" w:firstLine="324"/>
        <w:spacing w:after="0" w:line="287" w:lineRule="auto"/>
        <w:rPr>
          <w:sz w:val="20"/>
          <w:szCs w:val="20"/>
          <w:color w:val="auto"/>
        </w:rPr>
      </w:pPr>
      <w:r>
        <w:rPr>
          <w:rFonts w:ascii="Arial" w:cs="Arial" w:eastAsia="Arial" w:hAnsi="Arial"/>
          <w:sz w:val="16"/>
          <w:szCs w:val="16"/>
          <w:color w:val="auto"/>
        </w:rPr>
        <w:t>We sell to customers, including original equipment manufacturers (OEMs) and original design manufacturers (ODMs), that incorporate MRAM into their products. A design win occurs after a customer has tested our product, verified that it meets the customer’s requirements and qualified our solutions for their products. We believe we are dependent on the adoption of our 256Mb and 1Gb MRAM products by our customers to secure design wins. Our customers may need several months to years to test, evaluate and adopt our product and additional time to begin volume production of the product that incorporates our solution. Due to this generally lengthy design cycle, we may experience significant delays from the time we increase our operating expenses and make investments in our products to the time that we generate revenue from sales of these products. Moreover, even if a customer selects our solution, we cannot guarantee that this will result in any sales of our products, as the customer may ultimately change or cancel its product plans, or efforts by our customer to market and sell its product may not be successful. We may not generate any revenue from design wins after incurring the associated costs, which would cause our business and operating results to suffer.</w:t>
      </w:r>
    </w:p>
    <w:p>
      <w:pPr>
        <w:spacing w:after="0" w:line="172" w:lineRule="exact"/>
        <w:rPr>
          <w:sz w:val="20"/>
          <w:szCs w:val="20"/>
          <w:color w:val="auto"/>
        </w:rPr>
      </w:pPr>
    </w:p>
    <w:p>
      <w:pPr>
        <w:ind w:left="40" w:right="179" w:firstLine="324"/>
        <w:spacing w:after="0" w:line="291" w:lineRule="auto"/>
        <w:rPr>
          <w:sz w:val="20"/>
          <w:szCs w:val="20"/>
          <w:color w:val="auto"/>
        </w:rPr>
      </w:pPr>
      <w:r>
        <w:rPr>
          <w:rFonts w:ascii="Arial" w:cs="Arial" w:eastAsia="Arial" w:hAnsi="Arial"/>
          <w:sz w:val="16"/>
          <w:szCs w:val="16"/>
          <w:color w:val="auto"/>
        </w:rPr>
        <w:t>If a current or prospective customer designs a competitor’s solution into its product, it becomes significantly more difficult for us to sell our solutions to that customer because changing suppliers involves significant time, cost, effort and risk for the customer even if our solutions are superior to other solutions and remain compatible with their product design. Our ability to compete successfully depends on customers viewing us as a stable and reliable supplier to mission critical customer applications when we have less production capacity and less financial resources compared to most of our larger competitors. If current or prospective customers do not include our solutions in their products and we fail to achieve a sufficient number of design wins, our results of operations and business may be harmed.</w:t>
      </w:r>
    </w:p>
    <w:p>
      <w:pPr>
        <w:spacing w:after="0" w:line="382" w:lineRule="exact"/>
        <w:rPr>
          <w:sz w:val="20"/>
          <w:szCs w:val="20"/>
          <w:color w:val="auto"/>
        </w:rPr>
      </w:pPr>
    </w:p>
    <w:p>
      <w:pPr>
        <w:ind w:left="40" w:right="99"/>
        <w:spacing w:after="0" w:line="277" w:lineRule="auto"/>
        <w:rPr>
          <w:sz w:val="20"/>
          <w:szCs w:val="20"/>
          <w:color w:val="auto"/>
        </w:rPr>
      </w:pPr>
      <w:r>
        <w:rPr>
          <w:rFonts w:ascii="Arial" w:cs="Arial" w:eastAsia="Arial" w:hAnsi="Arial"/>
          <w:sz w:val="18"/>
          <w:szCs w:val="18"/>
          <w:b w:val="1"/>
          <w:bCs w:val="1"/>
          <w:i w:val="1"/>
          <w:iCs w:val="1"/>
          <w:color w:val="auto"/>
        </w:rPr>
        <w:t>The loss of one or several of our customers or reduced orders or pricing from existing customers may have a significant adverse effect on our operations and financial results.</w:t>
      </w:r>
    </w:p>
    <w:p>
      <w:pPr>
        <w:spacing w:after="0" w:line="170" w:lineRule="exact"/>
        <w:rPr>
          <w:sz w:val="20"/>
          <w:szCs w:val="20"/>
          <w:color w:val="auto"/>
        </w:rPr>
      </w:pPr>
    </w:p>
    <w:p>
      <w:pPr>
        <w:ind w:left="40" w:right="179" w:firstLine="324"/>
        <w:spacing w:after="0" w:line="289" w:lineRule="auto"/>
        <w:rPr>
          <w:sz w:val="20"/>
          <w:szCs w:val="20"/>
          <w:color w:val="auto"/>
        </w:rPr>
      </w:pPr>
      <w:r>
        <w:rPr>
          <w:rFonts w:ascii="Arial" w:cs="Arial" w:eastAsia="Arial" w:hAnsi="Arial"/>
          <w:sz w:val="16"/>
          <w:szCs w:val="16"/>
          <w:color w:val="auto"/>
        </w:rPr>
        <w:t>We have derived and expect to continue to derive a significant portion of our revenues from a small group of customers during any particular period due in part to the concentration of market share in the semiconductor industry. Our four largest end customers together accounted for 56.4% of our total revenue for the six months ended June 30, 2020, and none of these customers accounted for more than 10% of our revenue during that period. Our four largest end customers together accounted for 22% of our total revenue for the year ended December 31, 2019, and two of these customers individually accounted for more than 10% of our total revenue during the period. The loss of a significant customer, a business combination among our customers, a reduction in orders or decrease in price from a significant customer or disruption in any of our commercial or distributor arrangements may result in a significant decline in our revenues and could have a material adverse effect on our business, liquidity, results of operations, financial condition and cash flows.</w:t>
      </w:r>
    </w:p>
    <w:p>
      <w:pPr>
        <w:spacing w:after="0" w:line="166" w:lineRule="exact"/>
        <w:rPr>
          <w:sz w:val="20"/>
          <w:szCs w:val="20"/>
          <w:color w:val="auto"/>
        </w:rPr>
      </w:pPr>
    </w:p>
    <w:p>
      <w:pPr>
        <w:ind w:left="40" w:right="539"/>
        <w:spacing w:after="0" w:line="277" w:lineRule="auto"/>
        <w:rPr>
          <w:sz w:val="20"/>
          <w:szCs w:val="20"/>
          <w:color w:val="auto"/>
        </w:rPr>
      </w:pPr>
      <w:r>
        <w:rPr>
          <w:rFonts w:ascii="Arial" w:cs="Arial" w:eastAsia="Arial" w:hAnsi="Arial"/>
          <w:sz w:val="18"/>
          <w:szCs w:val="18"/>
          <w:b w:val="1"/>
          <w:bCs w:val="1"/>
          <w:i w:val="1"/>
          <w:iCs w:val="1"/>
          <w:color w:val="auto"/>
        </w:rPr>
        <w:t>We face competition and expect competition to increase in the future. If we fail to compete effectively, our revenue growth and results of operations will be materially and adversely affected.</w:t>
      </w:r>
    </w:p>
    <w:p>
      <w:pPr>
        <w:spacing w:after="0" w:line="170" w:lineRule="exact"/>
        <w:rPr>
          <w:sz w:val="20"/>
          <w:szCs w:val="20"/>
          <w:color w:val="auto"/>
        </w:rPr>
      </w:pPr>
    </w:p>
    <w:p>
      <w:pPr>
        <w:ind w:left="40" w:right="59" w:firstLine="324"/>
        <w:spacing w:after="0" w:line="269" w:lineRule="auto"/>
        <w:rPr>
          <w:sz w:val="20"/>
          <w:szCs w:val="20"/>
          <w:color w:val="auto"/>
        </w:rPr>
      </w:pPr>
      <w:r>
        <w:rPr>
          <w:rFonts w:ascii="Arial" w:cs="Arial" w:eastAsia="Arial" w:hAnsi="Arial"/>
          <w:sz w:val="17"/>
          <w:szCs w:val="17"/>
          <w:color w:val="auto"/>
        </w:rPr>
        <w:t>The global semiconductor market in general, and the semiconductor memory market in particular, are highly competitive. We expect competition to increase and intensify as other semiconductor companies enter our markets, many of which have greater financial and other resources with which to pursue technology development, product design, manufacturing, marketing and sales and distribution of their products. Increased competition could result in price pressure, reduced profitability and loss of market share, any of which could materially and adversely affect our business, revenue and operating results. Currently, our competitors range from large, international companies offering a wide range of traditional memory technologies to companies specializing in other alternative, specialized emerging memory technologies. Our primary memory competitors include Fujitsu, Infineon, Integrated Silicon Solution, Intel, Macronix, Microchip, Micron, Renesas, Samsung, and Toshiba. In addition, as the MRAM market opportunity grows, we expect new entrants may enter this market and existing competitors, including leading semiconductor companies, may make significant investments to compete more effectively against our products. These competitors could develop technologies or architectures that make our products or technologies obsolete.</w:t>
      </w:r>
    </w:p>
    <w:p>
      <w:pPr>
        <w:sectPr>
          <w:pgSz w:w="11900" w:h="16838" w:orient="portrait"/>
          <w:cols w:equalWidth="0" w:num="1">
            <w:col w:w="9019"/>
          </w:cols>
          <w:pgMar w:left="1440" w:top="517" w:right="1440" w:bottom="1440" w:gutter="0" w:footer="0" w:header="0"/>
        </w:sectPr>
      </w:pP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2" w:name="page33"/>
    <w:bookmarkEnd w:id="3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ability to compete successfully depends on factors both within and outside of our control, including:</w:t>
      </w:r>
    </w:p>
    <w:p>
      <w:pPr>
        <w:spacing w:after="0" w:line="225" w:lineRule="exact"/>
        <w:rPr>
          <w:sz w:val="20"/>
          <w:szCs w:val="20"/>
          <w:color w:val="auto"/>
        </w:rPr>
      </w:pPr>
    </w:p>
    <w:p>
      <w:pPr>
        <w:ind w:left="660" w:hanging="29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functionality and performance of our products and those of our competitors;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relationships with our customers and other industry participants;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prices of our products and prices of our competitors’ products;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develop innovative products;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competitors’ greater resources to make acquisitions;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obtain adequate capital to finance operations;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retain high-level talent, including our management team and engineers; and</w:t>
      </w:r>
    </w:p>
    <w:p>
      <w:pPr>
        <w:spacing w:after="0" w:line="225" w:lineRule="exact"/>
        <w:rPr>
          <w:rFonts w:ascii="Arial" w:cs="Arial" w:eastAsia="Arial" w:hAnsi="Arial"/>
          <w:sz w:val="18"/>
          <w:szCs w:val="18"/>
          <w:color w:val="auto"/>
        </w:rPr>
      </w:pPr>
    </w:p>
    <w:p>
      <w:pPr>
        <w:ind w:left="620" w:right="539" w:hanging="252"/>
        <w:spacing w:after="0" w:line="277" w:lineRule="auto"/>
        <w:tabs>
          <w:tab w:leader="none" w:pos="649"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actions of our competitors, including merger and acquisition activity, launches of new products and other actions that could change the competitive landscape.</w:t>
      </w:r>
    </w:p>
    <w:p>
      <w:pPr>
        <w:spacing w:after="0" w:line="170" w:lineRule="exact"/>
        <w:rPr>
          <w:sz w:val="20"/>
          <w:szCs w:val="20"/>
          <w:color w:val="auto"/>
        </w:rPr>
      </w:pPr>
    </w:p>
    <w:p>
      <w:pPr>
        <w:ind w:left="40" w:right="79" w:firstLine="324"/>
        <w:spacing w:after="0" w:line="255" w:lineRule="auto"/>
        <w:rPr>
          <w:sz w:val="20"/>
          <w:szCs w:val="20"/>
          <w:color w:val="auto"/>
        </w:rPr>
      </w:pPr>
      <w:r>
        <w:rPr>
          <w:rFonts w:ascii="Arial" w:cs="Arial" w:eastAsia="Arial" w:hAnsi="Arial"/>
          <w:sz w:val="18"/>
          <w:szCs w:val="18"/>
          <w:color w:val="auto"/>
        </w:rPr>
        <w:t>Competition could result in pricing pressure, reduced revenue and loss of market share, any of which could materially and adversely affect our business, results of operations and prospects. In the event of a market downturn, competition in the markets in which we operate may intensify as our customers reduce their purchase orders. Our competitors that are significantly larger and have greater financial, technical, marketing, distribution, customer support and other resources or more established market recognition than us may be better positioned to accept lower prices and withstand adverse economic or market conditions.</w:t>
      </w:r>
    </w:p>
    <w:p>
      <w:pPr>
        <w:spacing w:after="0" w:line="192" w:lineRule="exact"/>
        <w:rPr>
          <w:sz w:val="20"/>
          <w:szCs w:val="20"/>
          <w:color w:val="auto"/>
        </w:rPr>
      </w:pPr>
    </w:p>
    <w:p>
      <w:pPr>
        <w:ind w:left="40" w:right="459"/>
        <w:spacing w:after="0" w:line="277" w:lineRule="auto"/>
        <w:rPr>
          <w:sz w:val="20"/>
          <w:szCs w:val="20"/>
          <w:color w:val="auto"/>
        </w:rPr>
      </w:pPr>
      <w:r>
        <w:rPr>
          <w:rFonts w:ascii="Arial" w:cs="Arial" w:eastAsia="Arial" w:hAnsi="Arial"/>
          <w:sz w:val="18"/>
          <w:szCs w:val="18"/>
          <w:b w:val="1"/>
          <w:bCs w:val="1"/>
          <w:i w:val="1"/>
          <w:iCs w:val="1"/>
          <w:color w:val="auto"/>
        </w:rPr>
        <w:t>Our costs may increase substantially if we or our third-party manufacturing contractors do not achieve satisfactory product yields or quality.</w:t>
      </w:r>
    </w:p>
    <w:p>
      <w:pPr>
        <w:spacing w:after="0" w:line="170" w:lineRule="exact"/>
        <w:rPr>
          <w:sz w:val="20"/>
          <w:szCs w:val="20"/>
          <w:color w:val="auto"/>
        </w:rPr>
      </w:pPr>
    </w:p>
    <w:p>
      <w:pPr>
        <w:ind w:left="40" w:right="139" w:firstLine="324"/>
        <w:spacing w:after="0" w:line="255" w:lineRule="auto"/>
        <w:rPr>
          <w:sz w:val="20"/>
          <w:szCs w:val="20"/>
          <w:color w:val="auto"/>
        </w:rPr>
      </w:pPr>
      <w:r>
        <w:rPr>
          <w:rFonts w:ascii="Arial" w:cs="Arial" w:eastAsia="Arial" w:hAnsi="Arial"/>
          <w:sz w:val="18"/>
          <w:szCs w:val="18"/>
          <w:color w:val="auto"/>
        </w:rPr>
        <w:t>The fabrication process is extremely complicated and small changes in design, specifications or materials can result in material decreases in product yields or even the suspension of production. From time to time, we and/or the third-party foundries that we contract to manufacture our products may experience manufacturing defects and reduced manufacturing yields. In some cases, we and/or our third-party foundries may not be able to detect these defects early in the fabrication process or determine the cause of such defects in a timely manner. There may be a higher risk of product yield issues in newer STT-MRAM products.</w:t>
      </w:r>
    </w:p>
    <w:p>
      <w:pPr>
        <w:spacing w:after="0" w:line="192" w:lineRule="exact"/>
        <w:rPr>
          <w:sz w:val="20"/>
          <w:szCs w:val="20"/>
          <w:color w:val="auto"/>
        </w:rPr>
      </w:pPr>
    </w:p>
    <w:p>
      <w:pPr>
        <w:ind w:left="40" w:right="159" w:firstLine="324"/>
        <w:spacing w:after="0" w:line="269" w:lineRule="auto"/>
        <w:rPr>
          <w:sz w:val="20"/>
          <w:szCs w:val="20"/>
          <w:color w:val="auto"/>
        </w:rPr>
      </w:pPr>
      <w:r>
        <w:rPr>
          <w:rFonts w:ascii="Arial" w:cs="Arial" w:eastAsia="Arial" w:hAnsi="Arial"/>
          <w:sz w:val="17"/>
          <w:szCs w:val="17"/>
          <w:color w:val="auto"/>
        </w:rPr>
        <w:t>Generally, in pricing our products, we assume that manufacturing yields will continue to improve, even as the complexity of our products increases. Once our products are initially qualified either internally or with our third-party foundries, minimum acceptable yields are established. We are responsible for the costs of the units if the actual yield is above the minimum set with our third-party foundries. If actual yields are below the minimum we are not required to purchase the units. Typically, minimum acceptable yields for our new products are generally lower at first and gradually improve as we achieve full production, but yield issues can occur even in mature processes due to break downs in mechanical systems, equipment failures or calibration errors. Unacceptably low product yields or other product manufacturing problems could substantially increase overall production time and costs and adversely impact our operating results. Product yield losses will increase our costs and reduce our gross margin. In addition to significantly harming our results of operations and cash flow, poor yields may delay shipment of our products and harm our relationships with existing and potential customers.</w:t>
      </w:r>
    </w:p>
    <w:p>
      <w:pPr>
        <w:spacing w:after="0" w:line="182" w:lineRule="exact"/>
        <w:rPr>
          <w:sz w:val="20"/>
          <w:szCs w:val="20"/>
          <w:color w:val="auto"/>
        </w:rPr>
      </w:pPr>
    </w:p>
    <w:p>
      <w:pPr>
        <w:ind w:left="40" w:right="259"/>
        <w:spacing w:after="0" w:line="277" w:lineRule="auto"/>
        <w:rPr>
          <w:sz w:val="20"/>
          <w:szCs w:val="20"/>
          <w:color w:val="auto"/>
        </w:rPr>
      </w:pPr>
      <w:r>
        <w:rPr>
          <w:rFonts w:ascii="Arial" w:cs="Arial" w:eastAsia="Arial" w:hAnsi="Arial"/>
          <w:sz w:val="18"/>
          <w:szCs w:val="18"/>
          <w:b w:val="1"/>
          <w:bCs w:val="1"/>
          <w:i w:val="1"/>
          <w:iCs w:val="1"/>
          <w:color w:val="auto"/>
        </w:rPr>
        <w:t>The complexity of our products may lead to defects, which could negatively impact our reputation with customers and result in liability.</w:t>
      </w:r>
    </w:p>
    <w:p>
      <w:pPr>
        <w:spacing w:after="0" w:line="170" w:lineRule="exact"/>
        <w:rPr>
          <w:sz w:val="20"/>
          <w:szCs w:val="20"/>
          <w:color w:val="auto"/>
        </w:rPr>
      </w:pPr>
    </w:p>
    <w:p>
      <w:pPr>
        <w:jc w:val="both"/>
        <w:ind w:left="40" w:right="239" w:firstLine="324"/>
        <w:spacing w:after="0" w:line="296" w:lineRule="auto"/>
        <w:rPr>
          <w:sz w:val="20"/>
          <w:szCs w:val="20"/>
          <w:color w:val="auto"/>
        </w:rPr>
      </w:pPr>
      <w:r>
        <w:rPr>
          <w:rFonts w:ascii="Arial" w:cs="Arial" w:eastAsia="Arial" w:hAnsi="Arial"/>
          <w:sz w:val="16"/>
          <w:szCs w:val="16"/>
          <w:color w:val="auto"/>
        </w:rPr>
        <w:t>Products as complex as ours may contain defects when first introduced to customers or as new versions are released. Delivery of products with production defects or reliability, quality or compatibility problems could significantly delay or hinder market acceptance of the products or result in a costly recall and could damage our reputation and adversely affect our ability to retain existing customers and attract new customers. Defects could cause problems with the functionality of our products, resulting in interruptions, delays or cessation of sales of these products to our customers. We may also be</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3" w:name="page34"/>
    <w:bookmarkEnd w:id="3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ind w:left="40" w:right="699"/>
        <w:spacing w:after="0" w:line="311" w:lineRule="auto"/>
        <w:rPr>
          <w:sz w:val="20"/>
          <w:szCs w:val="20"/>
          <w:color w:val="auto"/>
        </w:rPr>
      </w:pPr>
      <w:r>
        <w:rPr>
          <w:rFonts w:ascii="Arial" w:cs="Arial" w:eastAsia="Arial" w:hAnsi="Arial"/>
          <w:sz w:val="16"/>
          <w:szCs w:val="16"/>
          <w:color w:val="auto"/>
        </w:rPr>
        <w:t>required to make significant expenditures of capital and resources to resolve such problems. We cannot assure our stockholders that problems will not be found in new products, both before and after commencement of commercial production, despite testing by us, our suppliers or our customers. Any such problems could result in:</w:t>
      </w:r>
    </w:p>
    <w:p>
      <w:pPr>
        <w:spacing w:after="0" w:line="149" w:lineRule="exact"/>
        <w:rPr>
          <w:sz w:val="20"/>
          <w:szCs w:val="20"/>
          <w:color w:val="auto"/>
        </w:rPr>
      </w:pPr>
    </w:p>
    <w:p>
      <w:pPr>
        <w:ind w:left="660" w:hanging="29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delays in development, manufacture and roll-out of new products;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additional development costs;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loss of, or delays in, market acceptance;</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diversion of technical and other resources from our other development efforts;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claims for damages by our customers or others against us; and</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loss of credibility with our current and prospective customers.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7"/>
          <w:szCs w:val="17"/>
          <w:color w:val="auto"/>
        </w:rPr>
        <w:t>Any such event could have a material adverse effect on our business, financial condition and results of operations.</w:t>
      </w:r>
    </w:p>
    <w:p>
      <w:pPr>
        <w:spacing w:after="0" w:line="237" w:lineRule="exact"/>
        <w:rPr>
          <w:sz w:val="20"/>
          <w:szCs w:val="20"/>
          <w:color w:val="auto"/>
        </w:rPr>
      </w:pPr>
    </w:p>
    <w:p>
      <w:pPr>
        <w:ind w:left="40" w:right="399"/>
        <w:spacing w:after="0" w:line="263" w:lineRule="auto"/>
        <w:rPr>
          <w:sz w:val="20"/>
          <w:szCs w:val="20"/>
          <w:color w:val="auto"/>
        </w:rPr>
      </w:pPr>
      <w:r>
        <w:rPr>
          <w:rFonts w:ascii="Arial" w:cs="Arial" w:eastAsia="Arial" w:hAnsi="Arial"/>
          <w:sz w:val="18"/>
          <w:szCs w:val="18"/>
          <w:b w:val="1"/>
          <w:bCs w:val="1"/>
          <w:i w:val="1"/>
          <w:iCs w:val="1"/>
          <w:color w:val="auto"/>
        </w:rPr>
        <w:t>We may experience difficulties in transitioning to new wafer fabrication process technologies or in achieving higher levels of design integration, which may result in reduced manufacturing yields, delays in product deliveries and increased expenses.</w:t>
      </w:r>
    </w:p>
    <w:p>
      <w:pPr>
        <w:spacing w:after="0" w:line="184" w:lineRule="exact"/>
        <w:rPr>
          <w:sz w:val="20"/>
          <w:szCs w:val="20"/>
          <w:color w:val="auto"/>
        </w:rPr>
      </w:pPr>
    </w:p>
    <w:p>
      <w:pPr>
        <w:ind w:left="40" w:right="59" w:firstLine="324"/>
        <w:spacing w:after="0" w:line="287" w:lineRule="auto"/>
        <w:rPr>
          <w:sz w:val="20"/>
          <w:szCs w:val="20"/>
          <w:color w:val="auto"/>
        </w:rPr>
      </w:pPr>
      <w:r>
        <w:rPr>
          <w:rFonts w:ascii="Arial" w:cs="Arial" w:eastAsia="Arial" w:hAnsi="Arial"/>
          <w:sz w:val="16"/>
          <w:szCs w:val="16"/>
          <w:color w:val="auto"/>
        </w:rPr>
        <w:t>We aim to use the most advanced manufacturing process technology appropriate for our solutions that is available from our third-party foundries. As a result, we periodically evaluate the benefits of migrating our solutions to other technologies to improve performance and reduce costs. These ongoing efforts require us from time to time to modify the manufacturing processes for our products and to redesign some products, which in turn may result in delays in product deliveries. We may face difficulties, delays and increased expense as we transition our products to new processes, and potentially to new foundries. We will depend on our third-party foundries as we transition to new processes. We cannot assure our stockholders that our third-party foundries will be able to effectively manage such transitions or that we will be able to maintain our relationship with our third-party foundries or develop relationships with new third-party foundries. If we or any of our third-party foundries experience significant delays in transitioning to new processes or fail to efficiently implement transitions, we could experience reduced manufacturing yields, delays in product deliveries and increased expenses, any of which could harm our relationships with our customers and our operating results.</w:t>
      </w:r>
    </w:p>
    <w:p>
      <w:pPr>
        <w:spacing w:after="0" w:line="172" w:lineRule="exact"/>
        <w:rPr>
          <w:sz w:val="20"/>
          <w:szCs w:val="20"/>
          <w:color w:val="auto"/>
        </w:rPr>
      </w:pPr>
    </w:p>
    <w:p>
      <w:pPr>
        <w:ind w:left="40" w:right="199" w:firstLine="324"/>
        <w:spacing w:after="0" w:line="269" w:lineRule="auto"/>
        <w:rPr>
          <w:sz w:val="20"/>
          <w:szCs w:val="20"/>
          <w:color w:val="auto"/>
        </w:rPr>
      </w:pPr>
      <w:r>
        <w:rPr>
          <w:rFonts w:ascii="Arial" w:cs="Arial" w:eastAsia="Arial" w:hAnsi="Arial"/>
          <w:sz w:val="17"/>
          <w:szCs w:val="17"/>
          <w:color w:val="auto"/>
        </w:rPr>
        <w:t>As smaller line width geometry manufacturing processes become more prevalent, we intend to move our future products to increasingly smaller geometries to integrate greater levels of memory capacity and/or functionality into our products. This transition will require us and our third-party foundries to migrate to new designs and manufacturing processes for smaller geometry products. We may not be able to achieve smaller geometries with higher levels of design integration or to deliver new integrated products on a timely basis. We periodically evaluate the benefits, on a product-by-product basis, of migrating to smaller geometry process technologies to increase product value. We are dependent on our relationships with our third-party foundries to transition to smaller geometry processes successfully. We cannot assure our stockholders that our third-party foundries will be able to effectively manage any such transition. If we or our third-party foundries experience significant delays in any such transition or fail to implement a transition, our business, financial condition and results of operations could be materially harmed.</w:t>
      </w:r>
    </w:p>
    <w:p>
      <w:pPr>
        <w:spacing w:after="0" w:line="185" w:lineRule="exact"/>
        <w:rPr>
          <w:sz w:val="20"/>
          <w:szCs w:val="20"/>
          <w:color w:val="auto"/>
        </w:rPr>
      </w:pPr>
    </w:p>
    <w:p>
      <w:pPr>
        <w:ind w:left="40" w:right="219"/>
        <w:spacing w:after="0" w:line="277" w:lineRule="auto"/>
        <w:rPr>
          <w:sz w:val="20"/>
          <w:szCs w:val="20"/>
          <w:color w:val="auto"/>
        </w:rPr>
      </w:pPr>
      <w:r>
        <w:rPr>
          <w:rFonts w:ascii="Arial" w:cs="Arial" w:eastAsia="Arial" w:hAnsi="Arial"/>
          <w:sz w:val="18"/>
          <w:szCs w:val="18"/>
          <w:b w:val="1"/>
          <w:bCs w:val="1"/>
          <w:i w:val="1"/>
          <w:iCs w:val="1"/>
          <w:color w:val="auto"/>
        </w:rPr>
        <w:t>Changes to industry standards and technical requirements relevant to our products and markets could adversely affect our business, results of operations and prospects.</w:t>
      </w:r>
    </w:p>
    <w:p>
      <w:pPr>
        <w:spacing w:after="0" w:line="170" w:lineRule="exact"/>
        <w:rPr>
          <w:sz w:val="20"/>
          <w:szCs w:val="20"/>
          <w:color w:val="auto"/>
        </w:rPr>
      </w:pPr>
    </w:p>
    <w:p>
      <w:pPr>
        <w:ind w:left="40" w:right="59" w:firstLine="324"/>
        <w:spacing w:after="0" w:line="253" w:lineRule="auto"/>
        <w:rPr>
          <w:sz w:val="20"/>
          <w:szCs w:val="20"/>
          <w:color w:val="auto"/>
        </w:rPr>
      </w:pPr>
      <w:r>
        <w:rPr>
          <w:rFonts w:ascii="Arial" w:cs="Arial" w:eastAsia="Arial" w:hAnsi="Arial"/>
          <w:sz w:val="18"/>
          <w:szCs w:val="18"/>
          <w:color w:val="auto"/>
        </w:rPr>
        <w:t>Our products are only a part of larger electronic systems. All products incorporated into these systems must comply with various industry standards and technical requirements created by regulatory bodies or industry participants to operate efficiently together. Industry standards and technical requirements in our markets are evolving and may change significantly over time. For our products, the industry standards are developed by the Joint Electron Device Engineering Council, an industry trade organization. In addition, large industry-leading semiconductor and electronics companies play a significant role in developing standards and technical requirements for the product ecosystems within which our products can be used. Our customers also may design certain specifications and other technical requirements specific to their products and solutions. These technical requirements may change as the customer introduces new or enhanced products and solutions.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4" w:name="page35"/>
    <w:bookmarkEnd w:id="3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0" w:right="59" w:firstLine="324"/>
        <w:spacing w:after="0" w:line="270" w:lineRule="auto"/>
        <w:rPr>
          <w:sz w:val="20"/>
          <w:szCs w:val="20"/>
          <w:color w:val="auto"/>
        </w:rPr>
      </w:pPr>
      <w:r>
        <w:rPr>
          <w:rFonts w:ascii="Arial" w:cs="Arial" w:eastAsia="Arial" w:hAnsi="Arial"/>
          <w:sz w:val="17"/>
          <w:szCs w:val="17"/>
          <w:color w:val="auto"/>
        </w:rPr>
        <w:t>Our ability to compete in the future will depend on our ability to identify and comply with evolving industry standards and technical requirements. The emergence of new industry standards and technical requirements could render our products incompatible with products developed by other suppliers or make it difficult for our products to meet the requirements of certain of our customers in automotive, transportation, industrial, storage and other markets. As a result, we could be required to invest significant time and effort and to incur significant expense to redesign our products to ensure compliance with relevant standards and requirements. If our products are not in compliance with prevailing industry standards and technical requirements for a significant period of time, we could miss opportunities to achieve crucial design wins, our revenue may decline and we may incur significant expenses to redesign our products to meet the relevant standards, which could adversely affect our business, results of operations and prospects.</w:t>
      </w:r>
    </w:p>
    <w:p>
      <w:pPr>
        <w:spacing w:after="0" w:line="18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Failure to protect our intellectual property could substantially harm our business.</w:t>
      </w:r>
    </w:p>
    <w:p>
      <w:pPr>
        <w:spacing w:after="0" w:line="225" w:lineRule="exact"/>
        <w:rPr>
          <w:sz w:val="20"/>
          <w:szCs w:val="20"/>
          <w:color w:val="auto"/>
        </w:rPr>
      </w:pPr>
    </w:p>
    <w:p>
      <w:pPr>
        <w:ind w:left="40" w:right="59" w:firstLine="324"/>
        <w:spacing w:after="0" w:line="287" w:lineRule="auto"/>
        <w:rPr>
          <w:sz w:val="20"/>
          <w:szCs w:val="20"/>
          <w:color w:val="auto"/>
        </w:rPr>
      </w:pPr>
      <w:r>
        <w:rPr>
          <w:rFonts w:ascii="Arial" w:cs="Arial" w:eastAsia="Arial" w:hAnsi="Arial"/>
          <w:sz w:val="16"/>
          <w:szCs w:val="16"/>
          <w:color w:val="auto"/>
        </w:rPr>
        <w:t>Our success and ability to compete depend in part upon our ability to protect our intellectual property. We rely on a combination of intellectual property rights, including patents, mask work protection, copyrights, trademarks, trade secrets and know-how, in the United States and other jurisdictions. The steps we take to protect our intellectual property rights may not be adequate, particularly in foreign jurisdictions such as China. Any patents we hold may not adequately protect our intellectual property rights or our products against competitors, and third parties may challenge the scope, validity or enforceability of our issued patents, which third parties may have significantly more financial resources with which to litigate their claims than we have to defend against them. In addition, other parties may independently develop similar or competing technologies designed around any patents or patent applications that we hold. Some of our products and technologies are not covered by any patent or patent application, as we do not believe patent protection of these products and technologies is critical to our business strategy at this time. A failure to timely seek patent protection on products or technologies generally precludes us from seeking future patent protection on these products or technologies.</w:t>
      </w:r>
    </w:p>
    <w:p>
      <w:pPr>
        <w:spacing w:after="0" w:line="172" w:lineRule="exact"/>
        <w:rPr>
          <w:sz w:val="20"/>
          <w:szCs w:val="20"/>
          <w:color w:val="auto"/>
        </w:rPr>
      </w:pPr>
    </w:p>
    <w:p>
      <w:pPr>
        <w:ind w:left="40" w:right="79" w:firstLine="324"/>
        <w:spacing w:after="0" w:line="275" w:lineRule="auto"/>
        <w:rPr>
          <w:sz w:val="20"/>
          <w:szCs w:val="20"/>
          <w:color w:val="auto"/>
        </w:rPr>
      </w:pPr>
      <w:r>
        <w:rPr>
          <w:rFonts w:ascii="Arial" w:cs="Arial" w:eastAsia="Arial" w:hAnsi="Arial"/>
          <w:sz w:val="17"/>
          <w:szCs w:val="17"/>
          <w:color w:val="auto"/>
        </w:rPr>
        <w:t>In addition to patents, we also rely on contractual protections with our customers, suppliers, distributors, employees and consultants, and we implement security measures designed to protect our trade secrets and know-how. However, we cannot assure our stockholders that these contractual protections and security measures will not be breached, that we will have adequate remedies for any such breach or that our customers, suppliers, distributors, employees or consultants will not assert rights to intellectual property or damages arising out of such contracts.</w:t>
      </w:r>
    </w:p>
    <w:p>
      <w:pPr>
        <w:spacing w:after="0" w:line="176" w:lineRule="exact"/>
        <w:rPr>
          <w:sz w:val="20"/>
          <w:szCs w:val="20"/>
          <w:color w:val="auto"/>
        </w:rPr>
      </w:pPr>
    </w:p>
    <w:p>
      <w:pPr>
        <w:ind w:left="40" w:right="99" w:firstLine="324"/>
        <w:spacing w:after="0" w:line="291" w:lineRule="auto"/>
        <w:rPr>
          <w:sz w:val="20"/>
          <w:szCs w:val="20"/>
          <w:color w:val="auto"/>
        </w:rPr>
      </w:pPr>
      <w:r>
        <w:rPr>
          <w:rFonts w:ascii="Arial" w:cs="Arial" w:eastAsia="Arial" w:hAnsi="Arial"/>
          <w:sz w:val="16"/>
          <w:szCs w:val="16"/>
          <w:color w:val="auto"/>
        </w:rPr>
        <w:t>We may initiate claims against third parties to protect our intellectual property rights if we are unable to resolve matters satisfactorily through negotiation. Litigation brought to protect and enforce our intellectual property rights could be costly, time-consuming and distracting to management. It could also result in the impairment or loss of portions of our intellectual property, as an adverse decision could limit our ability to assert our intellectual property rights, limit the value of our technology or otherwise negatively impact our business, financial condition and results of operations. Additionally, any enforcement of our patents or other intellectual property may provoke third parties to assert counterclaims against us. Our failure to secure, protect and enforce our intellectual property rights could materially harm our business.</w:t>
      </w:r>
    </w:p>
    <w:p>
      <w:pPr>
        <w:spacing w:after="0" w:line="166" w:lineRule="exact"/>
        <w:rPr>
          <w:sz w:val="20"/>
          <w:szCs w:val="20"/>
          <w:color w:val="auto"/>
        </w:rPr>
      </w:pPr>
    </w:p>
    <w:p>
      <w:pPr>
        <w:ind w:left="40" w:right="399"/>
        <w:spacing w:after="0" w:line="311" w:lineRule="auto"/>
        <w:rPr>
          <w:sz w:val="20"/>
          <w:szCs w:val="20"/>
          <w:color w:val="auto"/>
        </w:rPr>
      </w:pPr>
      <w:r>
        <w:rPr>
          <w:rFonts w:ascii="Arial" w:cs="Arial" w:eastAsia="Arial" w:hAnsi="Arial"/>
          <w:sz w:val="16"/>
          <w:szCs w:val="16"/>
          <w:b w:val="1"/>
          <w:bCs w:val="1"/>
          <w:i w:val="1"/>
          <w:iCs w:val="1"/>
          <w:color w:val="auto"/>
        </w:rPr>
        <w:t>We may face claims of intellectual property infringement, which could be time-consuming, costly to defend or settle, result in the loss of significant rights, harm our relationships with our customers and distributors, or otherwise materially adversely affect our business, financial condition and results of operations.</w:t>
      </w:r>
    </w:p>
    <w:p>
      <w:pPr>
        <w:spacing w:after="0" w:line="149" w:lineRule="exact"/>
        <w:rPr>
          <w:sz w:val="20"/>
          <w:szCs w:val="20"/>
          <w:color w:val="auto"/>
        </w:rPr>
      </w:pPr>
    </w:p>
    <w:p>
      <w:pPr>
        <w:ind w:left="40" w:right="179" w:firstLine="324"/>
        <w:spacing w:after="0" w:line="255" w:lineRule="auto"/>
        <w:rPr>
          <w:sz w:val="20"/>
          <w:szCs w:val="20"/>
          <w:color w:val="auto"/>
        </w:rPr>
      </w:pPr>
      <w:r>
        <w:rPr>
          <w:rFonts w:ascii="Arial" w:cs="Arial" w:eastAsia="Arial" w:hAnsi="Arial"/>
          <w:sz w:val="18"/>
          <w:szCs w:val="18"/>
          <w:color w:val="auto"/>
        </w:rPr>
        <w:t>The semiconductor memory industry is characterized by companies that hold patents and other intellectual property rights and that vigorously pursue, protect and enforce intellectual property rights. These companies include patent holding companies or other adverse patent owners who have no relevant product revenue and against whom our own patents may provide little or no deterrence. From time to time, third parties may assert against us and our customers’ patent and other intellectual property rights to technologies that are important to our business. We have in the past, and may in the future, face such claims.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5" w:name="page36"/>
    <w:bookmarkEnd w:id="3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right="79" w:firstLine="324"/>
        <w:spacing w:after="0" w:line="255" w:lineRule="auto"/>
        <w:rPr>
          <w:sz w:val="20"/>
          <w:szCs w:val="20"/>
          <w:color w:val="auto"/>
        </w:rPr>
      </w:pPr>
      <w:r>
        <w:rPr>
          <w:rFonts w:ascii="Arial" w:cs="Arial" w:eastAsia="Arial" w:hAnsi="Arial"/>
          <w:sz w:val="18"/>
          <w:szCs w:val="18"/>
          <w:color w:val="auto"/>
        </w:rPr>
        <w:t>Claims that our products, processes or technology infringe third-party intellectual property rights, regardless of their merit or resolution, could be costly to defend or settle and could divert the efforts and attention of our management and technical personnel. We may also be obligated to indemnify our customers or business partners in connection with any such litigation, which could result in increased costs. Infringement claims also could harm our relationships with our customers or distributors and might deter future customers from doing business with us. If any such proceedings result in an adverse outcome, we could be required to:</w:t>
      </w:r>
    </w:p>
    <w:p>
      <w:pPr>
        <w:spacing w:after="0" w:line="192" w:lineRule="exact"/>
        <w:rPr>
          <w:sz w:val="20"/>
          <w:szCs w:val="20"/>
          <w:color w:val="auto"/>
        </w:rPr>
      </w:pPr>
    </w:p>
    <w:p>
      <w:pPr>
        <w:ind w:left="660" w:hanging="29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cease the manufacture, use or sale of the infringing products, processes or technology;</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pay substantial damages for infringement;</w:t>
      </w:r>
    </w:p>
    <w:p>
      <w:pPr>
        <w:spacing w:after="0" w:line="225" w:lineRule="exact"/>
        <w:rPr>
          <w:rFonts w:ascii="Arial" w:cs="Arial" w:eastAsia="Arial" w:hAnsi="Arial"/>
          <w:sz w:val="18"/>
          <w:szCs w:val="18"/>
          <w:color w:val="auto"/>
        </w:rPr>
      </w:pPr>
    </w:p>
    <w:p>
      <w:pPr>
        <w:ind w:left="620" w:right="579" w:hanging="252"/>
        <w:spacing w:after="0" w:line="277" w:lineRule="auto"/>
        <w:tabs>
          <w:tab w:leader="none" w:pos="649"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expend significant resources to develop non-infringing products, processes or technology, which may not be successful;</w:t>
      </w:r>
    </w:p>
    <w:p>
      <w:pPr>
        <w:spacing w:after="0" w:line="170" w:lineRule="exact"/>
        <w:rPr>
          <w:rFonts w:ascii="Arial" w:cs="Arial" w:eastAsia="Arial" w:hAnsi="Arial"/>
          <w:sz w:val="18"/>
          <w:szCs w:val="18"/>
          <w:color w:val="auto"/>
        </w:rPr>
      </w:pPr>
    </w:p>
    <w:p>
      <w:pPr>
        <w:ind w:left="620" w:right="1059" w:hanging="252"/>
        <w:spacing w:after="0" w:line="277" w:lineRule="auto"/>
        <w:tabs>
          <w:tab w:leader="none" w:pos="649" w:val="left"/>
        </w:tabs>
        <w:numPr>
          <w:ilvl w:val="0"/>
          <w:numId w:val="8"/>
        </w:numPr>
        <w:rPr>
          <w:rFonts w:ascii="Arial" w:cs="Arial" w:eastAsia="Arial" w:hAnsi="Arial"/>
          <w:sz w:val="18"/>
          <w:szCs w:val="18"/>
          <w:color w:val="auto"/>
        </w:rPr>
      </w:pPr>
      <w:r>
        <w:rPr>
          <w:rFonts w:ascii="Arial" w:cs="Arial" w:eastAsia="Arial" w:hAnsi="Arial"/>
          <w:sz w:val="18"/>
          <w:szCs w:val="18"/>
          <w:color w:val="auto"/>
        </w:rPr>
        <w:t>license technology from the third-party claiming infringement, which license may not be available on commercially reasonable terms, or at all;</w:t>
      </w:r>
    </w:p>
    <w:p>
      <w:pPr>
        <w:spacing w:after="0" w:line="170" w:lineRule="exact"/>
        <w:rPr>
          <w:rFonts w:ascii="Arial" w:cs="Arial" w:eastAsia="Arial" w:hAnsi="Arial"/>
          <w:sz w:val="18"/>
          <w:szCs w:val="18"/>
          <w:color w:val="auto"/>
        </w:rPr>
      </w:pPr>
    </w:p>
    <w:p>
      <w:pPr>
        <w:ind w:left="620" w:right="239" w:hanging="252"/>
        <w:spacing w:after="0" w:line="277" w:lineRule="auto"/>
        <w:tabs>
          <w:tab w:leader="none" w:pos="649" w:val="left"/>
        </w:tabs>
        <w:numPr>
          <w:ilvl w:val="0"/>
          <w:numId w:val="8"/>
        </w:numPr>
        <w:rPr>
          <w:rFonts w:ascii="Arial" w:cs="Arial" w:eastAsia="Arial" w:hAnsi="Arial"/>
          <w:sz w:val="18"/>
          <w:szCs w:val="18"/>
          <w:color w:val="auto"/>
        </w:rPr>
      </w:pPr>
      <w:r>
        <w:rPr>
          <w:rFonts w:ascii="Arial" w:cs="Arial" w:eastAsia="Arial" w:hAnsi="Arial"/>
          <w:sz w:val="18"/>
          <w:szCs w:val="18"/>
          <w:color w:val="auto"/>
        </w:rPr>
        <w:t>cross-license our technology to a competitor to resolve an infringement claim, which could weaken our ability to compete with that competitor; or</w:t>
      </w:r>
    </w:p>
    <w:p>
      <w:pPr>
        <w:spacing w:after="0" w:line="170" w:lineRule="exact"/>
        <w:rPr>
          <w:rFonts w:ascii="Arial" w:cs="Arial" w:eastAsia="Arial" w:hAnsi="Arial"/>
          <w:sz w:val="18"/>
          <w:szCs w:val="18"/>
          <w:color w:val="auto"/>
        </w:rPr>
      </w:pPr>
    </w:p>
    <w:p>
      <w:pPr>
        <w:ind w:left="620" w:right="379" w:hanging="252"/>
        <w:spacing w:after="0" w:line="277" w:lineRule="auto"/>
        <w:tabs>
          <w:tab w:leader="none" w:pos="649" w:val="left"/>
        </w:tabs>
        <w:numPr>
          <w:ilvl w:val="0"/>
          <w:numId w:val="8"/>
        </w:numPr>
        <w:rPr>
          <w:rFonts w:ascii="Arial" w:cs="Arial" w:eastAsia="Arial" w:hAnsi="Arial"/>
          <w:sz w:val="18"/>
          <w:szCs w:val="18"/>
          <w:color w:val="auto"/>
        </w:rPr>
      </w:pPr>
      <w:r>
        <w:rPr>
          <w:rFonts w:ascii="Arial" w:cs="Arial" w:eastAsia="Arial" w:hAnsi="Arial"/>
          <w:sz w:val="18"/>
          <w:szCs w:val="18"/>
          <w:color w:val="auto"/>
        </w:rPr>
        <w:t>pay substantial damages to our customers to discontinue their use of or to replace infringing technology sold to them with non-infringing technology, if available.</w:t>
      </w:r>
    </w:p>
    <w:p>
      <w:pPr>
        <w:spacing w:after="0" w:line="170" w:lineRule="exact"/>
        <w:rPr>
          <w:sz w:val="20"/>
          <w:szCs w:val="20"/>
          <w:color w:val="auto"/>
        </w:rPr>
      </w:pPr>
    </w:p>
    <w:p>
      <w:pPr>
        <w:ind w:left="40" w:right="79" w:firstLine="324"/>
        <w:spacing w:after="0" w:line="255" w:lineRule="auto"/>
        <w:rPr>
          <w:sz w:val="20"/>
          <w:szCs w:val="20"/>
          <w:color w:val="auto"/>
        </w:rPr>
      </w:pPr>
      <w:r>
        <w:rPr>
          <w:rFonts w:ascii="Arial" w:cs="Arial" w:eastAsia="Arial" w:hAnsi="Arial"/>
          <w:sz w:val="18"/>
          <w:szCs w:val="18"/>
          <w:color w:val="auto"/>
        </w:rPr>
        <w:t>Any of the foregoing results could have a material adverse effect on our business, financial condition and results of operations. Furthermore, our exposure to the foregoing risks may also be increased if we acquire other companies or technologies. For example, we may have a lower level of visibility into the development process with respect to intellectual property or the care taken to safeguard against infringement risks with respect to the acquired company or technology. In addition, third parties may make infringement and similar or related claims after we have acquired technology that had not been asserted prior to the acquisition.</w:t>
      </w:r>
    </w:p>
    <w:p>
      <w:pPr>
        <w:spacing w:after="0" w:line="192" w:lineRule="exact"/>
        <w:rPr>
          <w:sz w:val="20"/>
          <w:szCs w:val="20"/>
          <w:color w:val="auto"/>
        </w:rPr>
      </w:pPr>
    </w:p>
    <w:p>
      <w:pPr>
        <w:ind w:left="40" w:right="439"/>
        <w:spacing w:after="0" w:line="277" w:lineRule="auto"/>
        <w:rPr>
          <w:sz w:val="20"/>
          <w:szCs w:val="20"/>
          <w:color w:val="auto"/>
        </w:rPr>
      </w:pPr>
      <w:r>
        <w:rPr>
          <w:rFonts w:ascii="Arial" w:cs="Arial" w:eastAsia="Arial" w:hAnsi="Arial"/>
          <w:sz w:val="18"/>
          <w:szCs w:val="18"/>
          <w:b w:val="1"/>
          <w:bCs w:val="1"/>
          <w:i w:val="1"/>
          <w:iCs w:val="1"/>
          <w:color w:val="auto"/>
        </w:rPr>
        <w:t>We make significant investments in new technologies and products that may not achieve technological feasibility or profitability or that may limit our revenue growth.</w:t>
      </w:r>
    </w:p>
    <w:p>
      <w:pPr>
        <w:spacing w:after="0" w:line="170" w:lineRule="exact"/>
        <w:rPr>
          <w:sz w:val="20"/>
          <w:szCs w:val="20"/>
          <w:color w:val="auto"/>
        </w:rPr>
      </w:pPr>
    </w:p>
    <w:p>
      <w:pPr>
        <w:ind w:left="40" w:right="59" w:firstLine="324"/>
        <w:spacing w:after="0" w:line="277" w:lineRule="auto"/>
        <w:rPr>
          <w:sz w:val="20"/>
          <w:szCs w:val="20"/>
          <w:color w:val="auto"/>
        </w:rPr>
      </w:pPr>
      <w:r>
        <w:rPr>
          <w:rFonts w:ascii="Arial" w:cs="Arial" w:eastAsia="Arial" w:hAnsi="Arial"/>
          <w:sz w:val="18"/>
          <w:szCs w:val="18"/>
          <w:color w:val="auto"/>
        </w:rPr>
        <w:t>We have made and will continue to make significant investments in research and development of new technologies and products, including new and more technically advanced versions of our MRAM technology.</w:t>
      </w:r>
    </w:p>
    <w:p>
      <w:pPr>
        <w:spacing w:after="0" w:line="170" w:lineRule="exact"/>
        <w:rPr>
          <w:sz w:val="20"/>
          <w:szCs w:val="20"/>
          <w:color w:val="auto"/>
        </w:rPr>
      </w:pPr>
    </w:p>
    <w:p>
      <w:pPr>
        <w:ind w:left="40" w:right="59" w:firstLine="324"/>
        <w:spacing w:after="0" w:line="271" w:lineRule="auto"/>
        <w:rPr>
          <w:sz w:val="20"/>
          <w:szCs w:val="20"/>
          <w:color w:val="auto"/>
        </w:rPr>
      </w:pPr>
      <w:r>
        <w:rPr>
          <w:rFonts w:ascii="Arial" w:cs="Arial" w:eastAsia="Arial" w:hAnsi="Arial"/>
          <w:sz w:val="17"/>
          <w:szCs w:val="17"/>
          <w:color w:val="auto"/>
        </w:rPr>
        <w:t>Investments in new technologies are speculative and technological feasibility may not be achieved. Commercial success depends on many factors including demand for innovative technology, availability of materials and equipment, selling price the market is willing to bear, competition and effective licensing or product sales. We may not achieve significant revenue from new product investments for a number of years, if at all. Moreover, new technologies and products may not be profitable, and even if they are profitable, operating margins for new products and businesses may not be as high as the margins we have experienced historically or originally anticipated. Our inability to capitalize on or realize substantial revenue from our significant investments in research and development could harm our operating results and distract management, harming our business.</w:t>
      </w:r>
    </w:p>
    <w:p>
      <w:pPr>
        <w:spacing w:after="0" w:line="178" w:lineRule="exact"/>
        <w:rPr>
          <w:sz w:val="20"/>
          <w:szCs w:val="20"/>
          <w:color w:val="auto"/>
        </w:rPr>
      </w:pPr>
    </w:p>
    <w:p>
      <w:pPr>
        <w:ind w:left="40" w:right="219"/>
        <w:spacing w:after="0" w:line="277" w:lineRule="auto"/>
        <w:rPr>
          <w:sz w:val="20"/>
          <w:szCs w:val="20"/>
          <w:color w:val="auto"/>
        </w:rPr>
      </w:pPr>
      <w:r>
        <w:rPr>
          <w:rFonts w:ascii="Arial" w:cs="Arial" w:eastAsia="Arial" w:hAnsi="Arial"/>
          <w:sz w:val="18"/>
          <w:szCs w:val="18"/>
          <w:b w:val="1"/>
          <w:bCs w:val="1"/>
          <w:i w:val="1"/>
          <w:iCs w:val="1"/>
          <w:color w:val="auto"/>
        </w:rPr>
        <w:t>Our success depends on our ability to attract and retain key employees, and our failure to do so could harm our ability to grow our business and execute our business strategies.</w:t>
      </w:r>
    </w:p>
    <w:p>
      <w:pPr>
        <w:spacing w:after="0" w:line="170" w:lineRule="exact"/>
        <w:rPr>
          <w:sz w:val="20"/>
          <w:szCs w:val="20"/>
          <w:color w:val="auto"/>
        </w:rPr>
      </w:pPr>
    </w:p>
    <w:p>
      <w:pPr>
        <w:ind w:left="40" w:right="79" w:firstLine="324"/>
        <w:spacing w:after="0" w:line="289" w:lineRule="auto"/>
        <w:rPr>
          <w:sz w:val="20"/>
          <w:szCs w:val="20"/>
          <w:color w:val="auto"/>
        </w:rPr>
      </w:pPr>
      <w:r>
        <w:rPr>
          <w:rFonts w:ascii="Arial" w:cs="Arial" w:eastAsia="Arial" w:hAnsi="Arial"/>
          <w:sz w:val="16"/>
          <w:szCs w:val="16"/>
          <w:color w:val="auto"/>
        </w:rPr>
        <w:t>Our success depends on our ability to attract and retain our key employees, including our management team and experienced engineers. Competition for personnel in the semiconductor memory technology field, and in the MRAM space in particular, is intense, and the availability of suitable and qualified candidates is limited. We compete to attract and retain qualified research and development personnel with other semiconductor companies, universities and research institutions. Given our experience as an early entrant in the MRAM space, our employees are frequently contacted by MRAM startups and MRAM groups within larger companies seeking to employ them. The members of our management and key employees are at-will. If we lose the services of any key senior management member or employee, we may not be able to locate suitable or qualified replacements, and may incur additional expenses to recruit and train new personnel, which could severely impact our business and prospects. The loss of the services of one or more of our key employees,</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6" w:name="page37"/>
    <w:bookmarkEnd w:id="3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right="339"/>
        <w:spacing w:after="0" w:line="277" w:lineRule="auto"/>
        <w:rPr>
          <w:sz w:val="20"/>
          <w:szCs w:val="20"/>
          <w:color w:val="auto"/>
        </w:rPr>
      </w:pPr>
      <w:r>
        <w:rPr>
          <w:rFonts w:ascii="Arial" w:cs="Arial" w:eastAsia="Arial" w:hAnsi="Arial"/>
          <w:sz w:val="18"/>
          <w:szCs w:val="18"/>
          <w:color w:val="auto"/>
        </w:rPr>
        <w:t>especially our key engineers, or our inability to attract and retain qualified engineers, could harm our business, financial condition and results of operations.</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We are seeking to expand our operations outside of the United States which exposes us to significant risks.</w:t>
      </w:r>
    </w:p>
    <w:p>
      <w:pPr>
        <w:spacing w:after="0" w:line="237" w:lineRule="exact"/>
        <w:rPr>
          <w:sz w:val="20"/>
          <w:szCs w:val="20"/>
          <w:color w:val="auto"/>
        </w:rPr>
      </w:pPr>
    </w:p>
    <w:p>
      <w:pPr>
        <w:ind w:left="40" w:right="79" w:firstLine="369"/>
        <w:spacing w:after="0" w:line="254" w:lineRule="auto"/>
        <w:rPr>
          <w:sz w:val="20"/>
          <w:szCs w:val="20"/>
          <w:color w:val="auto"/>
        </w:rPr>
      </w:pPr>
      <w:r>
        <w:rPr>
          <w:rFonts w:ascii="Arial" w:cs="Arial" w:eastAsia="Arial" w:hAnsi="Arial"/>
          <w:sz w:val="18"/>
          <w:szCs w:val="18"/>
          <w:color w:val="auto"/>
        </w:rPr>
        <w:t>The success of our business depends, in large part, on our ability to operate successfully from geographically disparate locations and to further expand our international operations and sales. Operating in international markets requires significant resources and management attention and subjects us to regulatory, economic and political risks that are different from those we face in the United States. We cannot be sure that further international expansion will be successful. In addition, we face risks in doing business internationally that could expose us to reduced demand for our products, lower prices for our products or other adverse effects on our operating results. Among the risks we believe are most likely to affect us are:</w:t>
      </w:r>
    </w:p>
    <w:p>
      <w:pPr>
        <w:spacing w:after="0" w:line="195" w:lineRule="exact"/>
        <w:rPr>
          <w:sz w:val="20"/>
          <w:szCs w:val="20"/>
          <w:color w:val="auto"/>
        </w:rPr>
      </w:pPr>
    </w:p>
    <w:p>
      <w:pPr>
        <w:ind w:left="660" w:hanging="29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difficulties, inefficiencies and costs associated with staffing and managing foreign operations;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longer and more difficult customer qualification and credit checks;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greater difficulty collecting accounts receivable and longer payment cycles;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need for various local approvals to operate in some countries;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difficulties in entering some foreign markets without larger-scale local operations;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compliance with local laws and regulations;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unexpected changes in regulatory requirements, including the elimination of tax holidays;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 in some countries;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adverse tax consequences as a result of repatriating cash generated from foreign operations to the United States;</w:t>
      </w:r>
    </w:p>
    <w:p>
      <w:pPr>
        <w:spacing w:after="0" w:line="248" w:lineRule="exact"/>
        <w:rPr>
          <w:rFonts w:ascii="Arial" w:cs="Arial" w:eastAsia="Arial" w:hAnsi="Arial"/>
          <w:sz w:val="16"/>
          <w:szCs w:val="16"/>
          <w:color w:val="auto"/>
        </w:rPr>
      </w:pPr>
    </w:p>
    <w:p>
      <w:pPr>
        <w:ind w:left="620" w:right="519" w:hanging="252"/>
        <w:spacing w:after="0" w:line="277" w:lineRule="auto"/>
        <w:tabs>
          <w:tab w:leader="none" w:pos="649" w:val="left"/>
        </w:tabs>
        <w:numPr>
          <w:ilvl w:val="0"/>
          <w:numId w:val="9"/>
        </w:numPr>
        <w:rPr>
          <w:rFonts w:ascii="Arial" w:cs="Arial" w:eastAsia="Arial" w:hAnsi="Arial"/>
          <w:sz w:val="18"/>
          <w:szCs w:val="18"/>
          <w:color w:val="auto"/>
        </w:rPr>
      </w:pPr>
      <w:r>
        <w:rPr>
          <w:rFonts w:ascii="Arial" w:cs="Arial" w:eastAsia="Arial" w:hAnsi="Arial"/>
          <w:sz w:val="18"/>
          <w:szCs w:val="18"/>
          <w:color w:val="auto"/>
        </w:rPr>
        <w:t>adverse tax consequences, including potential additional tax exposure if we are deemed to have established a permanent establishment outside of the United States;</w:t>
      </w:r>
    </w:p>
    <w:p>
      <w:pPr>
        <w:spacing w:after="0" w:line="170" w:lineRule="exact"/>
        <w:rPr>
          <w:rFonts w:ascii="Arial" w:cs="Arial" w:eastAsia="Arial" w:hAnsi="Arial"/>
          <w:sz w:val="18"/>
          <w:szCs w:val="18"/>
          <w:color w:val="auto"/>
        </w:rPr>
      </w:pPr>
    </w:p>
    <w:p>
      <w:pPr>
        <w:ind w:left="620" w:right="139" w:hanging="252"/>
        <w:spacing w:after="0" w:line="277" w:lineRule="auto"/>
        <w:tabs>
          <w:tab w:leader="none" w:pos="649"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effectiveness of our policies and procedures designed to ensure compliance with the Foreign Corrupt Practices Act of 1977 and similar regulations;</w:t>
      </w:r>
    </w:p>
    <w:p>
      <w:pPr>
        <w:spacing w:after="0" w:line="170" w:lineRule="exact"/>
        <w:rPr>
          <w:rFonts w:ascii="Arial" w:cs="Arial" w:eastAsia="Arial" w:hAnsi="Arial"/>
          <w:sz w:val="18"/>
          <w:szCs w:val="18"/>
          <w:color w:val="auto"/>
        </w:rPr>
      </w:pPr>
    </w:p>
    <w:p>
      <w:pPr>
        <w:ind w:left="620" w:right="59" w:hanging="252"/>
        <w:spacing w:after="0" w:line="259" w:lineRule="auto"/>
        <w:tabs>
          <w:tab w:leader="none" w:pos="649" w:val="left"/>
        </w:tabs>
        <w:numPr>
          <w:ilvl w:val="0"/>
          <w:numId w:val="9"/>
        </w:numPr>
        <w:rPr>
          <w:rFonts w:ascii="Arial" w:cs="Arial" w:eastAsia="Arial" w:hAnsi="Arial"/>
          <w:sz w:val="18"/>
          <w:szCs w:val="18"/>
          <w:color w:val="auto"/>
        </w:rPr>
      </w:pPr>
      <w:r>
        <w:rPr>
          <w:rFonts w:ascii="Arial" w:cs="Arial" w:eastAsia="Arial" w:hAnsi="Arial"/>
          <w:sz w:val="18"/>
          <w:szCs w:val="18"/>
          <w:color w:val="auto"/>
        </w:rPr>
        <w:t>fluctuations in currency exchange rates, which could increase the prices of our products to customers outside of the United States, increase the expenses of our international operations by reducing the purchasing power of the U.S. dollar and expose us to foreign currency exchange rate risk if, in the future, we denominate our international sales in currencies other than the U.S. dollar;</w:t>
      </w:r>
    </w:p>
    <w:p>
      <w:pPr>
        <w:spacing w:after="0" w:line="186" w:lineRule="exact"/>
        <w:rPr>
          <w:rFonts w:ascii="Arial" w:cs="Arial" w:eastAsia="Arial" w:hAnsi="Arial"/>
          <w:sz w:val="18"/>
          <w:szCs w:val="18"/>
          <w:color w:val="auto"/>
        </w:rPr>
      </w:pPr>
    </w:p>
    <w:p>
      <w:pPr>
        <w:ind w:left="660" w:hanging="29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new and different sources of competition; and</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political and economic instability, and terrorism.</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failure to manage any of these risks successfully could harm our operations and reduce our revenue.</w:t>
      </w:r>
    </w:p>
    <w:p>
      <w:pPr>
        <w:spacing w:after="0" w:line="225" w:lineRule="exact"/>
        <w:rPr>
          <w:sz w:val="20"/>
          <w:szCs w:val="20"/>
          <w:color w:val="auto"/>
        </w:rPr>
      </w:pPr>
    </w:p>
    <w:p>
      <w:pPr>
        <w:ind w:left="40" w:right="79"/>
        <w:spacing w:after="0" w:line="263" w:lineRule="auto"/>
        <w:rPr>
          <w:sz w:val="20"/>
          <w:szCs w:val="20"/>
          <w:color w:val="auto"/>
        </w:rPr>
      </w:pPr>
      <w:r>
        <w:rPr>
          <w:rFonts w:ascii="Arial" w:cs="Arial" w:eastAsia="Arial" w:hAnsi="Arial"/>
          <w:sz w:val="18"/>
          <w:szCs w:val="18"/>
          <w:b w:val="1"/>
          <w:bCs w:val="1"/>
          <w:i w:val="1"/>
          <w:iCs w:val="1"/>
          <w:color w:val="auto"/>
        </w:rPr>
        <w:t>To comply with environmental laws and regulations, we may need to modify our activities or incur substantial costs, and if we fail to comply with environmental regulations, we could be subject to substantial fines or be required to have our suppliers alter their processes.</w:t>
      </w:r>
    </w:p>
    <w:p>
      <w:pPr>
        <w:spacing w:after="0" w:line="184" w:lineRule="exact"/>
        <w:rPr>
          <w:sz w:val="20"/>
          <w:szCs w:val="20"/>
          <w:color w:val="auto"/>
        </w:rPr>
      </w:pPr>
    </w:p>
    <w:p>
      <w:pPr>
        <w:ind w:left="40" w:right="139" w:firstLine="324"/>
        <w:spacing w:after="0" w:line="296" w:lineRule="auto"/>
        <w:rPr>
          <w:sz w:val="20"/>
          <w:szCs w:val="20"/>
          <w:color w:val="auto"/>
        </w:rPr>
      </w:pPr>
      <w:r>
        <w:rPr>
          <w:rFonts w:ascii="Arial" w:cs="Arial" w:eastAsia="Arial" w:hAnsi="Arial"/>
          <w:sz w:val="16"/>
          <w:szCs w:val="16"/>
          <w:color w:val="auto"/>
        </w:rPr>
        <w:t>The semiconductor memory industry is subject to a variety of international, federal, state and local governmental regulations directed at preventing or mitigating environmental harm, as well as to the storage, discharge, handling, generation, disposal and labeling of toxic or other hazardous substances. Failure to comply with environmental regulations could subject us to civil or criminal sanctions and property damage or personal injury claims. Compliance with current or future environmental laws and regulations could restrict our ability to expand our business or require us</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7" w:name="page38"/>
    <w:bookmarkEnd w:id="3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right="79"/>
        <w:spacing w:after="0" w:line="290" w:lineRule="auto"/>
        <w:rPr>
          <w:sz w:val="20"/>
          <w:szCs w:val="20"/>
          <w:color w:val="auto"/>
        </w:rPr>
      </w:pPr>
      <w:r>
        <w:rPr>
          <w:rFonts w:ascii="Arial" w:cs="Arial" w:eastAsia="Arial" w:hAnsi="Arial"/>
          <w:sz w:val="16"/>
          <w:szCs w:val="16"/>
          <w:color w:val="auto"/>
        </w:rPr>
        <w:t>to modify processes or incur other substantial expenses which could harm our business. In response to environmental concerns, some customers and government agencies impose requirements for the elimination of hazardous substances, such as lead (which is widely used in soldering connections in the process of semiconductor packaging and assembly), from electronic equipment. For example, the European Union adopted its Restriction on Hazardous Substance Directive which prohibits, with specified exceptions, the sale in the EU market of new electrical and electronic equipment containing more than agreed levels of lead or other hazardous materials and China has enacted similar regulations. Environmental laws and regulations such as these could become more stringent over time, causing a need to redesign technologies, imposing greater compliance costs and increasing risks and penalties associated with violations, which could seriously harm our business.</w:t>
      </w:r>
    </w:p>
    <w:p>
      <w:pPr>
        <w:spacing w:after="0" w:line="165" w:lineRule="exact"/>
        <w:rPr>
          <w:sz w:val="20"/>
          <w:szCs w:val="20"/>
          <w:color w:val="auto"/>
        </w:rPr>
      </w:pPr>
    </w:p>
    <w:p>
      <w:pPr>
        <w:ind w:left="40" w:right="159" w:firstLine="324"/>
        <w:spacing w:after="0" w:line="301" w:lineRule="auto"/>
        <w:rPr>
          <w:sz w:val="20"/>
          <w:szCs w:val="20"/>
          <w:color w:val="auto"/>
        </w:rPr>
      </w:pPr>
      <w:r>
        <w:rPr>
          <w:rFonts w:ascii="Arial" w:cs="Arial" w:eastAsia="Arial" w:hAnsi="Arial"/>
          <w:sz w:val="16"/>
          <w:szCs w:val="16"/>
          <w:color w:val="auto"/>
        </w:rPr>
        <w:t>Increasing public attention has been focused on the environmental impact of electronic manufacturing operations. While we have not experienced any materially adverse effects on our operations from recently adopted environmental regulations, our business and results of operations could suffer if for any reason we fail to control the storage or use of, or to adequately restrict the discharge or disposal of, hazardous substances under present or future environmental regulations.</w:t>
      </w:r>
    </w:p>
    <w:p>
      <w:pPr>
        <w:spacing w:after="0" w:line="157" w:lineRule="exact"/>
        <w:rPr>
          <w:sz w:val="20"/>
          <w:szCs w:val="20"/>
          <w:color w:val="auto"/>
        </w:rPr>
      </w:pPr>
    </w:p>
    <w:p>
      <w:pPr>
        <w:ind w:left="40" w:right="299"/>
        <w:spacing w:after="0" w:line="381" w:lineRule="auto"/>
        <w:rPr>
          <w:sz w:val="20"/>
          <w:szCs w:val="20"/>
          <w:color w:val="auto"/>
        </w:rPr>
      </w:pPr>
      <w:r>
        <w:rPr>
          <w:rFonts w:ascii="Arial" w:cs="Arial" w:eastAsia="Arial" w:hAnsi="Arial"/>
          <w:sz w:val="15"/>
          <w:szCs w:val="15"/>
          <w:b w:val="1"/>
          <w:bCs w:val="1"/>
          <w:i w:val="1"/>
          <w:iCs w:val="1"/>
          <w:color w:val="auto"/>
        </w:rPr>
        <w:t>Some of the facilities of our suppliers are located near known earthquake fault zones, and the occurrence of an earthquake or other catastrophic disaster could damage our facilities, which could cause us to curtail our operations.</w:t>
      </w:r>
    </w:p>
    <w:p>
      <w:pPr>
        <w:spacing w:after="0" w:line="100" w:lineRule="exact"/>
        <w:rPr>
          <w:sz w:val="20"/>
          <w:szCs w:val="20"/>
          <w:color w:val="auto"/>
        </w:rPr>
      </w:pPr>
    </w:p>
    <w:p>
      <w:pPr>
        <w:ind w:left="40" w:right="79" w:firstLine="324"/>
        <w:spacing w:after="0" w:line="255" w:lineRule="auto"/>
        <w:rPr>
          <w:sz w:val="20"/>
          <w:szCs w:val="20"/>
          <w:color w:val="auto"/>
        </w:rPr>
      </w:pPr>
      <w:r>
        <w:rPr>
          <w:rFonts w:ascii="Arial" w:cs="Arial" w:eastAsia="Arial" w:hAnsi="Arial"/>
          <w:sz w:val="18"/>
          <w:szCs w:val="18"/>
          <w:color w:val="auto"/>
        </w:rPr>
        <w:t>Some of our foundries and suppliers’ facilities in Asia are located near known earthquake fault zones and, therefore, are vulnerable to damage from earthquakes. We are also vulnerable to damage from other types of disasters, such as power loss, fire, floods and similar events. If any such disaster were to occur, our ability to operate our business could be seriously impaired. In addition, we may not have adequate insurance to cover our losses resulting from disasters or other similar significant business interruptions. Any significant losses that are not recoverable under our insurance policies could seriously impair our business and financial condition.</w:t>
      </w:r>
    </w:p>
    <w:p>
      <w:pPr>
        <w:spacing w:after="0" w:line="19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Provisions of our credit facility may restrict our ability to pursue our business strategies.</w:t>
      </w:r>
    </w:p>
    <w:p>
      <w:pPr>
        <w:spacing w:after="0" w:line="225" w:lineRule="exact"/>
        <w:rPr>
          <w:sz w:val="20"/>
          <w:szCs w:val="20"/>
          <w:color w:val="auto"/>
        </w:rPr>
      </w:pPr>
    </w:p>
    <w:p>
      <w:pPr>
        <w:ind w:left="40" w:right="579" w:firstLine="324"/>
        <w:spacing w:after="0" w:line="277" w:lineRule="auto"/>
        <w:rPr>
          <w:sz w:val="20"/>
          <w:szCs w:val="20"/>
          <w:color w:val="auto"/>
        </w:rPr>
      </w:pPr>
      <w:r>
        <w:rPr>
          <w:rFonts w:ascii="Arial" w:cs="Arial" w:eastAsia="Arial" w:hAnsi="Arial"/>
          <w:sz w:val="18"/>
          <w:szCs w:val="18"/>
          <w:color w:val="auto"/>
        </w:rPr>
        <w:t>Borrowings under our existing credit facility are secured by substantially all of our assets, except for intellectual property. Our term loan facility prohibits our ability to, among other things:</w:t>
      </w:r>
    </w:p>
    <w:p>
      <w:pPr>
        <w:spacing w:after="0" w:line="170" w:lineRule="exact"/>
        <w:rPr>
          <w:sz w:val="20"/>
          <w:szCs w:val="20"/>
          <w:color w:val="auto"/>
        </w:rPr>
      </w:pPr>
    </w:p>
    <w:p>
      <w:pPr>
        <w:ind w:left="660" w:hanging="29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dispose of or sell assets;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consolidate or merge with other entities;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create liens on our assets;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pay dividends;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make investments;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enter into transactions with affiliates; and</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redeem subordinated indebtedness.</w:t>
      </w:r>
    </w:p>
    <w:p>
      <w:pPr>
        <w:spacing w:after="0" w:line="225" w:lineRule="exact"/>
        <w:rPr>
          <w:sz w:val="20"/>
          <w:szCs w:val="20"/>
          <w:color w:val="auto"/>
        </w:rPr>
      </w:pPr>
    </w:p>
    <w:p>
      <w:pPr>
        <w:ind w:left="40" w:right="79" w:firstLine="324"/>
        <w:spacing w:after="0" w:line="269" w:lineRule="auto"/>
        <w:rPr>
          <w:sz w:val="20"/>
          <w:szCs w:val="20"/>
          <w:color w:val="auto"/>
        </w:rPr>
      </w:pPr>
      <w:r>
        <w:rPr>
          <w:rFonts w:ascii="Arial" w:cs="Arial" w:eastAsia="Arial" w:hAnsi="Arial"/>
          <w:sz w:val="17"/>
          <w:szCs w:val="17"/>
          <w:color w:val="auto"/>
        </w:rPr>
        <w:t>These restrictions are subject to certain exceptions. In addition, our existing credit facility requires that we meet certain operating covenants, such as maintaining insurance on the collateral and meeting certain financial covenants, such as a minimum liquidity ratio. The operating restrictions and covenants in the term loan facility, as well as any future financing agreements that we may enter into, may restrict our ability to finance our operations, engage in business activities or expand or fully pursue our business strategies. Our ability to comply with these covenants may be affected by events beyond our control, and we may not be able to meet those covenants. A breach of any of these covenants could result in an event of default under the credit facility. We are required to make mandatory prepayments of the outstanding loan upon the acceleration by lender following the occurrence of an event of default, along with a payment of the end of term fee, the prepayment fee and any other obligations that are due and payable at the time of prepayment. In the event of default, the interest rate in effect will increase by 5.0% per annum.</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8" w:name="page39"/>
    <w:bookmarkEnd w:id="3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Our ability to use net operating losses to offset future taxable income may be subject to certain limitations.</w:t>
      </w:r>
    </w:p>
    <w:p>
      <w:pPr>
        <w:spacing w:after="0" w:line="237" w:lineRule="exact"/>
        <w:rPr>
          <w:sz w:val="20"/>
          <w:szCs w:val="20"/>
          <w:color w:val="auto"/>
        </w:rPr>
      </w:pPr>
    </w:p>
    <w:p>
      <w:pPr>
        <w:ind w:left="40" w:right="59" w:firstLine="324"/>
        <w:spacing w:after="0" w:line="284" w:lineRule="auto"/>
        <w:rPr>
          <w:sz w:val="20"/>
          <w:szCs w:val="20"/>
          <w:color w:val="auto"/>
        </w:rPr>
      </w:pPr>
      <w:r>
        <w:rPr>
          <w:rFonts w:ascii="Arial" w:cs="Arial" w:eastAsia="Arial" w:hAnsi="Arial"/>
          <w:sz w:val="16"/>
          <w:szCs w:val="16"/>
          <w:color w:val="auto"/>
        </w:rPr>
        <w:t>In general, under Section 382 of the U.S. Internal Revenue Code of 1986, as amended, or the Code, a corporation that undergoes an “ownership change” is subject to limitations on its ability to utilize its pre-change net operating losses, or NOLs, to offset future taxable income, and tax credits to offset future tax. As of December 31, 2019, we had federal net operating loss carryforwards of approximately $131.8 million of which $99.8 million will begin to expire in 2028 if not utilized, and $32.0 million will carryover indefinitely. Subject to the recent California franchise tax law change affecting California state NOLs mentioned below, as of December 31, 2019, we had state net operating loss carryforwards of approximately $50.2 million of which $48.5 million will begin to expire in 2023 if not utilized, and $1.7 million will carryover indefinitely. The federal NOLs generated in taxable years beginning prior to 2018 will continue to be governed by the NOL tax rules as they existed prior to the adoption of the changes in the tax laws that occurred in 2017, as amended by federal tax legislation enacted in March 2020, which means that generally they will expire 20 years after they were generated if not used prior thereto. The changes in the federal tax law that occurred in 2017, as amended by federal tax legislation enacted in March 2020, repealed the 20-year carryforward and two-year carryback of NOLs originating after December 31, 2017 (but for tax years beginning in 2018 through 2020 permits a five-year carryback of NOLs) and also limits the NOL deduction to 80% of taxable income for tax years beginning after December 31, 2020. Any NOLs generated in taxable years beginning in 2018 and thereafter will be carried forward and will not expire. There is no current impact to us from the 2017 and 2020 federal tax law changes as we continue to be in a tax loss position for US tax purposes. We may experience an ownership change in the future, and our ability to utilize our NOLs and tax credits could be further limited by Section 382 of the Code. Future changes in our stock ownership, many of which are outside of our control, could result in an ownership change under Section 382 of the Code. Our net operating losses and tax credits could also be impaired under state laws, including a recent California franchise tax law change limiting the usability of California state NOLs to offset taxable income in tax years beginning after 2019 and before 2023. As a result, we might not be able to utilize a material portion of our state NOLs and tax credits.</w:t>
      </w:r>
    </w:p>
    <w:p>
      <w:pPr>
        <w:spacing w:after="0" w:line="396" w:lineRule="exact"/>
        <w:rPr>
          <w:sz w:val="20"/>
          <w:szCs w:val="20"/>
          <w:color w:val="auto"/>
        </w:rPr>
      </w:pPr>
    </w:p>
    <w:p>
      <w:pPr>
        <w:ind w:left="40" w:right="179"/>
        <w:spacing w:after="0" w:line="311" w:lineRule="auto"/>
        <w:rPr>
          <w:sz w:val="20"/>
          <w:szCs w:val="20"/>
          <w:color w:val="auto"/>
        </w:rPr>
      </w:pPr>
      <w:r>
        <w:rPr>
          <w:rFonts w:ascii="Arial" w:cs="Arial" w:eastAsia="Arial" w:hAnsi="Arial"/>
          <w:sz w:val="16"/>
          <w:szCs w:val="16"/>
          <w:b w:val="1"/>
          <w:bCs w:val="1"/>
          <w:i w:val="1"/>
          <w:iCs w:val="1"/>
          <w:color w:val="auto"/>
        </w:rPr>
        <w:t>If we fail to retain finance personnel and strengthen our financial reporting systems and infrastructure, we may not be able to timely and accurately report our financial results or comply with the requirements of being a public company, including compliance with the Sarbanes-Oxley Act and SEC reporting requirements.</w:t>
      </w:r>
    </w:p>
    <w:p>
      <w:pPr>
        <w:spacing w:after="0" w:line="149" w:lineRule="exact"/>
        <w:rPr>
          <w:sz w:val="20"/>
          <w:szCs w:val="20"/>
          <w:color w:val="auto"/>
        </w:rPr>
      </w:pPr>
    </w:p>
    <w:p>
      <w:pPr>
        <w:ind w:left="40" w:right="179" w:firstLine="324"/>
        <w:spacing w:after="0" w:line="289" w:lineRule="auto"/>
        <w:rPr>
          <w:sz w:val="20"/>
          <w:szCs w:val="20"/>
          <w:color w:val="auto"/>
        </w:rPr>
      </w:pPr>
      <w:r>
        <w:rPr>
          <w:rFonts w:ascii="Arial" w:cs="Arial" w:eastAsia="Arial" w:hAnsi="Arial"/>
          <w:sz w:val="16"/>
          <w:szCs w:val="16"/>
          <w:color w:val="auto"/>
        </w:rPr>
        <w:t>We have accounting and finance staff members to maintain the effectiveness of our closing and financial reporting processes. Any inability to retain such personnel would have an adverse impact on our ability to accurately and timely prepare our financial statements. We may be unable to locate and hire qualified professionals with requisite technical and public company experience when and as needed. In addition, new employees will require time and training to learn our business and operating processes and procedures. If our finance and accounting organization is unable for any reason to respond adequately to the demands of being a public company, the quality and timeliness of our financial reporting may suffer, which could result in the identification of material weaknesses in our internal controls. Any consequences resulting from inaccuracies or delays in our reported financial statements could cause the trading price of our common stock to decline and could harm our business, operating results and financial condition.</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Interruptions in our information technology systems could adversely affect our business.</w:t>
      </w:r>
    </w:p>
    <w:p>
      <w:pPr>
        <w:spacing w:after="0" w:line="225" w:lineRule="exact"/>
        <w:rPr>
          <w:sz w:val="20"/>
          <w:szCs w:val="20"/>
          <w:color w:val="auto"/>
        </w:rPr>
      </w:pPr>
    </w:p>
    <w:p>
      <w:pPr>
        <w:ind w:left="40" w:right="199" w:firstLine="324"/>
        <w:spacing w:after="0" w:line="269" w:lineRule="auto"/>
        <w:rPr>
          <w:sz w:val="20"/>
          <w:szCs w:val="20"/>
          <w:color w:val="auto"/>
        </w:rPr>
      </w:pPr>
      <w:r>
        <w:rPr>
          <w:rFonts w:ascii="Arial" w:cs="Arial" w:eastAsia="Arial" w:hAnsi="Arial"/>
          <w:sz w:val="17"/>
          <w:szCs w:val="17"/>
          <w:color w:val="auto"/>
        </w:rPr>
        <w:t>We rely on the efficient and uninterrupted operation of complex information technology systems and networks to operate our business. Any significant disruption to our systems or networks, including, but not limited to, new system implementations, computer viruses, security breaches, facility issues, natural disasters, terrorism, war, telecommunication failures or energy blackouts, could have a material adverse impact on our operations, sales and financial results. Such disruption could result in a loss of our intellectual property or the release of sensitive competitive information or supplier, customer or employee personal data. Any loss of such information could harm our competitive position, result in a loss of customer confidence, and cause us to incur significant costs to remedy the damages caused by any such disruptions or security breaches. Additionally, any failure to properly manage the collection, handling, transfer or disposal of personal data of employees and customers may result in regulatory penalties, enforcement actions, remediation obligations, litigation, fines and other sanctions.</w:t>
      </w:r>
    </w:p>
    <w:p>
      <w:pPr>
        <w:spacing w:after="0" w:line="185" w:lineRule="exact"/>
        <w:rPr>
          <w:sz w:val="20"/>
          <w:szCs w:val="20"/>
          <w:color w:val="auto"/>
        </w:rPr>
      </w:pPr>
    </w:p>
    <w:p>
      <w:pPr>
        <w:ind w:left="40" w:right="179" w:firstLine="324"/>
        <w:spacing w:after="0" w:line="275" w:lineRule="auto"/>
        <w:rPr>
          <w:sz w:val="20"/>
          <w:szCs w:val="20"/>
          <w:color w:val="auto"/>
        </w:rPr>
      </w:pPr>
      <w:r>
        <w:rPr>
          <w:rFonts w:ascii="Arial" w:cs="Arial" w:eastAsia="Arial" w:hAnsi="Arial"/>
          <w:sz w:val="17"/>
          <w:szCs w:val="17"/>
          <w:color w:val="auto"/>
        </w:rPr>
        <w:t>We may experience attacks on our data, attempts to breach our security and attempts to introduce malicious software into our IT systems. If attacks are successful, we may be unaware of the incident, its magnitude, or its effects until significant harm is done. Any such attack or disruption could result in additional costs related to rebuilding of our internal systems, defending litigation, responding to regulatory actions, or paying damages. Such attacks or disruptions could have a material adverse impact on our business, operations and financial results.</w:t>
      </w:r>
    </w:p>
    <w:p>
      <w:pPr>
        <w:sectPr>
          <w:pgSz w:w="11900" w:h="16838" w:orient="portrait"/>
          <w:cols w:equalWidth="0" w:num="1">
            <w:col w:w="9019"/>
          </w:cols>
          <w:pgMar w:left="1440" w:top="517" w:right="1440" w:bottom="1440" w:gutter="0" w:footer="0" w:header="0"/>
        </w:sectPr>
      </w:pP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9" w:name="page40"/>
    <w:bookmarkEnd w:id="3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0" w:right="299" w:firstLine="324"/>
        <w:spacing w:after="0" w:line="257" w:lineRule="auto"/>
        <w:rPr>
          <w:sz w:val="20"/>
          <w:szCs w:val="20"/>
          <w:color w:val="auto"/>
        </w:rPr>
      </w:pPr>
      <w:r>
        <w:rPr>
          <w:rFonts w:ascii="Arial" w:cs="Arial" w:eastAsia="Arial" w:hAnsi="Arial"/>
          <w:sz w:val="18"/>
          <w:szCs w:val="18"/>
          <w:color w:val="auto"/>
        </w:rPr>
        <w:t>Third-party service providers, such as wafer foundries, assembly and test contractors, distributors and other vendors have access to certain portions of our and our customers’ sensitive data. In the event that these service providers do not properly safeguard the data that they hold, security breaches and loss of data could result. Any such loss of data by our third-party service providers could negatively impact our business, operations and financial results, as well as our relationship with our customers.</w:t>
      </w:r>
    </w:p>
    <w:p>
      <w:pPr>
        <w:spacing w:after="0" w:line="188" w:lineRule="exact"/>
        <w:rPr>
          <w:sz w:val="20"/>
          <w:szCs w:val="20"/>
          <w:color w:val="auto"/>
        </w:rPr>
      </w:pPr>
    </w:p>
    <w:p>
      <w:pPr>
        <w:ind w:left="40" w:right="179"/>
        <w:spacing w:after="0" w:line="277" w:lineRule="auto"/>
        <w:rPr>
          <w:sz w:val="20"/>
          <w:szCs w:val="20"/>
          <w:color w:val="auto"/>
        </w:rPr>
      </w:pPr>
      <w:r>
        <w:rPr>
          <w:rFonts w:ascii="Arial" w:cs="Arial" w:eastAsia="Arial" w:hAnsi="Arial"/>
          <w:sz w:val="18"/>
          <w:szCs w:val="18"/>
          <w:b w:val="1"/>
          <w:bCs w:val="1"/>
          <w:i w:val="1"/>
          <w:iCs w:val="1"/>
          <w:color w:val="auto"/>
        </w:rPr>
        <w:t>Regulations related to “conflict minerals” may force us to incur additional expenses, may make our supply chain more complex and may result in damage to our reputation with customers.</w:t>
      </w:r>
    </w:p>
    <w:p>
      <w:pPr>
        <w:spacing w:after="0" w:line="170" w:lineRule="exact"/>
        <w:rPr>
          <w:sz w:val="20"/>
          <w:szCs w:val="20"/>
          <w:color w:val="auto"/>
        </w:rPr>
      </w:pPr>
    </w:p>
    <w:p>
      <w:pPr>
        <w:ind w:left="40" w:right="79" w:firstLine="324"/>
        <w:spacing w:after="0" w:line="286" w:lineRule="auto"/>
        <w:rPr>
          <w:sz w:val="20"/>
          <w:szCs w:val="20"/>
          <w:color w:val="auto"/>
        </w:rPr>
      </w:pPr>
      <w:r>
        <w:rPr>
          <w:rFonts w:ascii="Arial" w:cs="Arial" w:eastAsia="Arial" w:hAnsi="Arial"/>
          <w:sz w:val="16"/>
          <w:szCs w:val="16"/>
          <w:color w:val="auto"/>
        </w:rPr>
        <w:t>Pursuant to the Dodd-Frank Act, the SEC has adopted requirements for companies that use certain minerals and metals, known as conflict minerals, in their products, whether or not these products are manufactured by third parties. These requirements require companies to perform diligence and disclose and report whether or not such minerals originate from the Democratic Republic of Congo and adjoining countries. These requirements could adversely affect the sourcing, availability and pricing of minerals used in the manufacture of our products, and affect our costs and relationships with customers, distributors and suppliers as we must obtain additional information from them to ensure our compliance with the disclosure requirement. In addition, we incur additional costs in complying with the disclosure requirements, including costs related to determining the source of any of the relevant minerals and metals used in our products. Since our supply chain is complex, we have not been able to sufficiently verify the origins for these minerals and metals used in our products through the due diligence procedures that we implement, which may harm our reputation. In such event, we may also face difficulties in satisfying customers who require that all of the components of our products are certified as conflict mineral free and these customers may discontinue, or materially reduce, purchases of our products, which could result in a material adverse effect on our results of operations and our financial condition may be adversely affected.</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Our results of operations can fluctuate from period to period, which could cause our share price to fluctuate.</w:t>
      </w:r>
    </w:p>
    <w:p>
      <w:pPr>
        <w:spacing w:after="0" w:line="237" w:lineRule="exact"/>
        <w:rPr>
          <w:sz w:val="20"/>
          <w:szCs w:val="20"/>
          <w:color w:val="auto"/>
        </w:rPr>
      </w:pPr>
    </w:p>
    <w:p>
      <w:pPr>
        <w:jc w:val="both"/>
        <w:ind w:left="40" w:right="479" w:firstLine="324"/>
        <w:spacing w:after="0" w:line="286" w:lineRule="auto"/>
        <w:rPr>
          <w:sz w:val="20"/>
          <w:szCs w:val="20"/>
          <w:color w:val="auto"/>
        </w:rPr>
      </w:pPr>
      <w:r>
        <w:rPr>
          <w:rFonts w:ascii="Arial" w:cs="Arial" w:eastAsia="Arial" w:hAnsi="Arial"/>
          <w:sz w:val="17"/>
          <w:szCs w:val="17"/>
          <w:color w:val="auto"/>
        </w:rPr>
        <w:t>Our results of operations have fluctuated in the past and may fluctuate from period to period in the future due to a variety of factors, many of which are beyond our control. Factors relating to our business that may contribute to these fluctuations include the following factors, as well as other factors described elsewhere in this report:</w:t>
      </w:r>
    </w:p>
    <w:p>
      <w:pPr>
        <w:spacing w:after="0" w:line="165" w:lineRule="exact"/>
        <w:rPr>
          <w:sz w:val="20"/>
          <w:szCs w:val="20"/>
          <w:color w:val="auto"/>
        </w:rPr>
      </w:pPr>
    </w:p>
    <w:p>
      <w:pPr>
        <w:ind w:left="660" w:hanging="29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receipt, reduction, delay or cancellation of orders by large customers;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gain or loss of significant customers or distributors;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timing and success of our launch of new or enhanced products and those of our competitors;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market acceptance of our products and our customers’ products;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level of growth or decline in the industrial, automotive, transportation, enterprise storage and other markets;</w:t>
      </w:r>
    </w:p>
    <w:p>
      <w:pPr>
        <w:spacing w:after="0" w:line="248" w:lineRule="exact"/>
        <w:rPr>
          <w:rFonts w:ascii="Arial" w:cs="Arial" w:eastAsia="Arial" w:hAnsi="Arial"/>
          <w:sz w:val="16"/>
          <w:szCs w:val="16"/>
          <w:color w:val="auto"/>
        </w:rPr>
      </w:pPr>
    </w:p>
    <w:p>
      <w:pPr>
        <w:ind w:left="660" w:hanging="29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timing and extent of research and development and sales and marketing expenditures;</w:t>
      </w:r>
    </w:p>
    <w:p>
      <w:pPr>
        <w:spacing w:after="0" w:line="225" w:lineRule="exact"/>
        <w:rPr>
          <w:rFonts w:ascii="Arial" w:cs="Arial" w:eastAsia="Arial" w:hAnsi="Arial"/>
          <w:sz w:val="18"/>
          <w:szCs w:val="18"/>
          <w:color w:val="auto"/>
        </w:rPr>
      </w:pPr>
    </w:p>
    <w:p>
      <w:pPr>
        <w:ind w:left="620" w:right="139" w:hanging="252"/>
        <w:spacing w:after="0" w:line="277" w:lineRule="auto"/>
        <w:tabs>
          <w:tab w:leader="none" w:pos="649"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amount and timing of operating expenses related to the maintenance and expansion of our business, operations and infrastructure;</w:t>
      </w:r>
    </w:p>
    <w:p>
      <w:pPr>
        <w:spacing w:after="0" w:line="170" w:lineRule="exact"/>
        <w:rPr>
          <w:rFonts w:ascii="Arial" w:cs="Arial" w:eastAsia="Arial" w:hAnsi="Arial"/>
          <w:sz w:val="18"/>
          <w:szCs w:val="18"/>
          <w:color w:val="auto"/>
        </w:rPr>
      </w:pPr>
    </w:p>
    <w:p>
      <w:pPr>
        <w:ind w:left="660" w:hanging="29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our product mix;</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reduce the manufacturing costs of our products;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competitive pressures resulting in lower than expected average selling prices;</w:t>
      </w:r>
    </w:p>
    <w:p>
      <w:pPr>
        <w:spacing w:after="0" w:line="225" w:lineRule="exact"/>
        <w:rPr>
          <w:rFonts w:ascii="Arial" w:cs="Arial" w:eastAsia="Arial" w:hAnsi="Arial"/>
          <w:sz w:val="18"/>
          <w:szCs w:val="18"/>
          <w:color w:val="auto"/>
        </w:rPr>
      </w:pPr>
    </w:p>
    <w:p>
      <w:pPr>
        <w:ind w:left="620" w:right="319" w:hanging="252"/>
        <w:spacing w:after="0" w:line="277" w:lineRule="auto"/>
        <w:tabs>
          <w:tab w:leader="none" w:pos="649" w:val="left"/>
        </w:tabs>
        <w:numPr>
          <w:ilvl w:val="0"/>
          <w:numId w:val="11"/>
        </w:numPr>
        <w:rPr>
          <w:rFonts w:ascii="Arial" w:cs="Arial" w:eastAsia="Arial" w:hAnsi="Arial"/>
          <w:sz w:val="18"/>
          <w:szCs w:val="18"/>
          <w:color w:val="auto"/>
        </w:rPr>
      </w:pPr>
      <w:r>
        <w:rPr>
          <w:rFonts w:ascii="Arial" w:cs="Arial" w:eastAsia="Arial" w:hAnsi="Arial"/>
          <w:sz w:val="18"/>
          <w:szCs w:val="18"/>
          <w:color w:val="auto"/>
        </w:rPr>
        <w:t>fluctuations in sales by and inventory levels of OEMs and ODMs that incorporate our memory products in their products;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0" w:name="page41"/>
    <w:bookmarkEnd w:id="4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660" w:hanging="29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cyclical and seasonal fluctuations in our markets;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fluctuations in the manufacturing yields of our third-party manufacturers;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quality issues that arise from manufacturing issues at our third-party manufacturers;</w:t>
      </w:r>
    </w:p>
    <w:p>
      <w:pPr>
        <w:spacing w:after="0" w:line="225" w:lineRule="exact"/>
        <w:rPr>
          <w:rFonts w:ascii="Arial" w:cs="Arial" w:eastAsia="Arial" w:hAnsi="Arial"/>
          <w:sz w:val="18"/>
          <w:szCs w:val="18"/>
          <w:color w:val="auto"/>
        </w:rPr>
      </w:pPr>
    </w:p>
    <w:p>
      <w:pPr>
        <w:jc w:val="both"/>
        <w:ind w:left="620" w:right="179" w:hanging="252"/>
        <w:spacing w:after="0" w:line="263" w:lineRule="auto"/>
        <w:tabs>
          <w:tab w:leader="none" w:pos="649" w:val="left"/>
        </w:tabs>
        <w:numPr>
          <w:ilvl w:val="0"/>
          <w:numId w:val="12"/>
        </w:numPr>
        <w:rPr>
          <w:rFonts w:ascii="Arial" w:cs="Arial" w:eastAsia="Arial" w:hAnsi="Arial"/>
          <w:sz w:val="18"/>
          <w:szCs w:val="18"/>
          <w:color w:val="auto"/>
        </w:rPr>
      </w:pPr>
      <w:r>
        <w:rPr>
          <w:rFonts w:ascii="Arial" w:cs="Arial" w:eastAsia="Arial" w:hAnsi="Arial"/>
          <w:sz w:val="18"/>
          <w:szCs w:val="18"/>
          <w:color w:val="auto"/>
        </w:rPr>
        <w:t>events that impact the availability of production capacity at our third-party subcontractors and other interruptions in the supply chain including due to geopolitical events, natural disasters, materials shortages, bankruptcy or other causes;</w:t>
      </w:r>
    </w:p>
    <w:p>
      <w:pPr>
        <w:spacing w:after="0" w:line="183" w:lineRule="exact"/>
        <w:rPr>
          <w:rFonts w:ascii="Arial" w:cs="Arial" w:eastAsia="Arial" w:hAnsi="Arial"/>
          <w:sz w:val="18"/>
          <w:szCs w:val="18"/>
          <w:color w:val="auto"/>
        </w:rPr>
      </w:pPr>
    </w:p>
    <w:p>
      <w:pPr>
        <w:ind w:left="660" w:hanging="292"/>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supply constraints for and changes in the cost of the other components incorporated into our customers’ products;</w:t>
      </w:r>
    </w:p>
    <w:p>
      <w:pPr>
        <w:spacing w:after="0" w:line="248" w:lineRule="exact"/>
        <w:rPr>
          <w:rFonts w:ascii="Arial" w:cs="Arial" w:eastAsia="Arial" w:hAnsi="Arial"/>
          <w:sz w:val="16"/>
          <w:szCs w:val="16"/>
          <w:color w:val="auto"/>
        </w:rPr>
      </w:pPr>
    </w:p>
    <w:p>
      <w:pPr>
        <w:ind w:left="660" w:hanging="29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timing of expenses related to the acquisition of technologies or businesses;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product rates of return or price concessions in excess of those expected or forecasted;</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costs associated with the repair and replacement of defective products;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unexpected inventory write-downs or write-offs;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costs associated with litigation over intellectual property rights and other litigation;</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changes in accounting standards, such as revenue recognition, which we were required to adopt beginning in 2018;</w:t>
      </w:r>
    </w:p>
    <w:p>
      <w:pPr>
        <w:spacing w:after="0" w:line="248" w:lineRule="exact"/>
        <w:rPr>
          <w:rFonts w:ascii="Arial" w:cs="Arial" w:eastAsia="Arial" w:hAnsi="Arial"/>
          <w:sz w:val="16"/>
          <w:szCs w:val="16"/>
          <w:color w:val="auto"/>
        </w:rPr>
      </w:pPr>
    </w:p>
    <w:p>
      <w:pPr>
        <w:ind w:left="660" w:hanging="29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tax laws, such as the Tax Cuts and Jobs Act of 2017 recently enacted;</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length and unpredictability of the purchasing and budgeting cycles of our customers;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loss of key personnel or the inability to attract qualified engineers; and</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geopolitical events, such as war, threat of war or terrorist actions, or the occurrence of natural disasters.</w:t>
      </w:r>
    </w:p>
    <w:p>
      <w:pPr>
        <w:spacing w:after="0" w:line="225" w:lineRule="exact"/>
        <w:rPr>
          <w:sz w:val="20"/>
          <w:szCs w:val="20"/>
          <w:color w:val="auto"/>
        </w:rPr>
      </w:pPr>
    </w:p>
    <w:p>
      <w:pPr>
        <w:ind w:left="40" w:right="159" w:firstLine="324"/>
        <w:spacing w:after="0" w:line="296" w:lineRule="auto"/>
        <w:rPr>
          <w:sz w:val="20"/>
          <w:szCs w:val="20"/>
          <w:color w:val="auto"/>
        </w:rPr>
      </w:pPr>
      <w:r>
        <w:rPr>
          <w:rFonts w:ascii="Arial" w:cs="Arial" w:eastAsia="Arial" w:hAnsi="Arial"/>
          <w:sz w:val="16"/>
          <w:szCs w:val="16"/>
          <w:color w:val="auto"/>
        </w:rPr>
        <w:t>The semiconductor memory industry is highly cyclical and our markets may experience significant cyclical fluctuations in demand as a result of changing economic conditions, budgeting and buying patterns of customers and other factors. As a result of these and other factors affecting demand for our products and our results of operations in any given period, the results of any prior quarterly or annual periods should not be relied upon as indicative of our future revenue or operating performance. Fluctuations in our revenue and operating results could also cause our stock price to decline.</w:t>
      </w:r>
    </w:p>
    <w:p>
      <w:pPr>
        <w:spacing w:after="0" w:line="16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We expect that the price of our common stock will fluctuate substantially.</w:t>
      </w:r>
    </w:p>
    <w:p>
      <w:pPr>
        <w:spacing w:after="0" w:line="225" w:lineRule="exact"/>
        <w:rPr>
          <w:sz w:val="20"/>
          <w:szCs w:val="20"/>
          <w:color w:val="auto"/>
        </w:rPr>
      </w:pPr>
    </w:p>
    <w:p>
      <w:pPr>
        <w:ind w:left="40" w:right="519" w:firstLine="324"/>
        <w:spacing w:after="0" w:line="277" w:lineRule="auto"/>
        <w:rPr>
          <w:sz w:val="20"/>
          <w:szCs w:val="20"/>
          <w:color w:val="auto"/>
        </w:rPr>
      </w:pPr>
      <w:r>
        <w:rPr>
          <w:rFonts w:ascii="Arial" w:cs="Arial" w:eastAsia="Arial" w:hAnsi="Arial"/>
          <w:sz w:val="18"/>
          <w:szCs w:val="18"/>
          <w:color w:val="auto"/>
        </w:rPr>
        <w:t>The market price of our common stock is likely to be highly volatile and may fluctuate substantially due to many factors, including:</w:t>
      </w:r>
    </w:p>
    <w:p>
      <w:pPr>
        <w:spacing w:after="0" w:line="170" w:lineRule="exact"/>
        <w:rPr>
          <w:sz w:val="20"/>
          <w:szCs w:val="20"/>
          <w:color w:val="auto"/>
        </w:rPr>
      </w:pPr>
    </w:p>
    <w:p>
      <w:pPr>
        <w:ind w:left="660" w:hanging="29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introduction of new products or product enhancements by us or others in our industry;</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disputes or other developments with respect to our or others’ intellectual property rights;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product liability claims or other litigation;</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quarterly variations in our results of operations or those of others in our industry;</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sales of large blocks of our common stock, including sales by our executive officers and directors;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1" w:name="page42"/>
    <w:bookmarkEnd w:id="4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660" w:hanging="29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earnings estimates or recommendations by securities analysts; and</w:t>
      </w:r>
    </w:p>
    <w:p>
      <w:pPr>
        <w:spacing w:after="0" w:line="225" w:lineRule="exact"/>
        <w:rPr>
          <w:rFonts w:ascii="Arial" w:cs="Arial" w:eastAsia="Arial" w:hAnsi="Arial"/>
          <w:sz w:val="18"/>
          <w:szCs w:val="18"/>
          <w:color w:val="auto"/>
        </w:rPr>
      </w:pPr>
    </w:p>
    <w:p>
      <w:pPr>
        <w:ind w:left="620" w:right="619" w:hanging="252"/>
        <w:spacing w:after="0" w:line="277" w:lineRule="auto"/>
        <w:tabs>
          <w:tab w:leader="none" w:pos="649" w:val="left"/>
        </w:tabs>
        <w:numPr>
          <w:ilvl w:val="0"/>
          <w:numId w:val="14"/>
        </w:numPr>
        <w:rPr>
          <w:rFonts w:ascii="Arial" w:cs="Arial" w:eastAsia="Arial" w:hAnsi="Arial"/>
          <w:sz w:val="18"/>
          <w:szCs w:val="18"/>
          <w:color w:val="auto"/>
        </w:rPr>
      </w:pPr>
      <w:r>
        <w:rPr>
          <w:rFonts w:ascii="Arial" w:cs="Arial" w:eastAsia="Arial" w:hAnsi="Arial"/>
          <w:sz w:val="18"/>
          <w:szCs w:val="18"/>
          <w:color w:val="auto"/>
        </w:rPr>
        <w:t>general market conditions and other factors, including factors unrelated to our operating performance or the operating performance of our competitors.</w:t>
      </w:r>
    </w:p>
    <w:p>
      <w:pPr>
        <w:spacing w:after="0" w:line="170" w:lineRule="exact"/>
        <w:rPr>
          <w:sz w:val="20"/>
          <w:szCs w:val="20"/>
          <w:color w:val="auto"/>
        </w:rPr>
      </w:pPr>
    </w:p>
    <w:p>
      <w:pPr>
        <w:jc w:val="both"/>
        <w:ind w:left="40" w:right="339" w:firstLine="324"/>
        <w:spacing w:after="0" w:line="259" w:lineRule="auto"/>
        <w:rPr>
          <w:sz w:val="20"/>
          <w:szCs w:val="20"/>
          <w:color w:val="auto"/>
        </w:rPr>
      </w:pPr>
      <w:r>
        <w:rPr>
          <w:rFonts w:ascii="Arial" w:cs="Arial" w:eastAsia="Arial" w:hAnsi="Arial"/>
          <w:sz w:val="18"/>
          <w:szCs w:val="18"/>
          <w:color w:val="auto"/>
        </w:rPr>
        <w:t>Stock markets generally have experienced extreme price and volume fluctuations that have often been unrelated or disproportionate to the operating performance of those companies. Broad market and industry factors may significantly affect the market price of our common stock, regardless of our actual operating performance. These fluctuations may be even more pronounced in the trading market for our common stock.</w:t>
      </w:r>
    </w:p>
    <w:p>
      <w:pPr>
        <w:spacing w:after="0" w:line="187" w:lineRule="exact"/>
        <w:rPr>
          <w:sz w:val="20"/>
          <w:szCs w:val="20"/>
          <w:color w:val="auto"/>
        </w:rPr>
      </w:pPr>
    </w:p>
    <w:p>
      <w:pPr>
        <w:ind w:left="40" w:right="379" w:firstLine="324"/>
        <w:spacing w:after="0" w:line="257" w:lineRule="auto"/>
        <w:rPr>
          <w:sz w:val="20"/>
          <w:szCs w:val="20"/>
          <w:color w:val="auto"/>
        </w:rPr>
      </w:pPr>
      <w:r>
        <w:rPr>
          <w:rFonts w:ascii="Arial" w:cs="Arial" w:eastAsia="Arial" w:hAnsi="Arial"/>
          <w:sz w:val="18"/>
          <w:szCs w:val="18"/>
          <w:color w:val="auto"/>
        </w:rPr>
        <w:t>In addition, in the past, class action litigation has often been instituted against companies whose securities have experienced periods of volatility in market price, or for other reasons. Securities litigation brought against us following volatility in our stock price or otherwise, regardless of the merit or ultimate results of such litigation, could result in substantial costs, which would hurt our financial condition and operating results and divert management’s attention and resources from our business.</w:t>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These and other factors may make the price of our stock volatile and subject to unexpected fluctuation.</w:t>
      </w:r>
    </w:p>
    <w:p>
      <w:pPr>
        <w:spacing w:after="0" w:line="225" w:lineRule="exact"/>
        <w:rPr>
          <w:sz w:val="20"/>
          <w:szCs w:val="20"/>
          <w:color w:val="auto"/>
        </w:rPr>
      </w:pPr>
    </w:p>
    <w:p>
      <w:pPr>
        <w:ind w:left="40" w:right="179"/>
        <w:spacing w:after="0" w:line="308" w:lineRule="auto"/>
        <w:rPr>
          <w:sz w:val="20"/>
          <w:szCs w:val="20"/>
          <w:color w:val="auto"/>
        </w:rPr>
      </w:pPr>
      <w:r>
        <w:rPr>
          <w:rFonts w:ascii="Arial" w:cs="Arial" w:eastAsia="Arial" w:hAnsi="Arial"/>
          <w:sz w:val="17"/>
          <w:szCs w:val="17"/>
          <w:b w:val="1"/>
          <w:bCs w:val="1"/>
          <w:i w:val="1"/>
          <w:iCs w:val="1"/>
          <w:color w:val="auto"/>
        </w:rPr>
        <w:t>Provisions in our corporate charter documents and under Delaware law could make an acquisition of us more difficult and may prevent attempts by our stockholders to replace or remove our current management.</w:t>
      </w:r>
    </w:p>
    <w:p>
      <w:pPr>
        <w:spacing w:after="0" w:line="146" w:lineRule="exact"/>
        <w:rPr>
          <w:sz w:val="20"/>
          <w:szCs w:val="20"/>
          <w:color w:val="auto"/>
        </w:rPr>
      </w:pPr>
    </w:p>
    <w:p>
      <w:pPr>
        <w:ind w:left="40" w:right="99" w:firstLine="324"/>
        <w:spacing w:after="0" w:line="270" w:lineRule="auto"/>
        <w:rPr>
          <w:sz w:val="20"/>
          <w:szCs w:val="20"/>
          <w:color w:val="auto"/>
        </w:rPr>
      </w:pPr>
      <w:r>
        <w:rPr>
          <w:rFonts w:ascii="Arial" w:cs="Arial" w:eastAsia="Arial" w:hAnsi="Arial"/>
          <w:sz w:val="17"/>
          <w:szCs w:val="17"/>
          <w:color w:val="auto"/>
        </w:rPr>
        <w:t>Provisions in our amended and restated certificate of incorporation and our amended and restated bylaws may discourage, delay or prevent a merger, acquisition or other change in control of us that stockholders may consider favorable, including transactions in which stockholders might otherwise receive a premium for their shares. These provisions could also limit the price that investors might be willing to pay in the future for shares of our common stock, thereby depressing the market price of our common stock. In addition, these provisions may frustrate or prevent any attempts by our stockholders to replace or remove our current management by making it more difficult for stockholders to replace members of our board of directors. Because our board of directors is responsible for appointing the members of our management team, these provisions could in turn affect any attempt by our stockholders to replace current members of our management team. Among others, these provisions include that:</w:t>
      </w:r>
    </w:p>
    <w:p>
      <w:pPr>
        <w:spacing w:after="0" w:line="181" w:lineRule="exact"/>
        <w:rPr>
          <w:sz w:val="20"/>
          <w:szCs w:val="20"/>
          <w:color w:val="auto"/>
        </w:rPr>
      </w:pPr>
    </w:p>
    <w:p>
      <w:pPr>
        <w:ind w:left="620" w:right="139" w:hanging="252"/>
        <w:spacing w:after="0" w:line="263" w:lineRule="auto"/>
        <w:tabs>
          <w:tab w:leader="none" w:pos="649"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board of directors has the right to expand the size of our board of directors and to elect directors to fill a vacancy created by the expansion of the board of directors or the resignation, death or removal of a director, which prevents stockholders from being able to fill vacancies on our board of directors;</w:t>
      </w:r>
    </w:p>
    <w:p>
      <w:pPr>
        <w:spacing w:after="0" w:line="183" w:lineRule="exact"/>
        <w:rPr>
          <w:rFonts w:ascii="Arial" w:cs="Arial" w:eastAsia="Arial" w:hAnsi="Arial"/>
          <w:sz w:val="18"/>
          <w:szCs w:val="18"/>
          <w:color w:val="auto"/>
        </w:rPr>
      </w:pPr>
    </w:p>
    <w:p>
      <w:pPr>
        <w:ind w:left="620" w:right="359" w:hanging="252"/>
        <w:spacing w:after="0" w:line="259" w:lineRule="auto"/>
        <w:tabs>
          <w:tab w:leader="none" w:pos="649"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stockholders may not act by written consent or call special stockholders’ meetings; as a result, a holder, or holders, controlling a majority of our capital stock would not be able to take certain actions other than at annual stockholders’ meetings or special stockholders’ meetings called by the board of directors, the chairman of the board, the chief executive officer or the president;</w:t>
      </w:r>
    </w:p>
    <w:p>
      <w:pPr>
        <w:spacing w:after="0" w:line="186" w:lineRule="exact"/>
        <w:rPr>
          <w:rFonts w:ascii="Arial" w:cs="Arial" w:eastAsia="Arial" w:hAnsi="Arial"/>
          <w:sz w:val="18"/>
          <w:szCs w:val="18"/>
          <w:color w:val="auto"/>
        </w:rPr>
      </w:pPr>
    </w:p>
    <w:p>
      <w:pPr>
        <w:ind w:left="620" w:right="239" w:hanging="252"/>
        <w:spacing w:after="0" w:line="277" w:lineRule="auto"/>
        <w:tabs>
          <w:tab w:leader="none" w:pos="649"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certificate of incorporation prohibits cumulative voting in the election of directors, which limits the ability of minority stockholders to elect director candidates;</w:t>
      </w:r>
    </w:p>
    <w:p>
      <w:pPr>
        <w:spacing w:after="0" w:line="170" w:lineRule="exact"/>
        <w:rPr>
          <w:rFonts w:ascii="Arial" w:cs="Arial" w:eastAsia="Arial" w:hAnsi="Arial"/>
          <w:sz w:val="18"/>
          <w:szCs w:val="18"/>
          <w:color w:val="auto"/>
        </w:rPr>
      </w:pPr>
    </w:p>
    <w:p>
      <w:pPr>
        <w:ind w:left="620" w:right="299" w:hanging="252"/>
        <w:spacing w:after="0" w:line="257" w:lineRule="auto"/>
        <w:tabs>
          <w:tab w:leader="none" w:pos="649"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affirmative vote of holders of at least 66-2/3% of the voting power of all of the then outstanding shares of voting stock, voting as a single class, will be required (a) to amend certain provisions of our certificate of incorporation, including provisions relating to the size of the board, special meetings, actions by written consent and cumulative voting and (b) to amend or repeal our bylaws, although our bylaws may be amended by a simple majority vote of our board of directors;</w:t>
      </w:r>
    </w:p>
    <w:p>
      <w:pPr>
        <w:spacing w:after="0" w:line="187" w:lineRule="exact"/>
        <w:rPr>
          <w:rFonts w:ascii="Arial" w:cs="Arial" w:eastAsia="Arial" w:hAnsi="Arial"/>
          <w:sz w:val="18"/>
          <w:szCs w:val="18"/>
          <w:color w:val="auto"/>
        </w:rPr>
      </w:pPr>
    </w:p>
    <w:p>
      <w:pPr>
        <w:ind w:left="620" w:right="219" w:hanging="252"/>
        <w:spacing w:after="0" w:line="279" w:lineRule="auto"/>
        <w:tabs>
          <w:tab w:leader="none" w:pos="649" w:val="left"/>
        </w:tabs>
        <w:numPr>
          <w:ilvl w:val="0"/>
          <w:numId w:val="15"/>
        </w:numPr>
        <w:rPr>
          <w:rFonts w:ascii="Arial" w:cs="Arial" w:eastAsia="Arial" w:hAnsi="Arial"/>
          <w:sz w:val="17"/>
          <w:szCs w:val="17"/>
          <w:color w:val="auto"/>
        </w:rPr>
      </w:pPr>
      <w:r>
        <w:rPr>
          <w:rFonts w:ascii="Arial" w:cs="Arial" w:eastAsia="Arial" w:hAnsi="Arial"/>
          <w:sz w:val="17"/>
          <w:szCs w:val="17"/>
          <w:color w:val="auto"/>
        </w:rPr>
        <w:t>stockholders must provide advance notice and additional disclosures to nominate individuals for election to the board of directors or to propose matters that can be acted upon at a stockholders’ meeting, which may discourage or deter a potential acquiror from conducting a solicitation of proxies to elect the acquiror’s own slate of directors or otherwise attempting to obtain control of our company; and</w:t>
      </w:r>
    </w:p>
    <w:p>
      <w:pPr>
        <w:spacing w:after="0" w:line="171" w:lineRule="exact"/>
        <w:rPr>
          <w:rFonts w:ascii="Arial" w:cs="Arial" w:eastAsia="Arial" w:hAnsi="Arial"/>
          <w:sz w:val="17"/>
          <w:szCs w:val="17"/>
          <w:color w:val="auto"/>
        </w:rPr>
      </w:pPr>
    </w:p>
    <w:p>
      <w:pPr>
        <w:ind w:left="620" w:right="159" w:hanging="252"/>
        <w:spacing w:after="0" w:line="286" w:lineRule="auto"/>
        <w:tabs>
          <w:tab w:leader="none" w:pos="649" w:val="left"/>
        </w:tabs>
        <w:numPr>
          <w:ilvl w:val="0"/>
          <w:numId w:val="15"/>
        </w:numPr>
        <w:rPr>
          <w:rFonts w:ascii="Arial" w:cs="Arial" w:eastAsia="Arial" w:hAnsi="Arial"/>
          <w:sz w:val="17"/>
          <w:szCs w:val="17"/>
          <w:color w:val="auto"/>
        </w:rPr>
      </w:pPr>
      <w:r>
        <w:rPr>
          <w:rFonts w:ascii="Arial" w:cs="Arial" w:eastAsia="Arial" w:hAnsi="Arial"/>
          <w:sz w:val="17"/>
          <w:szCs w:val="17"/>
          <w:color w:val="auto"/>
        </w:rPr>
        <w:t>our board of directors may issue, without stockholder approval, shares of undesignated preferred stock; the ability to issue undesignated preferred stock makes it possible for our board of directors to issue preferred stock with voting or other rights or preferences that could impede the success of any attempt to acquire us.</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2" w:name="page43"/>
    <w:bookmarkEnd w:id="4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0" w:right="99" w:firstLine="324"/>
        <w:spacing w:after="0" w:line="301" w:lineRule="auto"/>
        <w:rPr>
          <w:sz w:val="20"/>
          <w:szCs w:val="20"/>
          <w:color w:val="auto"/>
        </w:rPr>
      </w:pPr>
      <w:r>
        <w:rPr>
          <w:rFonts w:ascii="Arial" w:cs="Arial" w:eastAsia="Arial" w:hAnsi="Arial"/>
          <w:sz w:val="16"/>
          <w:szCs w:val="16"/>
          <w:color w:val="auto"/>
        </w:rPr>
        <w:t>Moreover, because we are incorporated in Delaware, we are governed by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57" w:lineRule="exact"/>
        <w:rPr>
          <w:sz w:val="20"/>
          <w:szCs w:val="20"/>
          <w:color w:val="auto"/>
        </w:rPr>
      </w:pPr>
    </w:p>
    <w:p>
      <w:pPr>
        <w:ind w:left="40" w:right="139"/>
        <w:spacing w:after="0" w:line="259" w:lineRule="auto"/>
        <w:rPr>
          <w:sz w:val="20"/>
          <w:szCs w:val="20"/>
          <w:color w:val="auto"/>
        </w:rPr>
      </w:pPr>
      <w:r>
        <w:rPr>
          <w:rFonts w:ascii="Arial" w:cs="Arial" w:eastAsia="Arial" w:hAnsi="Arial"/>
          <w:sz w:val="18"/>
          <w:szCs w:val="18"/>
          <w:b w:val="1"/>
          <w:bCs w:val="1"/>
          <w:i w:val="1"/>
          <w:iCs w:val="1"/>
          <w:color w:val="auto"/>
        </w:rPr>
        <w:t>Our certificate of incorporation provides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187" w:lineRule="exact"/>
        <w:rPr>
          <w:sz w:val="20"/>
          <w:szCs w:val="20"/>
          <w:color w:val="auto"/>
        </w:rPr>
      </w:pPr>
    </w:p>
    <w:p>
      <w:pPr>
        <w:ind w:left="40" w:right="79" w:firstLine="324"/>
        <w:spacing w:after="0" w:line="258" w:lineRule="auto"/>
        <w:rPr>
          <w:sz w:val="20"/>
          <w:szCs w:val="20"/>
          <w:color w:val="auto"/>
        </w:rPr>
      </w:pPr>
      <w:r>
        <w:rPr>
          <w:rFonts w:ascii="Arial" w:cs="Arial" w:eastAsia="Arial" w:hAnsi="Arial"/>
          <w:sz w:val="18"/>
          <w:szCs w:val="18"/>
          <w:color w:val="auto"/>
        </w:rPr>
        <w:t>Our certificate of incorporation provides that the Court of Chancery of the State of Delaware is the exclusive forum for the following types of actions or proceedings under Delaware statutory or common law:</w:t>
      </w:r>
    </w:p>
    <w:p>
      <w:pPr>
        <w:spacing w:after="0" w:line="1" w:lineRule="exact"/>
        <w:rPr>
          <w:sz w:val="20"/>
          <w:szCs w:val="20"/>
          <w:color w:val="auto"/>
        </w:rPr>
      </w:pPr>
    </w:p>
    <w:p>
      <w:pPr>
        <w:ind w:left="720" w:hanging="190"/>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9" w:lineRule="exact"/>
        <w:rPr>
          <w:rFonts w:ascii="Arial" w:cs="Arial" w:eastAsia="Arial" w:hAnsi="Arial"/>
          <w:sz w:val="18"/>
          <w:szCs w:val="18"/>
          <w:color w:val="auto"/>
        </w:rPr>
      </w:pPr>
    </w:p>
    <w:p>
      <w:pPr>
        <w:ind w:left="720" w:hanging="190"/>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action asserting a breach of fiduciary duty;</w:t>
      </w:r>
    </w:p>
    <w:p>
      <w:pPr>
        <w:spacing w:after="0" w:line="9" w:lineRule="exact"/>
        <w:rPr>
          <w:rFonts w:ascii="Arial" w:cs="Arial" w:eastAsia="Arial" w:hAnsi="Arial"/>
          <w:sz w:val="18"/>
          <w:szCs w:val="18"/>
          <w:color w:val="auto"/>
        </w:rPr>
      </w:pPr>
    </w:p>
    <w:p>
      <w:pPr>
        <w:ind w:left="720" w:hanging="190"/>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action asserting a claim against us arising under the Delaware General Corporation Law; and</w:t>
      </w:r>
    </w:p>
    <w:p>
      <w:pPr>
        <w:spacing w:after="0" w:line="9" w:lineRule="exact"/>
        <w:rPr>
          <w:rFonts w:ascii="Arial" w:cs="Arial" w:eastAsia="Arial" w:hAnsi="Arial"/>
          <w:sz w:val="18"/>
          <w:szCs w:val="18"/>
          <w:color w:val="auto"/>
        </w:rPr>
      </w:pPr>
    </w:p>
    <w:p>
      <w:pPr>
        <w:ind w:left="720" w:hanging="190"/>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action asserting a claim against us that is governed by the internal-affairs doctrine.</w:t>
      </w:r>
    </w:p>
    <w:p>
      <w:pPr>
        <w:spacing w:after="0" w:line="211" w:lineRule="exact"/>
        <w:rPr>
          <w:sz w:val="20"/>
          <w:szCs w:val="20"/>
          <w:color w:val="auto"/>
        </w:rPr>
      </w:pPr>
    </w:p>
    <w:p>
      <w:pPr>
        <w:ind w:left="40" w:right="79" w:firstLine="324"/>
        <w:spacing w:after="0" w:line="269" w:lineRule="auto"/>
        <w:rPr>
          <w:sz w:val="20"/>
          <w:szCs w:val="20"/>
          <w:color w:val="auto"/>
        </w:rPr>
      </w:pPr>
      <w:r>
        <w:rPr>
          <w:rFonts w:ascii="Arial" w:cs="Arial" w:eastAsia="Arial" w:hAnsi="Arial"/>
          <w:sz w:val="17"/>
          <w:szCs w:val="17"/>
          <w:color w:val="auto"/>
        </w:rPr>
        <w:t xml:space="preserve">This provision would not apply to suits brought to enforce a duty or liability created by the Securities Exchange Act of 1934, as amended.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certificate of incorporation provides </w:t>
      </w:r>
      <w:r>
        <w:rPr>
          <w:rFonts w:ascii="Arial" w:cs="Arial" w:eastAsia="Arial" w:hAnsi="Arial"/>
          <w:sz w:val="17"/>
          <w:szCs w:val="17"/>
          <w:color w:val="212529"/>
        </w:rPr>
        <w:t>that the federal district courts of the United</w:t>
      </w:r>
      <w:r>
        <w:rPr>
          <w:rFonts w:ascii="Arial" w:cs="Arial" w:eastAsia="Arial" w:hAnsi="Arial"/>
          <w:sz w:val="17"/>
          <w:szCs w:val="17"/>
          <w:color w:val="auto"/>
        </w:rPr>
        <w:t xml:space="preserve"> </w:t>
      </w:r>
      <w:r>
        <w:rPr>
          <w:rFonts w:ascii="Arial" w:cs="Arial" w:eastAsia="Arial" w:hAnsi="Arial"/>
          <w:sz w:val="17"/>
          <w:szCs w:val="17"/>
          <w:color w:val="212529"/>
        </w:rPr>
        <w:t>States of America will be the exclusive forum for resolving any complaint asserting a cause of action arising under the Securities Act of 1933, as amended.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179" w:lineRule="exact"/>
        <w:rPr>
          <w:sz w:val="20"/>
          <w:szCs w:val="20"/>
          <w:color w:val="auto"/>
        </w:rPr>
      </w:pPr>
    </w:p>
    <w:p>
      <w:pPr>
        <w:ind w:left="40" w:right="179" w:firstLine="324"/>
        <w:spacing w:after="0" w:line="275" w:lineRule="auto"/>
        <w:rPr>
          <w:sz w:val="20"/>
          <w:szCs w:val="20"/>
          <w:color w:val="auto"/>
        </w:rPr>
      </w:pPr>
      <w:r>
        <w:rPr>
          <w:rFonts w:ascii="Arial" w:cs="Arial" w:eastAsia="Arial" w:hAnsi="Arial"/>
          <w:sz w:val="17"/>
          <w:szCs w:val="17"/>
          <w:color w:val="212529"/>
        </w:rPr>
        <w:t xml:space="preserve">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certificate of incorporation to be inapplicable or unenforceable in an action, we may incur </w:t>
      </w:r>
      <w:r>
        <w:rPr>
          <w:rFonts w:ascii="Arial" w:cs="Arial" w:eastAsia="Arial" w:hAnsi="Arial"/>
          <w:sz w:val="17"/>
          <w:szCs w:val="17"/>
          <w:color w:val="000000"/>
        </w:rPr>
        <w:t>further significant</w:t>
      </w:r>
      <w:r>
        <w:rPr>
          <w:rFonts w:ascii="Arial" w:cs="Arial" w:eastAsia="Arial" w:hAnsi="Arial"/>
          <w:sz w:val="17"/>
          <w:szCs w:val="17"/>
          <w:color w:val="212529"/>
        </w:rPr>
        <w:t xml:space="preserve"> additional costs associated with resolving the dispute in other jurisdictions, </w:t>
      </w:r>
      <w:r>
        <w:rPr>
          <w:rFonts w:ascii="Arial" w:cs="Arial" w:eastAsia="Arial" w:hAnsi="Arial"/>
          <w:sz w:val="17"/>
          <w:szCs w:val="17"/>
          <w:color w:val="000000"/>
        </w:rPr>
        <w:t>all of</w:t>
      </w:r>
      <w:r>
        <w:rPr>
          <w:rFonts w:ascii="Arial" w:cs="Arial" w:eastAsia="Arial" w:hAnsi="Arial"/>
          <w:sz w:val="17"/>
          <w:szCs w:val="17"/>
          <w:color w:val="212529"/>
        </w:rPr>
        <w:t xml:space="preserve"> which could seriously harm our business.</w:t>
      </w:r>
    </w:p>
    <w:p>
      <w:pPr>
        <w:spacing w:after="0" w:line="38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40" w:right="99" w:firstLine="324"/>
        <w:spacing w:after="0" w:line="273" w:lineRule="auto"/>
        <w:rPr>
          <w:sz w:val="20"/>
          <w:szCs w:val="20"/>
          <w:color w:val="auto"/>
        </w:rPr>
      </w:pPr>
      <w:r>
        <w:rPr>
          <w:rFonts w:ascii="Arial" w:cs="Arial" w:eastAsia="Arial" w:hAnsi="Arial"/>
          <w:sz w:val="17"/>
          <w:szCs w:val="17"/>
          <w:color w:val="auto"/>
        </w:rPr>
        <w:t>In July 2020, we executed an amendment to the 2019 Credit Facility with Silicon Valley Bank. The amendment extended the initial 12 months interest-only period for the term loan to a 16 months interest only period. The floor interest rate has been lowered by 100 basis points. The 2019 Term Loan bears interest at a floating rate equal to the WSJ prime rate minus 0.75%, subject to a floor of 3.75% p.a. The floor interest rate for the Line of Credit Facility has been lowered by 200 basis points. The Line of Credit now bears interest at a floating rate equal to the Wall Street Journal (WSJ) prime rate plus 1.5%, per annum, subject to a floor of 4.75% p.a.</w:t>
      </w:r>
    </w:p>
    <w:p>
      <w:pPr>
        <w:spacing w:after="0" w:line="178" w:lineRule="exact"/>
        <w:rPr>
          <w:sz w:val="20"/>
          <w:szCs w:val="20"/>
          <w:color w:val="auto"/>
        </w:rPr>
      </w:pPr>
    </w:p>
    <w:p>
      <w:pPr>
        <w:ind w:left="40" w:right="199" w:firstLine="324"/>
        <w:spacing w:after="0" w:line="259" w:lineRule="auto"/>
        <w:rPr>
          <w:sz w:val="20"/>
          <w:szCs w:val="20"/>
          <w:color w:val="auto"/>
        </w:rPr>
      </w:pPr>
      <w:r>
        <w:rPr>
          <w:rFonts w:ascii="Arial" w:cs="Arial" w:eastAsia="Arial" w:hAnsi="Arial"/>
          <w:sz w:val="18"/>
          <w:szCs w:val="18"/>
          <w:color w:val="auto"/>
        </w:rPr>
        <w:t>In conjunction with entering into the First Amendment to the 2019 Credit Facility, on July 15, 2020, we issued a warrant to Silicon Valley Bank to purchase 21,500 shares of our common stock at $0.01 per share. The warrant expires on July 15, 2025. The warrant was issued in reliance on Section 4(a)(2) of the Securities Act of 1933, as amended, in that it was issued to one sophisticated investor.</w:t>
      </w:r>
    </w:p>
    <w:p>
      <w:pPr>
        <w:spacing w:after="0" w:line="18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3" w:name="page44"/>
    <w:bookmarkEnd w:id="4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8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6. Exhibits</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INDEX</w:t>
      </w:r>
    </w:p>
    <w:p>
      <w:pPr>
        <w:spacing w:after="0" w:line="16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88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Exhibit</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80" w:type="dxa"/>
            <w:vAlign w:val="bottom"/>
            <w:gridSpan w:val="6"/>
          </w:tcPr>
          <w:p>
            <w:pPr>
              <w:ind w:left="460"/>
              <w:spacing w:after="0"/>
              <w:rPr>
                <w:sz w:val="20"/>
                <w:szCs w:val="20"/>
                <w:color w:val="auto"/>
              </w:rPr>
            </w:pPr>
            <w:r>
              <w:rPr>
                <w:rFonts w:ascii="Arial" w:cs="Arial" w:eastAsia="Arial" w:hAnsi="Arial"/>
                <w:sz w:val="14"/>
                <w:szCs w:val="14"/>
                <w:b w:val="1"/>
                <w:bCs w:val="1"/>
                <w:color w:val="auto"/>
              </w:rPr>
              <w:t>Incorporation By Reference</w:t>
            </w: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8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20" w:type="dxa"/>
            <w:vAlign w:val="bottom"/>
            <w:gridSpan w:val="21"/>
            <w:vMerge w:val="restart"/>
          </w:tcPr>
          <w:p>
            <w:pPr>
              <w:ind w:left="400"/>
              <w:spacing w:after="0"/>
              <w:rPr>
                <w:sz w:val="20"/>
                <w:szCs w:val="20"/>
                <w:color w:val="auto"/>
              </w:rPr>
            </w:pPr>
            <w:r>
              <w:rPr>
                <w:rFonts w:ascii="Arial" w:cs="Arial" w:eastAsia="Arial" w:hAnsi="Arial"/>
                <w:sz w:val="14"/>
                <w:szCs w:val="14"/>
                <w:b w:val="1"/>
                <w:bCs w:val="1"/>
                <w:color w:val="auto"/>
              </w:rPr>
              <w:t>Description</w:t>
            </w:r>
          </w:p>
        </w:tc>
        <w:tc>
          <w:tcPr>
            <w:tcW w:w="720" w:type="dxa"/>
            <w:vAlign w:val="bottom"/>
            <w:tcBorders>
              <w:top w:val="single" w:sz="8" w:color="auto"/>
            </w:tcBorders>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7"/>
              </w:rPr>
              <w:t>Form</w:t>
            </w:r>
          </w:p>
        </w:tc>
        <w:tc>
          <w:tcPr>
            <w:tcW w:w="1140" w:type="dxa"/>
            <w:vAlign w:val="bottom"/>
            <w:tcBorders>
              <w:top w:val="single" w:sz="8" w:color="auto"/>
            </w:tcBorders>
            <w:gridSpan w:val="2"/>
            <w:vMerge w:val="restart"/>
          </w:tcPr>
          <w:p>
            <w:pPr>
              <w:ind w:left="100"/>
              <w:spacing w:after="0"/>
              <w:rPr>
                <w:sz w:val="20"/>
                <w:szCs w:val="20"/>
                <w:color w:val="auto"/>
              </w:rPr>
            </w:pPr>
            <w:r>
              <w:rPr>
                <w:rFonts w:ascii="Arial" w:cs="Arial" w:eastAsia="Arial" w:hAnsi="Arial"/>
                <w:sz w:val="14"/>
                <w:szCs w:val="14"/>
                <w:b w:val="1"/>
                <w:bCs w:val="1"/>
                <w:color w:val="auto"/>
              </w:rPr>
              <w:t>SEC File No.</w:t>
            </w:r>
          </w:p>
        </w:tc>
        <w:tc>
          <w:tcPr>
            <w:tcW w:w="7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Exhibit/</w:t>
            </w:r>
          </w:p>
        </w:tc>
        <w:tc>
          <w:tcPr>
            <w:tcW w:w="140" w:type="dxa"/>
            <w:vAlign w:val="bottom"/>
          </w:tcPr>
          <w:p>
            <w:pPr>
              <w:spacing w:after="0"/>
              <w:rPr>
                <w:sz w:val="10"/>
                <w:szCs w:val="10"/>
                <w:color w:val="auto"/>
              </w:rPr>
            </w:pPr>
          </w:p>
        </w:tc>
        <w:tc>
          <w:tcPr>
            <w:tcW w:w="152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71"/>
        </w:trPr>
        <w:tc>
          <w:tcPr>
            <w:tcW w:w="880" w:type="dxa"/>
            <w:vAlign w:val="bottom"/>
          </w:tcPr>
          <w:p>
            <w:pPr>
              <w:ind w:left="180"/>
              <w:spacing w:after="0"/>
              <w:rPr>
                <w:sz w:val="20"/>
                <w:szCs w:val="20"/>
                <w:color w:val="auto"/>
              </w:rPr>
            </w:pPr>
            <w:r>
              <w:rPr>
                <w:rFonts w:ascii="Arial" w:cs="Arial" w:eastAsia="Arial" w:hAnsi="Arial"/>
                <w:sz w:val="14"/>
                <w:szCs w:val="14"/>
                <w:b w:val="1"/>
                <w:bCs w:val="1"/>
                <w:color w:val="auto"/>
              </w:rPr>
              <w:t>Number</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20" w:type="dxa"/>
            <w:vAlign w:val="bottom"/>
            <w:gridSpan w:val="21"/>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Reference</w:t>
            </w:r>
          </w:p>
        </w:tc>
        <w:tc>
          <w:tcPr>
            <w:tcW w:w="1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8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color w:val="auto"/>
              </w:rPr>
              <w:t>3.1</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40" w:type="dxa"/>
            <w:vAlign w:val="bottom"/>
            <w:tcBorders>
              <w:top w:val="single" w:sz="8" w:color="auto"/>
            </w:tcBorders>
            <w:gridSpan w:val="22"/>
          </w:tcPr>
          <w:p>
            <w:pPr>
              <w:spacing w:after="0" w:line="169" w:lineRule="exact"/>
              <w:rPr>
                <w:rFonts w:ascii="Arial" w:cs="Arial" w:eastAsia="Arial" w:hAnsi="Arial"/>
                <w:sz w:val="18"/>
                <w:szCs w:val="18"/>
                <w:color w:val="0000EE"/>
              </w:rPr>
            </w:pPr>
            <w:hyperlink r:id="rId64">
              <w:r>
                <w:rPr>
                  <w:rFonts w:ascii="Arial" w:cs="Arial" w:eastAsia="Arial" w:hAnsi="Arial"/>
                  <w:sz w:val="18"/>
                  <w:szCs w:val="18"/>
                  <w:color w:val="0000EE"/>
                </w:rPr>
                <w:t>Amended and Restated Certificate of</w:t>
              </w:r>
            </w:hyperlink>
          </w:p>
        </w:tc>
        <w:tc>
          <w:tcPr>
            <w:tcW w:w="140" w:type="dxa"/>
            <w:vAlign w:val="bottom"/>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6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r:id="rId64">
              <w:r>
                <w:rPr>
                  <w:rFonts w:ascii="Arial" w:cs="Arial" w:eastAsia="Arial" w:hAnsi="Arial"/>
                  <w:sz w:val="18"/>
                  <w:szCs w:val="18"/>
                  <w:color w:val="0000EE"/>
                </w:rPr>
                <w:t>Incorporation</w:t>
              </w:r>
            </w:hyperlink>
          </w:p>
        </w:tc>
        <w:tc>
          <w:tcPr>
            <w:tcW w:w="940" w:type="dxa"/>
            <w:vAlign w:val="bottom"/>
            <w:gridSpan w:val="15"/>
          </w:tcPr>
          <w:p>
            <w:pPr>
              <w:spacing w:after="0"/>
              <w:rPr>
                <w:sz w:val="17"/>
                <w:szCs w:val="17"/>
                <w:color w:val="auto"/>
              </w:rPr>
            </w:pPr>
          </w:p>
        </w:tc>
        <w:tc>
          <w:tcPr>
            <w:tcW w:w="720" w:type="dxa"/>
            <w:vAlign w:val="bottom"/>
            <w:gridSpan w:val="2"/>
          </w:tcPr>
          <w:p>
            <w:pPr>
              <w:jc w:val="center"/>
              <w:ind w:right="160"/>
              <w:spacing w:after="0" w:line="196" w:lineRule="exact"/>
              <w:rPr>
                <w:sz w:val="20"/>
                <w:szCs w:val="20"/>
                <w:color w:val="auto"/>
              </w:rPr>
            </w:pPr>
            <w:r>
              <w:rPr>
                <w:rFonts w:ascii="Arial" w:cs="Arial" w:eastAsia="Arial" w:hAnsi="Arial"/>
                <w:sz w:val="18"/>
                <w:szCs w:val="18"/>
                <w:color w:val="auto"/>
                <w:w w:val="99"/>
              </w:rPr>
              <w:t>8-K</w:t>
            </w:r>
          </w:p>
        </w:tc>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90"/>
              </w:rPr>
              <w:t>001-37900</w:t>
            </w:r>
          </w:p>
        </w:tc>
        <w:tc>
          <w:tcPr>
            <w:tcW w:w="160" w:type="dxa"/>
            <w:vAlign w:val="bottom"/>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Arial" w:cs="Arial" w:eastAsia="Arial" w:hAnsi="Arial"/>
                <w:sz w:val="18"/>
                <w:szCs w:val="18"/>
                <w:color w:val="auto"/>
                <w:w w:val="87"/>
              </w:rPr>
              <w:t>3.1</w:t>
            </w:r>
          </w:p>
        </w:tc>
        <w:tc>
          <w:tcPr>
            <w:tcW w:w="140" w:type="dxa"/>
            <w:vAlign w:val="bottom"/>
          </w:tcPr>
          <w:p>
            <w:pPr>
              <w:spacing w:after="0"/>
              <w:rPr>
                <w:sz w:val="17"/>
                <w:szCs w:val="17"/>
                <w:color w:val="auto"/>
              </w:rPr>
            </w:pPr>
          </w:p>
        </w:tc>
        <w:tc>
          <w:tcPr>
            <w:tcW w:w="1520" w:type="dxa"/>
            <w:vAlign w:val="bottom"/>
          </w:tcPr>
          <w:p>
            <w:pPr>
              <w:jc w:val="center"/>
              <w:spacing w:after="0" w:line="196" w:lineRule="exact"/>
              <w:rPr>
                <w:sz w:val="20"/>
                <w:szCs w:val="20"/>
                <w:color w:val="auto"/>
              </w:rPr>
            </w:pPr>
            <w:r>
              <w:rPr>
                <w:rFonts w:ascii="Arial" w:cs="Arial" w:eastAsia="Arial" w:hAnsi="Arial"/>
                <w:sz w:val="18"/>
                <w:szCs w:val="18"/>
                <w:color w:val="auto"/>
                <w:w w:val="90"/>
              </w:rPr>
              <w:t>10/13/2016</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80" w:type="dxa"/>
            <w:vAlign w:val="bottom"/>
          </w:tcPr>
          <w:p>
            <w:pPr>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18"/>
                <w:szCs w:val="18"/>
                <w:color w:val="auto"/>
              </w:rPr>
            </w:pPr>
          </w:p>
        </w:tc>
        <w:tc>
          <w:tcPr>
            <w:tcW w:w="3600" w:type="dxa"/>
            <w:vAlign w:val="bottom"/>
            <w:gridSpan w:val="24"/>
          </w:tcPr>
          <w:p>
            <w:pPr>
              <w:spacing w:after="0"/>
              <w:rPr>
                <w:rFonts w:ascii="Arial" w:cs="Arial" w:eastAsia="Arial" w:hAnsi="Arial"/>
                <w:sz w:val="18"/>
                <w:szCs w:val="18"/>
                <w:color w:val="0000EE"/>
              </w:rPr>
            </w:pPr>
            <w:hyperlink r:id="rId65">
              <w:r>
                <w:rPr>
                  <w:rFonts w:ascii="Arial" w:cs="Arial" w:eastAsia="Arial" w:hAnsi="Arial"/>
                  <w:sz w:val="18"/>
                  <w:szCs w:val="18"/>
                  <w:color w:val="0000EE"/>
                </w:rPr>
                <w:t xml:space="preserve">Amendment </w:t>
              </w:r>
              <w:r>
                <w:rPr>
                  <w:rFonts w:ascii="Arial" w:cs="Arial" w:eastAsia="Arial" w:hAnsi="Arial"/>
                  <w:sz w:val="18"/>
                  <w:szCs w:val="18"/>
                  <w:color w:val="0000EE"/>
                  <w:highlight w:val="white"/>
                </w:rPr>
                <w:t>to Amended and Restated</w:t>
              </w:r>
            </w:hyperlink>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3"/>
              </w:rPr>
            </w:pPr>
            <w:hyperlink r:id="rId65">
              <w:r>
                <w:rPr>
                  <w:rFonts w:ascii="Arial" w:cs="Arial" w:eastAsia="Arial" w:hAnsi="Arial"/>
                  <w:sz w:val="18"/>
                  <w:szCs w:val="18"/>
                  <w:color w:val="0000EE"/>
                  <w:w w:val="93"/>
                </w:rPr>
                <w:t>Certificate of Incorporation</w:t>
              </w:r>
            </w:hyperlink>
          </w:p>
        </w:tc>
        <w:tc>
          <w:tcPr>
            <w:tcW w:w="780" w:type="dxa"/>
            <w:vAlign w:val="bottom"/>
            <w:tcBorders>
              <w:top w:val="single" w:sz="8" w:color="0000EE"/>
            </w:tcBorders>
            <w:gridSpan w:val="3"/>
          </w:tcPr>
          <w:p>
            <w:pPr>
              <w:spacing w:after="0"/>
              <w:rPr>
                <w:sz w:val="17"/>
                <w:szCs w:val="17"/>
                <w:color w:val="auto"/>
              </w:rPr>
            </w:pPr>
          </w:p>
        </w:tc>
        <w:tc>
          <w:tcPr>
            <w:tcW w:w="820" w:type="dxa"/>
            <w:vAlign w:val="bottom"/>
            <w:gridSpan w:val="14"/>
          </w:tcPr>
          <w:p>
            <w:pPr>
              <w:spacing w:after="0"/>
              <w:rPr>
                <w:sz w:val="17"/>
                <w:szCs w:val="17"/>
                <w:color w:val="auto"/>
              </w:rPr>
            </w:pPr>
          </w:p>
        </w:tc>
        <w:tc>
          <w:tcPr>
            <w:tcW w:w="720" w:type="dxa"/>
            <w:vAlign w:val="bottom"/>
            <w:gridSpan w:val="2"/>
          </w:tcPr>
          <w:p>
            <w:pPr>
              <w:jc w:val="center"/>
              <w:ind w:right="160"/>
              <w:spacing w:after="0" w:line="196" w:lineRule="exact"/>
              <w:rPr>
                <w:sz w:val="20"/>
                <w:szCs w:val="20"/>
                <w:color w:val="auto"/>
              </w:rPr>
            </w:pPr>
            <w:r>
              <w:rPr>
                <w:rFonts w:ascii="Arial" w:cs="Arial" w:eastAsia="Arial" w:hAnsi="Arial"/>
                <w:sz w:val="18"/>
                <w:szCs w:val="18"/>
                <w:color w:val="auto"/>
                <w:w w:val="99"/>
              </w:rPr>
              <w:t>8-K</w:t>
            </w:r>
          </w:p>
        </w:tc>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90"/>
              </w:rPr>
              <w:t>001-37900</w:t>
            </w:r>
          </w:p>
        </w:tc>
        <w:tc>
          <w:tcPr>
            <w:tcW w:w="160" w:type="dxa"/>
            <w:vAlign w:val="bottom"/>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Arial" w:cs="Arial" w:eastAsia="Arial" w:hAnsi="Arial"/>
                <w:sz w:val="18"/>
                <w:szCs w:val="18"/>
                <w:color w:val="auto"/>
                <w:w w:val="87"/>
              </w:rPr>
              <w:t>3.1</w:t>
            </w:r>
          </w:p>
        </w:tc>
        <w:tc>
          <w:tcPr>
            <w:tcW w:w="140" w:type="dxa"/>
            <w:vAlign w:val="bottom"/>
          </w:tcPr>
          <w:p>
            <w:pPr>
              <w:spacing w:after="0"/>
              <w:rPr>
                <w:sz w:val="17"/>
                <w:szCs w:val="17"/>
                <w:color w:val="auto"/>
              </w:rPr>
            </w:pPr>
          </w:p>
        </w:tc>
        <w:tc>
          <w:tcPr>
            <w:tcW w:w="1520" w:type="dxa"/>
            <w:vAlign w:val="bottom"/>
          </w:tcPr>
          <w:p>
            <w:pPr>
              <w:jc w:val="center"/>
              <w:spacing w:after="0" w:line="196" w:lineRule="exact"/>
              <w:rPr>
                <w:sz w:val="20"/>
                <w:szCs w:val="20"/>
                <w:color w:val="auto"/>
              </w:rPr>
            </w:pPr>
            <w:r>
              <w:rPr>
                <w:rFonts w:ascii="Arial" w:cs="Arial" w:eastAsia="Arial" w:hAnsi="Arial"/>
                <w:sz w:val="18"/>
                <w:szCs w:val="18"/>
                <w:color w:val="auto"/>
                <w:w w:val="89"/>
              </w:rPr>
              <w:t>5/22/2019</w:t>
            </w:r>
          </w:p>
        </w:tc>
        <w:tc>
          <w:tcPr>
            <w:tcW w:w="0" w:type="dxa"/>
            <w:vAlign w:val="bottom"/>
          </w:tcPr>
          <w:p>
            <w:pPr>
              <w:spacing w:after="0"/>
              <w:rPr>
                <w:sz w:val="1"/>
                <w:szCs w:val="1"/>
                <w:color w:val="auto"/>
              </w:rPr>
            </w:pPr>
          </w:p>
        </w:tc>
      </w:tr>
      <w:tr>
        <w:trPr>
          <w:trHeight w:val="263"/>
        </w:trPr>
        <w:tc>
          <w:tcPr>
            <w:tcW w:w="880" w:type="dxa"/>
            <w:vAlign w:val="bottom"/>
          </w:tcPr>
          <w:p>
            <w:pPr>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22"/>
                <w:szCs w:val="22"/>
                <w:color w:val="auto"/>
              </w:rPr>
            </w:pPr>
          </w:p>
        </w:tc>
        <w:tc>
          <w:tcPr>
            <w:tcW w:w="3600" w:type="dxa"/>
            <w:vAlign w:val="bottom"/>
            <w:gridSpan w:val="24"/>
          </w:tcPr>
          <w:p>
            <w:pPr>
              <w:spacing w:after="0"/>
              <w:rPr>
                <w:rFonts w:ascii="Arial" w:cs="Arial" w:eastAsia="Arial" w:hAnsi="Arial"/>
                <w:sz w:val="18"/>
                <w:szCs w:val="18"/>
                <w:color w:val="0000EE"/>
              </w:rPr>
            </w:pPr>
            <w:hyperlink r:id="rId66">
              <w:r>
                <w:rPr>
                  <w:rFonts w:ascii="Arial" w:cs="Arial" w:eastAsia="Arial" w:hAnsi="Arial"/>
                  <w:sz w:val="18"/>
                  <w:szCs w:val="18"/>
                  <w:color w:val="0000EE"/>
                </w:rPr>
                <w:t>Amendment to Amended and Restated</w:t>
              </w:r>
            </w:hyperlink>
          </w:p>
        </w:tc>
        <w:tc>
          <w:tcPr>
            <w:tcW w:w="5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2"/>
              </w:rPr>
            </w:pPr>
            <w:hyperlink r:id="rId66">
              <w:r>
                <w:rPr>
                  <w:rFonts w:ascii="Arial" w:cs="Arial" w:eastAsia="Arial" w:hAnsi="Arial"/>
                  <w:sz w:val="18"/>
                  <w:szCs w:val="18"/>
                  <w:color w:val="0000EE"/>
                  <w:w w:val="92"/>
                </w:rPr>
                <w:t>Certificate of Incorporation</w:t>
              </w:r>
            </w:hyperlink>
          </w:p>
        </w:tc>
        <w:tc>
          <w:tcPr>
            <w:tcW w:w="800" w:type="dxa"/>
            <w:vAlign w:val="bottom"/>
            <w:tcBorders>
              <w:top w:val="single" w:sz="8" w:color="0000EE"/>
            </w:tcBorders>
            <w:gridSpan w:val="4"/>
          </w:tcPr>
          <w:p>
            <w:pPr>
              <w:spacing w:after="0"/>
              <w:rPr>
                <w:sz w:val="17"/>
                <w:szCs w:val="17"/>
                <w:color w:val="auto"/>
              </w:rPr>
            </w:pPr>
          </w:p>
        </w:tc>
        <w:tc>
          <w:tcPr>
            <w:tcW w:w="820" w:type="dxa"/>
            <w:vAlign w:val="bottom"/>
            <w:gridSpan w:val="14"/>
          </w:tcPr>
          <w:p>
            <w:pPr>
              <w:spacing w:after="0"/>
              <w:rPr>
                <w:sz w:val="17"/>
                <w:szCs w:val="17"/>
                <w:color w:val="auto"/>
              </w:rPr>
            </w:pPr>
          </w:p>
        </w:tc>
        <w:tc>
          <w:tcPr>
            <w:tcW w:w="720" w:type="dxa"/>
            <w:vAlign w:val="bottom"/>
            <w:gridSpan w:val="2"/>
          </w:tcPr>
          <w:p>
            <w:pPr>
              <w:jc w:val="center"/>
              <w:ind w:right="160"/>
              <w:spacing w:after="0" w:line="196" w:lineRule="exact"/>
              <w:rPr>
                <w:sz w:val="20"/>
                <w:szCs w:val="20"/>
                <w:color w:val="auto"/>
              </w:rPr>
            </w:pPr>
            <w:r>
              <w:rPr>
                <w:rFonts w:ascii="Arial" w:cs="Arial" w:eastAsia="Arial" w:hAnsi="Arial"/>
                <w:sz w:val="18"/>
                <w:szCs w:val="18"/>
                <w:color w:val="auto"/>
                <w:w w:val="99"/>
              </w:rPr>
              <w:t>8-K</w:t>
            </w:r>
          </w:p>
        </w:tc>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90"/>
              </w:rPr>
              <w:t>001-37900</w:t>
            </w:r>
          </w:p>
        </w:tc>
        <w:tc>
          <w:tcPr>
            <w:tcW w:w="160" w:type="dxa"/>
            <w:vAlign w:val="bottom"/>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Arial" w:cs="Arial" w:eastAsia="Arial" w:hAnsi="Arial"/>
                <w:sz w:val="18"/>
                <w:szCs w:val="18"/>
                <w:color w:val="auto"/>
                <w:w w:val="87"/>
              </w:rPr>
              <w:t>3.1</w:t>
            </w:r>
          </w:p>
        </w:tc>
        <w:tc>
          <w:tcPr>
            <w:tcW w:w="140" w:type="dxa"/>
            <w:vAlign w:val="bottom"/>
          </w:tcPr>
          <w:p>
            <w:pPr>
              <w:spacing w:after="0"/>
              <w:rPr>
                <w:sz w:val="17"/>
                <w:szCs w:val="17"/>
                <w:color w:val="auto"/>
              </w:rPr>
            </w:pPr>
          </w:p>
        </w:tc>
        <w:tc>
          <w:tcPr>
            <w:tcW w:w="1520" w:type="dxa"/>
            <w:vAlign w:val="bottom"/>
          </w:tcPr>
          <w:p>
            <w:pPr>
              <w:jc w:val="center"/>
              <w:spacing w:after="0" w:line="196" w:lineRule="exact"/>
              <w:rPr>
                <w:sz w:val="20"/>
                <w:szCs w:val="20"/>
                <w:color w:val="auto"/>
              </w:rPr>
            </w:pPr>
            <w:r>
              <w:rPr>
                <w:rFonts w:ascii="Arial" w:cs="Arial" w:eastAsia="Arial" w:hAnsi="Arial"/>
                <w:sz w:val="18"/>
                <w:szCs w:val="18"/>
                <w:color w:val="auto"/>
                <w:w w:val="89"/>
              </w:rPr>
              <w:t>5/27/2020</w:t>
            </w:r>
          </w:p>
        </w:tc>
        <w:tc>
          <w:tcPr>
            <w:tcW w:w="0" w:type="dxa"/>
            <w:vAlign w:val="bottom"/>
          </w:tcPr>
          <w:p>
            <w:pPr>
              <w:spacing w:after="0"/>
              <w:rPr>
                <w:sz w:val="1"/>
                <w:szCs w:val="1"/>
                <w:color w:val="auto"/>
              </w:rPr>
            </w:pPr>
          </w:p>
        </w:tc>
      </w:tr>
      <w:tr>
        <w:trPr>
          <w:trHeight w:val="250"/>
        </w:trPr>
        <w:tc>
          <w:tcPr>
            <w:tcW w:w="880" w:type="dxa"/>
            <w:vAlign w:val="bottom"/>
          </w:tcPr>
          <w:p>
            <w:pPr>
              <w:spacing w:after="0"/>
              <w:rPr>
                <w:sz w:val="20"/>
                <w:szCs w:val="20"/>
                <w:color w:val="auto"/>
              </w:rPr>
            </w:pPr>
            <w:r>
              <w:rPr>
                <w:rFonts w:ascii="Arial" w:cs="Arial" w:eastAsia="Arial" w:hAnsi="Arial"/>
                <w:sz w:val="18"/>
                <w:szCs w:val="18"/>
                <w:color w:val="auto"/>
              </w:rPr>
              <w:t>3.4</w:t>
            </w:r>
          </w:p>
        </w:tc>
        <w:tc>
          <w:tcPr>
            <w:tcW w:w="140" w:type="dxa"/>
            <w:vAlign w:val="bottom"/>
          </w:tcPr>
          <w:p>
            <w:pPr>
              <w:spacing w:after="0"/>
              <w:rPr>
                <w:sz w:val="21"/>
                <w:szCs w:val="21"/>
                <w:color w:val="auto"/>
              </w:rPr>
            </w:pPr>
          </w:p>
        </w:tc>
        <w:tc>
          <w:tcPr>
            <w:tcW w:w="3600" w:type="dxa"/>
            <w:vAlign w:val="bottom"/>
            <w:gridSpan w:val="24"/>
          </w:tcPr>
          <w:p>
            <w:pPr>
              <w:spacing w:after="0"/>
              <w:rPr>
                <w:rFonts w:ascii="Arial" w:cs="Arial" w:eastAsia="Arial" w:hAnsi="Arial"/>
                <w:sz w:val="18"/>
                <w:szCs w:val="18"/>
                <w:u w:val="single" w:color="auto"/>
                <w:color w:val="0000EE"/>
              </w:rPr>
            </w:pPr>
            <w:hyperlink r:id="rId67">
              <w:r>
                <w:rPr>
                  <w:rFonts w:ascii="Arial" w:cs="Arial" w:eastAsia="Arial" w:hAnsi="Arial"/>
                  <w:sz w:val="18"/>
                  <w:szCs w:val="18"/>
                  <w:u w:val="single" w:color="auto"/>
                  <w:color w:val="0000EE"/>
                </w:rPr>
                <w:t>Bylaws</w:t>
              </w:r>
            </w:hyperlink>
          </w:p>
        </w:tc>
        <w:tc>
          <w:tcPr>
            <w:tcW w:w="72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8-K</w:t>
            </w:r>
          </w:p>
        </w:tc>
        <w:tc>
          <w:tcPr>
            <w:tcW w:w="980" w:type="dxa"/>
            <w:vAlign w:val="bottom"/>
          </w:tcPr>
          <w:p>
            <w:pPr>
              <w:jc w:val="center"/>
              <w:spacing w:after="0"/>
              <w:rPr>
                <w:sz w:val="20"/>
                <w:szCs w:val="20"/>
                <w:color w:val="auto"/>
              </w:rPr>
            </w:pPr>
            <w:r>
              <w:rPr>
                <w:rFonts w:ascii="Arial" w:cs="Arial" w:eastAsia="Arial" w:hAnsi="Arial"/>
                <w:sz w:val="18"/>
                <w:szCs w:val="18"/>
                <w:color w:val="auto"/>
                <w:w w:val="90"/>
              </w:rPr>
              <w:t>001-37900</w:t>
            </w:r>
          </w:p>
        </w:tc>
        <w:tc>
          <w:tcPr>
            <w:tcW w:w="160" w:type="dxa"/>
            <w:vAlign w:val="bottom"/>
          </w:tcPr>
          <w:p>
            <w:pPr>
              <w:spacing w:after="0"/>
              <w:rPr>
                <w:sz w:val="21"/>
                <w:szCs w:val="21"/>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40" w:type="dxa"/>
            <w:vAlign w:val="bottom"/>
          </w:tcPr>
          <w:p>
            <w:pPr>
              <w:spacing w:after="0"/>
              <w:rPr>
                <w:sz w:val="21"/>
                <w:szCs w:val="21"/>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89"/>
              </w:rPr>
              <w:t>5/22/2019</w:t>
            </w:r>
          </w:p>
        </w:tc>
        <w:tc>
          <w:tcPr>
            <w:tcW w:w="0" w:type="dxa"/>
            <w:vAlign w:val="bottom"/>
          </w:tcPr>
          <w:p>
            <w:pPr>
              <w:spacing w:after="0"/>
              <w:rPr>
                <w:sz w:val="1"/>
                <w:szCs w:val="1"/>
                <w:color w:val="auto"/>
              </w:rPr>
            </w:pP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23"/>
                <w:szCs w:val="23"/>
                <w:color w:val="auto"/>
              </w:rPr>
            </w:pPr>
          </w:p>
        </w:tc>
        <w:tc>
          <w:tcPr>
            <w:tcW w:w="3020" w:type="dxa"/>
            <w:vAlign w:val="bottom"/>
            <w:tcBorders>
              <w:bottom w:val="single" w:sz="8" w:color="0000EE"/>
            </w:tcBorders>
            <w:gridSpan w:val="12"/>
          </w:tcPr>
          <w:p>
            <w:pPr>
              <w:spacing w:after="0"/>
              <w:rPr>
                <w:rFonts w:ascii="Arial" w:cs="Arial" w:eastAsia="Arial" w:hAnsi="Arial"/>
                <w:sz w:val="18"/>
                <w:szCs w:val="18"/>
                <w:color w:val="0000EE"/>
                <w:w w:val="91"/>
              </w:rPr>
            </w:pPr>
            <w:hyperlink r:id="rId68">
              <w:r>
                <w:rPr>
                  <w:rFonts w:ascii="Arial" w:cs="Arial" w:eastAsia="Arial" w:hAnsi="Arial"/>
                  <w:sz w:val="18"/>
                  <w:szCs w:val="18"/>
                  <w:color w:val="0000EE"/>
                  <w:w w:val="91"/>
                </w:rPr>
                <w:t>Form of Common Stock Certificate of the</w:t>
              </w:r>
            </w:hyperlink>
          </w:p>
        </w:tc>
        <w:tc>
          <w:tcPr>
            <w:tcW w:w="580" w:type="dxa"/>
            <w:vAlign w:val="bottom"/>
            <w:gridSpan w:val="12"/>
          </w:tcPr>
          <w:p>
            <w:pPr>
              <w:spacing w:after="0"/>
              <w:rPr>
                <w:sz w:val="23"/>
                <w:szCs w:val="23"/>
                <w:color w:val="auto"/>
              </w:rPr>
            </w:pPr>
          </w:p>
        </w:tc>
        <w:tc>
          <w:tcPr>
            <w:tcW w:w="5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0" w:type="dxa"/>
            <w:vAlign w:val="bottom"/>
            <w:gridSpan w:val="24"/>
          </w:tcPr>
          <w:p>
            <w:pPr>
              <w:spacing w:after="0" w:line="196" w:lineRule="exact"/>
              <w:rPr>
                <w:rFonts w:ascii="Arial" w:cs="Arial" w:eastAsia="Arial" w:hAnsi="Arial"/>
                <w:sz w:val="18"/>
                <w:szCs w:val="18"/>
                <w:color w:val="0000EE"/>
              </w:rPr>
            </w:pPr>
            <w:hyperlink r:id="rId68">
              <w:r>
                <w:rPr>
                  <w:rFonts w:ascii="Arial" w:cs="Arial" w:eastAsia="Arial" w:hAnsi="Arial"/>
                  <w:sz w:val="18"/>
                  <w:szCs w:val="18"/>
                  <w:color w:val="0000EE"/>
                </w:rPr>
                <w:t>Company</w:t>
              </w:r>
            </w:hyperlink>
          </w:p>
        </w:tc>
        <w:tc>
          <w:tcPr>
            <w:tcW w:w="720" w:type="dxa"/>
            <w:vAlign w:val="bottom"/>
            <w:gridSpan w:val="2"/>
          </w:tcPr>
          <w:p>
            <w:pPr>
              <w:jc w:val="center"/>
              <w:ind w:right="140"/>
              <w:spacing w:after="0" w:line="196" w:lineRule="exact"/>
              <w:rPr>
                <w:sz w:val="20"/>
                <w:szCs w:val="20"/>
                <w:color w:val="auto"/>
              </w:rPr>
            </w:pPr>
            <w:r>
              <w:rPr>
                <w:rFonts w:ascii="Arial" w:cs="Arial" w:eastAsia="Arial" w:hAnsi="Arial"/>
                <w:sz w:val="18"/>
                <w:szCs w:val="18"/>
                <w:color w:val="auto"/>
                <w:w w:val="92"/>
              </w:rPr>
              <w:t>S-1</w:t>
            </w:r>
          </w:p>
        </w:tc>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89"/>
              </w:rPr>
              <w:t>333-213569</w:t>
            </w:r>
          </w:p>
        </w:tc>
        <w:tc>
          <w:tcPr>
            <w:tcW w:w="160" w:type="dxa"/>
            <w:vAlign w:val="bottom"/>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Arial" w:cs="Arial" w:eastAsia="Arial" w:hAnsi="Arial"/>
                <w:sz w:val="18"/>
                <w:szCs w:val="18"/>
                <w:color w:val="auto"/>
                <w:w w:val="87"/>
              </w:rPr>
              <w:t>4.1</w:t>
            </w:r>
          </w:p>
        </w:tc>
        <w:tc>
          <w:tcPr>
            <w:tcW w:w="140" w:type="dxa"/>
            <w:vAlign w:val="bottom"/>
          </w:tcPr>
          <w:p>
            <w:pPr>
              <w:spacing w:after="0"/>
              <w:rPr>
                <w:sz w:val="17"/>
                <w:szCs w:val="17"/>
                <w:color w:val="auto"/>
              </w:rPr>
            </w:pPr>
          </w:p>
        </w:tc>
        <w:tc>
          <w:tcPr>
            <w:tcW w:w="1520" w:type="dxa"/>
            <w:vAlign w:val="bottom"/>
          </w:tcPr>
          <w:p>
            <w:pPr>
              <w:jc w:val="center"/>
              <w:spacing w:after="0" w:line="196" w:lineRule="exact"/>
              <w:rPr>
                <w:sz w:val="20"/>
                <w:szCs w:val="20"/>
                <w:color w:val="auto"/>
              </w:rPr>
            </w:pPr>
            <w:r>
              <w:rPr>
                <w:rFonts w:ascii="Arial" w:cs="Arial" w:eastAsia="Arial" w:hAnsi="Arial"/>
                <w:sz w:val="18"/>
                <w:szCs w:val="18"/>
                <w:color w:val="auto"/>
                <w:w w:val="89"/>
              </w:rPr>
              <w:t>9/09/2016</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880" w:type="dxa"/>
            <w:vAlign w:val="bottom"/>
          </w:tcPr>
          <w:p>
            <w:pPr>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24"/>
                <w:szCs w:val="24"/>
                <w:color w:val="auto"/>
              </w:rPr>
            </w:pPr>
          </w:p>
        </w:tc>
        <w:tc>
          <w:tcPr>
            <w:tcW w:w="3600" w:type="dxa"/>
            <w:vAlign w:val="bottom"/>
            <w:gridSpan w:val="24"/>
          </w:tcPr>
          <w:p>
            <w:pPr>
              <w:spacing w:after="0"/>
              <w:rPr>
                <w:rFonts w:ascii="Arial" w:cs="Arial" w:eastAsia="Arial" w:hAnsi="Arial"/>
                <w:sz w:val="18"/>
                <w:szCs w:val="18"/>
                <w:color w:val="0000EE"/>
                <w:w w:val="99"/>
              </w:rPr>
            </w:pPr>
            <w:hyperlink r:id="rId69">
              <w:r>
                <w:rPr>
                  <w:rFonts w:ascii="Arial" w:cs="Arial" w:eastAsia="Arial" w:hAnsi="Arial"/>
                  <w:sz w:val="18"/>
                  <w:szCs w:val="18"/>
                  <w:color w:val="0000EE"/>
                  <w:w w:val="99"/>
                </w:rPr>
                <w:t>Amended and Restated Warrant to Purchase</w:t>
              </w:r>
            </w:hyperlink>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r:id="rId69">
              <w:r>
                <w:rPr>
                  <w:rFonts w:ascii="Arial" w:cs="Arial" w:eastAsia="Arial" w:hAnsi="Arial"/>
                  <w:sz w:val="18"/>
                  <w:szCs w:val="18"/>
                  <w:color w:val="0000EE"/>
                  <w:w w:val="90"/>
                </w:rPr>
                <w:t>Common Stock, dated as of August 5, 2019,</w:t>
              </w:r>
            </w:hyperlink>
          </w:p>
        </w:tc>
        <w:tc>
          <w:tcPr>
            <w:tcW w:w="400" w:type="dxa"/>
            <w:vAlign w:val="bottom"/>
            <w:gridSpan w:val="6"/>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0" w:type="dxa"/>
            <w:vAlign w:val="bottom"/>
            <w:gridSpan w:val="24"/>
          </w:tcPr>
          <w:p>
            <w:pPr>
              <w:spacing w:after="0"/>
              <w:rPr>
                <w:rFonts w:ascii="Arial" w:cs="Arial" w:eastAsia="Arial" w:hAnsi="Arial"/>
                <w:sz w:val="18"/>
                <w:szCs w:val="18"/>
                <w:u w:val="single" w:color="auto"/>
                <w:color w:val="0000EE"/>
                <w:w w:val="95"/>
              </w:rPr>
            </w:pPr>
            <w:hyperlink r:id="rId69">
              <w:r>
                <w:rPr>
                  <w:rFonts w:ascii="Arial" w:cs="Arial" w:eastAsia="Arial" w:hAnsi="Arial"/>
                  <w:sz w:val="18"/>
                  <w:szCs w:val="18"/>
                  <w:u w:val="single" w:color="auto"/>
                  <w:color w:val="0000EE"/>
                  <w:w w:val="95"/>
                </w:rPr>
                <w:t>between the Company and Silicon Valley Bank</w:t>
              </w:r>
            </w:hyperlink>
          </w:p>
        </w:tc>
        <w:tc>
          <w:tcPr>
            <w:tcW w:w="72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10-Q</w:t>
            </w:r>
          </w:p>
        </w:tc>
        <w:tc>
          <w:tcPr>
            <w:tcW w:w="980" w:type="dxa"/>
            <w:vAlign w:val="bottom"/>
          </w:tcPr>
          <w:p>
            <w:pPr>
              <w:jc w:val="center"/>
              <w:spacing w:after="0"/>
              <w:rPr>
                <w:sz w:val="20"/>
                <w:szCs w:val="20"/>
                <w:color w:val="auto"/>
              </w:rPr>
            </w:pPr>
            <w:r>
              <w:rPr>
                <w:rFonts w:ascii="Arial" w:cs="Arial" w:eastAsia="Arial" w:hAnsi="Arial"/>
                <w:sz w:val="18"/>
                <w:szCs w:val="18"/>
                <w:color w:val="auto"/>
                <w:w w:val="90"/>
              </w:rPr>
              <w:t>001-37900</w:t>
            </w:r>
          </w:p>
        </w:tc>
        <w:tc>
          <w:tcPr>
            <w:tcW w:w="16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40" w:type="dxa"/>
            <w:vAlign w:val="bottom"/>
          </w:tcPr>
          <w:p>
            <w:pPr>
              <w:spacing w:after="0"/>
              <w:rPr>
                <w:sz w:val="20"/>
                <w:szCs w:val="20"/>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88"/>
              </w:rPr>
              <w:t>11/07/2019</w:t>
            </w:r>
          </w:p>
        </w:tc>
        <w:tc>
          <w:tcPr>
            <w:tcW w:w="0" w:type="dxa"/>
            <w:vAlign w:val="bottom"/>
          </w:tcPr>
          <w:p>
            <w:pPr>
              <w:spacing w:after="0"/>
              <w:rPr>
                <w:sz w:val="1"/>
                <w:szCs w:val="1"/>
                <w:color w:val="auto"/>
              </w:rPr>
            </w:pPr>
          </w:p>
        </w:tc>
      </w:tr>
      <w:tr>
        <w:trPr>
          <w:trHeight w:val="243"/>
        </w:trPr>
        <w:tc>
          <w:tcPr>
            <w:tcW w:w="880" w:type="dxa"/>
            <w:vAlign w:val="bottom"/>
          </w:tcPr>
          <w:p>
            <w:pPr>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21"/>
                <w:szCs w:val="21"/>
                <w:color w:val="auto"/>
              </w:rPr>
            </w:pPr>
          </w:p>
        </w:tc>
        <w:tc>
          <w:tcPr>
            <w:tcW w:w="3300" w:type="dxa"/>
            <w:vAlign w:val="bottom"/>
            <w:tcBorders>
              <w:bottom w:val="single" w:sz="8" w:color="0000EE"/>
            </w:tcBorders>
            <w:gridSpan w:val="20"/>
          </w:tcPr>
          <w:p>
            <w:pPr>
              <w:spacing w:after="0"/>
              <w:rPr>
                <w:rFonts w:ascii="Arial" w:cs="Arial" w:eastAsia="Arial" w:hAnsi="Arial"/>
                <w:sz w:val="18"/>
                <w:szCs w:val="18"/>
                <w:color w:val="0000EE"/>
                <w:w w:val="88"/>
              </w:rPr>
            </w:pPr>
            <w:hyperlink w:anchor="page47">
              <w:r>
                <w:rPr>
                  <w:rFonts w:ascii="Arial" w:cs="Arial" w:eastAsia="Arial" w:hAnsi="Arial"/>
                  <w:sz w:val="18"/>
                  <w:szCs w:val="18"/>
                  <w:color w:val="0000EE"/>
                  <w:w w:val="88"/>
                </w:rPr>
                <w:t>Warrant to Purchase Common Stock, dated as</w:t>
              </w:r>
            </w:hyperlink>
          </w:p>
        </w:tc>
        <w:tc>
          <w:tcPr>
            <w:tcW w:w="300" w:type="dxa"/>
            <w:vAlign w:val="bottom"/>
            <w:gridSpan w:val="4"/>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8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w:anchor="page47">
              <w:r>
                <w:rPr>
                  <w:rFonts w:ascii="Arial" w:cs="Arial" w:eastAsia="Arial" w:hAnsi="Arial"/>
                  <w:sz w:val="18"/>
                  <w:szCs w:val="18"/>
                  <w:color w:val="0000EE"/>
                  <w:w w:val="89"/>
                </w:rPr>
                <w:t>of July 15, 2020, between the Company and</w:t>
              </w:r>
            </w:hyperlink>
          </w:p>
        </w:tc>
        <w:tc>
          <w:tcPr>
            <w:tcW w:w="420" w:type="dxa"/>
            <w:vAlign w:val="bottom"/>
            <w:gridSpan w:val="7"/>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0" w:type="dxa"/>
            <w:vAlign w:val="bottom"/>
            <w:gridSpan w:val="24"/>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Silicon Valley Bank</w:t>
              </w:r>
            </w:hyperlink>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24"/>
                <w:szCs w:val="24"/>
                <w:color w:val="auto"/>
              </w:rPr>
            </w:pPr>
          </w:p>
        </w:tc>
        <w:tc>
          <w:tcPr>
            <w:tcW w:w="3600" w:type="dxa"/>
            <w:vAlign w:val="bottom"/>
            <w:gridSpan w:val="24"/>
          </w:tcPr>
          <w:p>
            <w:pPr>
              <w:spacing w:after="0"/>
              <w:rPr>
                <w:sz w:val="20"/>
                <w:szCs w:val="20"/>
                <w:color w:val="auto"/>
              </w:rPr>
            </w:pPr>
            <w:r>
              <w:rPr>
                <w:rFonts w:ascii="Arial" w:cs="Arial" w:eastAsia="Arial" w:hAnsi="Arial"/>
                <w:sz w:val="18"/>
                <w:szCs w:val="18"/>
                <w:color w:val="auto"/>
                <w:w w:val="96"/>
              </w:rPr>
              <w:t>Reference is made to Exhibits 3.1, 3.2 and 3.3</w:t>
            </w: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80" w:type="dxa"/>
            <w:vAlign w:val="bottom"/>
          </w:tcPr>
          <w:p>
            <w:pPr>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21"/>
                <w:szCs w:val="21"/>
                <w:color w:val="auto"/>
              </w:rPr>
            </w:pPr>
          </w:p>
        </w:tc>
        <w:tc>
          <w:tcPr>
            <w:tcW w:w="3600" w:type="dxa"/>
            <w:vAlign w:val="bottom"/>
            <w:gridSpan w:val="24"/>
          </w:tcPr>
          <w:p>
            <w:pPr>
              <w:spacing w:after="0"/>
              <w:rPr>
                <w:rFonts w:ascii="Arial" w:cs="Arial" w:eastAsia="Arial" w:hAnsi="Arial"/>
                <w:sz w:val="18"/>
                <w:szCs w:val="18"/>
                <w:color w:val="0000EE"/>
                <w:w w:val="98"/>
              </w:rPr>
            </w:pPr>
            <w:hyperlink r:id="rId70">
              <w:r>
                <w:rPr>
                  <w:rFonts w:ascii="Arial" w:cs="Arial" w:eastAsia="Arial" w:hAnsi="Arial"/>
                  <w:sz w:val="18"/>
                  <w:szCs w:val="18"/>
                  <w:color w:val="0000EE"/>
                  <w:w w:val="98"/>
                </w:rPr>
                <w:t>Offer Letter, dated June 5, 2020, between the</w:t>
              </w:r>
            </w:hyperlink>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4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r:id="rId70">
              <w:r>
                <w:rPr>
                  <w:rFonts w:ascii="Arial" w:cs="Arial" w:eastAsia="Arial" w:hAnsi="Arial"/>
                  <w:sz w:val="18"/>
                  <w:szCs w:val="18"/>
                  <w:color w:val="0000EE"/>
                </w:rPr>
                <w:t>Company and Daniel Berenbaum</w:t>
              </w:r>
            </w:hyperlink>
          </w:p>
        </w:tc>
        <w:tc>
          <w:tcPr>
            <w:tcW w:w="360" w:type="dxa"/>
            <w:vAlign w:val="bottom"/>
            <w:gridSpan w:val="5"/>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gridSpan w:val="5"/>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880" w:type="dxa"/>
            <w:vAlign w:val="bottom"/>
          </w:tcPr>
          <w:p>
            <w:pPr>
              <w:spacing w:after="0"/>
              <w:rPr>
                <w:sz w:val="20"/>
                <w:szCs w:val="20"/>
                <w:color w:val="auto"/>
              </w:rPr>
            </w:pPr>
            <w:r>
              <w:rPr>
                <w:rFonts w:ascii="Arial" w:cs="Arial" w:eastAsia="Arial" w:hAnsi="Arial"/>
                <w:sz w:val="18"/>
                <w:szCs w:val="18"/>
                <w:color w:val="auto"/>
              </w:rPr>
              <w:t>10.2*</w:t>
            </w:r>
          </w:p>
        </w:tc>
        <w:tc>
          <w:tcPr>
            <w:tcW w:w="140" w:type="dxa"/>
            <w:vAlign w:val="bottom"/>
          </w:tcPr>
          <w:p>
            <w:pPr>
              <w:spacing w:after="0"/>
              <w:rPr>
                <w:sz w:val="22"/>
                <w:szCs w:val="22"/>
                <w:color w:val="auto"/>
              </w:rPr>
            </w:pPr>
          </w:p>
        </w:tc>
        <w:tc>
          <w:tcPr>
            <w:tcW w:w="3160" w:type="dxa"/>
            <w:vAlign w:val="bottom"/>
            <w:tcBorders>
              <w:bottom w:val="single" w:sz="8" w:color="0000EE"/>
            </w:tcBorders>
            <w:gridSpan w:val="16"/>
          </w:tcPr>
          <w:p>
            <w:pPr>
              <w:spacing w:after="0"/>
              <w:rPr>
                <w:rFonts w:ascii="Arial" w:cs="Arial" w:eastAsia="Arial" w:hAnsi="Arial"/>
                <w:sz w:val="18"/>
                <w:szCs w:val="18"/>
                <w:color w:val="0000EE"/>
                <w:w w:val="91"/>
              </w:rPr>
            </w:pPr>
            <w:hyperlink w:anchor="page61">
              <w:r>
                <w:rPr>
                  <w:rFonts w:ascii="Arial" w:cs="Arial" w:eastAsia="Arial" w:hAnsi="Arial"/>
                  <w:sz w:val="18"/>
                  <w:szCs w:val="18"/>
                  <w:color w:val="0000EE"/>
                  <w:w w:val="91"/>
                </w:rPr>
                <w:t>Amendment No. 9 to Lease, effective as of</w:t>
              </w:r>
            </w:hyperlink>
          </w:p>
        </w:tc>
        <w:tc>
          <w:tcPr>
            <w:tcW w:w="440" w:type="dxa"/>
            <w:vAlign w:val="bottom"/>
            <w:gridSpan w:val="8"/>
          </w:tcPr>
          <w:p>
            <w:pPr>
              <w:spacing w:after="0"/>
              <w:rPr>
                <w:sz w:val="22"/>
                <w:szCs w:val="22"/>
                <w:color w:val="auto"/>
              </w:rPr>
            </w:pPr>
          </w:p>
        </w:tc>
        <w:tc>
          <w:tcPr>
            <w:tcW w:w="5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0" w:type="dxa"/>
            <w:vAlign w:val="bottom"/>
            <w:gridSpan w:val="24"/>
          </w:tcPr>
          <w:p>
            <w:pPr>
              <w:spacing w:after="0" w:line="196" w:lineRule="exact"/>
              <w:rPr>
                <w:rFonts w:ascii="Arial" w:cs="Arial" w:eastAsia="Arial" w:hAnsi="Arial"/>
                <w:sz w:val="18"/>
                <w:szCs w:val="18"/>
                <w:color w:val="0000EE"/>
                <w:w w:val="97"/>
              </w:rPr>
            </w:pPr>
            <w:hyperlink w:anchor="page61">
              <w:r>
                <w:rPr>
                  <w:rFonts w:ascii="Arial" w:cs="Arial" w:eastAsia="Arial" w:hAnsi="Arial"/>
                  <w:sz w:val="18"/>
                  <w:szCs w:val="18"/>
                  <w:color w:val="0000EE"/>
                  <w:w w:val="97"/>
                </w:rPr>
                <w:t>March 31, 2020 by and between the registrant</w:t>
              </w:r>
            </w:hyperlink>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0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1"/>
              </w:rPr>
            </w:pPr>
            <w:hyperlink w:anchor="page61">
              <w:r>
                <w:rPr>
                  <w:rFonts w:ascii="Arial" w:cs="Arial" w:eastAsia="Arial" w:hAnsi="Arial"/>
                  <w:sz w:val="18"/>
                  <w:szCs w:val="18"/>
                  <w:color w:val="0000EE"/>
                  <w:w w:val="91"/>
                </w:rPr>
                <w:t>and NXP USA, Inc. (formerly Freescale</w:t>
              </w:r>
            </w:hyperlink>
          </w:p>
        </w:tc>
        <w:tc>
          <w:tcPr>
            <w:tcW w:w="400" w:type="dxa"/>
            <w:vAlign w:val="bottom"/>
            <w:tcBorders>
              <w:top w:val="single" w:sz="8" w:color="0000EE"/>
            </w:tcBorders>
            <w:gridSpan w:val="9"/>
          </w:tcPr>
          <w:p>
            <w:pPr>
              <w:spacing w:after="0"/>
              <w:rPr>
                <w:sz w:val="17"/>
                <w:szCs w:val="17"/>
                <w:color w:val="auto"/>
              </w:rPr>
            </w:pPr>
          </w:p>
        </w:tc>
        <w:tc>
          <w:tcPr>
            <w:tcW w:w="300" w:type="dxa"/>
            <w:vAlign w:val="bottom"/>
            <w:gridSpan w:val="4"/>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0" w:type="dxa"/>
            <w:vAlign w:val="bottom"/>
            <w:gridSpan w:val="24"/>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Semiconductor, Inc.)</w:t>
              </w:r>
            </w:hyperlink>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gridSpan w:val="5"/>
            <w:shd w:val="clear" w:color="auto" w:fill="0000EE"/>
          </w:tcPr>
          <w:p>
            <w:pPr>
              <w:spacing w:after="0" w:line="20" w:lineRule="exact"/>
              <w:rPr>
                <w:sz w:val="1"/>
                <w:szCs w:val="1"/>
                <w:color w:val="auto"/>
              </w:rPr>
            </w:pPr>
          </w:p>
        </w:tc>
        <w:tc>
          <w:tcPr>
            <w:tcW w:w="154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880" w:type="dxa"/>
            <w:vAlign w:val="bottom"/>
          </w:tcPr>
          <w:p>
            <w:pPr>
              <w:spacing w:after="0"/>
              <w:rPr>
                <w:sz w:val="20"/>
                <w:szCs w:val="20"/>
                <w:color w:val="auto"/>
              </w:rPr>
            </w:pPr>
            <w:r>
              <w:rPr>
                <w:rFonts w:ascii="Arial" w:cs="Arial" w:eastAsia="Arial" w:hAnsi="Arial"/>
                <w:sz w:val="18"/>
                <w:szCs w:val="18"/>
                <w:color w:val="auto"/>
              </w:rPr>
              <w:t>10.3*</w:t>
            </w:r>
          </w:p>
        </w:tc>
        <w:tc>
          <w:tcPr>
            <w:tcW w:w="140" w:type="dxa"/>
            <w:vAlign w:val="bottom"/>
          </w:tcPr>
          <w:p>
            <w:pPr>
              <w:spacing w:after="0"/>
              <w:rPr>
                <w:sz w:val="22"/>
                <w:szCs w:val="22"/>
                <w:color w:val="auto"/>
              </w:rPr>
            </w:pPr>
          </w:p>
        </w:tc>
        <w:tc>
          <w:tcPr>
            <w:tcW w:w="304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67">
              <w:r>
                <w:rPr>
                  <w:rFonts w:ascii="Arial" w:cs="Arial" w:eastAsia="Arial" w:hAnsi="Arial"/>
                  <w:sz w:val="18"/>
                  <w:szCs w:val="18"/>
                  <w:color w:val="0000EE"/>
                  <w:w w:val="89"/>
                </w:rPr>
                <w:t>Amended and Restated Loan and Security</w:t>
              </w:r>
            </w:hyperlink>
          </w:p>
        </w:tc>
        <w:tc>
          <w:tcPr>
            <w:tcW w:w="560" w:type="dxa"/>
            <w:vAlign w:val="bottom"/>
            <w:gridSpan w:val="11"/>
          </w:tcPr>
          <w:p>
            <w:pPr>
              <w:spacing w:after="0"/>
              <w:rPr>
                <w:sz w:val="22"/>
                <w:szCs w:val="22"/>
                <w:color w:val="auto"/>
              </w:rPr>
            </w:pPr>
          </w:p>
        </w:tc>
        <w:tc>
          <w:tcPr>
            <w:tcW w:w="5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80" w:type="dxa"/>
            <w:vAlign w:val="bottom"/>
            <w:tcBorders>
              <w:bottom w:val="single" w:sz="8" w:color="0000EE"/>
            </w:tcBorders>
            <w:gridSpan w:val="22"/>
          </w:tcPr>
          <w:p>
            <w:pPr>
              <w:spacing w:after="0" w:line="196" w:lineRule="exact"/>
              <w:rPr>
                <w:rFonts w:ascii="Arial" w:cs="Arial" w:eastAsia="Arial" w:hAnsi="Arial"/>
                <w:sz w:val="18"/>
                <w:szCs w:val="18"/>
                <w:color w:val="0000EE"/>
                <w:w w:val="89"/>
              </w:rPr>
            </w:pPr>
            <w:hyperlink w:anchor="page67">
              <w:r>
                <w:rPr>
                  <w:rFonts w:ascii="Arial" w:cs="Arial" w:eastAsia="Arial" w:hAnsi="Arial"/>
                  <w:sz w:val="18"/>
                  <w:szCs w:val="18"/>
                  <w:color w:val="0000EE"/>
                  <w:w w:val="89"/>
                </w:rPr>
                <w:t>Agreement, dated as of July 15, 2020, between</w:t>
              </w:r>
            </w:hyperlink>
          </w:p>
        </w:tc>
        <w:tc>
          <w:tcPr>
            <w:tcW w:w="220" w:type="dxa"/>
            <w:vAlign w:val="bottom"/>
            <w:gridSpan w:val="2"/>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0" w:type="dxa"/>
            <w:vAlign w:val="bottom"/>
            <w:gridSpan w:val="24"/>
          </w:tcPr>
          <w:p>
            <w:pPr>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the Company and Silicon Valley Bank</w:t>
              </w:r>
            </w:hyperlink>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line="202" w:lineRule="exact"/>
              <w:rPr>
                <w:sz w:val="20"/>
                <w:szCs w:val="20"/>
                <w:color w:val="auto"/>
              </w:rPr>
            </w:pPr>
            <w:r>
              <w:rPr>
                <w:rFonts w:ascii="Arial" w:cs="Arial" w:eastAsia="Arial" w:hAnsi="Arial"/>
                <w:sz w:val="18"/>
                <w:szCs w:val="18"/>
                <w:color w:val="auto"/>
              </w:rPr>
              <w:t>31.1*</w:t>
            </w:r>
          </w:p>
        </w:tc>
        <w:tc>
          <w:tcPr>
            <w:tcW w:w="140" w:type="dxa"/>
            <w:vAlign w:val="bottom"/>
          </w:tcPr>
          <w:p>
            <w:pPr>
              <w:spacing w:after="0"/>
              <w:rPr>
                <w:sz w:val="17"/>
                <w:szCs w:val="17"/>
                <w:color w:val="auto"/>
              </w:rPr>
            </w:pPr>
          </w:p>
        </w:tc>
        <w:tc>
          <w:tcPr>
            <w:tcW w:w="3600" w:type="dxa"/>
            <w:vAlign w:val="bottom"/>
            <w:gridSpan w:val="24"/>
          </w:tcPr>
          <w:p>
            <w:pPr>
              <w:spacing w:after="0" w:line="202" w:lineRule="exact"/>
              <w:rPr>
                <w:rFonts w:ascii="Arial" w:cs="Arial" w:eastAsia="Arial" w:hAnsi="Arial"/>
                <w:sz w:val="18"/>
                <w:szCs w:val="18"/>
                <w:color w:val="0000EE"/>
              </w:rPr>
            </w:pPr>
            <w:hyperlink w:anchor="page76">
              <w:r>
                <w:rPr>
                  <w:rFonts w:ascii="Arial" w:cs="Arial" w:eastAsia="Arial" w:hAnsi="Arial"/>
                  <w:sz w:val="18"/>
                  <w:szCs w:val="18"/>
                  <w:color w:val="0000EE"/>
                </w:rPr>
                <w:t>Certification of Principal Executive Officer</w:t>
              </w:r>
            </w:hyperlink>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8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88"/>
              </w:rPr>
            </w:pPr>
            <w:hyperlink w:anchor="page76">
              <w:r>
                <w:rPr>
                  <w:rFonts w:ascii="Arial" w:cs="Arial" w:eastAsia="Arial" w:hAnsi="Arial"/>
                  <w:sz w:val="18"/>
                  <w:szCs w:val="18"/>
                  <w:color w:val="0000EE"/>
                  <w:w w:val="88"/>
                </w:rPr>
                <w:t>Pursuant to Rules 13a-14(a) and 15d-14(a)</w:t>
              </w:r>
            </w:hyperlink>
          </w:p>
        </w:tc>
        <w:tc>
          <w:tcPr>
            <w:tcW w:w="80" w:type="dxa"/>
            <w:vAlign w:val="bottom"/>
            <w:tcBorders>
              <w:top w:val="single" w:sz="8" w:color="0000EE"/>
            </w:tcBorders>
            <w:gridSpan w:val="2"/>
          </w:tcPr>
          <w:p>
            <w:pPr>
              <w:spacing w:after="0"/>
              <w:rPr>
                <w:sz w:val="17"/>
                <w:szCs w:val="17"/>
                <w:color w:val="auto"/>
              </w:rPr>
            </w:pPr>
          </w:p>
        </w:tc>
        <w:tc>
          <w:tcPr>
            <w:tcW w:w="440" w:type="dxa"/>
            <w:vAlign w:val="bottom"/>
            <w:gridSpan w:val="8"/>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0" w:type="dxa"/>
            <w:vAlign w:val="bottom"/>
            <w:gridSpan w:val="24"/>
          </w:tcPr>
          <w:p>
            <w:pPr>
              <w:spacing w:after="0" w:line="196" w:lineRule="exact"/>
              <w:rPr>
                <w:rFonts w:ascii="Arial" w:cs="Arial" w:eastAsia="Arial" w:hAnsi="Arial"/>
                <w:sz w:val="18"/>
                <w:szCs w:val="18"/>
                <w:color w:val="0000EE"/>
                <w:w w:val="96"/>
              </w:rPr>
            </w:pPr>
            <w:hyperlink w:anchor="page76">
              <w:r>
                <w:rPr>
                  <w:rFonts w:ascii="Arial" w:cs="Arial" w:eastAsia="Arial" w:hAnsi="Arial"/>
                  <w:sz w:val="18"/>
                  <w:szCs w:val="18"/>
                  <w:color w:val="0000EE"/>
                  <w:w w:val="96"/>
                </w:rPr>
                <w:t>under the Securities Exchange Act of 1934, as</w:t>
              </w:r>
            </w:hyperlink>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320" w:type="dxa"/>
            <w:vAlign w:val="bottom"/>
            <w:tcBorders>
              <w:top w:val="single" w:sz="8" w:color="0000EE"/>
            </w:tcBorders>
            <w:gridSpan w:val="21"/>
          </w:tcPr>
          <w:p>
            <w:pPr>
              <w:spacing w:after="0"/>
              <w:rPr>
                <w:rFonts w:ascii="Arial" w:cs="Arial" w:eastAsia="Arial" w:hAnsi="Arial"/>
                <w:sz w:val="18"/>
                <w:szCs w:val="18"/>
                <w:u w:val="single" w:color="auto"/>
                <w:color w:val="0000EE"/>
              </w:rPr>
            </w:pPr>
            <w:hyperlink w:anchor="page76">
              <w:r>
                <w:rPr>
                  <w:rFonts w:ascii="Arial" w:cs="Arial" w:eastAsia="Arial" w:hAnsi="Arial"/>
                  <w:sz w:val="18"/>
                  <w:szCs w:val="18"/>
                  <w:u w:val="single" w:color="auto"/>
                  <w:color w:val="0000EE"/>
                </w:rPr>
                <w:t>Adopted Pursuant to Section 302 of the</w:t>
              </w:r>
            </w:hyperlink>
          </w:p>
        </w:tc>
        <w:tc>
          <w:tcPr>
            <w:tcW w:w="280" w:type="dxa"/>
            <w:vAlign w:val="bottom"/>
            <w:gridSpan w:val="3"/>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0" w:type="dxa"/>
            <w:vAlign w:val="bottom"/>
            <w:gridSpan w:val="24"/>
          </w:tcPr>
          <w:p>
            <w:pPr>
              <w:spacing w:after="0"/>
              <w:rPr>
                <w:rFonts w:ascii="Arial" w:cs="Arial" w:eastAsia="Arial" w:hAnsi="Arial"/>
                <w:sz w:val="18"/>
                <w:szCs w:val="18"/>
                <w:u w:val="single" w:color="auto"/>
                <w:color w:val="0000EE"/>
              </w:rPr>
            </w:pPr>
            <w:hyperlink w:anchor="page76">
              <w:r>
                <w:rPr>
                  <w:rFonts w:ascii="Arial" w:cs="Arial" w:eastAsia="Arial" w:hAnsi="Arial"/>
                  <w:sz w:val="18"/>
                  <w:szCs w:val="18"/>
                  <w:u w:val="single" w:color="auto"/>
                  <w:color w:val="0000EE"/>
                </w:rPr>
                <w:t>Sarbanes-Oxley Act of 2002.</w:t>
              </w:r>
            </w:hyperlink>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880" w:type="dxa"/>
            <w:vAlign w:val="bottom"/>
          </w:tcPr>
          <w:p>
            <w:pPr>
              <w:spacing w:after="0" w:line="190" w:lineRule="exact"/>
              <w:rPr>
                <w:sz w:val="20"/>
                <w:szCs w:val="20"/>
                <w:color w:val="auto"/>
              </w:rPr>
            </w:pPr>
            <w:r>
              <w:rPr>
                <w:rFonts w:ascii="Arial" w:cs="Arial" w:eastAsia="Arial" w:hAnsi="Arial"/>
                <w:sz w:val="18"/>
                <w:szCs w:val="18"/>
                <w:color w:val="auto"/>
              </w:rPr>
              <w:t>31.2*</w:t>
            </w:r>
          </w:p>
        </w:tc>
        <w:tc>
          <w:tcPr>
            <w:tcW w:w="140" w:type="dxa"/>
            <w:vAlign w:val="bottom"/>
          </w:tcPr>
          <w:p>
            <w:pPr>
              <w:spacing w:after="0"/>
              <w:rPr>
                <w:sz w:val="16"/>
                <w:szCs w:val="16"/>
                <w:color w:val="auto"/>
              </w:rPr>
            </w:pPr>
          </w:p>
        </w:tc>
        <w:tc>
          <w:tcPr>
            <w:tcW w:w="3100" w:type="dxa"/>
            <w:vAlign w:val="bottom"/>
            <w:tcBorders>
              <w:bottom w:val="single" w:sz="8" w:color="0000EE"/>
            </w:tcBorders>
            <w:gridSpan w:val="15"/>
          </w:tcPr>
          <w:p>
            <w:pPr>
              <w:spacing w:after="0" w:line="190" w:lineRule="exact"/>
              <w:rPr>
                <w:rFonts w:ascii="Arial" w:cs="Arial" w:eastAsia="Arial" w:hAnsi="Arial"/>
                <w:sz w:val="18"/>
                <w:szCs w:val="18"/>
                <w:color w:val="0000EE"/>
                <w:w w:val="95"/>
              </w:rPr>
            </w:pPr>
            <w:hyperlink w:anchor="page77">
              <w:r>
                <w:rPr>
                  <w:rFonts w:ascii="Arial" w:cs="Arial" w:eastAsia="Arial" w:hAnsi="Arial"/>
                  <w:sz w:val="18"/>
                  <w:szCs w:val="18"/>
                  <w:color w:val="0000EE"/>
                  <w:w w:val="95"/>
                </w:rPr>
                <w:t>Certification of Principal Financial Officer</w:t>
              </w:r>
            </w:hyperlink>
          </w:p>
        </w:tc>
        <w:tc>
          <w:tcPr>
            <w:tcW w:w="500" w:type="dxa"/>
            <w:vAlign w:val="bottom"/>
            <w:gridSpan w:val="9"/>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80" w:type="dxa"/>
            <w:vAlign w:val="bottom"/>
            <w:tcBorders>
              <w:bottom w:val="single" w:sz="8" w:color="0000EE"/>
            </w:tcBorders>
            <w:gridSpan w:val="14"/>
          </w:tcPr>
          <w:p>
            <w:pPr>
              <w:spacing w:after="0" w:line="196" w:lineRule="exact"/>
              <w:rPr>
                <w:rFonts w:ascii="Arial" w:cs="Arial" w:eastAsia="Arial" w:hAnsi="Arial"/>
                <w:sz w:val="18"/>
                <w:szCs w:val="18"/>
                <w:color w:val="0000EE"/>
                <w:w w:val="88"/>
              </w:rPr>
            </w:pPr>
            <w:hyperlink w:anchor="page77">
              <w:r>
                <w:rPr>
                  <w:rFonts w:ascii="Arial" w:cs="Arial" w:eastAsia="Arial" w:hAnsi="Arial"/>
                  <w:sz w:val="18"/>
                  <w:szCs w:val="18"/>
                  <w:color w:val="0000EE"/>
                  <w:w w:val="88"/>
                </w:rPr>
                <w:t>Pursuant to Rules 13a-14(a) and 15d-14(a)</w:t>
              </w:r>
            </w:hyperlink>
          </w:p>
        </w:tc>
        <w:tc>
          <w:tcPr>
            <w:tcW w:w="520" w:type="dxa"/>
            <w:vAlign w:val="bottom"/>
            <w:gridSpan w:val="10"/>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0" w:type="dxa"/>
            <w:vAlign w:val="bottom"/>
            <w:gridSpan w:val="24"/>
          </w:tcPr>
          <w:p>
            <w:pPr>
              <w:spacing w:after="0" w:line="196" w:lineRule="exact"/>
              <w:rPr>
                <w:rFonts w:ascii="Arial" w:cs="Arial" w:eastAsia="Arial" w:hAnsi="Arial"/>
                <w:sz w:val="18"/>
                <w:szCs w:val="18"/>
                <w:color w:val="0000EE"/>
                <w:w w:val="96"/>
              </w:rPr>
            </w:pPr>
            <w:hyperlink w:anchor="page77">
              <w:r>
                <w:rPr>
                  <w:rFonts w:ascii="Arial" w:cs="Arial" w:eastAsia="Arial" w:hAnsi="Arial"/>
                  <w:sz w:val="18"/>
                  <w:szCs w:val="18"/>
                  <w:color w:val="0000EE"/>
                  <w:w w:val="96"/>
                </w:rPr>
                <w:t>under the Securities Exchange Act of 1934, as</w:t>
              </w:r>
            </w:hyperlink>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320" w:type="dxa"/>
            <w:vAlign w:val="bottom"/>
            <w:tcBorders>
              <w:top w:val="single" w:sz="8" w:color="0000EE"/>
            </w:tcBorders>
            <w:gridSpan w:val="21"/>
          </w:tcPr>
          <w:p>
            <w:pPr>
              <w:spacing w:after="0"/>
              <w:rPr>
                <w:rFonts w:ascii="Arial" w:cs="Arial" w:eastAsia="Arial" w:hAnsi="Arial"/>
                <w:sz w:val="18"/>
                <w:szCs w:val="18"/>
                <w:u w:val="single" w:color="auto"/>
                <w:color w:val="0000EE"/>
              </w:rPr>
            </w:pPr>
            <w:hyperlink w:anchor="page77">
              <w:r>
                <w:rPr>
                  <w:rFonts w:ascii="Arial" w:cs="Arial" w:eastAsia="Arial" w:hAnsi="Arial"/>
                  <w:sz w:val="18"/>
                  <w:szCs w:val="18"/>
                  <w:u w:val="single" w:color="auto"/>
                  <w:color w:val="0000EE"/>
                </w:rPr>
                <w:t>Adopted Pursuant to Section 302 of the</w:t>
              </w:r>
            </w:hyperlink>
          </w:p>
        </w:tc>
        <w:tc>
          <w:tcPr>
            <w:tcW w:w="280" w:type="dxa"/>
            <w:vAlign w:val="bottom"/>
            <w:gridSpan w:val="3"/>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0" w:type="dxa"/>
            <w:vAlign w:val="bottom"/>
            <w:gridSpan w:val="24"/>
          </w:tcPr>
          <w:p>
            <w:pPr>
              <w:spacing w:after="0"/>
              <w:rPr>
                <w:rFonts w:ascii="Arial" w:cs="Arial" w:eastAsia="Arial" w:hAnsi="Arial"/>
                <w:sz w:val="18"/>
                <w:szCs w:val="18"/>
                <w:u w:val="single" w:color="auto"/>
                <w:color w:val="0000EE"/>
              </w:rPr>
            </w:pPr>
            <w:hyperlink w:anchor="page77">
              <w:r>
                <w:rPr>
                  <w:rFonts w:ascii="Arial" w:cs="Arial" w:eastAsia="Arial" w:hAnsi="Arial"/>
                  <w:sz w:val="18"/>
                  <w:szCs w:val="18"/>
                  <w:u w:val="single" w:color="auto"/>
                  <w:color w:val="0000EE"/>
                </w:rPr>
                <w:t>Sarbanes-Oxley Act of 2002</w:t>
              </w:r>
            </w:hyperlink>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4" w:name="page45"/>
    <w:bookmarkEnd w:id="4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020" w:type="dxa"/>
            <w:vAlign w:val="bottom"/>
          </w:tcPr>
          <w:p>
            <w:pPr>
              <w:spacing w:after="0"/>
              <w:rPr>
                <w:sz w:val="20"/>
                <w:szCs w:val="20"/>
                <w:color w:val="auto"/>
              </w:rPr>
            </w:pPr>
            <w:r>
              <w:rPr>
                <w:rFonts w:ascii="Arial" w:cs="Arial" w:eastAsia="Arial" w:hAnsi="Arial"/>
                <w:sz w:val="18"/>
                <w:szCs w:val="18"/>
                <w:color w:val="auto"/>
              </w:rPr>
              <w:t>32.1**</w:t>
            </w:r>
          </w:p>
        </w:tc>
        <w:tc>
          <w:tcPr>
            <w:tcW w:w="3440" w:type="dxa"/>
            <w:vAlign w:val="bottom"/>
            <w:tcBorders>
              <w:bottom w:val="single" w:sz="8" w:color="0000EE"/>
            </w:tcBorders>
            <w:gridSpan w:val="3"/>
          </w:tcPr>
          <w:p>
            <w:pPr>
              <w:spacing w:after="0"/>
              <w:rPr>
                <w:rFonts w:ascii="Arial" w:cs="Arial" w:eastAsia="Arial" w:hAnsi="Arial"/>
                <w:sz w:val="18"/>
                <w:szCs w:val="18"/>
                <w:color w:val="0000EE"/>
                <w:w w:val="93"/>
              </w:rPr>
            </w:pPr>
            <w:hyperlink w:anchor="page78">
              <w:r>
                <w:rPr>
                  <w:rFonts w:ascii="Arial" w:cs="Arial" w:eastAsia="Arial" w:hAnsi="Arial"/>
                  <w:sz w:val="18"/>
                  <w:szCs w:val="18"/>
                  <w:color w:val="0000EE"/>
                  <w:w w:val="93"/>
                </w:rPr>
                <w:t>Certification of Principal Executive Officer and</w:t>
              </w:r>
            </w:hyperlink>
          </w:p>
        </w:tc>
        <w:tc>
          <w:tcPr>
            <w:tcW w:w="2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3020" w:type="dxa"/>
            <w:vAlign w:val="bottom"/>
            <w:tcBorders>
              <w:bottom w:val="single" w:sz="8" w:color="0000EE"/>
            </w:tcBorders>
          </w:tcPr>
          <w:p>
            <w:pPr>
              <w:spacing w:after="0" w:line="196" w:lineRule="exact"/>
              <w:rPr>
                <w:rFonts w:ascii="Arial" w:cs="Arial" w:eastAsia="Arial" w:hAnsi="Arial"/>
                <w:sz w:val="18"/>
                <w:szCs w:val="18"/>
                <w:color w:val="0000EE"/>
                <w:w w:val="91"/>
              </w:rPr>
            </w:pPr>
            <w:hyperlink w:anchor="page78">
              <w:r>
                <w:rPr>
                  <w:rFonts w:ascii="Arial" w:cs="Arial" w:eastAsia="Arial" w:hAnsi="Arial"/>
                  <w:sz w:val="18"/>
                  <w:szCs w:val="18"/>
                  <w:color w:val="0000EE"/>
                  <w:w w:val="91"/>
                </w:rPr>
                <w:t>Principal Financial Officer Pursuant to 18</w:t>
              </w:r>
            </w:hyperlink>
          </w:p>
        </w:tc>
        <w:tc>
          <w:tcPr>
            <w:tcW w:w="440" w:type="dxa"/>
            <w:vAlign w:val="bottom"/>
            <w:gridSpan w:val="3"/>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3460" w:type="dxa"/>
            <w:vAlign w:val="bottom"/>
            <w:gridSpan w:val="4"/>
          </w:tcPr>
          <w:p>
            <w:pPr>
              <w:spacing w:after="0" w:line="196" w:lineRule="exact"/>
              <w:rPr>
                <w:rFonts w:ascii="Arial" w:cs="Arial" w:eastAsia="Arial" w:hAnsi="Arial"/>
                <w:sz w:val="18"/>
                <w:szCs w:val="18"/>
                <w:color w:val="0000EE"/>
                <w:w w:val="95"/>
              </w:rPr>
            </w:pPr>
            <w:hyperlink w:anchor="page78">
              <w:r>
                <w:rPr>
                  <w:rFonts w:ascii="Arial" w:cs="Arial" w:eastAsia="Arial" w:hAnsi="Arial"/>
                  <w:sz w:val="18"/>
                  <w:szCs w:val="18"/>
                  <w:color w:val="0000EE"/>
                  <w:w w:val="95"/>
                </w:rPr>
                <w:t>U.S.C. Section 1350, as Adopted Pursuant to</w:t>
              </w:r>
            </w:hyperlink>
          </w:p>
        </w:tc>
      </w:tr>
      <w:tr>
        <w:trPr>
          <w:trHeight w:val="20"/>
        </w:trPr>
        <w:tc>
          <w:tcPr>
            <w:tcW w:w="1020" w:type="dxa"/>
            <w:vAlign w:val="bottom"/>
          </w:tcPr>
          <w:p>
            <w:pPr>
              <w:spacing w:after="0" w:line="20" w:lineRule="exact"/>
              <w:rPr>
                <w:sz w:val="1"/>
                <w:szCs w:val="1"/>
                <w:color w:val="auto"/>
              </w:rPr>
            </w:pPr>
          </w:p>
        </w:tc>
        <w:tc>
          <w:tcPr>
            <w:tcW w:w="3240" w:type="dxa"/>
            <w:vAlign w:val="bottom"/>
            <w:gridSpan w:val="2"/>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r>
      <w:tr>
        <w:trPr>
          <w:trHeight w:val="236"/>
        </w:trPr>
        <w:tc>
          <w:tcPr>
            <w:tcW w:w="1020" w:type="dxa"/>
            <w:vAlign w:val="bottom"/>
          </w:tcPr>
          <w:p>
            <w:pPr>
              <w:spacing w:after="0"/>
              <w:rPr>
                <w:sz w:val="20"/>
                <w:szCs w:val="20"/>
                <w:color w:val="auto"/>
              </w:rPr>
            </w:pPr>
          </w:p>
        </w:tc>
        <w:tc>
          <w:tcPr>
            <w:tcW w:w="3460" w:type="dxa"/>
            <w:vAlign w:val="bottom"/>
            <w:gridSpan w:val="4"/>
          </w:tcPr>
          <w:p>
            <w:pPr>
              <w:spacing w:after="0"/>
              <w:rPr>
                <w:rFonts w:ascii="Arial" w:cs="Arial" w:eastAsia="Arial" w:hAnsi="Arial"/>
                <w:sz w:val="18"/>
                <w:szCs w:val="18"/>
                <w:u w:val="single" w:color="auto"/>
                <w:color w:val="0000EE"/>
                <w:w w:val="91"/>
              </w:rPr>
            </w:pPr>
            <w:hyperlink w:anchor="page78">
              <w:r>
                <w:rPr>
                  <w:rFonts w:ascii="Arial" w:cs="Arial" w:eastAsia="Arial" w:hAnsi="Arial"/>
                  <w:sz w:val="18"/>
                  <w:szCs w:val="18"/>
                  <w:u w:val="single" w:color="auto"/>
                  <w:color w:val="0000EE"/>
                  <w:w w:val="91"/>
                </w:rPr>
                <w:t>Section 906 of the Sarbanes-Oxley Act of 2002</w:t>
              </w:r>
            </w:hyperlink>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101.INS*</w:t>
            </w:r>
          </w:p>
        </w:tc>
        <w:tc>
          <w:tcPr>
            <w:tcW w:w="3460" w:type="dxa"/>
            <w:vAlign w:val="bottom"/>
            <w:gridSpan w:val="4"/>
          </w:tcPr>
          <w:p>
            <w:pPr>
              <w:spacing w:after="0"/>
              <w:rPr>
                <w:sz w:val="20"/>
                <w:szCs w:val="20"/>
                <w:color w:val="auto"/>
              </w:rPr>
            </w:pPr>
            <w:r>
              <w:rPr>
                <w:rFonts w:ascii="Arial" w:cs="Arial" w:eastAsia="Arial" w:hAnsi="Arial"/>
                <w:sz w:val="18"/>
                <w:szCs w:val="18"/>
                <w:color w:val="auto"/>
              </w:rPr>
              <w:t>Inline XBRL Instance Document</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101.SCH*</w:t>
            </w:r>
          </w:p>
        </w:tc>
        <w:tc>
          <w:tcPr>
            <w:tcW w:w="3460" w:type="dxa"/>
            <w:vAlign w:val="bottom"/>
            <w:gridSpan w:val="4"/>
          </w:tcPr>
          <w:p>
            <w:pPr>
              <w:spacing w:after="0"/>
              <w:rPr>
                <w:sz w:val="20"/>
                <w:szCs w:val="20"/>
                <w:color w:val="auto"/>
              </w:rPr>
            </w:pPr>
            <w:r>
              <w:rPr>
                <w:rFonts w:ascii="Arial" w:cs="Arial" w:eastAsia="Arial" w:hAnsi="Arial"/>
                <w:sz w:val="18"/>
                <w:szCs w:val="18"/>
                <w:color w:val="auto"/>
              </w:rPr>
              <w:t>Inline XBRL Taxonomy Extension Schema</w:t>
            </w:r>
          </w:p>
        </w:tc>
      </w:tr>
      <w:tr>
        <w:trPr>
          <w:trHeight w:val="229"/>
        </w:trPr>
        <w:tc>
          <w:tcPr>
            <w:tcW w:w="1020" w:type="dxa"/>
            <w:vAlign w:val="bottom"/>
          </w:tcPr>
          <w:p>
            <w:pPr>
              <w:spacing w:after="0"/>
              <w:rPr>
                <w:sz w:val="19"/>
                <w:szCs w:val="19"/>
                <w:color w:val="auto"/>
              </w:rPr>
            </w:pPr>
          </w:p>
        </w:tc>
        <w:tc>
          <w:tcPr>
            <w:tcW w:w="3460" w:type="dxa"/>
            <w:vAlign w:val="bottom"/>
            <w:gridSpan w:val="4"/>
          </w:tcPr>
          <w:p>
            <w:pPr>
              <w:spacing w:after="0"/>
              <w:rPr>
                <w:sz w:val="20"/>
                <w:szCs w:val="20"/>
                <w:color w:val="auto"/>
              </w:rPr>
            </w:pPr>
            <w:r>
              <w:rPr>
                <w:rFonts w:ascii="Arial" w:cs="Arial" w:eastAsia="Arial" w:hAnsi="Arial"/>
                <w:sz w:val="18"/>
                <w:szCs w:val="18"/>
                <w:color w:val="auto"/>
              </w:rPr>
              <w:t>Document</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101.CAL*</w:t>
            </w:r>
          </w:p>
        </w:tc>
        <w:tc>
          <w:tcPr>
            <w:tcW w:w="3460" w:type="dxa"/>
            <w:vAlign w:val="bottom"/>
            <w:gridSpan w:val="4"/>
          </w:tcPr>
          <w:p>
            <w:pPr>
              <w:spacing w:after="0"/>
              <w:rPr>
                <w:sz w:val="20"/>
                <w:szCs w:val="20"/>
                <w:color w:val="auto"/>
              </w:rPr>
            </w:pPr>
            <w:r>
              <w:rPr>
                <w:rFonts w:ascii="Arial" w:cs="Arial" w:eastAsia="Arial" w:hAnsi="Arial"/>
                <w:sz w:val="18"/>
                <w:szCs w:val="18"/>
                <w:color w:val="auto"/>
                <w:w w:val="94"/>
              </w:rPr>
              <w:t>Inline XBRL Taxonomy Extension Calculation</w:t>
            </w:r>
          </w:p>
        </w:tc>
      </w:tr>
      <w:tr>
        <w:trPr>
          <w:trHeight w:val="229"/>
        </w:trPr>
        <w:tc>
          <w:tcPr>
            <w:tcW w:w="1020" w:type="dxa"/>
            <w:vAlign w:val="bottom"/>
          </w:tcPr>
          <w:p>
            <w:pPr>
              <w:spacing w:after="0"/>
              <w:rPr>
                <w:sz w:val="19"/>
                <w:szCs w:val="19"/>
                <w:color w:val="auto"/>
              </w:rPr>
            </w:pPr>
          </w:p>
        </w:tc>
        <w:tc>
          <w:tcPr>
            <w:tcW w:w="3460" w:type="dxa"/>
            <w:vAlign w:val="bottom"/>
            <w:gridSpan w:val="4"/>
          </w:tcPr>
          <w:p>
            <w:pPr>
              <w:spacing w:after="0"/>
              <w:rPr>
                <w:sz w:val="20"/>
                <w:szCs w:val="20"/>
                <w:color w:val="auto"/>
              </w:rPr>
            </w:pPr>
            <w:r>
              <w:rPr>
                <w:rFonts w:ascii="Arial" w:cs="Arial" w:eastAsia="Arial" w:hAnsi="Arial"/>
                <w:sz w:val="18"/>
                <w:szCs w:val="18"/>
                <w:color w:val="auto"/>
              </w:rPr>
              <w:t>Linkbase Document</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101.DEF*</w:t>
            </w:r>
          </w:p>
        </w:tc>
        <w:tc>
          <w:tcPr>
            <w:tcW w:w="3460" w:type="dxa"/>
            <w:vAlign w:val="bottom"/>
            <w:gridSpan w:val="4"/>
          </w:tcPr>
          <w:p>
            <w:pPr>
              <w:spacing w:after="0"/>
              <w:rPr>
                <w:sz w:val="20"/>
                <w:szCs w:val="20"/>
                <w:color w:val="auto"/>
              </w:rPr>
            </w:pPr>
            <w:r>
              <w:rPr>
                <w:rFonts w:ascii="Arial" w:cs="Arial" w:eastAsia="Arial" w:hAnsi="Arial"/>
                <w:sz w:val="18"/>
                <w:szCs w:val="18"/>
                <w:color w:val="auto"/>
                <w:w w:val="98"/>
              </w:rPr>
              <w:t>Inline XBRL Taxonomy Extension Definition</w:t>
            </w:r>
          </w:p>
        </w:tc>
      </w:tr>
      <w:tr>
        <w:trPr>
          <w:trHeight w:val="229"/>
        </w:trPr>
        <w:tc>
          <w:tcPr>
            <w:tcW w:w="1020" w:type="dxa"/>
            <w:vAlign w:val="bottom"/>
          </w:tcPr>
          <w:p>
            <w:pPr>
              <w:spacing w:after="0"/>
              <w:rPr>
                <w:sz w:val="19"/>
                <w:szCs w:val="19"/>
                <w:color w:val="auto"/>
              </w:rPr>
            </w:pPr>
          </w:p>
        </w:tc>
        <w:tc>
          <w:tcPr>
            <w:tcW w:w="3460" w:type="dxa"/>
            <w:vAlign w:val="bottom"/>
            <w:gridSpan w:val="4"/>
          </w:tcPr>
          <w:p>
            <w:pPr>
              <w:spacing w:after="0"/>
              <w:rPr>
                <w:sz w:val="20"/>
                <w:szCs w:val="20"/>
                <w:color w:val="auto"/>
              </w:rPr>
            </w:pPr>
            <w:r>
              <w:rPr>
                <w:rFonts w:ascii="Arial" w:cs="Arial" w:eastAsia="Arial" w:hAnsi="Arial"/>
                <w:sz w:val="18"/>
                <w:szCs w:val="18"/>
                <w:color w:val="auto"/>
              </w:rPr>
              <w:t>Linkbase Document</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101.LAB*</w:t>
            </w:r>
          </w:p>
        </w:tc>
        <w:tc>
          <w:tcPr>
            <w:tcW w:w="3460" w:type="dxa"/>
            <w:vAlign w:val="bottom"/>
            <w:gridSpan w:val="4"/>
          </w:tcPr>
          <w:p>
            <w:pPr>
              <w:spacing w:after="0"/>
              <w:rPr>
                <w:sz w:val="20"/>
                <w:szCs w:val="20"/>
                <w:color w:val="auto"/>
              </w:rPr>
            </w:pPr>
            <w:r>
              <w:rPr>
                <w:rFonts w:ascii="Arial" w:cs="Arial" w:eastAsia="Arial" w:hAnsi="Arial"/>
                <w:sz w:val="18"/>
                <w:szCs w:val="18"/>
                <w:color w:val="auto"/>
              </w:rPr>
              <w:t>Inline XBRL Taxonomy Extension Label</w:t>
            </w:r>
          </w:p>
        </w:tc>
      </w:tr>
      <w:tr>
        <w:trPr>
          <w:trHeight w:val="230"/>
        </w:trPr>
        <w:tc>
          <w:tcPr>
            <w:tcW w:w="1020" w:type="dxa"/>
            <w:vAlign w:val="bottom"/>
          </w:tcPr>
          <w:p>
            <w:pPr>
              <w:spacing w:after="0"/>
              <w:rPr>
                <w:sz w:val="20"/>
                <w:szCs w:val="20"/>
                <w:color w:val="auto"/>
              </w:rPr>
            </w:pPr>
          </w:p>
        </w:tc>
        <w:tc>
          <w:tcPr>
            <w:tcW w:w="3460" w:type="dxa"/>
            <w:vAlign w:val="bottom"/>
            <w:gridSpan w:val="4"/>
          </w:tcPr>
          <w:p>
            <w:pPr>
              <w:spacing w:after="0"/>
              <w:rPr>
                <w:sz w:val="20"/>
                <w:szCs w:val="20"/>
                <w:color w:val="auto"/>
              </w:rPr>
            </w:pPr>
            <w:r>
              <w:rPr>
                <w:rFonts w:ascii="Arial" w:cs="Arial" w:eastAsia="Arial" w:hAnsi="Arial"/>
                <w:sz w:val="18"/>
                <w:szCs w:val="18"/>
                <w:color w:val="auto"/>
              </w:rPr>
              <w:t>Linkbase Document</w:t>
            </w:r>
          </w:p>
        </w:tc>
      </w:tr>
      <w:tr>
        <w:trPr>
          <w:trHeight w:val="269"/>
        </w:trPr>
        <w:tc>
          <w:tcPr>
            <w:tcW w:w="1020" w:type="dxa"/>
            <w:vAlign w:val="bottom"/>
          </w:tcPr>
          <w:p>
            <w:pPr>
              <w:spacing w:after="0"/>
              <w:rPr>
                <w:sz w:val="20"/>
                <w:szCs w:val="20"/>
                <w:color w:val="auto"/>
              </w:rPr>
            </w:pPr>
            <w:r>
              <w:rPr>
                <w:rFonts w:ascii="Arial" w:cs="Arial" w:eastAsia="Arial" w:hAnsi="Arial"/>
                <w:sz w:val="18"/>
                <w:szCs w:val="18"/>
                <w:color w:val="auto"/>
              </w:rPr>
              <w:t>101.PRE*</w:t>
            </w:r>
          </w:p>
        </w:tc>
        <w:tc>
          <w:tcPr>
            <w:tcW w:w="3460" w:type="dxa"/>
            <w:vAlign w:val="bottom"/>
            <w:gridSpan w:val="4"/>
          </w:tcPr>
          <w:p>
            <w:pPr>
              <w:spacing w:after="0"/>
              <w:rPr>
                <w:sz w:val="20"/>
                <w:szCs w:val="20"/>
                <w:color w:val="auto"/>
              </w:rPr>
            </w:pPr>
            <w:r>
              <w:rPr>
                <w:rFonts w:ascii="Arial" w:cs="Arial" w:eastAsia="Arial" w:hAnsi="Arial"/>
                <w:sz w:val="18"/>
                <w:szCs w:val="18"/>
                <w:color w:val="auto"/>
                <w:w w:val="91"/>
              </w:rPr>
              <w:t>Inline XBRL Taxonomy Extension Presentation</w:t>
            </w:r>
          </w:p>
        </w:tc>
      </w:tr>
      <w:tr>
        <w:trPr>
          <w:trHeight w:val="230"/>
        </w:trPr>
        <w:tc>
          <w:tcPr>
            <w:tcW w:w="1020" w:type="dxa"/>
            <w:vAlign w:val="bottom"/>
          </w:tcPr>
          <w:p>
            <w:pPr>
              <w:spacing w:after="0"/>
              <w:rPr>
                <w:sz w:val="20"/>
                <w:szCs w:val="20"/>
                <w:color w:val="auto"/>
              </w:rPr>
            </w:pPr>
          </w:p>
        </w:tc>
        <w:tc>
          <w:tcPr>
            <w:tcW w:w="3460" w:type="dxa"/>
            <w:vAlign w:val="bottom"/>
            <w:gridSpan w:val="4"/>
          </w:tcPr>
          <w:p>
            <w:pPr>
              <w:spacing w:after="0"/>
              <w:rPr>
                <w:sz w:val="20"/>
                <w:szCs w:val="20"/>
                <w:color w:val="auto"/>
              </w:rPr>
            </w:pPr>
            <w:r>
              <w:rPr>
                <w:rFonts w:ascii="Arial" w:cs="Arial" w:eastAsia="Arial" w:hAnsi="Arial"/>
                <w:sz w:val="18"/>
                <w:szCs w:val="18"/>
                <w:color w:val="auto"/>
              </w:rPr>
              <w:t>Linkbase Document</w:t>
            </w:r>
          </w:p>
        </w:tc>
      </w:tr>
    </w:tbl>
    <w:p>
      <w:pPr>
        <w:spacing w:after="0" w:line="53" w:lineRule="exact"/>
        <w:rPr>
          <w:sz w:val="20"/>
          <w:szCs w:val="20"/>
          <w:color w:val="auto"/>
        </w:rPr>
      </w:pPr>
    </w:p>
    <w:p>
      <w:pPr>
        <w:ind w:left="1060" w:right="4599" w:hanging="1011"/>
        <w:spacing w:after="0" w:line="308" w:lineRule="auto"/>
        <w:tabs>
          <w:tab w:leader="none" w:pos="1060" w:val="left"/>
        </w:tabs>
        <w:numPr>
          <w:ilvl w:val="1"/>
          <w:numId w:val="17"/>
        </w:numPr>
        <w:rPr>
          <w:rFonts w:ascii="Arial" w:cs="Arial" w:eastAsia="Arial" w:hAnsi="Arial"/>
          <w:sz w:val="17"/>
          <w:szCs w:val="17"/>
          <w:color w:val="auto"/>
        </w:rPr>
      </w:pPr>
      <w:r>
        <w:rPr>
          <w:rFonts w:ascii="Arial" w:cs="Arial" w:eastAsia="Arial" w:hAnsi="Arial"/>
          <w:sz w:val="17"/>
          <w:szCs w:val="17"/>
          <w:color w:val="auto"/>
        </w:rPr>
        <w:t>Cover Page Interactive Data File (formatted as inline XBRL and contained in Exhibit 101)</w:t>
      </w:r>
    </w:p>
    <w:p>
      <w:pPr>
        <w:spacing w:after="0" w:line="146" w:lineRule="exact"/>
        <w:rPr>
          <w:rFonts w:ascii="Arial" w:cs="Arial" w:eastAsia="Arial" w:hAnsi="Arial"/>
          <w:sz w:val="17"/>
          <w:szCs w:val="17"/>
          <w:color w:val="auto"/>
        </w:rPr>
      </w:pPr>
    </w:p>
    <w:p>
      <w:pPr>
        <w:ind w:left="40"/>
        <w:spacing w:after="0"/>
        <w:rPr>
          <w:rFonts w:ascii="Arial" w:cs="Arial" w:eastAsia="Arial" w:hAnsi="Arial"/>
          <w:sz w:val="17"/>
          <w:szCs w:val="17"/>
          <w:color w:val="auto"/>
        </w:rPr>
      </w:pPr>
      <w:r>
        <w:rPr>
          <w:rFonts w:ascii="Arial" w:cs="Arial" w:eastAsia="Arial" w:hAnsi="Arial"/>
          <w:sz w:val="18"/>
          <w:szCs w:val="18"/>
          <w:color w:val="auto"/>
        </w:rPr>
        <w:t>*   Filed herewith.</w:t>
      </w:r>
    </w:p>
    <w:p>
      <w:pPr>
        <w:spacing w:after="0" w:line="23" w:lineRule="exact"/>
        <w:rPr>
          <w:rFonts w:ascii="Arial" w:cs="Arial" w:eastAsia="Arial" w:hAnsi="Arial"/>
          <w:sz w:val="17"/>
          <w:szCs w:val="17"/>
          <w:color w:val="auto"/>
        </w:rPr>
      </w:pPr>
    </w:p>
    <w:p>
      <w:pPr>
        <w:ind w:left="360" w:hanging="316"/>
        <w:spacing w:after="0"/>
        <w:tabs>
          <w:tab w:leader="none" w:pos="3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-336550</wp:posOffset>
            </wp:positionV>
            <wp:extent cx="141414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2">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5" w:name="page46"/>
    <w:bookmarkEnd w:id="4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40" w:right="319"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960" w:type="dxa"/>
            <w:vAlign w:val="bottom"/>
          </w:tcPr>
          <w:p>
            <w:pPr>
              <w:spacing w:after="0"/>
              <w:rPr>
                <w:sz w:val="20"/>
                <w:szCs w:val="20"/>
                <w:color w:val="auto"/>
              </w:rPr>
            </w:pPr>
          </w:p>
        </w:tc>
        <w:tc>
          <w:tcPr>
            <w:tcW w:w="5960" w:type="dxa"/>
            <w:vAlign w:val="bottom"/>
            <w:gridSpan w:val="2"/>
          </w:tcPr>
          <w:p>
            <w:pPr>
              <w:ind w:left="2160"/>
              <w:spacing w:after="0"/>
              <w:rPr>
                <w:sz w:val="20"/>
                <w:szCs w:val="20"/>
                <w:color w:val="auto"/>
              </w:rPr>
            </w:pPr>
            <w:r>
              <w:rPr>
                <w:rFonts w:ascii="Arial" w:cs="Arial" w:eastAsia="Arial" w:hAnsi="Arial"/>
                <w:sz w:val="18"/>
                <w:szCs w:val="18"/>
                <w:color w:val="auto"/>
              </w:rPr>
              <w:t>Everspin Technologies, Inc.</w:t>
            </w:r>
          </w:p>
        </w:tc>
      </w:tr>
      <w:tr>
        <w:trPr>
          <w:trHeight w:val="432"/>
        </w:trPr>
        <w:tc>
          <w:tcPr>
            <w:tcW w:w="2960" w:type="dxa"/>
            <w:vAlign w:val="bottom"/>
          </w:tcPr>
          <w:p>
            <w:pPr>
              <w:spacing w:after="0"/>
              <w:rPr>
                <w:sz w:val="20"/>
                <w:szCs w:val="20"/>
                <w:color w:val="auto"/>
              </w:rPr>
            </w:pPr>
            <w:r>
              <w:rPr>
                <w:rFonts w:ascii="Arial" w:cs="Arial" w:eastAsia="Arial" w:hAnsi="Arial"/>
                <w:sz w:val="18"/>
                <w:szCs w:val="18"/>
                <w:color w:val="auto"/>
              </w:rPr>
              <w:t>Date: August 6, 2020</w:t>
            </w:r>
          </w:p>
        </w:tc>
        <w:tc>
          <w:tcPr>
            <w:tcW w:w="5960" w:type="dxa"/>
            <w:vAlign w:val="bottom"/>
            <w:gridSpan w:val="2"/>
          </w:tcPr>
          <w:p>
            <w:pPr>
              <w:ind w:left="2160"/>
              <w:spacing w:after="0"/>
              <w:rPr>
                <w:sz w:val="20"/>
                <w:szCs w:val="20"/>
                <w:color w:val="auto"/>
              </w:rPr>
            </w:pPr>
            <w:r>
              <w:rPr>
                <w:rFonts w:ascii="Arial" w:cs="Arial" w:eastAsia="Arial" w:hAnsi="Arial"/>
                <w:sz w:val="18"/>
                <w:szCs w:val="18"/>
                <w:color w:val="auto"/>
              </w:rPr>
              <w:t>By:/s/ Kevin Conley</w:t>
            </w:r>
          </w:p>
        </w:tc>
      </w:tr>
      <w:tr>
        <w:trPr>
          <w:trHeight w:val="195"/>
        </w:trPr>
        <w:tc>
          <w:tcPr>
            <w:tcW w:w="296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35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Kevin Conley</w:t>
            </w:r>
          </w:p>
        </w:tc>
      </w:tr>
      <w:tr>
        <w:trPr>
          <w:trHeight w:val="216"/>
        </w:trPr>
        <w:tc>
          <w:tcPr>
            <w:tcW w:w="29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16"/>
        </w:trPr>
        <w:tc>
          <w:tcPr>
            <w:tcW w:w="29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(Duly Authorized Officer and Principal</w:t>
            </w:r>
          </w:p>
        </w:tc>
      </w:tr>
      <w:tr>
        <w:trPr>
          <w:trHeight w:val="230"/>
        </w:trPr>
        <w:tc>
          <w:tcPr>
            <w:tcW w:w="296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Executive Officer)</w:t>
            </w:r>
          </w:p>
        </w:tc>
      </w:tr>
      <w:tr>
        <w:trPr>
          <w:trHeight w:val="432"/>
        </w:trPr>
        <w:tc>
          <w:tcPr>
            <w:tcW w:w="2960" w:type="dxa"/>
            <w:vAlign w:val="bottom"/>
          </w:tcPr>
          <w:p>
            <w:pPr>
              <w:spacing w:after="0"/>
              <w:rPr>
                <w:sz w:val="24"/>
                <w:szCs w:val="24"/>
                <w:color w:val="auto"/>
              </w:rPr>
            </w:pPr>
          </w:p>
        </w:tc>
        <w:tc>
          <w:tcPr>
            <w:tcW w:w="5960" w:type="dxa"/>
            <w:vAlign w:val="bottom"/>
            <w:gridSpan w:val="2"/>
          </w:tcPr>
          <w:p>
            <w:pPr>
              <w:ind w:left="2160"/>
              <w:spacing w:after="0"/>
              <w:rPr>
                <w:sz w:val="20"/>
                <w:szCs w:val="20"/>
                <w:color w:val="auto"/>
              </w:rPr>
            </w:pPr>
            <w:r>
              <w:rPr>
                <w:rFonts w:ascii="Arial" w:cs="Arial" w:eastAsia="Arial" w:hAnsi="Arial"/>
                <w:sz w:val="18"/>
                <w:szCs w:val="18"/>
                <w:color w:val="auto"/>
              </w:rPr>
              <w:t>Everspin Technologies, Inc.</w:t>
            </w:r>
          </w:p>
        </w:tc>
      </w:tr>
      <w:tr>
        <w:trPr>
          <w:trHeight w:val="432"/>
        </w:trPr>
        <w:tc>
          <w:tcPr>
            <w:tcW w:w="2960" w:type="dxa"/>
            <w:vAlign w:val="bottom"/>
          </w:tcPr>
          <w:p>
            <w:pPr>
              <w:spacing w:after="0"/>
              <w:rPr>
                <w:sz w:val="20"/>
                <w:szCs w:val="20"/>
                <w:color w:val="auto"/>
              </w:rPr>
            </w:pPr>
            <w:r>
              <w:rPr>
                <w:rFonts w:ascii="Arial" w:cs="Arial" w:eastAsia="Arial" w:hAnsi="Arial"/>
                <w:sz w:val="18"/>
                <w:szCs w:val="18"/>
                <w:color w:val="auto"/>
              </w:rPr>
              <w:t>Date: August 6, 2020</w:t>
            </w:r>
          </w:p>
        </w:tc>
        <w:tc>
          <w:tcPr>
            <w:tcW w:w="5960" w:type="dxa"/>
            <w:vAlign w:val="bottom"/>
            <w:gridSpan w:val="2"/>
          </w:tcPr>
          <w:p>
            <w:pPr>
              <w:ind w:left="2160"/>
              <w:spacing w:after="0"/>
              <w:rPr>
                <w:sz w:val="20"/>
                <w:szCs w:val="20"/>
                <w:color w:val="auto"/>
              </w:rPr>
            </w:pPr>
            <w:r>
              <w:rPr>
                <w:rFonts w:ascii="Arial" w:cs="Arial" w:eastAsia="Arial" w:hAnsi="Arial"/>
                <w:sz w:val="18"/>
                <w:szCs w:val="18"/>
                <w:color w:val="auto"/>
              </w:rPr>
              <w:t>By:/s/ Daniel Berenbaum</w:t>
            </w:r>
          </w:p>
        </w:tc>
      </w:tr>
      <w:tr>
        <w:trPr>
          <w:trHeight w:val="195"/>
        </w:trPr>
        <w:tc>
          <w:tcPr>
            <w:tcW w:w="296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35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Daniel Berenbaum</w:t>
            </w:r>
          </w:p>
        </w:tc>
      </w:tr>
      <w:tr>
        <w:trPr>
          <w:trHeight w:val="216"/>
        </w:trPr>
        <w:tc>
          <w:tcPr>
            <w:tcW w:w="29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520" w:type="dxa"/>
            <w:vAlign w:val="bottom"/>
          </w:tcPr>
          <w:p>
            <w:pPr>
              <w:ind w:left="40"/>
              <w:spacing w:after="0"/>
              <w:rPr>
                <w:sz w:val="20"/>
                <w:szCs w:val="20"/>
                <w:color w:val="auto"/>
              </w:rPr>
            </w:pPr>
            <w:r>
              <w:rPr>
                <w:rFonts w:ascii="Arial" w:cs="Arial" w:eastAsia="Arial" w:hAnsi="Arial"/>
                <w:sz w:val="18"/>
                <w:szCs w:val="18"/>
                <w:color w:val="auto"/>
              </w:rPr>
              <w:t>Chief Financial Officer</w:t>
            </w:r>
          </w:p>
        </w:tc>
      </w:tr>
      <w:tr>
        <w:trPr>
          <w:trHeight w:val="230"/>
        </w:trPr>
        <w:tc>
          <w:tcPr>
            <w:tcW w:w="296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r>
        <w:trPr>
          <w:trHeight w:val="675"/>
        </w:trPr>
        <w:tc>
          <w:tcPr>
            <w:tcW w:w="2960" w:type="dxa"/>
            <w:vAlign w:val="bottom"/>
          </w:tcPr>
          <w:p>
            <w:pPr>
              <w:spacing w:after="0"/>
              <w:rPr>
                <w:sz w:val="24"/>
                <w:szCs w:val="24"/>
                <w:color w:val="auto"/>
              </w:rPr>
            </w:pPr>
          </w:p>
        </w:tc>
        <w:tc>
          <w:tcPr>
            <w:tcW w:w="2440" w:type="dxa"/>
            <w:vAlign w:val="bottom"/>
          </w:tcPr>
          <w:p>
            <w:pPr>
              <w:ind w:left="1400"/>
              <w:spacing w:after="0"/>
              <w:rPr>
                <w:sz w:val="20"/>
                <w:szCs w:val="20"/>
                <w:color w:val="auto"/>
              </w:rPr>
            </w:pPr>
            <w:r>
              <w:rPr>
                <w:rFonts w:ascii="Arial" w:cs="Arial" w:eastAsia="Arial" w:hAnsi="Arial"/>
                <w:sz w:val="18"/>
                <w:szCs w:val="18"/>
                <w:color w:val="auto"/>
              </w:rPr>
              <w:t>46</w:t>
            </w:r>
          </w:p>
        </w:tc>
        <w:tc>
          <w:tcPr>
            <w:tcW w:w="3520" w:type="dxa"/>
            <w:vAlign w:val="bottom"/>
          </w:tcPr>
          <w:p>
            <w:pPr>
              <w:spacing w:after="0"/>
              <w:rPr>
                <w:sz w:val="24"/>
                <w:szCs w:val="24"/>
                <w:color w:val="auto"/>
              </w:rPr>
            </w:pPr>
          </w:p>
        </w:tc>
      </w:tr>
      <w:tr>
        <w:trPr>
          <w:trHeight w:val="560"/>
        </w:trPr>
        <w:tc>
          <w:tcPr>
            <w:tcW w:w="296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46" w:name="page47"/>
    <w:bookmarkEnd w:id="46"/>
    <w:p>
      <w:pPr>
        <w:jc w:val="right"/>
        <w:spacing w:after="0"/>
        <w:rPr>
          <w:sz w:val="20"/>
          <w:szCs w:val="20"/>
          <w:color w:val="auto"/>
        </w:rPr>
      </w:pPr>
      <w:r>
        <w:rPr>
          <w:rFonts w:ascii="Arial" w:cs="Arial" w:eastAsia="Arial" w:hAnsi="Arial"/>
          <w:sz w:val="22"/>
          <w:szCs w:val="22"/>
          <w:b w:val="1"/>
          <w:bCs w:val="1"/>
          <w:color w:val="auto"/>
        </w:rPr>
        <w:t>Exhibit 4.3</w:t>
      </w:r>
    </w:p>
    <w:p>
      <w:pPr>
        <w:spacing w:after="0" w:line="388"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THIS WARRANT AND THE SHARES ISSUABLE HEREUNDER HAVE NOT BEEN REGISTERED UNDER THE SECURITIES ACT OF 1933, AS AMENDED (THE “</w:t>
      </w:r>
      <w:r>
        <w:rPr>
          <w:rFonts w:ascii="Arial" w:cs="Arial" w:eastAsia="Arial" w:hAnsi="Arial"/>
          <w:sz w:val="22"/>
          <w:szCs w:val="22"/>
          <w:b w:val="1"/>
          <w:bCs w:val="1"/>
          <w:u w:val="single" w:color="auto"/>
          <w:color w:val="auto"/>
        </w:rPr>
        <w:t>ACT</w:t>
      </w:r>
      <w:r>
        <w:rPr>
          <w:rFonts w:ascii="Arial" w:cs="Arial" w:eastAsia="Arial" w:hAnsi="Arial"/>
          <w:sz w:val="22"/>
          <w:szCs w:val="22"/>
          <w:color w:val="auto"/>
        </w:rPr>
        <w:t>”), OR THE SECURITIES LAWS OF ANY STATE AND, EXCEPT AS SET FORTH IN SECTIONS</w:t>
      </w:r>
    </w:p>
    <w:p>
      <w:pPr>
        <w:spacing w:after="0" w:line="1"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5.3 AND 5.4 BELOW, MAY NOT BE OFFERED, SOLD, PLEDGED OR OTHERWISE TRANSFERRED UNLESS AND UNTIL REGISTERED UNDER SAID ACT AND LAWS OR IN FORM AND SUBSTANCE SATISFACTORY TO THE COMPANY, SUCH OFFER, SALE, PLEDGE OR OTHER TRANSFER IS EXEMPT FROM SUCH REGISTRATION.</w:t>
      </w:r>
    </w:p>
    <w:p>
      <w:pPr>
        <w:spacing w:after="0" w:line="182" w:lineRule="exact"/>
        <w:rPr>
          <w:sz w:val="20"/>
          <w:szCs w:val="20"/>
          <w:color w:val="auto"/>
        </w:rPr>
      </w:pPr>
    </w:p>
    <w:p>
      <w:pPr>
        <w:jc w:val="center"/>
        <w:ind w:right="80"/>
        <w:spacing w:after="0"/>
        <w:rPr>
          <w:sz w:val="20"/>
          <w:szCs w:val="20"/>
          <w:color w:val="auto"/>
        </w:rPr>
      </w:pPr>
      <w:r>
        <w:rPr>
          <w:rFonts w:ascii="Arial" w:cs="Arial" w:eastAsia="Arial" w:hAnsi="Arial"/>
          <w:sz w:val="22"/>
          <w:szCs w:val="22"/>
          <w:b w:val="1"/>
          <w:bCs w:val="1"/>
          <w:color w:val="auto"/>
        </w:rPr>
        <w:t>WARRANT TO PURCHASE COMMON STOCK</w:t>
      </w:r>
    </w:p>
    <w:p>
      <w:pPr>
        <w:spacing w:after="0" w:line="355" w:lineRule="exact"/>
        <w:rPr>
          <w:sz w:val="20"/>
          <w:szCs w:val="20"/>
          <w:color w:val="auto"/>
        </w:rPr>
      </w:pPr>
    </w:p>
    <w:p>
      <w:pPr>
        <w:spacing w:after="0"/>
        <w:tabs>
          <w:tab w:leader="none" w:pos="1860" w:val="left"/>
        </w:tabs>
        <w:rPr>
          <w:sz w:val="20"/>
          <w:szCs w:val="20"/>
          <w:color w:val="auto"/>
        </w:rPr>
      </w:pPr>
      <w:r>
        <w:rPr>
          <w:rFonts w:ascii="Arial" w:cs="Arial" w:eastAsia="Arial" w:hAnsi="Arial"/>
          <w:sz w:val="22"/>
          <w:szCs w:val="22"/>
          <w:b w:val="1"/>
          <w:bCs w:val="1"/>
          <w:color w:val="auto"/>
        </w:rPr>
        <w:t>Company:</w:t>
      </w:r>
      <w:r>
        <w:rPr>
          <w:sz w:val="20"/>
          <w:szCs w:val="20"/>
          <w:color w:val="auto"/>
        </w:rPr>
        <w:tab/>
      </w:r>
      <w:r>
        <w:rPr>
          <w:rFonts w:ascii="Arial" w:cs="Arial" w:eastAsia="Arial" w:hAnsi="Arial"/>
          <w:sz w:val="22"/>
          <w:szCs w:val="22"/>
          <w:color w:val="auto"/>
        </w:rPr>
        <w:t>EVERSPIN TECHNOLOGIES, INC., a Delaware corporation</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Number of Shares: </w:t>
      </w:r>
      <w:r>
        <w:rPr>
          <w:rFonts w:ascii="Arial" w:cs="Arial" w:eastAsia="Arial" w:hAnsi="Arial"/>
          <w:sz w:val="22"/>
          <w:szCs w:val="22"/>
          <w:color w:val="auto"/>
        </w:rPr>
        <w:t>21,500 shares of Common Stock</w:t>
      </w:r>
    </w:p>
    <w:p>
      <w:pPr>
        <w:spacing w:after="0" w:line="115" w:lineRule="exact"/>
        <w:rPr>
          <w:sz w:val="20"/>
          <w:szCs w:val="20"/>
          <w:color w:val="auto"/>
        </w:rPr>
      </w:pPr>
    </w:p>
    <w:p>
      <w:pPr>
        <w:spacing w:after="0"/>
        <w:tabs>
          <w:tab w:leader="none" w:pos="1820" w:val="left"/>
        </w:tabs>
        <w:rPr>
          <w:sz w:val="20"/>
          <w:szCs w:val="20"/>
          <w:color w:val="auto"/>
        </w:rPr>
      </w:pPr>
      <w:r>
        <w:rPr>
          <w:rFonts w:ascii="Arial" w:cs="Arial" w:eastAsia="Arial" w:hAnsi="Arial"/>
          <w:sz w:val="22"/>
          <w:szCs w:val="22"/>
          <w:b w:val="1"/>
          <w:bCs w:val="1"/>
          <w:color w:val="auto"/>
        </w:rPr>
        <w:t>Warrant Price:</w:t>
      </w:r>
      <w:r>
        <w:rPr>
          <w:sz w:val="20"/>
          <w:szCs w:val="20"/>
          <w:color w:val="auto"/>
        </w:rPr>
        <w:tab/>
      </w:r>
      <w:r>
        <w:rPr>
          <w:rFonts w:ascii="Arial" w:cs="Arial" w:eastAsia="Arial" w:hAnsi="Arial"/>
          <w:sz w:val="19"/>
          <w:szCs w:val="19"/>
          <w:color w:val="auto"/>
        </w:rPr>
        <w:t>$0.01</w:t>
      </w:r>
    </w:p>
    <w:p>
      <w:pPr>
        <w:spacing w:after="0" w:line="125" w:lineRule="exact"/>
        <w:rPr>
          <w:sz w:val="20"/>
          <w:szCs w:val="20"/>
          <w:color w:val="auto"/>
        </w:rPr>
      </w:pPr>
    </w:p>
    <w:p>
      <w:pPr>
        <w:spacing w:after="0"/>
        <w:tabs>
          <w:tab w:leader="none" w:pos="1860" w:val="left"/>
        </w:tabs>
        <w:rPr>
          <w:sz w:val="20"/>
          <w:szCs w:val="20"/>
          <w:color w:val="auto"/>
        </w:rPr>
      </w:pPr>
      <w:r>
        <w:rPr>
          <w:rFonts w:ascii="Arial" w:cs="Arial" w:eastAsia="Arial" w:hAnsi="Arial"/>
          <w:sz w:val="22"/>
          <w:szCs w:val="22"/>
          <w:b w:val="1"/>
          <w:bCs w:val="1"/>
          <w:color w:val="auto"/>
        </w:rPr>
        <w:t>Issue Date:</w:t>
      </w:r>
      <w:r>
        <w:rPr>
          <w:sz w:val="20"/>
          <w:szCs w:val="20"/>
          <w:color w:val="auto"/>
        </w:rPr>
        <w:tab/>
      </w:r>
      <w:r>
        <w:rPr>
          <w:rFonts w:ascii="Arial" w:cs="Arial" w:eastAsia="Arial" w:hAnsi="Arial"/>
          <w:sz w:val="19"/>
          <w:szCs w:val="19"/>
          <w:color w:val="auto"/>
        </w:rPr>
        <w:t>July 15, 2020</w:t>
      </w:r>
    </w:p>
    <w:p>
      <w:pPr>
        <w:spacing w:after="0" w:line="139" w:lineRule="exact"/>
        <w:rPr>
          <w:sz w:val="20"/>
          <w:szCs w:val="20"/>
          <w:color w:val="auto"/>
        </w:rPr>
      </w:pPr>
    </w:p>
    <w:p>
      <w:pPr>
        <w:spacing w:after="0"/>
        <w:tabs>
          <w:tab w:leader="none" w:pos="1860" w:val="left"/>
        </w:tabs>
        <w:rPr>
          <w:sz w:val="20"/>
          <w:szCs w:val="20"/>
          <w:color w:val="auto"/>
        </w:rPr>
      </w:pPr>
      <w:r>
        <w:rPr>
          <w:rFonts w:ascii="Arial" w:cs="Arial" w:eastAsia="Arial" w:hAnsi="Arial"/>
          <w:sz w:val="22"/>
          <w:szCs w:val="22"/>
          <w:b w:val="1"/>
          <w:bCs w:val="1"/>
          <w:color w:val="auto"/>
        </w:rPr>
        <w:t>Expiration Date:</w:t>
      </w:r>
      <w:r>
        <w:rPr>
          <w:sz w:val="20"/>
          <w:szCs w:val="20"/>
          <w:color w:val="auto"/>
        </w:rPr>
        <w:tab/>
      </w:r>
      <w:r>
        <w:rPr>
          <w:rFonts w:ascii="Arial" w:cs="Arial" w:eastAsia="Arial" w:hAnsi="Arial"/>
          <w:sz w:val="19"/>
          <w:szCs w:val="19"/>
          <w:color w:val="auto"/>
        </w:rPr>
        <w:t xml:space="preserve">July 15, 2025 </w:t>
      </w:r>
      <w:r>
        <w:rPr>
          <w:rFonts w:ascii="Arial" w:cs="Arial" w:eastAsia="Arial" w:hAnsi="Arial"/>
          <w:sz w:val="19"/>
          <w:szCs w:val="19"/>
          <w:b w:val="1"/>
          <w:bCs w:val="1"/>
          <w:color w:val="auto"/>
        </w:rPr>
        <w:t>See also Section 5.1(b).</w:t>
      </w:r>
    </w:p>
    <w:p>
      <w:pPr>
        <w:spacing w:after="0" w:line="139" w:lineRule="exact"/>
        <w:rPr>
          <w:sz w:val="20"/>
          <w:szCs w:val="20"/>
          <w:color w:val="auto"/>
        </w:rPr>
      </w:pPr>
    </w:p>
    <w:p>
      <w:pPr>
        <w:jc w:val="both"/>
        <w:ind w:left="1860" w:hanging="1863"/>
        <w:spacing w:after="0" w:line="280" w:lineRule="auto"/>
        <w:tabs>
          <w:tab w:leader="none" w:pos="1840" w:val="left"/>
        </w:tabs>
        <w:rPr>
          <w:sz w:val="20"/>
          <w:szCs w:val="20"/>
          <w:color w:val="auto"/>
        </w:rPr>
      </w:pPr>
      <w:r>
        <w:rPr>
          <w:rFonts w:ascii="Arial" w:cs="Arial" w:eastAsia="Arial" w:hAnsi="Arial"/>
          <w:sz w:val="22"/>
          <w:szCs w:val="22"/>
          <w:b w:val="1"/>
          <w:bCs w:val="1"/>
          <w:color w:val="auto"/>
        </w:rPr>
        <w:t>Credit Facility:</w:t>
      </w:r>
      <w:r>
        <w:rPr>
          <w:sz w:val="20"/>
          <w:szCs w:val="20"/>
          <w:color w:val="auto"/>
        </w:rPr>
        <w:tab/>
      </w:r>
      <w:r>
        <w:rPr>
          <w:rFonts w:ascii="Arial" w:cs="Arial" w:eastAsia="Arial" w:hAnsi="Arial"/>
          <w:sz w:val="19"/>
          <w:szCs w:val="19"/>
          <w:color w:val="auto"/>
        </w:rPr>
        <w:t>This Warrant to Purchase Common Stock (“</w:t>
      </w:r>
      <w:r>
        <w:rPr>
          <w:rFonts w:ascii="Arial" w:cs="Arial" w:eastAsia="Arial" w:hAnsi="Arial"/>
          <w:sz w:val="19"/>
          <w:szCs w:val="19"/>
          <w:b w:val="1"/>
          <w:bCs w:val="1"/>
          <w:u w:val="single" w:color="auto"/>
          <w:color w:val="auto"/>
        </w:rPr>
        <w:t>Warrant</w:t>
      </w:r>
      <w:r>
        <w:rPr>
          <w:rFonts w:ascii="Arial" w:cs="Arial" w:eastAsia="Arial" w:hAnsi="Arial"/>
          <w:sz w:val="19"/>
          <w:szCs w:val="19"/>
          <w:color w:val="auto"/>
        </w:rPr>
        <w:t>”) is issued in connection with that certain First Amendment to the Amended and Restated Loan and Security Agreement dated as of even date herewith between Silicon Valley Bank and the Company which amends that certain Amended and Restated Loan and Security Agreement dated as of August 5, 2019 between Silicon Valley Bank and the Company (as the same may from time to time be amended, modified, supplemented or restated, the “</w:t>
      </w:r>
      <w:r>
        <w:rPr>
          <w:rFonts w:ascii="Arial" w:cs="Arial" w:eastAsia="Arial" w:hAnsi="Arial"/>
          <w:sz w:val="19"/>
          <w:szCs w:val="19"/>
          <w:b w:val="1"/>
          <w:bCs w:val="1"/>
          <w:u w:val="single" w:color="auto"/>
          <w:color w:val="auto"/>
        </w:rPr>
        <w:t>Loan Agreement</w:t>
      </w:r>
      <w:r>
        <w:rPr>
          <w:rFonts w:ascii="Arial" w:cs="Arial" w:eastAsia="Arial" w:hAnsi="Arial"/>
          <w:sz w:val="19"/>
          <w:szCs w:val="19"/>
          <w:color w:val="auto"/>
        </w:rPr>
        <w:t>”).</w:t>
      </w:r>
    </w:p>
    <w:p>
      <w:pPr>
        <w:spacing w:after="0" w:line="151"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THIS WARRANT CERTIFIES THAT, for good and valuable consideration, SILICON VALLEY BANK (together with any successor or permitted assignee or transferee of this Warrant or of any shares issued upon exercise hereof, “</w:t>
      </w:r>
      <w:r>
        <w:rPr>
          <w:rFonts w:ascii="Arial" w:cs="Arial" w:eastAsia="Arial" w:hAnsi="Arial"/>
          <w:sz w:val="22"/>
          <w:szCs w:val="22"/>
          <w:b w:val="1"/>
          <w:bCs w:val="1"/>
          <w:u w:val="single" w:color="auto"/>
          <w:color w:val="auto"/>
        </w:rPr>
        <w:t>Holder</w:t>
      </w:r>
      <w:r>
        <w:rPr>
          <w:rFonts w:ascii="Arial" w:cs="Arial" w:eastAsia="Arial" w:hAnsi="Arial"/>
          <w:sz w:val="22"/>
          <w:szCs w:val="22"/>
          <w:color w:val="auto"/>
        </w:rPr>
        <w:t>”) is entitled to purchase the number of fully paid and non-assessable shares (the “</w:t>
      </w:r>
      <w:r>
        <w:rPr>
          <w:rFonts w:ascii="Arial" w:cs="Arial" w:eastAsia="Arial" w:hAnsi="Arial"/>
          <w:sz w:val="22"/>
          <w:szCs w:val="22"/>
          <w:b w:val="1"/>
          <w:bCs w:val="1"/>
          <w:u w:val="single" w:color="auto"/>
          <w:color w:val="auto"/>
        </w:rPr>
        <w:t>Shares</w:t>
      </w:r>
      <w:r>
        <w:rPr>
          <w:rFonts w:ascii="Arial" w:cs="Arial" w:eastAsia="Arial" w:hAnsi="Arial"/>
          <w:sz w:val="22"/>
          <w:szCs w:val="22"/>
          <w:color w:val="auto"/>
        </w:rPr>
        <w:t>”) of the above-stated common stock (the “</w:t>
      </w:r>
      <w:r>
        <w:rPr>
          <w:rFonts w:ascii="Arial" w:cs="Arial" w:eastAsia="Arial" w:hAnsi="Arial"/>
          <w:sz w:val="22"/>
          <w:szCs w:val="22"/>
          <w:b w:val="1"/>
          <w:bCs w:val="1"/>
          <w:u w:val="single" w:color="auto"/>
          <w:color w:val="auto"/>
        </w:rPr>
        <w:t>Common Stock</w:t>
      </w:r>
      <w:r>
        <w:rPr>
          <w:rFonts w:ascii="Arial" w:cs="Arial" w:eastAsia="Arial" w:hAnsi="Arial"/>
          <w:sz w:val="22"/>
          <w:szCs w:val="22"/>
          <w:color w:val="auto"/>
        </w:rPr>
        <w:t>”) of the above-named company (the “</w:t>
      </w:r>
      <w:r>
        <w:rPr>
          <w:rFonts w:ascii="Arial" w:cs="Arial" w:eastAsia="Arial" w:hAnsi="Arial"/>
          <w:sz w:val="22"/>
          <w:szCs w:val="22"/>
          <w:b w:val="1"/>
          <w:bCs w:val="1"/>
          <w:u w:val="single" w:color="auto"/>
          <w:color w:val="auto"/>
        </w:rPr>
        <w:t>Company</w:t>
      </w:r>
      <w:r>
        <w:rPr>
          <w:rFonts w:ascii="Arial" w:cs="Arial" w:eastAsia="Arial" w:hAnsi="Arial"/>
          <w:sz w:val="22"/>
          <w:szCs w:val="22"/>
          <w:color w:val="auto"/>
        </w:rPr>
        <w:t>”) at the above- stated Warrant Price, all as set forth above and as adjusted pursuant to Section 2 of this Warrant, subject to the provisions and upon the terms and conditions set forth in this Warrant. Reference is made to Section 5.4 of this Warrant whereby Silicon Valley Bank shall transfer this Warrant to its parent company, SVB Financial Group.</w:t>
      </w:r>
    </w:p>
    <w:p>
      <w:pPr>
        <w:spacing w:after="0" w:line="200"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auto"/>
        </w:rPr>
        <w:t xml:space="preserve">SECTION 1. </w:t>
      </w:r>
      <w:r>
        <w:rPr>
          <w:rFonts w:ascii="Arial" w:cs="Arial" w:eastAsia="Arial" w:hAnsi="Arial"/>
          <w:sz w:val="22"/>
          <w:szCs w:val="22"/>
          <w:u w:val="single" w:color="auto"/>
          <w:color w:val="auto"/>
        </w:rPr>
        <w:t>EXERCISE</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1"/>
          <w:szCs w:val="21"/>
          <w:color w:val="auto"/>
        </w:rPr>
        <w:t xml:space="preserve">1.1 </w:t>
      </w:r>
      <w:r>
        <w:rPr>
          <w:rFonts w:ascii="Arial" w:cs="Arial" w:eastAsia="Arial" w:hAnsi="Arial"/>
          <w:sz w:val="21"/>
          <w:szCs w:val="21"/>
          <w:u w:val="single" w:color="auto"/>
          <w:color w:val="auto"/>
        </w:rPr>
        <w:t>Method of Exercise</w:t>
      </w:r>
      <w:r>
        <w:rPr>
          <w:rFonts w:ascii="Arial" w:cs="Arial" w:eastAsia="Arial" w:hAnsi="Arial"/>
          <w:sz w:val="21"/>
          <w:szCs w:val="21"/>
          <w:color w:val="auto"/>
        </w:rPr>
        <w:t>. Holder may at any time and from time to time exercise this Warrant, in whole or in part, by delivering to the Company the original of this Warrant together with a duly executed Notice of Exercise in substantially the form attached hereto as Appendix 1 and, unless Holder is exercising this Warrant pursuant to a cashless exercise set forth in Section 1.2, a check, wire transfer of same-day funds (to an account designated by the Company), or other form of payment acceptable to the Company for the aggregate Warrant Price for the Shares being purchased.</w:t>
      </w:r>
    </w:p>
    <w:p>
      <w:pPr>
        <w:spacing w:after="0" w:line="177"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19"/>
          <w:szCs w:val="19"/>
          <w:u w:val="single" w:color="auto"/>
          <w:color w:val="auto"/>
        </w:rPr>
        <w:t>Cashless Exercise</w:t>
      </w:r>
      <w:r>
        <w:rPr>
          <w:rFonts w:ascii="Arial" w:cs="Arial" w:eastAsia="Arial" w:hAnsi="Arial"/>
          <w:sz w:val="19"/>
          <w:szCs w:val="19"/>
          <w:color w:val="auto"/>
        </w:rPr>
        <w:t>. On any exercise of this Warrant, in lieu of payment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495935</wp:posOffset>
            </wp:positionV>
            <wp:extent cx="629221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20"/>
          </w:cols>
          <w:pgMar w:left="1080" w:top="112" w:right="999" w:bottom="1440" w:gutter="0" w:footer="0" w:header="0"/>
        </w:sectPr>
      </w:pPr>
    </w:p>
    <w:bookmarkStart w:id="47" w:name="page48"/>
    <w:bookmarkEnd w:id="47"/>
    <w:p>
      <w:pPr>
        <w:ind w:right="340"/>
        <w:spacing w:after="0" w:line="250" w:lineRule="auto"/>
        <w:rPr>
          <w:sz w:val="20"/>
          <w:szCs w:val="20"/>
          <w:color w:val="auto"/>
        </w:rPr>
      </w:pPr>
      <w:r>
        <w:rPr>
          <w:rFonts w:ascii="Arial" w:cs="Arial" w:eastAsia="Arial" w:hAnsi="Arial"/>
          <w:sz w:val="22"/>
          <w:szCs w:val="22"/>
          <w:color w:val="auto"/>
        </w:rPr>
        <w:t>aggregate Warrant Price in the manner as specified in Section 1.1 above, but otherwise in accordance with the requirements of Section 1.1, Holder may elect to receive Shares equal to the</w:t>
      </w:r>
    </w:p>
    <w:p>
      <w:pPr>
        <w:spacing w:after="0" w:line="26" w:lineRule="exact"/>
        <w:rPr>
          <w:sz w:val="20"/>
          <w:szCs w:val="20"/>
          <w:color w:val="auto"/>
        </w:rPr>
      </w:pPr>
    </w:p>
    <w:p>
      <w:pPr>
        <w:jc w:val="both"/>
        <w:spacing w:after="0"/>
        <w:rPr>
          <w:sz w:val="20"/>
          <w:szCs w:val="20"/>
          <w:color w:val="auto"/>
        </w:rPr>
      </w:pPr>
      <w:r>
        <w:rPr>
          <w:rFonts w:ascii="Arial" w:cs="Arial" w:eastAsia="Arial" w:hAnsi="Arial"/>
          <w:sz w:val="22"/>
          <w:szCs w:val="22"/>
          <w:color w:val="auto"/>
        </w:rPr>
        <w:t>value of this Warrant, or portion hereof as to which this Warrant is being exercised. Thereupon, the Company shall issue to the Holder such number of fully paid and non-assessable Shares as are computed using the following formula:</w:t>
      </w:r>
    </w:p>
    <w:p>
      <w:pPr>
        <w:spacing w:after="0" w:line="294"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X = Y(A-B)/A</w:t>
      </w:r>
    </w:p>
    <w:p>
      <w:pPr>
        <w:sectPr>
          <w:pgSz w:w="11900" w:h="16838" w:orient="portrait"/>
          <w:cols w:equalWidth="0" w:num="1">
            <w:col w:w="9820"/>
          </w:cols>
          <w:pgMar w:left="1080" w:top="496" w:right="999" w:bottom="1440" w:gutter="0" w:footer="0" w:header="0"/>
        </w:sectPr>
      </w:pPr>
    </w:p>
    <w:p>
      <w:pPr>
        <w:spacing w:after="0" w:line="220" w:lineRule="exact"/>
        <w:rPr>
          <w:sz w:val="20"/>
          <w:szCs w:val="20"/>
          <w:color w:val="auto"/>
        </w:rPr>
      </w:pPr>
    </w:p>
    <w:p>
      <w:pPr>
        <w:ind w:left="940"/>
        <w:spacing w:after="0"/>
        <w:rPr>
          <w:sz w:val="20"/>
          <w:szCs w:val="20"/>
          <w:color w:val="auto"/>
        </w:rPr>
      </w:pPr>
      <w:r>
        <w:rPr>
          <w:rFonts w:ascii="Arial" w:cs="Arial" w:eastAsia="Arial" w:hAnsi="Arial"/>
          <w:sz w:val="19"/>
          <w:szCs w:val="19"/>
          <w:color w:val="auto"/>
        </w:rPr>
        <w:t>where: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X =  the number of Shares to be issued to the Holder;</w:t>
      </w:r>
    </w:p>
    <w:p>
      <w:pPr>
        <w:spacing w:after="0" w:line="8" w:lineRule="exact"/>
        <w:rPr>
          <w:sz w:val="20"/>
          <w:szCs w:val="20"/>
          <w:color w:val="auto"/>
        </w:rPr>
      </w:pPr>
    </w:p>
    <w:p>
      <w:pPr>
        <w:spacing w:after="0"/>
        <w:rPr>
          <w:sz w:val="20"/>
          <w:szCs w:val="20"/>
          <w:color w:val="auto"/>
        </w:rPr>
      </w:pPr>
      <w:r>
        <w:rPr>
          <w:rFonts w:ascii="Arial" w:cs="Arial" w:eastAsia="Arial" w:hAnsi="Arial"/>
          <w:sz w:val="21"/>
          <w:szCs w:val="21"/>
          <w:color w:val="auto"/>
        </w:rPr>
        <w:t>Y =  the number of Shares with respect to which this Warrant is being</w:t>
      </w:r>
    </w:p>
    <w:p>
      <w:pPr>
        <w:spacing w:after="0" w:line="2" w:lineRule="exact"/>
        <w:rPr>
          <w:sz w:val="20"/>
          <w:szCs w:val="20"/>
          <w:color w:val="auto"/>
        </w:rPr>
      </w:pPr>
    </w:p>
    <w:p>
      <w:pPr>
        <w:ind w:left="500"/>
        <w:spacing w:after="0"/>
        <w:rPr>
          <w:sz w:val="20"/>
          <w:szCs w:val="20"/>
          <w:color w:val="auto"/>
        </w:rPr>
      </w:pPr>
      <w:r>
        <w:rPr>
          <w:rFonts w:ascii="Arial" w:cs="Arial" w:eastAsia="Arial" w:hAnsi="Arial"/>
          <w:sz w:val="21"/>
          <w:szCs w:val="21"/>
          <w:color w:val="auto"/>
        </w:rPr>
        <w:t>exercised (inclusive of the Shares surrendered to the Company in</w:t>
      </w:r>
    </w:p>
    <w:p>
      <w:pPr>
        <w:ind w:left="500"/>
        <w:spacing w:after="0" w:line="231" w:lineRule="auto"/>
        <w:rPr>
          <w:sz w:val="20"/>
          <w:szCs w:val="20"/>
          <w:color w:val="auto"/>
        </w:rPr>
      </w:pPr>
      <w:r>
        <w:rPr>
          <w:rFonts w:ascii="Arial" w:cs="Arial" w:eastAsia="Arial" w:hAnsi="Arial"/>
          <w:sz w:val="22"/>
          <w:szCs w:val="22"/>
          <w:color w:val="auto"/>
        </w:rPr>
        <w:t>payment of the aggregate Warrant Price);</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A =  the Fair Market Value (as determined pursuant to Section 1.3 below) of</w:t>
      </w:r>
    </w:p>
    <w:p>
      <w:pPr>
        <w:spacing w:after="0" w:line="15" w:lineRule="exact"/>
        <w:rPr>
          <w:sz w:val="20"/>
          <w:szCs w:val="20"/>
          <w:color w:val="auto"/>
        </w:rPr>
      </w:pPr>
    </w:p>
    <w:p>
      <w:pPr>
        <w:ind w:left="500"/>
        <w:spacing w:after="0"/>
        <w:rPr>
          <w:sz w:val="20"/>
          <w:szCs w:val="20"/>
          <w:color w:val="auto"/>
        </w:rPr>
      </w:pPr>
      <w:r>
        <w:rPr>
          <w:rFonts w:ascii="Arial" w:cs="Arial" w:eastAsia="Arial" w:hAnsi="Arial"/>
          <w:sz w:val="22"/>
          <w:szCs w:val="22"/>
          <w:color w:val="auto"/>
        </w:rPr>
        <w:t>one Share; and</w:t>
      </w:r>
    </w:p>
    <w:p>
      <w:pPr>
        <w:ind w:left="20"/>
        <w:spacing w:after="0"/>
        <w:rPr>
          <w:sz w:val="20"/>
          <w:szCs w:val="20"/>
          <w:color w:val="auto"/>
        </w:rPr>
      </w:pPr>
      <w:r>
        <w:rPr>
          <w:rFonts w:ascii="Arial" w:cs="Arial" w:eastAsia="Arial" w:hAnsi="Arial"/>
          <w:sz w:val="22"/>
          <w:szCs w:val="22"/>
          <w:color w:val="auto"/>
        </w:rPr>
        <w:t>B =  the Warrant Price.</w:t>
      </w:r>
    </w:p>
    <w:p>
      <w:pPr>
        <w:spacing w:after="0" w:line="188" w:lineRule="exact"/>
        <w:rPr>
          <w:sz w:val="20"/>
          <w:szCs w:val="20"/>
          <w:color w:val="auto"/>
        </w:rPr>
      </w:pPr>
    </w:p>
    <w:p>
      <w:pPr>
        <w:sectPr>
          <w:pgSz w:w="11900" w:h="16838" w:orient="portrait"/>
          <w:cols w:equalWidth="0" w:num="2">
            <w:col w:w="1540" w:space="620"/>
            <w:col w:w="7660"/>
          </w:cols>
          <w:pgMar w:left="1080" w:top="496" w:right="999" w:bottom="1440" w:gutter="0" w:footer="0" w:header="0"/>
          <w:type w:val="continuous"/>
        </w:sectPr>
      </w:pPr>
    </w:p>
    <w:p>
      <w:pPr>
        <w:jc w:val="both"/>
        <w:ind w:firstLine="648"/>
        <w:spacing w:after="0" w:line="279" w:lineRule="auto"/>
        <w:rPr>
          <w:sz w:val="20"/>
          <w:szCs w:val="20"/>
          <w:color w:val="auto"/>
        </w:rPr>
      </w:pPr>
      <w:r>
        <w:rPr>
          <w:rFonts w:ascii="Arial" w:cs="Arial" w:eastAsia="Arial" w:hAnsi="Arial"/>
          <w:sz w:val="19"/>
          <w:szCs w:val="19"/>
          <w:color w:val="auto"/>
        </w:rPr>
        <w:t xml:space="preserve">1.3 </w:t>
      </w:r>
      <w:r>
        <w:rPr>
          <w:rFonts w:ascii="Arial" w:cs="Arial" w:eastAsia="Arial" w:hAnsi="Arial"/>
          <w:sz w:val="19"/>
          <w:szCs w:val="19"/>
          <w:u w:val="single" w:color="auto"/>
          <w:color w:val="auto"/>
        </w:rPr>
        <w:t>Fair Market Value</w:t>
      </w:r>
      <w:r>
        <w:rPr>
          <w:rFonts w:ascii="Arial" w:cs="Arial" w:eastAsia="Arial" w:hAnsi="Arial"/>
          <w:sz w:val="19"/>
          <w:szCs w:val="19"/>
          <w:color w:val="auto"/>
        </w:rPr>
        <w:t>. If the Company’s Common Stock is then traded or quoted on a nationally recognized securities exchange, inter-dealer quotation system or over-the-counter market (a “</w:t>
      </w:r>
      <w:r>
        <w:rPr>
          <w:rFonts w:ascii="Arial" w:cs="Arial" w:eastAsia="Arial" w:hAnsi="Arial"/>
          <w:sz w:val="19"/>
          <w:szCs w:val="19"/>
          <w:b w:val="1"/>
          <w:bCs w:val="1"/>
          <w:u w:val="single" w:color="auto"/>
          <w:color w:val="auto"/>
        </w:rPr>
        <w:t>Trading Market</w:t>
      </w:r>
      <w:r>
        <w:rPr>
          <w:rFonts w:ascii="Arial" w:cs="Arial" w:eastAsia="Arial" w:hAnsi="Arial"/>
          <w:sz w:val="19"/>
          <w:szCs w:val="19"/>
          <w:color w:val="auto"/>
        </w:rPr>
        <w:t>”), the fair market value of a Share shall be the closing price or last sale price of a share of Common Stock reported for the Business Day immediately before the date on which Holder delivers this Warrant together with its Notice of Exercise to the Company. If the Company’s Common Stock is not traded in a Trading Market, the Board of Directors of the Company shall determine the fair market value of a Share in its reasonable good faith judgment.</w:t>
      </w:r>
    </w:p>
    <w:p>
      <w:pPr>
        <w:spacing w:after="0" w:line="150" w:lineRule="exact"/>
        <w:rPr>
          <w:sz w:val="20"/>
          <w:szCs w:val="20"/>
          <w:color w:val="auto"/>
        </w:rPr>
      </w:pPr>
    </w:p>
    <w:p>
      <w:pPr>
        <w:ind w:right="100" w:firstLine="648"/>
        <w:spacing w:after="0" w:line="287" w:lineRule="auto"/>
        <w:rPr>
          <w:sz w:val="20"/>
          <w:szCs w:val="20"/>
          <w:color w:val="auto"/>
        </w:rPr>
      </w:pPr>
      <w:r>
        <w:rPr>
          <w:rFonts w:ascii="Arial" w:cs="Arial" w:eastAsia="Arial" w:hAnsi="Arial"/>
          <w:sz w:val="19"/>
          <w:szCs w:val="19"/>
          <w:color w:val="auto"/>
        </w:rPr>
        <w:t xml:space="preserve">1.4 </w:t>
      </w:r>
      <w:r>
        <w:rPr>
          <w:rFonts w:ascii="Arial" w:cs="Arial" w:eastAsia="Arial" w:hAnsi="Arial"/>
          <w:sz w:val="19"/>
          <w:szCs w:val="19"/>
          <w:u w:val="single" w:color="auto"/>
          <w:color w:val="auto"/>
        </w:rPr>
        <w:t>Delivery of Certificate and New Warrant</w:t>
      </w:r>
      <w:r>
        <w:rPr>
          <w:rFonts w:ascii="Arial" w:cs="Arial" w:eastAsia="Arial" w:hAnsi="Arial"/>
          <w:sz w:val="19"/>
          <w:szCs w:val="19"/>
          <w:color w:val="auto"/>
        </w:rPr>
        <w:t>. Within a reasonable time after Holder exercises this Warrant in the manner set forth in Section 1.1 or 1.2 above, the Company shall deliver to Holder a certificate representing the Shares issued to Holder upon such exercise and, if this Warrant has not been fully exercised and has not expired, a new warrant of like tenor representing the Shares not so acquired.</w:t>
      </w:r>
    </w:p>
    <w:p>
      <w:pPr>
        <w:spacing w:after="0" w:line="15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 xml:space="preserve">1.5 </w:t>
      </w:r>
      <w:r>
        <w:rPr>
          <w:rFonts w:ascii="Arial" w:cs="Arial" w:eastAsia="Arial" w:hAnsi="Arial"/>
          <w:sz w:val="19"/>
          <w:szCs w:val="19"/>
          <w:u w:val="single" w:color="auto"/>
          <w:color w:val="auto"/>
        </w:rPr>
        <w:t>Replacement of Warrant</w:t>
      </w:r>
      <w:r>
        <w:rPr>
          <w:rFonts w:ascii="Arial" w:cs="Arial" w:eastAsia="Arial" w:hAnsi="Arial"/>
          <w:sz w:val="19"/>
          <w:szCs w:val="19"/>
          <w:color w:val="auto"/>
        </w:rPr>
        <w:t>. On receipt of evidence reasonably satisfactory to the Company of the loss, theft, destruction or mutilation of this Warrant and, in the case of loss, theft or destruction, on delivery of an indemnity agreement reasonably satisfactory in form, substance and amount to the Company or, in the case of mutilation, on surrender of this Warrant to the Company for cancellation, the Company shall, within a reasonable time, execute and deliver to Holder, in lieu of this Warrant, a new warrant of like tenor and amount.</w:t>
      </w:r>
    </w:p>
    <w:p>
      <w:pPr>
        <w:spacing w:after="0" w:line="161"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2"/>
          <w:szCs w:val="22"/>
          <w:color w:val="auto"/>
        </w:rPr>
        <w:t>1.6</w:t>
      </w:r>
      <w:r>
        <w:rPr>
          <w:sz w:val="20"/>
          <w:szCs w:val="20"/>
          <w:color w:val="auto"/>
        </w:rPr>
        <w:tab/>
      </w:r>
      <w:r>
        <w:rPr>
          <w:rFonts w:ascii="Arial" w:cs="Arial" w:eastAsia="Arial" w:hAnsi="Arial"/>
          <w:sz w:val="19"/>
          <w:szCs w:val="19"/>
          <w:u w:val="single" w:color="auto"/>
          <w:color w:val="auto"/>
        </w:rPr>
        <w:t>Treatment of Warrant Upon Acquisition of Company</w:t>
      </w:r>
      <w:r>
        <w:rPr>
          <w:rFonts w:ascii="Arial" w:cs="Arial" w:eastAsia="Arial" w:hAnsi="Arial"/>
          <w:sz w:val="19"/>
          <w:szCs w:val="19"/>
          <w:color w:val="auto"/>
        </w:rPr>
        <w:t>.</w:t>
      </w:r>
    </w:p>
    <w:p>
      <w:pPr>
        <w:spacing w:after="0" w:line="281" w:lineRule="exact"/>
        <w:rPr>
          <w:sz w:val="20"/>
          <w:szCs w:val="20"/>
          <w:color w:val="auto"/>
        </w:rPr>
      </w:pPr>
    </w:p>
    <w:p>
      <w:pPr>
        <w:jc w:val="both"/>
        <w:ind w:firstLine="1294"/>
        <w:spacing w:after="0" w:line="236" w:lineRule="auto"/>
        <w:tabs>
          <w:tab w:leader="none" w:pos="2157" w:val="left"/>
        </w:tabs>
        <w:numPr>
          <w:ilvl w:val="0"/>
          <w:numId w:val="19"/>
        </w:numPr>
        <w:rPr>
          <w:rFonts w:ascii="Arial" w:cs="Arial" w:eastAsia="Arial" w:hAnsi="Arial"/>
          <w:sz w:val="22"/>
          <w:szCs w:val="22"/>
          <w:color w:val="auto"/>
        </w:rPr>
      </w:pPr>
      <w:r>
        <w:rPr>
          <w:rFonts w:ascii="Arial" w:cs="Arial" w:eastAsia="Arial" w:hAnsi="Arial"/>
          <w:sz w:val="22"/>
          <w:szCs w:val="22"/>
          <w:u w:val="single" w:color="auto"/>
          <w:color w:val="auto"/>
        </w:rPr>
        <w:t>Acquisition</w:t>
      </w:r>
      <w:r>
        <w:rPr>
          <w:rFonts w:ascii="Arial" w:cs="Arial" w:eastAsia="Arial" w:hAnsi="Arial"/>
          <w:sz w:val="22"/>
          <w:szCs w:val="22"/>
          <w:color w:val="auto"/>
        </w:rPr>
        <w:t>. For the purpose of this Warrant, “</w:t>
      </w:r>
      <w:r>
        <w:rPr>
          <w:rFonts w:ascii="Arial" w:cs="Arial" w:eastAsia="Arial" w:hAnsi="Arial"/>
          <w:sz w:val="22"/>
          <w:szCs w:val="22"/>
          <w:b w:val="1"/>
          <w:bCs w:val="1"/>
          <w:u w:val="single" w:color="auto"/>
          <w:color w:val="auto"/>
        </w:rPr>
        <w:t>Acquisition</w:t>
      </w:r>
      <w:r>
        <w:rPr>
          <w:rFonts w:ascii="Arial" w:cs="Arial" w:eastAsia="Arial" w:hAnsi="Arial"/>
          <w:sz w:val="22"/>
          <w:szCs w:val="22"/>
          <w:color w:val="auto"/>
        </w:rPr>
        <w:t>” means any transaction or series of related transactions involving: (i) the sale, lease, exclusive license, or other disposition of all or substantially all of the assets of the Company; (ii) any merger or consolidation of the Company into or with another person or entity (other than a merger or consolidation effected exclusively to change the Company’s domicile), or any other corporate reorganization, in which the stockholders of the Company in their capacity as such immediately prior to such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483870</wp:posOffset>
            </wp:positionV>
            <wp:extent cx="629221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20"/>
          </w:cols>
          <w:pgMar w:left="1080" w:top="496" w:right="999" w:bottom="1440" w:gutter="0" w:footer="0" w:header="0"/>
          <w:type w:val="continuous"/>
        </w:sectPr>
      </w:pPr>
    </w:p>
    <w:bookmarkStart w:id="48" w:name="page49"/>
    <w:bookmarkEnd w:id="48"/>
    <w:p>
      <w:pPr>
        <w:jc w:val="both"/>
        <w:spacing w:after="0" w:line="244" w:lineRule="auto"/>
        <w:rPr>
          <w:sz w:val="20"/>
          <w:szCs w:val="20"/>
          <w:color w:val="auto"/>
        </w:rPr>
      </w:pPr>
      <w:r>
        <w:rPr>
          <w:rFonts w:ascii="Arial" w:cs="Arial" w:eastAsia="Arial" w:hAnsi="Arial"/>
          <w:sz w:val="22"/>
          <w:szCs w:val="22"/>
          <w:color w:val="auto"/>
        </w:rPr>
        <w:t xml:space="preserve">consolidation or reorganization, own less than a majority of the Company’s </w:t>
      </w:r>
      <w:r>
        <w:rPr>
          <w:rFonts w:ascii="Arial" w:cs="Arial" w:eastAsia="Arial" w:hAnsi="Arial"/>
          <w:sz w:val="19"/>
          <w:szCs w:val="19"/>
          <w:color w:val="auto"/>
        </w:rPr>
        <w:t>(or the surviving or successor entity’s)</w:t>
      </w:r>
      <w:r>
        <w:rPr>
          <w:rFonts w:ascii="Arial" w:cs="Arial" w:eastAsia="Arial" w:hAnsi="Arial"/>
          <w:sz w:val="22"/>
          <w:szCs w:val="22"/>
          <w:color w:val="auto"/>
        </w:rPr>
        <w:t xml:space="preserve"> </w:t>
      </w:r>
      <w:r>
        <w:rPr>
          <w:rFonts w:ascii="Arial" w:cs="Arial" w:eastAsia="Arial" w:hAnsi="Arial"/>
          <w:sz w:val="19"/>
          <w:szCs w:val="19"/>
          <w:color w:val="auto"/>
        </w:rPr>
        <w:t>outstanding voting power immediately after such merger, consolidation or reorganization; or (iii) any sale or other transfer by the stockholders of the Company of shares representing at least a majority of the Company’s then-total outstanding combined voting power.</w:t>
      </w:r>
    </w:p>
    <w:p>
      <w:pPr>
        <w:spacing w:after="0" w:line="203" w:lineRule="exact"/>
        <w:rPr>
          <w:sz w:val="20"/>
          <w:szCs w:val="20"/>
          <w:color w:val="auto"/>
        </w:rPr>
      </w:pPr>
    </w:p>
    <w:p>
      <w:pPr>
        <w:jc w:val="both"/>
        <w:ind w:firstLine="1294"/>
        <w:spacing w:after="0" w:line="271" w:lineRule="auto"/>
        <w:tabs>
          <w:tab w:leader="none" w:pos="2317" w:val="left"/>
        </w:tabs>
        <w:numPr>
          <w:ilvl w:val="0"/>
          <w:numId w:val="20"/>
        </w:numPr>
        <w:rPr>
          <w:rFonts w:ascii="Arial" w:cs="Arial" w:eastAsia="Arial" w:hAnsi="Arial"/>
          <w:sz w:val="19"/>
          <w:szCs w:val="19"/>
          <w:color w:val="auto"/>
        </w:rPr>
      </w:pPr>
      <w:r>
        <w:rPr>
          <w:rFonts w:ascii="Arial" w:cs="Arial" w:eastAsia="Arial" w:hAnsi="Arial"/>
          <w:sz w:val="19"/>
          <w:szCs w:val="19"/>
          <w:u w:val="single" w:color="auto"/>
          <w:color w:val="auto"/>
        </w:rPr>
        <w:t>Treatment of Warrant at Acquisition</w:t>
      </w:r>
      <w:r>
        <w:rPr>
          <w:rFonts w:ascii="Arial" w:cs="Arial" w:eastAsia="Arial" w:hAnsi="Arial"/>
          <w:sz w:val="19"/>
          <w:szCs w:val="19"/>
          <w:color w:val="auto"/>
        </w:rPr>
        <w:t>. In the event of an Acquisition in which the consideration to be received by the Company’s stockholders consists solely of cash, solely of Marketable Securities or a combination of cash and Marketable Securities (a “</w:t>
      </w:r>
      <w:r>
        <w:rPr>
          <w:rFonts w:ascii="Arial" w:cs="Arial" w:eastAsia="Arial" w:hAnsi="Arial"/>
          <w:sz w:val="19"/>
          <w:szCs w:val="19"/>
          <w:b w:val="1"/>
          <w:bCs w:val="1"/>
          <w:u w:val="single" w:color="auto"/>
          <w:color w:val="auto"/>
        </w:rPr>
        <w:t>Cash/Public Acquisition</w:t>
      </w:r>
      <w:r>
        <w:rPr>
          <w:rFonts w:ascii="Arial" w:cs="Arial" w:eastAsia="Arial" w:hAnsi="Arial"/>
          <w:sz w:val="19"/>
          <w:szCs w:val="19"/>
          <w:color w:val="auto"/>
        </w:rPr>
        <w:t>”), and the fair market value of one Share as determined in accordance with Section 1.3 above would be greater than the Warrant Price in effect on such date immediately prior to such Cash/Public Acquisition, and Holder has not exercised this Warrant pursuant to Section 1.1 above as to all Shares, then this Warrant shall automatically be deemed to be Cashless Exercised pursuant to Section 1.2 above as to all Shares effective immediately prior to and contingent upon the consummation of a Cash/Public Acquisition. In connection with such Cashless Exercise, Holder shall be deemed to have restated each of the representations and warranties in Section 4 of the Warrant as the date thereof and the Company shall promptly notify the Holder of the number of Shares (or such other securities) issued upon exercise. In the event of a Cash/Public Acquisition where the fair market value of one Share as determined in accordance with Section 1.3 above would be less than the Warrant Price in effect immediately prior to such Cash/Public Acquisition, then this Warrant will expire immediately prior to the consummation of such Cash/Public Acquisition.</w:t>
      </w:r>
    </w:p>
    <w:p>
      <w:pPr>
        <w:spacing w:after="0" w:line="200" w:lineRule="exact"/>
        <w:rPr>
          <w:rFonts w:ascii="Arial" w:cs="Arial" w:eastAsia="Arial" w:hAnsi="Arial"/>
          <w:sz w:val="19"/>
          <w:szCs w:val="19"/>
          <w:color w:val="auto"/>
        </w:rPr>
      </w:pPr>
    </w:p>
    <w:p>
      <w:pPr>
        <w:spacing w:after="0" w:line="210" w:lineRule="exact"/>
        <w:rPr>
          <w:rFonts w:ascii="Arial" w:cs="Arial" w:eastAsia="Arial" w:hAnsi="Arial"/>
          <w:sz w:val="19"/>
          <w:szCs w:val="19"/>
          <w:color w:val="auto"/>
        </w:rPr>
      </w:pPr>
    </w:p>
    <w:p>
      <w:pPr>
        <w:jc w:val="both"/>
        <w:ind w:firstLine="1294"/>
        <w:spacing w:after="0" w:line="235" w:lineRule="auto"/>
        <w:tabs>
          <w:tab w:leader="none" w:pos="2022" w:val="left"/>
        </w:tabs>
        <w:numPr>
          <w:ilvl w:val="0"/>
          <w:numId w:val="20"/>
        </w:numPr>
        <w:rPr>
          <w:rFonts w:ascii="Arial" w:cs="Arial" w:eastAsia="Arial" w:hAnsi="Arial"/>
          <w:sz w:val="22"/>
          <w:szCs w:val="22"/>
          <w:color w:val="auto"/>
        </w:rPr>
      </w:pPr>
      <w:r>
        <w:rPr>
          <w:rFonts w:ascii="Arial" w:cs="Arial" w:eastAsia="Arial" w:hAnsi="Arial"/>
          <w:sz w:val="22"/>
          <w:szCs w:val="22"/>
          <w:color w:val="auto"/>
        </w:rPr>
        <w:t>Upon the closing of any Acquisition other than a Cash/Public Acquisition defined above, the acquiring, surviving or successor entity shall assume the obligations of this Warrant, and this Warrant shall thereafter be exercisable for the same securities and/or other property as would have been paid for the Shares issuable upon exercise of the unexercised portion of this Warrant as if such Shares were outstanding on and as of the closing of such Acquisition, subject to further adjustment from time to time in accordance with the provisions of this Warrant.</w:t>
      </w:r>
    </w:p>
    <w:p>
      <w:pPr>
        <w:spacing w:after="0" w:line="181" w:lineRule="exact"/>
        <w:rPr>
          <w:rFonts w:ascii="Arial" w:cs="Arial" w:eastAsia="Arial" w:hAnsi="Arial"/>
          <w:sz w:val="22"/>
          <w:szCs w:val="22"/>
          <w:color w:val="auto"/>
        </w:rPr>
      </w:pPr>
    </w:p>
    <w:p>
      <w:pPr>
        <w:jc w:val="both"/>
        <w:ind w:firstLine="1294"/>
        <w:spacing w:after="0" w:line="273" w:lineRule="auto"/>
        <w:tabs>
          <w:tab w:leader="none" w:pos="2155" w:val="left"/>
        </w:tabs>
        <w:numPr>
          <w:ilvl w:val="0"/>
          <w:numId w:val="20"/>
        </w:numPr>
        <w:rPr>
          <w:rFonts w:ascii="Arial" w:cs="Arial" w:eastAsia="Arial" w:hAnsi="Arial"/>
          <w:sz w:val="19"/>
          <w:szCs w:val="19"/>
          <w:color w:val="auto"/>
        </w:rPr>
      </w:pPr>
      <w:r>
        <w:rPr>
          <w:rFonts w:ascii="Arial" w:cs="Arial" w:eastAsia="Arial" w:hAnsi="Arial"/>
          <w:sz w:val="19"/>
          <w:szCs w:val="19"/>
          <w:color w:val="auto"/>
        </w:rPr>
        <w:t>As used in this Warrant, “</w:t>
      </w:r>
      <w:r>
        <w:rPr>
          <w:rFonts w:ascii="Arial" w:cs="Arial" w:eastAsia="Arial" w:hAnsi="Arial"/>
          <w:sz w:val="19"/>
          <w:szCs w:val="19"/>
          <w:b w:val="1"/>
          <w:bCs w:val="1"/>
          <w:u w:val="single" w:color="auto"/>
          <w:color w:val="auto"/>
        </w:rPr>
        <w:t>Marketable Securities</w:t>
      </w:r>
      <w:r>
        <w:rPr>
          <w:rFonts w:ascii="Arial" w:cs="Arial" w:eastAsia="Arial" w:hAnsi="Arial"/>
          <w:sz w:val="19"/>
          <w:szCs w:val="19"/>
          <w:color w:val="auto"/>
        </w:rPr>
        <w:t>” means securities meeting all of the following requirements: (i) the issuer thereof is then subject to the reporting requirements of Section 13 or Section 15(d) of the Securities Exchange Act of 1934, as amended (the “</w:t>
      </w:r>
      <w:r>
        <w:rPr>
          <w:rFonts w:ascii="Arial" w:cs="Arial" w:eastAsia="Arial" w:hAnsi="Arial"/>
          <w:sz w:val="19"/>
          <w:szCs w:val="19"/>
          <w:b w:val="1"/>
          <w:bCs w:val="1"/>
          <w:u w:val="single" w:color="auto"/>
          <w:color w:val="auto"/>
        </w:rPr>
        <w:t>Exchange Act</w:t>
      </w:r>
      <w:r>
        <w:rPr>
          <w:rFonts w:ascii="Arial" w:cs="Arial" w:eastAsia="Arial" w:hAnsi="Arial"/>
          <w:sz w:val="19"/>
          <w:szCs w:val="19"/>
          <w:color w:val="auto"/>
        </w:rPr>
        <w:t>”), and is then current in its filing of all required reports and other information under the Act and the Exchange Act; (ii) the class and series of shares or other security of the issuer that would be received by Holder in connection with the Acquisition were Holder to exercise this Warrant on or prior to the closing thereof is then traded in Trading Market; and (iii) following the closing of such Acquisition, Holder would not be restricted from publicly re-selling all of the issuer’s shares and/or other securities that would be received by Holder in such Acquisition were Holder to exercise or convert this Warrant in full on or prior to the closing of such Acquisition, except to the extent that any such restriction (x) arises solely under federal or state securities laws, rules or regulations, and (y) does not extend beyond six (6) months from the closing of such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630555</wp:posOffset>
            </wp:positionV>
            <wp:extent cx="629221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20"/>
          </w:cols>
          <w:pgMar w:left="1080" w:top="118" w:right="999" w:bottom="1440" w:gutter="0" w:footer="0" w:header="0"/>
        </w:sectPr>
      </w:pPr>
    </w:p>
    <w:bookmarkStart w:id="49" w:name="page50"/>
    <w:bookmarkEnd w:id="49"/>
    <w:p>
      <w:pPr>
        <w:ind w:left="780"/>
        <w:spacing w:after="0"/>
        <w:rPr>
          <w:sz w:val="20"/>
          <w:szCs w:val="20"/>
          <w:color w:val="auto"/>
        </w:rPr>
      </w:pPr>
      <w:r>
        <w:rPr>
          <w:rFonts w:ascii="Arial" w:cs="Arial" w:eastAsia="Arial" w:hAnsi="Arial"/>
          <w:sz w:val="22"/>
          <w:szCs w:val="22"/>
          <w:color w:val="auto"/>
        </w:rPr>
        <w:t xml:space="preserve">SECTION 2. </w:t>
      </w:r>
      <w:r>
        <w:rPr>
          <w:rFonts w:ascii="Arial" w:cs="Arial" w:eastAsia="Arial" w:hAnsi="Arial"/>
          <w:sz w:val="22"/>
          <w:szCs w:val="22"/>
          <w:u w:val="single" w:color="auto"/>
          <w:color w:val="auto"/>
        </w:rPr>
        <w:t>ADJUSTMENTS TO THE SHARES AND WARRANT PRICE</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color w:val="auto"/>
        </w:rPr>
        <w:t xml:space="preserve">2.1 </w:t>
      </w:r>
      <w:r>
        <w:rPr>
          <w:rFonts w:ascii="Arial" w:cs="Arial" w:eastAsia="Arial" w:hAnsi="Arial"/>
          <w:sz w:val="21"/>
          <w:szCs w:val="21"/>
          <w:u w:val="single" w:color="auto"/>
          <w:color w:val="auto"/>
        </w:rPr>
        <w:t>Stock Dividends, Splits, Etc.</w:t>
      </w:r>
      <w:r>
        <w:rPr>
          <w:rFonts w:ascii="Arial" w:cs="Arial" w:eastAsia="Arial" w:hAnsi="Arial"/>
          <w:sz w:val="21"/>
          <w:szCs w:val="21"/>
          <w:color w:val="auto"/>
        </w:rPr>
        <w:t xml:space="preserve"> If the Company declares or pays a dividend or distribution on the outstanding shares of the Common Stock payable in securities or property (other than cash), then upon exercise of this Warrant, for each Share acquired, Holder shall receive, without additional cost to Holder, the total number and kind of securities and property which Holder would have received had Holder owned the Shares of record as of the date the dividend or distribution occurred. If the Company subdivides the outstanding shares of the Common Stock by reclassification or otherwise into a greater number of shares, the number of Shares purchasable hereunder shall be proportionately increased and the Warrant Price shall be proportionately decreased. If the outstanding shares of the Common Stock are combined or consolidated, by reclassification or otherwise, into a lesser number of shares, the Warrant Price shall be proportionately increased and the number of Shares shall be proportionately decreased.</w:t>
      </w:r>
    </w:p>
    <w:p>
      <w:pPr>
        <w:spacing w:after="0" w:line="18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 xml:space="preserve">2.2 </w:t>
      </w:r>
      <w:r>
        <w:rPr>
          <w:rFonts w:ascii="Arial" w:cs="Arial" w:eastAsia="Arial" w:hAnsi="Arial"/>
          <w:sz w:val="21"/>
          <w:szCs w:val="21"/>
          <w:u w:val="single" w:color="auto"/>
          <w:color w:val="auto"/>
        </w:rPr>
        <w:t>Reclassification, Exchange, Combinations or Substitution</w:t>
      </w:r>
      <w:r>
        <w:rPr>
          <w:rFonts w:ascii="Arial" w:cs="Arial" w:eastAsia="Arial" w:hAnsi="Arial"/>
          <w:sz w:val="21"/>
          <w:szCs w:val="21"/>
          <w:color w:val="auto"/>
        </w:rPr>
        <w:t>. Upon any event whereby all of the outstanding shares of the Common Stock are reclassified, exchanged, combined, substituted, or replaced for, into, with or by Company securities of a different class and/or series, then from and after the consummation of such event, this Warrant will be exercisable for the number, class and series of Company securities that Holder would have received had the Shares been outstanding on and as of the consummation of such event, and subject to further adjustment thereafter from time to time in accordance with the provisions of this Warrant. The provisions of this Section 2.2 shall similarly apply to successive reclassifications, exchanges, combinations substitutions, replacements or other similar events.</w:t>
      </w:r>
    </w:p>
    <w:p>
      <w:pPr>
        <w:spacing w:after="0" w:line="193"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2"/>
          <w:szCs w:val="22"/>
          <w:color w:val="auto"/>
        </w:rPr>
        <w:t>2.3</w:t>
      </w:r>
      <w:r>
        <w:rPr>
          <w:sz w:val="20"/>
          <w:szCs w:val="20"/>
          <w:color w:val="auto"/>
        </w:rPr>
        <w:tab/>
      </w:r>
      <w:r>
        <w:rPr>
          <w:rFonts w:ascii="Arial" w:cs="Arial" w:eastAsia="Arial" w:hAnsi="Arial"/>
          <w:sz w:val="19"/>
          <w:szCs w:val="19"/>
          <w:u w:val="single" w:color="auto"/>
          <w:color w:val="auto"/>
        </w:rPr>
        <w:t>Intentionally Omitted</w:t>
      </w:r>
      <w:r>
        <w:rPr>
          <w:rFonts w:ascii="Arial" w:cs="Arial" w:eastAsia="Arial" w:hAnsi="Arial"/>
          <w:sz w:val="19"/>
          <w:szCs w:val="19"/>
          <w:color w:val="auto"/>
        </w:rPr>
        <w:t>.</w:t>
      </w:r>
    </w:p>
    <w:p>
      <w:pPr>
        <w:spacing w:after="0" w:line="220"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2"/>
          <w:szCs w:val="22"/>
          <w:color w:val="auto"/>
        </w:rPr>
        <w:t>2.4</w:t>
      </w:r>
      <w:r>
        <w:rPr>
          <w:sz w:val="20"/>
          <w:szCs w:val="20"/>
          <w:color w:val="auto"/>
        </w:rPr>
        <w:tab/>
      </w:r>
      <w:r>
        <w:rPr>
          <w:rFonts w:ascii="Arial" w:cs="Arial" w:eastAsia="Arial" w:hAnsi="Arial"/>
          <w:sz w:val="19"/>
          <w:szCs w:val="19"/>
          <w:u w:val="single" w:color="auto"/>
          <w:color w:val="auto"/>
        </w:rPr>
        <w:t>Intentionally Omitted</w:t>
      </w:r>
      <w:r>
        <w:rPr>
          <w:rFonts w:ascii="Arial" w:cs="Arial" w:eastAsia="Arial" w:hAnsi="Arial"/>
          <w:sz w:val="19"/>
          <w:szCs w:val="19"/>
          <w:color w:val="auto"/>
        </w:rPr>
        <w:t>.</w:t>
      </w:r>
    </w:p>
    <w:p>
      <w:pPr>
        <w:spacing w:after="0" w:line="20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 xml:space="preserve">2.5 </w:t>
      </w:r>
      <w:r>
        <w:rPr>
          <w:rFonts w:ascii="Arial" w:cs="Arial" w:eastAsia="Arial" w:hAnsi="Arial"/>
          <w:sz w:val="19"/>
          <w:szCs w:val="19"/>
          <w:u w:val="single" w:color="auto"/>
          <w:color w:val="auto"/>
        </w:rPr>
        <w:t>No Fractional Share</w:t>
      </w:r>
      <w:r>
        <w:rPr>
          <w:rFonts w:ascii="Arial" w:cs="Arial" w:eastAsia="Arial" w:hAnsi="Arial"/>
          <w:sz w:val="19"/>
          <w:szCs w:val="19"/>
          <w:color w:val="auto"/>
        </w:rPr>
        <w:t>. No fractional Share shall be issuable upon exercise of this Warrant and the number of Shares to be issued shall be rounded down to the nearest whole Share. If a fractional Share interest arises upon any exercise of the Warrant, the Company shall eliminate such fractional Share interest by paying Holder in cash the amount computed by multiplying the fractional interest by (i) the fair market value (as determined in accordance with Section 1.3 above) of a full Share, less (ii) the then-effective Warrant Price.</w:t>
      </w:r>
    </w:p>
    <w:p>
      <w:pPr>
        <w:spacing w:after="0" w:line="16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 xml:space="preserve">2.6 </w:t>
      </w:r>
      <w:r>
        <w:rPr>
          <w:rFonts w:ascii="Arial" w:cs="Arial" w:eastAsia="Arial" w:hAnsi="Arial"/>
          <w:sz w:val="19"/>
          <w:szCs w:val="19"/>
          <w:u w:val="single" w:color="auto"/>
          <w:color w:val="auto"/>
        </w:rPr>
        <w:t>Notice/Certificate as to Adjustments</w:t>
      </w:r>
      <w:r>
        <w:rPr>
          <w:rFonts w:ascii="Arial" w:cs="Arial" w:eastAsia="Arial" w:hAnsi="Arial"/>
          <w:sz w:val="19"/>
          <w:szCs w:val="19"/>
          <w:color w:val="auto"/>
        </w:rPr>
        <w:t>. Upon each adjustment of the Warrant Price, Common Stock and/or number of Shares, the Company, at the Company’s expense, shall notify Holder in writing within a reasonable time setting forth the adjustments to the Warrant Price, class and/or number of Shares and facts upon which such adjustment is based. The Company shall, upon written request from Holder, furnish Holder with a certificate of its Chief Financial Officer, including computations of such adjustment and the Warrant Price, class and number of Shares in effect upon the date of such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623570</wp:posOffset>
            </wp:positionV>
            <wp:extent cx="629221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20"/>
          </w:cols>
          <w:pgMar w:left="1080" w:top="118" w:right="999" w:bottom="1440" w:gutter="0" w:footer="0" w:header="0"/>
        </w:sectPr>
      </w:pPr>
    </w:p>
    <w:bookmarkStart w:id="50" w:name="page51"/>
    <w:bookmarkEnd w:id="50"/>
    <w:p>
      <w:pPr>
        <w:ind w:left="640"/>
        <w:spacing w:after="0"/>
        <w:rPr>
          <w:sz w:val="20"/>
          <w:szCs w:val="20"/>
          <w:color w:val="auto"/>
        </w:rPr>
      </w:pPr>
      <w:r>
        <w:rPr>
          <w:rFonts w:ascii="Arial" w:cs="Arial" w:eastAsia="Arial" w:hAnsi="Arial"/>
          <w:sz w:val="22"/>
          <w:szCs w:val="22"/>
          <w:color w:val="auto"/>
        </w:rPr>
        <w:t xml:space="preserve">SECTION 3. </w:t>
      </w:r>
      <w:r>
        <w:rPr>
          <w:rFonts w:ascii="Arial" w:cs="Arial" w:eastAsia="Arial" w:hAnsi="Arial"/>
          <w:sz w:val="22"/>
          <w:szCs w:val="22"/>
          <w:u w:val="single" w:color="auto"/>
          <w:color w:val="auto"/>
        </w:rPr>
        <w:t>REPRESENTATIONS AND COVENANTS OF THE COMPANY</w:t>
      </w:r>
      <w:r>
        <w:rPr>
          <w:rFonts w:ascii="Arial" w:cs="Arial" w:eastAsia="Arial" w:hAnsi="Arial"/>
          <w:sz w:val="22"/>
          <w:szCs w:val="22"/>
          <w:color w:val="auto"/>
        </w:rPr>
        <w:t>.</w:t>
      </w:r>
    </w:p>
    <w:p>
      <w:pPr>
        <w:spacing w:after="0" w:line="220" w:lineRule="exact"/>
        <w:rPr>
          <w:sz w:val="20"/>
          <w:szCs w:val="20"/>
          <w:color w:val="auto"/>
        </w:rPr>
      </w:pPr>
    </w:p>
    <w:p>
      <w:pPr>
        <w:ind w:left="640"/>
        <w:spacing w:after="0"/>
        <w:tabs>
          <w:tab w:leader="none" w:pos="1380"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19"/>
          <w:szCs w:val="19"/>
          <w:u w:val="single" w:color="auto"/>
          <w:color w:val="auto"/>
        </w:rPr>
        <w:t>Representations and Warranties</w:t>
      </w:r>
      <w:r>
        <w:rPr>
          <w:rFonts w:ascii="Arial" w:cs="Arial" w:eastAsia="Arial" w:hAnsi="Arial"/>
          <w:sz w:val="19"/>
          <w:szCs w:val="19"/>
          <w:color w:val="auto"/>
        </w:rPr>
        <w:t>. The Company represents and warrants to, and agrees with, the</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Holder as follows:</w:t>
      </w:r>
    </w:p>
    <w:p>
      <w:pPr>
        <w:spacing w:after="0" w:line="188" w:lineRule="exact"/>
        <w:rPr>
          <w:sz w:val="20"/>
          <w:szCs w:val="20"/>
          <w:color w:val="auto"/>
        </w:rPr>
      </w:pPr>
    </w:p>
    <w:p>
      <w:pPr>
        <w:jc w:val="both"/>
        <w:ind w:firstLine="1294"/>
        <w:spacing w:after="0"/>
        <w:tabs>
          <w:tab w:leader="none" w:pos="1968" w:val="left"/>
        </w:tabs>
        <w:numPr>
          <w:ilvl w:val="0"/>
          <w:numId w:val="21"/>
        </w:numPr>
        <w:rPr>
          <w:rFonts w:ascii="Arial" w:cs="Arial" w:eastAsia="Arial" w:hAnsi="Arial"/>
          <w:sz w:val="22"/>
          <w:szCs w:val="22"/>
          <w:color w:val="auto"/>
        </w:rPr>
      </w:pPr>
      <w:r>
        <w:rPr>
          <w:rFonts w:ascii="Arial" w:cs="Arial" w:eastAsia="Arial" w:hAnsi="Arial"/>
          <w:sz w:val="22"/>
          <w:szCs w:val="22"/>
          <w:color w:val="auto"/>
        </w:rPr>
        <w:t>The initial Warrant Price referenced on the first page of this Warrant is not greater than the price per share at which shares of Company Common Stock or options to purchase shares of Company Common Stock were issued immediately prior to the Issue Date hereof.</w:t>
      </w:r>
    </w:p>
    <w:p>
      <w:pPr>
        <w:spacing w:after="0" w:line="186" w:lineRule="exact"/>
        <w:rPr>
          <w:rFonts w:ascii="Arial" w:cs="Arial" w:eastAsia="Arial" w:hAnsi="Arial"/>
          <w:sz w:val="22"/>
          <w:szCs w:val="22"/>
          <w:color w:val="auto"/>
        </w:rPr>
      </w:pPr>
    </w:p>
    <w:p>
      <w:pPr>
        <w:jc w:val="both"/>
        <w:ind w:firstLine="1294"/>
        <w:spacing w:after="0" w:line="282" w:lineRule="auto"/>
        <w:tabs>
          <w:tab w:leader="none" w:pos="1980" w:val="left"/>
        </w:tabs>
        <w:numPr>
          <w:ilvl w:val="0"/>
          <w:numId w:val="21"/>
        </w:numPr>
        <w:rPr>
          <w:rFonts w:ascii="Arial" w:cs="Arial" w:eastAsia="Arial" w:hAnsi="Arial"/>
          <w:sz w:val="19"/>
          <w:szCs w:val="19"/>
          <w:color w:val="auto"/>
        </w:rPr>
      </w:pPr>
      <w:r>
        <w:rPr>
          <w:rFonts w:ascii="Arial" w:cs="Arial" w:eastAsia="Arial" w:hAnsi="Arial"/>
          <w:sz w:val="19"/>
          <w:szCs w:val="19"/>
          <w:color w:val="auto"/>
        </w:rPr>
        <w:t>All Shares which may be issued upon the exercise of this Warrant, shall, upon issuance, be duly authorized, validly issued, fully paid and non-assessable, and free of any liens and encumbrances except for restrictions on transfer provided for herein or under applicable federal and state securities laws. The Company covenants that it shall at all times cause to be reserved and kept available out of its authorized and unissued capital stock such number of securities as will be sufficient to permit the exercise in full of this Warrant.</w:t>
      </w:r>
    </w:p>
    <w:p>
      <w:pPr>
        <w:spacing w:after="0" w:line="161"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2"/>
          <w:szCs w:val="22"/>
          <w:color w:val="auto"/>
        </w:rPr>
        <w:t>3.2</w:t>
      </w:r>
      <w:r>
        <w:rPr>
          <w:sz w:val="20"/>
          <w:szCs w:val="20"/>
          <w:color w:val="auto"/>
        </w:rPr>
        <w:tab/>
      </w:r>
      <w:r>
        <w:rPr>
          <w:rFonts w:ascii="Arial" w:cs="Arial" w:eastAsia="Arial" w:hAnsi="Arial"/>
          <w:sz w:val="19"/>
          <w:szCs w:val="19"/>
          <w:u w:val="single" w:color="auto"/>
          <w:color w:val="auto"/>
        </w:rPr>
        <w:t>Notice of Certain Events</w:t>
      </w:r>
      <w:r>
        <w:rPr>
          <w:rFonts w:ascii="Arial" w:cs="Arial" w:eastAsia="Arial" w:hAnsi="Arial"/>
          <w:sz w:val="19"/>
          <w:szCs w:val="19"/>
          <w:color w:val="auto"/>
        </w:rPr>
        <w:t>. If the Company proposes at any time to:</w:t>
      </w:r>
    </w:p>
    <w:p>
      <w:pPr>
        <w:spacing w:after="0" w:line="220" w:lineRule="exact"/>
        <w:rPr>
          <w:sz w:val="20"/>
          <w:szCs w:val="20"/>
          <w:color w:val="auto"/>
        </w:rPr>
      </w:pPr>
    </w:p>
    <w:p>
      <w:pPr>
        <w:ind w:firstLine="1294"/>
        <w:spacing w:after="0" w:line="274" w:lineRule="auto"/>
        <w:tabs>
          <w:tab w:leader="none" w:pos="2022" w:val="left"/>
        </w:tabs>
        <w:numPr>
          <w:ilvl w:val="0"/>
          <w:numId w:val="22"/>
        </w:numPr>
        <w:rPr>
          <w:rFonts w:ascii="Arial" w:cs="Arial" w:eastAsia="Arial" w:hAnsi="Arial"/>
          <w:sz w:val="21"/>
          <w:szCs w:val="21"/>
          <w:color w:val="auto"/>
        </w:rPr>
      </w:pPr>
      <w:r>
        <w:rPr>
          <w:rFonts w:ascii="Arial" w:cs="Arial" w:eastAsia="Arial" w:hAnsi="Arial"/>
          <w:sz w:val="21"/>
          <w:szCs w:val="21"/>
          <w:color w:val="auto"/>
        </w:rPr>
        <w:t>declare any dividend or distribution upon the outstanding shares of the Company’s stock, whether in cash, property, stock, or other securities and whether or not a regular cash dividend;</w:t>
      </w:r>
    </w:p>
    <w:p>
      <w:pPr>
        <w:spacing w:after="0" w:line="150" w:lineRule="exact"/>
        <w:rPr>
          <w:rFonts w:ascii="Arial" w:cs="Arial" w:eastAsia="Arial" w:hAnsi="Arial"/>
          <w:sz w:val="21"/>
          <w:szCs w:val="21"/>
          <w:color w:val="auto"/>
        </w:rPr>
      </w:pPr>
    </w:p>
    <w:p>
      <w:pPr>
        <w:jc w:val="both"/>
        <w:ind w:firstLine="1294"/>
        <w:spacing w:after="0"/>
        <w:tabs>
          <w:tab w:leader="none" w:pos="2290" w:val="left"/>
        </w:tabs>
        <w:numPr>
          <w:ilvl w:val="0"/>
          <w:numId w:val="22"/>
        </w:numPr>
        <w:rPr>
          <w:rFonts w:ascii="Arial" w:cs="Arial" w:eastAsia="Arial" w:hAnsi="Arial"/>
          <w:sz w:val="22"/>
          <w:szCs w:val="22"/>
          <w:color w:val="auto"/>
        </w:rPr>
      </w:pPr>
      <w:r>
        <w:rPr>
          <w:rFonts w:ascii="Arial" w:cs="Arial" w:eastAsia="Arial" w:hAnsi="Arial"/>
          <w:sz w:val="22"/>
          <w:szCs w:val="22"/>
          <w:color w:val="auto"/>
        </w:rPr>
        <w:t>offer for subscription or sale pro rata to the holders of the outstanding shares any additional shares of any class or series of the Company’s stock (other than pursuant to contractual pre-emptive rights);</w:t>
      </w:r>
    </w:p>
    <w:p>
      <w:pPr>
        <w:spacing w:after="0" w:line="199" w:lineRule="exact"/>
        <w:rPr>
          <w:rFonts w:ascii="Arial" w:cs="Arial" w:eastAsia="Arial" w:hAnsi="Arial"/>
          <w:sz w:val="22"/>
          <w:szCs w:val="22"/>
          <w:color w:val="auto"/>
        </w:rPr>
      </w:pPr>
    </w:p>
    <w:p>
      <w:pPr>
        <w:ind w:firstLine="1294"/>
        <w:spacing w:after="0" w:line="250" w:lineRule="auto"/>
        <w:tabs>
          <w:tab w:leader="none" w:pos="2400" w:val="left"/>
        </w:tabs>
        <w:numPr>
          <w:ilvl w:val="0"/>
          <w:numId w:val="22"/>
        </w:numPr>
        <w:rPr>
          <w:rFonts w:ascii="Arial" w:cs="Arial" w:eastAsia="Arial" w:hAnsi="Arial"/>
          <w:sz w:val="22"/>
          <w:szCs w:val="22"/>
          <w:color w:val="auto"/>
        </w:rPr>
      </w:pPr>
      <w:r>
        <w:rPr>
          <w:rFonts w:ascii="Arial" w:cs="Arial" w:eastAsia="Arial" w:hAnsi="Arial"/>
          <w:sz w:val="22"/>
          <w:szCs w:val="22"/>
          <w:color w:val="auto"/>
        </w:rPr>
        <w:t>effect any reclassification, exchange, combination, substitution, reorganization or recapitalization of the outstanding shares of the Common Stock; or</w:t>
      </w:r>
    </w:p>
    <w:p>
      <w:pPr>
        <w:spacing w:after="0" w:line="188" w:lineRule="exact"/>
        <w:rPr>
          <w:rFonts w:ascii="Arial" w:cs="Arial" w:eastAsia="Arial" w:hAnsi="Arial"/>
          <w:sz w:val="22"/>
          <w:szCs w:val="22"/>
          <w:color w:val="auto"/>
        </w:rPr>
      </w:pPr>
    </w:p>
    <w:p>
      <w:pPr>
        <w:ind w:firstLine="1294"/>
        <w:spacing w:after="0" w:line="250" w:lineRule="auto"/>
        <w:tabs>
          <w:tab w:leader="none" w:pos="2088" w:val="left"/>
        </w:tabs>
        <w:numPr>
          <w:ilvl w:val="0"/>
          <w:numId w:val="22"/>
        </w:numPr>
        <w:rPr>
          <w:rFonts w:ascii="Arial" w:cs="Arial" w:eastAsia="Arial" w:hAnsi="Arial"/>
          <w:sz w:val="22"/>
          <w:szCs w:val="22"/>
          <w:color w:val="auto"/>
        </w:rPr>
      </w:pPr>
      <w:r>
        <w:rPr>
          <w:rFonts w:ascii="Arial" w:cs="Arial" w:eastAsia="Arial" w:hAnsi="Arial"/>
          <w:sz w:val="22"/>
          <w:szCs w:val="22"/>
          <w:color w:val="auto"/>
        </w:rPr>
        <w:t>effect an Acquisition or to liquidate, dissolve or wind up. then, in connection with each such event, the Company shall give Holder:</w:t>
      </w:r>
    </w:p>
    <w:p>
      <w:pPr>
        <w:spacing w:after="0" w:line="201" w:lineRule="exact"/>
        <w:rPr>
          <w:rFonts w:ascii="Arial" w:cs="Arial" w:eastAsia="Arial" w:hAnsi="Arial"/>
          <w:sz w:val="22"/>
          <w:szCs w:val="22"/>
          <w:color w:val="auto"/>
        </w:rPr>
      </w:pPr>
    </w:p>
    <w:p>
      <w:pPr>
        <w:jc w:val="both"/>
        <w:ind w:left="1300" w:firstLine="642"/>
        <w:spacing w:after="0" w:line="249" w:lineRule="auto"/>
        <w:tabs>
          <w:tab w:leader="none" w:pos="2875" w:val="left"/>
        </w:tabs>
        <w:numPr>
          <w:ilvl w:val="1"/>
          <w:numId w:val="22"/>
        </w:numPr>
        <w:rPr>
          <w:rFonts w:ascii="Arial" w:cs="Arial" w:eastAsia="Arial" w:hAnsi="Arial"/>
          <w:sz w:val="21"/>
          <w:szCs w:val="21"/>
          <w:color w:val="auto"/>
        </w:rPr>
      </w:pPr>
      <w:r>
        <w:rPr>
          <w:rFonts w:ascii="Arial" w:cs="Arial" w:eastAsia="Arial" w:hAnsi="Arial"/>
          <w:sz w:val="21"/>
          <w:szCs w:val="21"/>
          <w:color w:val="auto"/>
        </w:rPr>
        <w:t>in the case of the matters referred to in (a) and (b) above, at least seven (7) Business Days prior written notice of the earlier to occur of the effective date thereof or the date on which a record will be taken for such dividend, distribution, or subscription rights (and specifying the date on which the holders of outstanding shares of the Common Stock will be entitled thereto) or for determining rights to vote, if any, and</w:t>
      </w:r>
    </w:p>
    <w:p>
      <w:pPr>
        <w:spacing w:after="0" w:line="178" w:lineRule="exact"/>
        <w:rPr>
          <w:rFonts w:ascii="Arial" w:cs="Arial" w:eastAsia="Arial" w:hAnsi="Arial"/>
          <w:sz w:val="21"/>
          <w:szCs w:val="21"/>
          <w:color w:val="auto"/>
        </w:rPr>
      </w:pPr>
    </w:p>
    <w:p>
      <w:pPr>
        <w:jc w:val="both"/>
        <w:ind w:left="1300" w:firstLine="642"/>
        <w:spacing w:after="0" w:line="279" w:lineRule="auto"/>
        <w:tabs>
          <w:tab w:leader="none" w:pos="2902" w:val="left"/>
        </w:tabs>
        <w:numPr>
          <w:ilvl w:val="1"/>
          <w:numId w:val="22"/>
        </w:numPr>
        <w:rPr>
          <w:rFonts w:ascii="Arial" w:cs="Arial" w:eastAsia="Arial" w:hAnsi="Arial"/>
          <w:sz w:val="19"/>
          <w:szCs w:val="19"/>
          <w:color w:val="auto"/>
        </w:rPr>
      </w:pPr>
      <w:r>
        <w:rPr>
          <w:rFonts w:ascii="Arial" w:cs="Arial" w:eastAsia="Arial" w:hAnsi="Arial"/>
          <w:sz w:val="19"/>
          <w:szCs w:val="19"/>
          <w:color w:val="auto"/>
        </w:rPr>
        <w:t>in the case of the matters referred to in (c) and (d) above at least seven (7) Business Days prior written notice of the date when the same will take place (and specifying the date on which the holders of outstanding shares of the Class will be entitled to exchange their shares for the securities or other property deliverable upon the occurrence of such event and such reasonable information as Holder may reasonably require regarding the treatment of this Warrant in connection with such event giving rise to the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623570</wp:posOffset>
            </wp:positionV>
            <wp:extent cx="629221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20"/>
          </w:cols>
          <w:pgMar w:left="1080" w:top="118" w:right="999" w:bottom="1440" w:gutter="0" w:footer="0" w:header="0"/>
        </w:sectPr>
      </w:pPr>
    </w:p>
    <w:bookmarkStart w:id="51" w:name="page52"/>
    <w:bookmarkEnd w:id="51"/>
    <w:p>
      <w:pPr>
        <w:jc w:val="both"/>
        <w:spacing w:after="0" w:line="251" w:lineRule="auto"/>
        <w:rPr>
          <w:sz w:val="20"/>
          <w:szCs w:val="20"/>
          <w:color w:val="auto"/>
        </w:rPr>
      </w:pPr>
      <w:r>
        <w:rPr>
          <w:rFonts w:ascii="Arial" w:cs="Arial" w:eastAsia="Arial" w:hAnsi="Arial"/>
          <w:sz w:val="22"/>
          <w:szCs w:val="22"/>
          <w:color w:val="auto"/>
        </w:rPr>
        <w:t>Company will also provide information requested by Holder that is reasonably necessary to enable Holder to comply with Holder’s accounting or reporting requirements.</w:t>
      </w:r>
    </w:p>
    <w:p>
      <w:pPr>
        <w:spacing w:after="0" w:line="187" w:lineRule="exact"/>
        <w:rPr>
          <w:sz w:val="20"/>
          <w:szCs w:val="20"/>
          <w:color w:val="auto"/>
        </w:rPr>
      </w:pPr>
    </w:p>
    <w:p>
      <w:pPr>
        <w:ind w:left="940"/>
        <w:spacing w:after="0"/>
        <w:rPr>
          <w:sz w:val="20"/>
          <w:szCs w:val="20"/>
          <w:color w:val="auto"/>
        </w:rPr>
      </w:pPr>
      <w:r>
        <w:rPr>
          <w:rFonts w:ascii="Arial" w:cs="Arial" w:eastAsia="Arial" w:hAnsi="Arial"/>
          <w:sz w:val="22"/>
          <w:szCs w:val="22"/>
          <w:color w:val="auto"/>
        </w:rPr>
        <w:t xml:space="preserve">SECTION 4. </w:t>
      </w:r>
      <w:r>
        <w:rPr>
          <w:rFonts w:ascii="Arial" w:cs="Arial" w:eastAsia="Arial" w:hAnsi="Arial"/>
          <w:sz w:val="22"/>
          <w:szCs w:val="22"/>
          <w:u w:val="single" w:color="auto"/>
          <w:color w:val="auto"/>
        </w:rPr>
        <w:t>REPRESENTATIONS, WARRANTIES OF THE HOLDER</w:t>
      </w:r>
      <w:r>
        <w:rPr>
          <w:rFonts w:ascii="Arial" w:cs="Arial" w:eastAsia="Arial" w:hAnsi="Arial"/>
          <w:sz w:val="22"/>
          <w:szCs w:val="22"/>
          <w:color w:val="auto"/>
        </w:rPr>
        <w:t>.</w:t>
      </w:r>
    </w:p>
    <w:p>
      <w:pPr>
        <w:spacing w:after="0" w:line="206" w:lineRule="exact"/>
        <w:rPr>
          <w:sz w:val="20"/>
          <w:szCs w:val="20"/>
          <w:color w:val="auto"/>
        </w:rPr>
      </w:pPr>
    </w:p>
    <w:p>
      <w:pPr>
        <w:ind w:left="640"/>
        <w:spacing w:after="0"/>
        <w:rPr>
          <w:sz w:val="20"/>
          <w:szCs w:val="20"/>
          <w:color w:val="auto"/>
        </w:rPr>
      </w:pPr>
      <w:r>
        <w:rPr>
          <w:rFonts w:ascii="Arial" w:cs="Arial" w:eastAsia="Arial" w:hAnsi="Arial"/>
          <w:sz w:val="22"/>
          <w:szCs w:val="22"/>
          <w:color w:val="auto"/>
        </w:rPr>
        <w:t>The Holder represents and warrants to the Company as follows:</w:t>
      </w:r>
    </w:p>
    <w:p>
      <w:pPr>
        <w:spacing w:after="0" w:line="22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 xml:space="preserve">4.1 </w:t>
      </w:r>
      <w:r>
        <w:rPr>
          <w:rFonts w:ascii="Arial" w:cs="Arial" w:eastAsia="Arial" w:hAnsi="Arial"/>
          <w:sz w:val="21"/>
          <w:szCs w:val="21"/>
          <w:u w:val="single" w:color="auto"/>
          <w:color w:val="auto"/>
        </w:rPr>
        <w:t>Purchase for Own Account</w:t>
      </w:r>
      <w:r>
        <w:rPr>
          <w:rFonts w:ascii="Arial" w:cs="Arial" w:eastAsia="Arial" w:hAnsi="Arial"/>
          <w:sz w:val="21"/>
          <w:szCs w:val="21"/>
          <w:color w:val="auto"/>
        </w:rPr>
        <w:t>. This Warrant and the Shares to be acquired upon exercise of this Warrant by Holder are being acquired for investment for Holder’s account, not as a nominee or agent, and not with a view to the public resale or distribution within the meaning of the Act. Holder also represents that it has not been formed for the specific purpose of acquiring this Warrant or the Shares.</w:t>
      </w:r>
    </w:p>
    <w:p>
      <w:pPr>
        <w:spacing w:after="0" w:line="187"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 xml:space="preserve">4.2 </w:t>
      </w:r>
      <w:r>
        <w:rPr>
          <w:rFonts w:ascii="Arial" w:cs="Arial" w:eastAsia="Arial" w:hAnsi="Arial"/>
          <w:sz w:val="22"/>
          <w:szCs w:val="22"/>
          <w:u w:val="single" w:color="auto"/>
          <w:color w:val="auto"/>
        </w:rPr>
        <w:t>Disclosure of Information</w:t>
      </w:r>
      <w:r>
        <w:rPr>
          <w:rFonts w:ascii="Arial" w:cs="Arial" w:eastAsia="Arial" w:hAnsi="Arial"/>
          <w:sz w:val="22"/>
          <w:szCs w:val="22"/>
          <w:color w:val="auto"/>
        </w:rPr>
        <w:t>. Holder is aware of the Company’s business affairs and financial condition and has received or has had full access to all the information it considers necessary or appropriate to make an informed investment decision with respect to the acquisition of this Warrant and its underlying securities. Holder further has had an opportunity to ask questions and receive answers from the Company regarding the terms and conditions of the offering of this Warrant and its underlying securities and to obtain additional information (to the extent the Company possessed such information or could acquire it without unreasonable effort or expense) necessary to verify any information furnished to Holder or to which Holder has access.</w:t>
      </w:r>
    </w:p>
    <w:p>
      <w:pPr>
        <w:spacing w:after="0" w:line="18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color w:val="auto"/>
        </w:rPr>
        <w:t xml:space="preserve">4.3 </w:t>
      </w:r>
      <w:r>
        <w:rPr>
          <w:rFonts w:ascii="Arial" w:cs="Arial" w:eastAsia="Arial" w:hAnsi="Arial"/>
          <w:sz w:val="19"/>
          <w:szCs w:val="19"/>
          <w:u w:val="single" w:color="auto"/>
          <w:color w:val="auto"/>
        </w:rPr>
        <w:t>Investment Experience</w:t>
      </w:r>
      <w:r>
        <w:rPr>
          <w:rFonts w:ascii="Arial" w:cs="Arial" w:eastAsia="Arial" w:hAnsi="Arial"/>
          <w:sz w:val="19"/>
          <w:szCs w:val="19"/>
          <w:color w:val="auto"/>
        </w:rPr>
        <w:t>. Holder understands that the purchase of this Warrant and its underlying securities involves substantial risk. Holder has experience as an investor in securities of companies in the development stage and acknowledges that Holder can bear the economic risk of such Holder’s investment in this Warrant and its underlying securities and has such knowledge and experience in financial or business matters that Holder is capable of evaluating the merits and risks of its investment in this Warrant and its underlying securities and/or has a preexisting personal or business relationship with the Company and certain of its officers, directors or controlling persons of a nature and duration that enables Holder to be aware of the character, business acumen and financial circumstances of such persons.</w:t>
      </w:r>
    </w:p>
    <w:p>
      <w:pPr>
        <w:spacing w:after="0" w:line="15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4.4 </w:t>
      </w:r>
      <w:r>
        <w:rPr>
          <w:rFonts w:ascii="Arial" w:cs="Arial" w:eastAsia="Arial" w:hAnsi="Arial"/>
          <w:sz w:val="22"/>
          <w:szCs w:val="22"/>
          <w:u w:val="single" w:color="auto"/>
          <w:color w:val="auto"/>
        </w:rPr>
        <w:t>Accredited Investor Status</w:t>
      </w:r>
      <w:r>
        <w:rPr>
          <w:rFonts w:ascii="Arial" w:cs="Arial" w:eastAsia="Arial" w:hAnsi="Arial"/>
          <w:sz w:val="22"/>
          <w:szCs w:val="22"/>
          <w:color w:val="auto"/>
        </w:rPr>
        <w:t>. Holder is an “accredited investor” within the meaning of Regulation D promulgated under the Act.</w:t>
      </w:r>
    </w:p>
    <w:p>
      <w:pPr>
        <w:spacing w:after="0" w:line="188"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 xml:space="preserve">4.5 </w:t>
      </w:r>
      <w:r>
        <w:rPr>
          <w:rFonts w:ascii="Arial" w:cs="Arial" w:eastAsia="Arial" w:hAnsi="Arial"/>
          <w:sz w:val="22"/>
          <w:szCs w:val="22"/>
          <w:u w:val="single" w:color="auto"/>
          <w:color w:val="auto"/>
        </w:rPr>
        <w:t>The Act</w:t>
      </w:r>
      <w:r>
        <w:rPr>
          <w:rFonts w:ascii="Arial" w:cs="Arial" w:eastAsia="Arial" w:hAnsi="Arial"/>
          <w:sz w:val="22"/>
          <w:szCs w:val="22"/>
          <w:color w:val="auto"/>
        </w:rPr>
        <w:t>. Holder understands that this Warrant and the Shares issuable upon exercise hereof have not been registered under the Act in reliance upon a specific exemption therefrom, which exemption depends upon, among other things, the bona fide nature of the Holder’s investment intent as expressed herein. Holder understands that this Warrant and the Shares issued upon any exercise hereof must be held indefinitely unless subsequently registered under the Act and qualified under applicable state securities laws, or unless exemption from such registration and qualification are otherwise available. Holder is aware of the provisions of Rule 144 promulgated under the Act.</w:t>
      </w:r>
    </w:p>
    <w:p>
      <w:pPr>
        <w:spacing w:after="0" w:line="204"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2"/>
          <w:szCs w:val="22"/>
          <w:color w:val="auto"/>
        </w:rPr>
        <w:t xml:space="preserve">4.6 </w:t>
      </w:r>
      <w:r>
        <w:rPr>
          <w:rFonts w:ascii="Arial" w:cs="Arial" w:eastAsia="Arial" w:hAnsi="Arial"/>
          <w:sz w:val="22"/>
          <w:szCs w:val="22"/>
          <w:u w:val="single" w:color="auto"/>
          <w:color w:val="auto"/>
        </w:rPr>
        <w:t>Market Stand-off Agreement</w:t>
      </w:r>
      <w:r>
        <w:rPr>
          <w:rFonts w:ascii="Arial" w:cs="Arial" w:eastAsia="Arial" w:hAnsi="Arial"/>
          <w:sz w:val="22"/>
          <w:szCs w:val="22"/>
          <w:color w:val="auto"/>
        </w:rPr>
        <w:t>. The Holder agrees that the Shares shall be subject to the Market Standoff provisions in Section 2.11 of the Investor Rights Agreement or similar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638810</wp:posOffset>
            </wp:positionV>
            <wp:extent cx="629221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20"/>
          </w:cols>
          <w:pgMar w:left="1080" w:top="118" w:right="999" w:bottom="1440" w:gutter="0" w:footer="0" w:header="0"/>
        </w:sectPr>
      </w:pPr>
    </w:p>
    <w:bookmarkStart w:id="52" w:name="page53"/>
    <w:bookmarkEnd w:id="52"/>
    <w:p>
      <w:pPr>
        <w:ind w:right="360" w:firstLine="648"/>
        <w:spacing w:after="0" w:line="251" w:lineRule="auto"/>
        <w:rPr>
          <w:sz w:val="20"/>
          <w:szCs w:val="20"/>
          <w:color w:val="auto"/>
        </w:rPr>
      </w:pPr>
      <w:r>
        <w:rPr>
          <w:rFonts w:ascii="Arial" w:cs="Arial" w:eastAsia="Arial" w:hAnsi="Arial"/>
          <w:sz w:val="22"/>
          <w:szCs w:val="22"/>
          <w:color w:val="auto"/>
        </w:rPr>
        <w:t xml:space="preserve">4.7 </w:t>
      </w:r>
      <w:r>
        <w:rPr>
          <w:rFonts w:ascii="Arial" w:cs="Arial" w:eastAsia="Arial" w:hAnsi="Arial"/>
          <w:sz w:val="22"/>
          <w:szCs w:val="22"/>
          <w:u w:val="single" w:color="auto"/>
          <w:color w:val="auto"/>
        </w:rPr>
        <w:t>No Voting Rights</w:t>
      </w:r>
      <w:r>
        <w:rPr>
          <w:rFonts w:ascii="Arial" w:cs="Arial" w:eastAsia="Arial" w:hAnsi="Arial"/>
          <w:sz w:val="22"/>
          <w:szCs w:val="22"/>
          <w:color w:val="auto"/>
        </w:rPr>
        <w:t>. Holder, as a Holder of this Warrant, will not have any voting rights until the exercise of this Warrant.</w:t>
      </w:r>
    </w:p>
    <w:p>
      <w:pPr>
        <w:spacing w:after="0" w:line="187" w:lineRule="exact"/>
        <w:rPr>
          <w:sz w:val="20"/>
          <w:szCs w:val="20"/>
          <w:color w:val="auto"/>
        </w:rPr>
      </w:pPr>
    </w:p>
    <w:p>
      <w:pPr>
        <w:ind w:left="2660"/>
        <w:spacing w:after="0"/>
        <w:rPr>
          <w:sz w:val="20"/>
          <w:szCs w:val="20"/>
          <w:color w:val="auto"/>
        </w:rPr>
      </w:pPr>
      <w:r>
        <w:rPr>
          <w:rFonts w:ascii="Arial" w:cs="Arial" w:eastAsia="Arial" w:hAnsi="Arial"/>
          <w:sz w:val="22"/>
          <w:szCs w:val="22"/>
          <w:color w:val="auto"/>
        </w:rPr>
        <w:t xml:space="preserve">SECTION 5. </w:t>
      </w: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206"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2"/>
          <w:szCs w:val="22"/>
          <w:color w:val="auto"/>
        </w:rPr>
        <w:t>5.1</w:t>
      </w:r>
      <w:r>
        <w:rPr>
          <w:sz w:val="20"/>
          <w:szCs w:val="20"/>
          <w:color w:val="auto"/>
        </w:rPr>
        <w:tab/>
      </w:r>
      <w:r>
        <w:rPr>
          <w:rFonts w:ascii="Arial" w:cs="Arial" w:eastAsia="Arial" w:hAnsi="Arial"/>
          <w:sz w:val="19"/>
          <w:szCs w:val="19"/>
          <w:u w:val="single" w:color="auto"/>
          <w:color w:val="auto"/>
        </w:rPr>
        <w:t>Term and Automatic Conversion Upon Expiration</w:t>
      </w:r>
      <w:r>
        <w:rPr>
          <w:rFonts w:ascii="Arial" w:cs="Arial" w:eastAsia="Arial" w:hAnsi="Arial"/>
          <w:sz w:val="19"/>
          <w:szCs w:val="19"/>
          <w:color w:val="auto"/>
        </w:rPr>
        <w:t>.</w:t>
      </w:r>
    </w:p>
    <w:p>
      <w:pPr>
        <w:spacing w:after="0" w:line="220" w:lineRule="exact"/>
        <w:rPr>
          <w:sz w:val="20"/>
          <w:szCs w:val="20"/>
          <w:color w:val="auto"/>
        </w:rPr>
      </w:pPr>
    </w:p>
    <w:p>
      <w:pPr>
        <w:jc w:val="both"/>
        <w:ind w:firstLine="1294"/>
        <w:spacing w:after="0"/>
        <w:tabs>
          <w:tab w:leader="none" w:pos="2008" w:val="left"/>
        </w:tabs>
        <w:numPr>
          <w:ilvl w:val="0"/>
          <w:numId w:val="23"/>
        </w:numPr>
        <w:rPr>
          <w:rFonts w:ascii="Arial" w:cs="Arial" w:eastAsia="Arial" w:hAnsi="Arial"/>
          <w:sz w:val="22"/>
          <w:szCs w:val="22"/>
          <w:color w:val="auto"/>
        </w:rPr>
      </w:pPr>
      <w:r>
        <w:rPr>
          <w:rFonts w:ascii="Arial" w:cs="Arial" w:eastAsia="Arial" w:hAnsi="Arial"/>
          <w:sz w:val="22"/>
          <w:szCs w:val="22"/>
          <w:u w:val="single" w:color="auto"/>
          <w:color w:val="auto"/>
        </w:rPr>
        <w:t>Term</w:t>
      </w:r>
      <w:r>
        <w:rPr>
          <w:rFonts w:ascii="Arial" w:cs="Arial" w:eastAsia="Arial" w:hAnsi="Arial"/>
          <w:sz w:val="22"/>
          <w:szCs w:val="22"/>
          <w:color w:val="auto"/>
        </w:rPr>
        <w:t>. Subject to the provisions of Section 1.6 above, this Warrant is exercisable in whole or in part at any time and from time to time on or before 6:00 PM, Pacific time, on the Expiration Date and shall be void thereafter.</w:t>
      </w:r>
    </w:p>
    <w:p>
      <w:pPr>
        <w:spacing w:after="0" w:line="199" w:lineRule="exact"/>
        <w:rPr>
          <w:rFonts w:ascii="Arial" w:cs="Arial" w:eastAsia="Arial" w:hAnsi="Arial"/>
          <w:sz w:val="22"/>
          <w:szCs w:val="22"/>
          <w:color w:val="auto"/>
        </w:rPr>
      </w:pPr>
    </w:p>
    <w:p>
      <w:pPr>
        <w:jc w:val="both"/>
        <w:ind w:firstLine="1294"/>
        <w:spacing w:after="0" w:line="234" w:lineRule="auto"/>
        <w:tabs>
          <w:tab w:leader="none" w:pos="1980" w:val="left"/>
        </w:tabs>
        <w:numPr>
          <w:ilvl w:val="0"/>
          <w:numId w:val="23"/>
        </w:numPr>
        <w:rPr>
          <w:rFonts w:ascii="Arial" w:cs="Arial" w:eastAsia="Arial" w:hAnsi="Arial"/>
          <w:sz w:val="22"/>
          <w:szCs w:val="22"/>
          <w:color w:val="auto"/>
        </w:rPr>
      </w:pPr>
      <w:r>
        <w:rPr>
          <w:rFonts w:ascii="Arial" w:cs="Arial" w:eastAsia="Arial" w:hAnsi="Arial"/>
          <w:sz w:val="22"/>
          <w:szCs w:val="22"/>
          <w:u w:val="single" w:color="auto"/>
          <w:color w:val="auto"/>
        </w:rPr>
        <w:t>Automatic Cashless Exercise upon Expiration</w:t>
      </w:r>
      <w:r>
        <w:rPr>
          <w:rFonts w:ascii="Arial" w:cs="Arial" w:eastAsia="Arial" w:hAnsi="Arial"/>
          <w:sz w:val="22"/>
          <w:szCs w:val="22"/>
          <w:color w:val="auto"/>
        </w:rPr>
        <w:t>. In the event that, upon the Expiration Date, the fair market value of one Share (or other security issuable upon the exercise hereof) as determined in accordance with Section 1.3 above is greater than the Warrant Price in effect on such date, then this Warrant shall automatically be deemed on and as of such date to be exercised pursuant to Section 1.2 above as to all Shares (or such other securities) for which it shall not previously have been exercised, and the Company shall, within a reasonable time, deliver a certificate representing the Shares (or such other securities) issued upon such exercise to Holder.</w:t>
      </w:r>
    </w:p>
    <w:p>
      <w:pPr>
        <w:spacing w:after="0" w:line="191" w:lineRule="exact"/>
        <w:rPr>
          <w:sz w:val="20"/>
          <w:szCs w:val="20"/>
          <w:color w:val="auto"/>
        </w:rPr>
      </w:pPr>
    </w:p>
    <w:p>
      <w:pPr>
        <w:ind w:left="640"/>
        <w:spacing w:after="0"/>
        <w:tabs>
          <w:tab w:leader="none" w:pos="1400" w:val="left"/>
        </w:tabs>
        <w:rPr>
          <w:sz w:val="20"/>
          <w:szCs w:val="20"/>
          <w:color w:val="auto"/>
        </w:rPr>
      </w:pPr>
      <w:r>
        <w:rPr>
          <w:rFonts w:ascii="Arial" w:cs="Arial" w:eastAsia="Arial" w:hAnsi="Arial"/>
          <w:sz w:val="22"/>
          <w:szCs w:val="22"/>
          <w:color w:val="auto"/>
        </w:rPr>
        <w:t>5.2</w:t>
      </w:r>
      <w:r>
        <w:rPr>
          <w:sz w:val="20"/>
          <w:szCs w:val="20"/>
          <w:color w:val="auto"/>
        </w:rPr>
        <w:tab/>
      </w:r>
      <w:r>
        <w:rPr>
          <w:rFonts w:ascii="Arial" w:cs="Arial" w:eastAsia="Arial" w:hAnsi="Arial"/>
          <w:sz w:val="19"/>
          <w:szCs w:val="19"/>
          <w:u w:val="single" w:color="auto"/>
          <w:color w:val="auto"/>
        </w:rPr>
        <w:t>Legends</w:t>
      </w:r>
      <w:r>
        <w:rPr>
          <w:rFonts w:ascii="Arial" w:cs="Arial" w:eastAsia="Arial" w:hAnsi="Arial"/>
          <w:sz w:val="19"/>
          <w:szCs w:val="19"/>
          <w:color w:val="auto"/>
        </w:rPr>
        <w:t>. The Shares (and the securities issuable, directly or indirectly, upon conversion of the</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Shares, if any) shall be imprinted with a legend in substantially the following form:</w:t>
      </w:r>
    </w:p>
    <w:p>
      <w:pPr>
        <w:spacing w:after="0" w:line="188" w:lineRule="exact"/>
        <w:rPr>
          <w:sz w:val="20"/>
          <w:szCs w:val="20"/>
          <w:color w:val="auto"/>
        </w:rPr>
      </w:pPr>
    </w:p>
    <w:p>
      <w:pPr>
        <w:jc w:val="both"/>
        <w:ind w:left="640"/>
        <w:spacing w:after="0" w:line="234" w:lineRule="auto"/>
        <w:rPr>
          <w:sz w:val="20"/>
          <w:szCs w:val="20"/>
          <w:color w:val="auto"/>
        </w:rPr>
      </w:pPr>
      <w:r>
        <w:rPr>
          <w:rFonts w:ascii="Arial" w:cs="Arial" w:eastAsia="Arial" w:hAnsi="Arial"/>
          <w:sz w:val="22"/>
          <w:szCs w:val="22"/>
          <w:color w:val="auto"/>
        </w:rPr>
        <w:t>THE SHARES EVIDENCED BY THIS CERTIFICATE HAVE NOT BEEN REGISTERED UNDER THE SECURITIES ACT OF 1933, AS AMENDED (THE “</w:t>
      </w:r>
      <w:r>
        <w:rPr>
          <w:rFonts w:ascii="Arial" w:cs="Arial" w:eastAsia="Arial" w:hAnsi="Arial"/>
          <w:sz w:val="22"/>
          <w:szCs w:val="22"/>
          <w:b w:val="1"/>
          <w:bCs w:val="1"/>
          <w:u w:val="single" w:color="auto"/>
          <w:color w:val="auto"/>
        </w:rPr>
        <w:t>ACT</w:t>
      </w:r>
      <w:r>
        <w:rPr>
          <w:rFonts w:ascii="Arial" w:cs="Arial" w:eastAsia="Arial" w:hAnsi="Arial"/>
          <w:sz w:val="22"/>
          <w:szCs w:val="22"/>
          <w:color w:val="auto"/>
        </w:rPr>
        <w:t>”), OR THE SECURITIES LAWS OF ANY STATE AND, EXCEPT AS SET FORTH IN THAT CERTAIN WARRANT TO PURCHASE COMMON STOCK ISSUED BY THE ISSUER TO SILICON VALLEY BANK DATED JULY 15, 2020, MAY NOT BE OFFERED, SOLD, PLEDGED OR OTHERWISE TRANSFERRED UNLESS AND UNTIL REGISTERED UNDER SAID ACT AND LAWS OR IN FORM AND SUBSTANCE SATISFACTORY TO THE ISSUER, SUCH OFFER, SALE, PLEDGE OR OTHER TRANSFER IS EXEMPT FROM SUCH REGISTRATION.</w:t>
      </w:r>
    </w:p>
    <w:p>
      <w:pPr>
        <w:spacing w:after="0" w:line="200"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color w:val="auto"/>
        </w:rPr>
        <w:t xml:space="preserve">5.3 </w:t>
      </w:r>
      <w:r>
        <w:rPr>
          <w:rFonts w:ascii="Arial" w:cs="Arial" w:eastAsia="Arial" w:hAnsi="Arial"/>
          <w:sz w:val="21"/>
          <w:szCs w:val="21"/>
          <w:u w:val="single" w:color="auto"/>
          <w:color w:val="auto"/>
        </w:rPr>
        <w:t>Compliance with Securities Laws on Transfer</w:t>
      </w:r>
      <w:r>
        <w:rPr>
          <w:rFonts w:ascii="Arial" w:cs="Arial" w:eastAsia="Arial" w:hAnsi="Arial"/>
          <w:sz w:val="21"/>
          <w:szCs w:val="21"/>
          <w:color w:val="auto"/>
        </w:rPr>
        <w:t>. This Warrant and the Shares issuable upon exercise of this Warrant (and the securities issuable, directly or indirectly, upon conversion of the Shares, if any) may not be transferred or assigned in whole or in part except in compliance with applicable federal and state securities laws by the transferor and the transferee (including, without limitation, the delivery of investment representation letters and legal opinions reasonably satisfactory to the Company, as reasonably requested by the Company). The Company shall not require Holder to provide an opinion of counsel if the transfer is to SVB Financial Group (Silicon Valley Bank’s parent company) or any other affiliate of Holder, provided that any such transferee is an “accredited investor” as defined in Regulation D promulgated under the Act. Additionally, the Company shall also not require an opinion of counsel if there is no material question as to the availability of Rule 144 promulgated under the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642620</wp:posOffset>
            </wp:positionV>
            <wp:extent cx="629221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20"/>
          </w:cols>
          <w:pgMar w:left="1080" w:top="118" w:right="999" w:bottom="1440" w:gutter="0" w:footer="0" w:header="0"/>
        </w:sectPr>
      </w:pPr>
    </w:p>
    <w:bookmarkStart w:id="53" w:name="page54"/>
    <w:bookmarkEnd w:id="53"/>
    <w:p>
      <w:pPr>
        <w:jc w:val="both"/>
        <w:ind w:firstLine="648"/>
        <w:spacing w:after="0" w:line="272" w:lineRule="auto"/>
        <w:rPr>
          <w:sz w:val="20"/>
          <w:szCs w:val="20"/>
          <w:color w:val="auto"/>
        </w:rPr>
      </w:pPr>
      <w:r>
        <w:rPr>
          <w:rFonts w:ascii="Arial" w:cs="Arial" w:eastAsia="Arial" w:hAnsi="Arial"/>
          <w:sz w:val="19"/>
          <w:szCs w:val="19"/>
          <w:color w:val="auto"/>
        </w:rPr>
        <w:t xml:space="preserve">5.4 </w:t>
      </w:r>
      <w:r>
        <w:rPr>
          <w:rFonts w:ascii="Arial" w:cs="Arial" w:eastAsia="Arial" w:hAnsi="Arial"/>
          <w:sz w:val="19"/>
          <w:szCs w:val="19"/>
          <w:u w:val="single" w:color="auto"/>
          <w:color w:val="auto"/>
        </w:rPr>
        <w:t>Transfer Procedure</w:t>
      </w:r>
      <w:r>
        <w:rPr>
          <w:rFonts w:ascii="Arial" w:cs="Arial" w:eastAsia="Arial" w:hAnsi="Arial"/>
          <w:sz w:val="19"/>
          <w:szCs w:val="19"/>
          <w:color w:val="auto"/>
        </w:rPr>
        <w:t>. After receipt by Silicon Valley Bank of the executed Warrant, Silicon Valley Bank will transfer all of this Warrant to its parent company, SVB Financial Group. By its acceptance of this Warrant, SVB Financial Group hereby makes to the Company each of the representations and warranties set forth in Section 4 hereof and agrees to be bound by all of the terms and conditions of this Warrant as if the original Holder hereof. Subject to the provisions of Section 5.3 and upon providing the Company with written notice, SVB Financial Group and any subsequent Holder may transfer all or part of this Warrant or the Shares issuable upon exercise of this Warrant (or the securities issuable directly or indirectly, upon conversion of the Shares, if any) to any transferee , provided, however, in connection with any such transfer, SVB Financial Group or any subsequent Holder will give the Company notice of the portion of the Warrant being transferred with the name, address and taxpayer identification number of the transferee and Holder will surrender this Warrant to the Company for reissuance to the transferee(s) (and Holder if applicable); and provided further, that any subsequent transferee other than SVB Financial Group shall agree in writing with the Company to be bound by all of the terms and conditions of this Warrant.</w:t>
      </w:r>
    </w:p>
    <w:p>
      <w:pPr>
        <w:spacing w:after="0" w:line="15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0"/>
          <w:szCs w:val="20"/>
          <w:color w:val="auto"/>
        </w:rPr>
        <w:t xml:space="preserve">5.5 </w:t>
      </w:r>
      <w:r>
        <w:rPr>
          <w:rFonts w:ascii="Arial" w:cs="Arial" w:eastAsia="Arial" w:hAnsi="Arial"/>
          <w:sz w:val="20"/>
          <w:szCs w:val="20"/>
          <w:u w:val="single" w:color="auto"/>
          <w:color w:val="auto"/>
        </w:rPr>
        <w:t>Notices</w:t>
      </w:r>
      <w:r>
        <w:rPr>
          <w:rFonts w:ascii="Arial" w:cs="Arial" w:eastAsia="Arial" w:hAnsi="Arial"/>
          <w:sz w:val="20"/>
          <w:szCs w:val="20"/>
          <w:color w:val="auto"/>
        </w:rPr>
        <w:t>. All notices and other communications hereunder from the Company to the Holder, or vice versa, shall be deemed delivered and effective (i) when given personally, (ii) on the third (3</w:t>
      </w:r>
      <w:r>
        <w:rPr>
          <w:rFonts w:ascii="Arial" w:cs="Arial" w:eastAsia="Arial" w:hAnsi="Arial"/>
          <w:sz w:val="13"/>
          <w:szCs w:val="13"/>
          <w:color w:val="auto"/>
        </w:rPr>
        <w:t>rd</w:t>
      </w:r>
      <w:r>
        <w:rPr>
          <w:rFonts w:ascii="Arial" w:cs="Arial" w:eastAsia="Arial" w:hAnsi="Arial"/>
          <w:sz w:val="20"/>
          <w:szCs w:val="20"/>
          <w:color w:val="auto"/>
        </w:rPr>
        <w:t>) Business Day after being mailed by first-class registered or certified mail, postage prepaid, (iii) upon actual receipt if given by facsimile or electronic mail and such receipt is confirmed in writing by the recipient, or (iv) on the first Business Day following delivery to a reliable overnight courier service, courier fee prepaid, in any case at such address as may have been furnished to the Company or Holder, as the case may be, in writing by the Company or such Holder from time to time in accordance with the provisions of this Section 5.5. All notices to Holder shall be addressed as follows until the Company receives notice of a change of address in connection with a transfer or otherwise:</w:t>
      </w:r>
    </w:p>
    <w:p>
      <w:pPr>
        <w:spacing w:after="0" w:line="18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SVB Financial Group</w:t>
      </w:r>
    </w:p>
    <w:p>
      <w:pPr>
        <w:ind w:left="1300"/>
        <w:spacing w:after="0" w:line="238" w:lineRule="auto"/>
        <w:rPr>
          <w:sz w:val="20"/>
          <w:szCs w:val="20"/>
          <w:color w:val="auto"/>
        </w:rPr>
      </w:pPr>
      <w:r>
        <w:rPr>
          <w:rFonts w:ascii="Arial" w:cs="Arial" w:eastAsia="Arial" w:hAnsi="Arial"/>
          <w:sz w:val="22"/>
          <w:szCs w:val="22"/>
          <w:color w:val="auto"/>
        </w:rPr>
        <w:t>Attn: Treasury Department</w:t>
      </w:r>
    </w:p>
    <w:p>
      <w:pPr>
        <w:ind w:left="1300"/>
        <w:spacing w:after="0" w:line="230" w:lineRule="auto"/>
        <w:rPr>
          <w:sz w:val="20"/>
          <w:szCs w:val="20"/>
          <w:color w:val="auto"/>
        </w:rPr>
      </w:pPr>
      <w:r>
        <w:rPr>
          <w:rFonts w:ascii="Arial" w:cs="Arial" w:eastAsia="Arial" w:hAnsi="Arial"/>
          <w:sz w:val="22"/>
          <w:szCs w:val="22"/>
          <w:color w:val="auto"/>
        </w:rPr>
        <w:t>3003 Tasman Drive, HC 215</w:t>
      </w:r>
    </w:p>
    <w:p>
      <w:pPr>
        <w:ind w:left="1300"/>
        <w:spacing w:after="0" w:line="231" w:lineRule="auto"/>
        <w:rPr>
          <w:sz w:val="20"/>
          <w:szCs w:val="20"/>
          <w:color w:val="auto"/>
        </w:rPr>
      </w:pPr>
      <w:r>
        <w:rPr>
          <w:rFonts w:ascii="Arial" w:cs="Arial" w:eastAsia="Arial" w:hAnsi="Arial"/>
          <w:sz w:val="22"/>
          <w:szCs w:val="22"/>
          <w:color w:val="auto"/>
        </w:rPr>
        <w:t>Santa Clara, CA 95054</w:t>
      </w:r>
    </w:p>
    <w:p>
      <w:pPr>
        <w:ind w:left="1300"/>
        <w:spacing w:after="0" w:line="230" w:lineRule="auto"/>
        <w:rPr>
          <w:sz w:val="20"/>
          <w:szCs w:val="20"/>
          <w:color w:val="auto"/>
        </w:rPr>
      </w:pPr>
      <w:r>
        <w:rPr>
          <w:rFonts w:ascii="Arial" w:cs="Arial" w:eastAsia="Arial" w:hAnsi="Arial"/>
          <w:sz w:val="22"/>
          <w:szCs w:val="22"/>
          <w:color w:val="auto"/>
        </w:rPr>
        <w:t>Telephone: (408) 654-7400</w:t>
      </w:r>
    </w:p>
    <w:p>
      <w:pPr>
        <w:ind w:left="1300"/>
        <w:spacing w:after="0" w:line="231" w:lineRule="auto"/>
        <w:rPr>
          <w:sz w:val="20"/>
          <w:szCs w:val="20"/>
          <w:color w:val="auto"/>
        </w:rPr>
      </w:pPr>
      <w:r>
        <w:rPr>
          <w:rFonts w:ascii="Arial" w:cs="Arial" w:eastAsia="Arial" w:hAnsi="Arial"/>
          <w:sz w:val="22"/>
          <w:szCs w:val="22"/>
          <w:color w:val="auto"/>
        </w:rPr>
        <w:t>Facsimile: (408) 988-8317</w:t>
      </w:r>
    </w:p>
    <w:p>
      <w:pPr>
        <w:ind w:left="1300"/>
        <w:spacing w:after="0"/>
        <w:rPr>
          <w:sz w:val="20"/>
          <w:szCs w:val="20"/>
          <w:color w:val="auto"/>
        </w:rPr>
      </w:pPr>
      <w:r>
        <w:rPr>
          <w:rFonts w:ascii="Arial" w:cs="Arial" w:eastAsia="Arial" w:hAnsi="Arial"/>
          <w:sz w:val="22"/>
          <w:szCs w:val="22"/>
          <w:color w:val="auto"/>
        </w:rPr>
        <w:t>Email address: derivatives@svb.com</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9"/>
          <w:szCs w:val="19"/>
          <w:color w:val="auto"/>
        </w:rPr>
        <w:t>Notice to the Company shall be addressed as follows until Holder receives notice of a change in address:</w:t>
      </w:r>
    </w:p>
    <w:p>
      <w:pPr>
        <w:spacing w:after="0" w:line="25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Everspin Technologies, Inc.</w:t>
      </w:r>
    </w:p>
    <w:p>
      <w:pPr>
        <w:ind w:left="1300"/>
        <w:spacing w:after="0" w:line="238" w:lineRule="auto"/>
        <w:rPr>
          <w:sz w:val="20"/>
          <w:szCs w:val="20"/>
          <w:color w:val="auto"/>
        </w:rPr>
      </w:pPr>
      <w:r>
        <w:rPr>
          <w:rFonts w:ascii="Arial" w:cs="Arial" w:eastAsia="Arial" w:hAnsi="Arial"/>
          <w:sz w:val="22"/>
          <w:szCs w:val="22"/>
          <w:color w:val="auto"/>
        </w:rPr>
        <w:t>Attn: Kevin Conley, CEO</w:t>
      </w:r>
    </w:p>
    <w:p>
      <w:pPr>
        <w:ind w:left="1300"/>
        <w:spacing w:after="0" w:line="230" w:lineRule="auto"/>
        <w:rPr>
          <w:sz w:val="20"/>
          <w:szCs w:val="20"/>
          <w:color w:val="auto"/>
        </w:rPr>
      </w:pPr>
      <w:r>
        <w:rPr>
          <w:rFonts w:ascii="Arial" w:cs="Arial" w:eastAsia="Arial" w:hAnsi="Arial"/>
          <w:sz w:val="22"/>
          <w:szCs w:val="22"/>
          <w:color w:val="auto"/>
        </w:rPr>
        <w:t>5670 W. Chandler Blvd, Suite 100</w:t>
      </w:r>
    </w:p>
    <w:p>
      <w:pPr>
        <w:ind w:left="1300"/>
        <w:spacing w:after="0" w:line="231" w:lineRule="auto"/>
        <w:rPr>
          <w:sz w:val="20"/>
          <w:szCs w:val="20"/>
          <w:color w:val="auto"/>
        </w:rPr>
      </w:pPr>
      <w:r>
        <w:rPr>
          <w:rFonts w:ascii="Arial" w:cs="Arial" w:eastAsia="Arial" w:hAnsi="Arial"/>
          <w:sz w:val="22"/>
          <w:szCs w:val="22"/>
          <w:color w:val="auto"/>
        </w:rPr>
        <w:t>Chandler, Arizona 85226</w:t>
      </w:r>
    </w:p>
    <w:p>
      <w:pPr>
        <w:ind w:left="1300"/>
        <w:spacing w:after="0"/>
        <w:rPr>
          <w:sz w:val="20"/>
          <w:szCs w:val="20"/>
          <w:color w:val="auto"/>
        </w:rPr>
      </w:pPr>
      <w:r>
        <w:rPr>
          <w:rFonts w:ascii="Arial" w:cs="Arial" w:eastAsia="Arial" w:hAnsi="Arial"/>
          <w:sz w:val="22"/>
          <w:szCs w:val="22"/>
          <w:color w:val="auto"/>
        </w:rPr>
        <w:t>Email: kevin.conley@everspin.com</w:t>
      </w:r>
    </w:p>
    <w:p>
      <w:pPr>
        <w:spacing w:after="0" w:line="215" w:lineRule="exact"/>
        <w:rPr>
          <w:sz w:val="20"/>
          <w:szCs w:val="20"/>
          <w:color w:val="auto"/>
        </w:rPr>
      </w:pPr>
    </w:p>
    <w:p>
      <w:pPr>
        <w:ind w:right="440" w:firstLine="648"/>
        <w:spacing w:after="0" w:line="250" w:lineRule="auto"/>
        <w:rPr>
          <w:sz w:val="20"/>
          <w:szCs w:val="20"/>
          <w:color w:val="auto"/>
        </w:rPr>
      </w:pPr>
      <w:r>
        <w:rPr>
          <w:rFonts w:ascii="Arial" w:cs="Arial" w:eastAsia="Arial" w:hAnsi="Arial"/>
          <w:sz w:val="22"/>
          <w:szCs w:val="22"/>
          <w:color w:val="auto"/>
        </w:rPr>
        <w:t xml:space="preserve">5.6 </w:t>
      </w:r>
      <w:r>
        <w:rPr>
          <w:rFonts w:ascii="Arial" w:cs="Arial" w:eastAsia="Arial" w:hAnsi="Arial"/>
          <w:sz w:val="22"/>
          <w:szCs w:val="22"/>
          <w:u w:val="single" w:color="auto"/>
          <w:color w:val="auto"/>
        </w:rPr>
        <w:t>Waiver</w:t>
      </w:r>
      <w:r>
        <w:rPr>
          <w:rFonts w:ascii="Arial" w:cs="Arial" w:eastAsia="Arial" w:hAnsi="Arial"/>
          <w:sz w:val="22"/>
          <w:szCs w:val="22"/>
          <w:color w:val="auto"/>
        </w:rPr>
        <w:t>. This Warrant and any term hereof may be changed, waived, discharged or terminated (either generally or in a particular instance and either retroactively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638810</wp:posOffset>
            </wp:positionV>
            <wp:extent cx="629221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20"/>
          </w:cols>
          <w:pgMar w:left="1080" w:top="118" w:right="999" w:bottom="1440" w:gutter="0" w:footer="0" w:header="0"/>
        </w:sectPr>
      </w:pPr>
    </w:p>
    <w:bookmarkStart w:id="54" w:name="page55"/>
    <w:bookmarkEnd w:id="54"/>
    <w:p>
      <w:pPr>
        <w:jc w:val="both"/>
        <w:ind w:right="20"/>
        <w:spacing w:after="0" w:line="251" w:lineRule="auto"/>
        <w:rPr>
          <w:sz w:val="20"/>
          <w:szCs w:val="20"/>
          <w:color w:val="auto"/>
        </w:rPr>
      </w:pPr>
      <w:r>
        <w:rPr>
          <w:rFonts w:ascii="Arial" w:cs="Arial" w:eastAsia="Arial" w:hAnsi="Arial"/>
          <w:sz w:val="22"/>
          <w:szCs w:val="22"/>
          <w:color w:val="auto"/>
        </w:rPr>
        <w:t>prospectively) only by an instrument in writing signed by the party against which enforcement of such change, waiver, discharge or termination is sought.</w:t>
      </w:r>
    </w:p>
    <w:p>
      <w:pPr>
        <w:spacing w:after="0" w:line="187"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 xml:space="preserve">5.7 </w:t>
      </w:r>
      <w:r>
        <w:rPr>
          <w:rFonts w:ascii="Arial" w:cs="Arial" w:eastAsia="Arial" w:hAnsi="Arial"/>
          <w:sz w:val="22"/>
          <w:szCs w:val="22"/>
          <w:u w:val="single" w:color="auto"/>
          <w:color w:val="auto"/>
        </w:rPr>
        <w:t>Attorney’s Fees</w:t>
      </w:r>
      <w:r>
        <w:rPr>
          <w:rFonts w:ascii="Arial" w:cs="Arial" w:eastAsia="Arial" w:hAnsi="Arial"/>
          <w:sz w:val="22"/>
          <w:szCs w:val="22"/>
          <w:color w:val="auto"/>
        </w:rPr>
        <w:t>. In the event of any dispute between the parties concerning the terms and provisions of this Warrant, the party prevailing in such dispute shall be entitled to collect from the other party all costs incurred in such dispute, including reasonable attorneys’ fees.</w:t>
      </w:r>
    </w:p>
    <w:p>
      <w:pPr>
        <w:spacing w:after="0" w:line="186"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 xml:space="preserve">5.8 </w:t>
      </w:r>
      <w:r>
        <w:rPr>
          <w:rFonts w:ascii="Arial" w:cs="Arial" w:eastAsia="Arial" w:hAnsi="Arial"/>
          <w:sz w:val="22"/>
          <w:szCs w:val="22"/>
          <w:u w:val="single" w:color="auto"/>
          <w:color w:val="auto"/>
        </w:rPr>
        <w:t>Counterparts; Facsimile/Electronic Signatures</w:t>
      </w:r>
      <w:r>
        <w:rPr>
          <w:rFonts w:ascii="Arial" w:cs="Arial" w:eastAsia="Arial" w:hAnsi="Arial"/>
          <w:sz w:val="22"/>
          <w:szCs w:val="22"/>
          <w:color w:val="auto"/>
        </w:rPr>
        <w:t>. This Warrant may be executed in counterparts, all of which together shall constitute one and the same agreement. Any signature page delivered electronically or by facsimile shall be binding to the same extent as an original signature page with regards to any agreement subject to the terms hereof or any amendment thereto.</w:t>
      </w:r>
    </w:p>
    <w:p>
      <w:pPr>
        <w:spacing w:after="0" w:line="185"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2"/>
          <w:szCs w:val="22"/>
          <w:color w:val="auto"/>
        </w:rPr>
        <w:t xml:space="preserve">5.9 </w:t>
      </w:r>
      <w:r>
        <w:rPr>
          <w:rFonts w:ascii="Arial" w:cs="Arial" w:eastAsia="Arial" w:hAnsi="Arial"/>
          <w:sz w:val="22"/>
          <w:szCs w:val="22"/>
          <w:u w:val="single" w:color="auto"/>
          <w:color w:val="auto"/>
        </w:rPr>
        <w:t>Governing Law</w:t>
      </w:r>
      <w:r>
        <w:rPr>
          <w:rFonts w:ascii="Arial" w:cs="Arial" w:eastAsia="Arial" w:hAnsi="Arial"/>
          <w:sz w:val="22"/>
          <w:szCs w:val="22"/>
          <w:color w:val="auto"/>
        </w:rPr>
        <w:t>. This Warrant shall be governed by and construed in accordance with the laws of the State of California, without giving effect to its principles regarding conflicts of law.</w:t>
      </w:r>
    </w:p>
    <w:p>
      <w:pPr>
        <w:spacing w:after="0" w:line="1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5.10 </w:t>
      </w:r>
      <w:r>
        <w:rPr>
          <w:rFonts w:ascii="Arial" w:cs="Arial" w:eastAsia="Arial" w:hAnsi="Arial"/>
          <w:sz w:val="22"/>
          <w:szCs w:val="22"/>
          <w:u w:val="single" w:color="auto"/>
          <w:color w:val="auto"/>
        </w:rPr>
        <w:t>Headings</w:t>
      </w:r>
      <w:r>
        <w:rPr>
          <w:rFonts w:ascii="Arial" w:cs="Arial" w:eastAsia="Arial" w:hAnsi="Arial"/>
          <w:sz w:val="22"/>
          <w:szCs w:val="22"/>
          <w:color w:val="auto"/>
        </w:rPr>
        <w:t>. The headings in this Warrant are for purposes of reference only and shall not limit or otherwise affect the meaning of any provision of this Warrant.</w:t>
      </w:r>
    </w:p>
    <w:p>
      <w:pPr>
        <w:spacing w:after="0" w:line="18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 xml:space="preserve">5.11 </w:t>
      </w:r>
      <w:r>
        <w:rPr>
          <w:rFonts w:ascii="Arial" w:cs="Arial" w:eastAsia="Arial" w:hAnsi="Arial"/>
          <w:sz w:val="22"/>
          <w:szCs w:val="22"/>
          <w:u w:val="single" w:color="auto"/>
          <w:color w:val="auto"/>
        </w:rPr>
        <w:t>Business Days</w:t>
      </w:r>
      <w:r>
        <w:rPr>
          <w:rFonts w:ascii="Arial" w:cs="Arial" w:eastAsia="Arial" w:hAnsi="Arial"/>
          <w:sz w:val="22"/>
          <w:szCs w:val="22"/>
          <w:color w:val="auto"/>
        </w:rPr>
        <w:t>. “</w:t>
      </w:r>
      <w:r>
        <w:rPr>
          <w:rFonts w:ascii="Arial" w:cs="Arial" w:eastAsia="Arial" w:hAnsi="Arial"/>
          <w:sz w:val="22"/>
          <w:szCs w:val="22"/>
          <w:b w:val="1"/>
          <w:bCs w:val="1"/>
          <w:u w:val="single" w:color="auto"/>
          <w:color w:val="auto"/>
        </w:rPr>
        <w:t>Business Day</w:t>
      </w:r>
      <w:r>
        <w:rPr>
          <w:rFonts w:ascii="Arial" w:cs="Arial" w:eastAsia="Arial" w:hAnsi="Arial"/>
          <w:sz w:val="22"/>
          <w:szCs w:val="22"/>
          <w:color w:val="auto"/>
        </w:rPr>
        <w:t>” is any day that is not a Saturday, Sunday or a day on which Silicon Valley Bank is closed.</w:t>
      </w:r>
    </w:p>
    <w:p>
      <w:pPr>
        <w:spacing w:after="0" w:line="182"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auto"/>
        </w:rPr>
        <w:t>[Remainder of page left blank intentionally]</w:t>
      </w:r>
    </w:p>
    <w:p>
      <w:pPr>
        <w:spacing w:after="0" w:line="8"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647065</wp:posOffset>
            </wp:positionV>
            <wp:extent cx="629221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20"/>
          </w:cols>
          <w:pgMar w:left="1080" w:top="118" w:right="999" w:bottom="1440" w:gutter="0" w:footer="0" w:header="0"/>
        </w:sectPr>
      </w:pPr>
    </w:p>
    <w:bookmarkStart w:id="55" w:name="page56"/>
    <w:bookmarkEnd w:id="55"/>
    <w:p>
      <w:pPr>
        <w:ind w:left="100" w:firstLine="648"/>
        <w:spacing w:after="0" w:line="251" w:lineRule="auto"/>
        <w:rPr>
          <w:sz w:val="20"/>
          <w:szCs w:val="20"/>
          <w:color w:val="auto"/>
        </w:rPr>
      </w:pPr>
      <w:r>
        <w:rPr>
          <w:rFonts w:ascii="Arial" w:cs="Arial" w:eastAsia="Arial" w:hAnsi="Arial"/>
          <w:sz w:val="22"/>
          <w:szCs w:val="22"/>
          <w:color w:val="auto"/>
        </w:rPr>
        <w:t>IN WITNESS WHEREOF, the parties have caused this Warrant to be executed by their duly authorized representatives effective as of the Issue Date written above.</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“COMPANY”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EVERSPIN TECHNOLOGIES, INC.</w:t>
      </w:r>
    </w:p>
    <w:p>
      <w:pPr>
        <w:spacing w:after="0" w:line="200" w:lineRule="exact"/>
        <w:rPr>
          <w:sz w:val="20"/>
          <w:szCs w:val="20"/>
          <w:color w:val="auto"/>
        </w:rPr>
      </w:pPr>
    </w:p>
    <w:p>
      <w:pPr>
        <w:spacing w:after="0" w:line="222"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8"/>
          <w:szCs w:val="18"/>
          <w:color w:val="auto"/>
        </w:rPr>
        <w:t xml:space="preserve">/s/ </w:t>
      </w:r>
      <w:r>
        <w:rPr>
          <w:rFonts w:ascii="Arial" w:cs="Arial" w:eastAsia="Arial" w:hAnsi="Arial"/>
          <w:sz w:val="21"/>
          <w:szCs w:val="21"/>
          <w:color w:val="auto"/>
        </w:rPr>
        <w:t>Kevin Conley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382905</wp:posOffset>
            </wp:positionH>
            <wp:positionV relativeFrom="paragraph">
              <wp:posOffset>6985</wp:posOffset>
            </wp:positionV>
            <wp:extent cx="256286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Name:Kevin Conley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Title: President and CEO</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“HOLDER”</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SILICON VALLEY BANK</w:t>
      </w:r>
    </w:p>
    <w:p>
      <w:pPr>
        <w:spacing w:after="0" w:line="200" w:lineRule="exact"/>
        <w:rPr>
          <w:sz w:val="20"/>
          <w:szCs w:val="20"/>
          <w:color w:val="auto"/>
        </w:rPr>
      </w:pPr>
    </w:p>
    <w:p>
      <w:pPr>
        <w:spacing w:after="0" w:line="222"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8"/>
          <w:szCs w:val="18"/>
          <w:color w:val="auto"/>
        </w:rPr>
        <w:t xml:space="preserve">/s/ </w:t>
      </w:r>
      <w:r>
        <w:rPr>
          <w:rFonts w:ascii="Arial" w:cs="Arial" w:eastAsia="Arial" w:hAnsi="Arial"/>
          <w:sz w:val="21"/>
          <w:szCs w:val="21"/>
          <w:color w:val="auto"/>
        </w:rPr>
        <w:t>Ryan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382905</wp:posOffset>
            </wp:positionH>
            <wp:positionV relativeFrom="paragraph">
              <wp:posOffset>6985</wp:posOffset>
            </wp:positionV>
            <wp:extent cx="256286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Name:Ryan Edwards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Title: Managing Director</w:t>
      </w:r>
    </w:p>
    <w:p>
      <w:pPr>
        <w:spacing w:after="0" w:line="200" w:lineRule="exact"/>
        <w:rPr>
          <w:sz w:val="20"/>
          <w:szCs w:val="20"/>
          <w:color w:val="auto"/>
        </w:rPr>
      </w:pPr>
    </w:p>
    <w:p>
      <w:pPr>
        <w:spacing w:after="0" w:line="22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[Signature Page to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597535</wp:posOffset>
            </wp:positionV>
            <wp:extent cx="629221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680"/>
          </w:cols>
          <w:pgMar w:left="980" w:top="118" w:right="12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75"/>
        </w:trPr>
        <w:tc>
          <w:tcPr>
            <w:tcW w:w="84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000" w:type="dxa"/>
            <w:vAlign w:val="bottom"/>
            <w:gridSpan w:val="4"/>
          </w:tcPr>
          <w:p>
            <w:pPr>
              <w:jc w:val="center"/>
              <w:ind w:right="1800"/>
              <w:spacing w:after="0"/>
              <w:rPr>
                <w:sz w:val="20"/>
                <w:szCs w:val="20"/>
                <w:color w:val="auto"/>
              </w:rPr>
            </w:pPr>
            <w:r>
              <w:rPr>
                <w:rFonts w:ascii="Arial" w:cs="Arial" w:eastAsia="Arial" w:hAnsi="Arial"/>
                <w:sz w:val="22"/>
                <w:szCs w:val="22"/>
                <w:color w:val="auto"/>
                <w:w w:val="95"/>
              </w:rPr>
              <w:t>APPENDIX 1</w:t>
            </w:r>
          </w:p>
        </w:tc>
        <w:tc>
          <w:tcPr>
            <w:tcW w:w="1820" w:type="dxa"/>
            <w:vAlign w:val="bottom"/>
          </w:tcPr>
          <w:p>
            <w:pPr>
              <w:spacing w:after="0"/>
              <w:rPr>
                <w:sz w:val="23"/>
                <w:szCs w:val="23"/>
                <w:color w:val="auto"/>
              </w:rPr>
            </w:pPr>
          </w:p>
        </w:tc>
      </w:tr>
      <w:tr>
        <w:trPr>
          <w:trHeight w:val="408"/>
        </w:trPr>
        <w:tc>
          <w:tcPr>
            <w:tcW w:w="8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0" w:type="dxa"/>
            <w:vAlign w:val="bottom"/>
            <w:gridSpan w:val="4"/>
          </w:tcPr>
          <w:p>
            <w:pPr>
              <w:jc w:val="center"/>
              <w:ind w:right="1800"/>
              <w:spacing w:after="0"/>
              <w:rPr>
                <w:sz w:val="20"/>
                <w:szCs w:val="20"/>
                <w:color w:val="auto"/>
              </w:rPr>
            </w:pPr>
            <w:r>
              <w:rPr>
                <w:rFonts w:ascii="Arial" w:cs="Arial" w:eastAsia="Arial" w:hAnsi="Arial"/>
                <w:sz w:val="22"/>
                <w:szCs w:val="22"/>
                <w:color w:val="auto"/>
                <w:w w:val="92"/>
              </w:rPr>
              <w:t>NOTICE OF EXERCISE</w:t>
            </w:r>
          </w:p>
        </w:tc>
        <w:tc>
          <w:tcPr>
            <w:tcW w:w="1820" w:type="dxa"/>
            <w:vAlign w:val="bottom"/>
          </w:tcPr>
          <w:p>
            <w:pPr>
              <w:spacing w:after="0"/>
              <w:rPr>
                <w:sz w:val="24"/>
                <w:szCs w:val="24"/>
                <w:color w:val="auto"/>
              </w:rPr>
            </w:pPr>
          </w:p>
        </w:tc>
      </w:tr>
      <w:tr>
        <w:trPr>
          <w:trHeight w:val="20"/>
        </w:trPr>
        <w:tc>
          <w:tcPr>
            <w:tcW w:w="8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479"/>
        </w:trPr>
        <w:tc>
          <w:tcPr>
            <w:tcW w:w="840" w:type="dxa"/>
            <w:vAlign w:val="bottom"/>
          </w:tcPr>
          <w:p>
            <w:pPr>
              <w:jc w:val="right"/>
              <w:spacing w:after="0"/>
              <w:rPr>
                <w:sz w:val="20"/>
                <w:szCs w:val="20"/>
                <w:color w:val="auto"/>
              </w:rPr>
            </w:pPr>
            <w:r>
              <w:rPr>
                <w:rFonts w:ascii="Arial" w:cs="Arial" w:eastAsia="Arial" w:hAnsi="Arial"/>
                <w:sz w:val="22"/>
                <w:szCs w:val="22"/>
                <w:color w:val="auto"/>
              </w:rPr>
              <w:t>1.</w:t>
            </w:r>
          </w:p>
        </w:tc>
        <w:tc>
          <w:tcPr>
            <w:tcW w:w="1960" w:type="dxa"/>
            <w:vAlign w:val="bottom"/>
          </w:tcPr>
          <w:p>
            <w:pPr>
              <w:ind w:left="460"/>
              <w:spacing w:after="0"/>
              <w:rPr>
                <w:sz w:val="20"/>
                <w:szCs w:val="20"/>
                <w:color w:val="auto"/>
              </w:rPr>
            </w:pPr>
            <w:r>
              <w:rPr>
                <w:rFonts w:ascii="Arial" w:cs="Arial" w:eastAsia="Arial" w:hAnsi="Arial"/>
                <w:sz w:val="22"/>
                <w:szCs w:val="22"/>
                <w:color w:val="auto"/>
                <w:w w:val="89"/>
              </w:rPr>
              <w:t>The undersigned</w:t>
            </w:r>
          </w:p>
        </w:tc>
        <w:tc>
          <w:tcPr>
            <w:tcW w:w="4960" w:type="dxa"/>
            <w:vAlign w:val="bottom"/>
            <w:gridSpan w:val="5"/>
          </w:tcPr>
          <w:p>
            <w:pPr>
              <w:ind w:left="40"/>
              <w:spacing w:after="0"/>
              <w:rPr>
                <w:sz w:val="20"/>
                <w:szCs w:val="20"/>
                <w:color w:val="auto"/>
              </w:rPr>
            </w:pPr>
            <w:r>
              <w:rPr>
                <w:rFonts w:ascii="Arial" w:cs="Arial" w:eastAsia="Arial" w:hAnsi="Arial"/>
                <w:sz w:val="22"/>
                <w:szCs w:val="22"/>
                <w:color w:val="auto"/>
              </w:rPr>
              <w:t>Holder hereby exercises its right to purchase</w:t>
            </w:r>
          </w:p>
        </w:tc>
        <w:tc>
          <w:tcPr>
            <w:tcW w:w="1820" w:type="dxa"/>
            <w:vAlign w:val="bottom"/>
          </w:tcPr>
          <w:p>
            <w:pPr>
              <w:ind w:left="720"/>
              <w:spacing w:after="0"/>
              <w:rPr>
                <w:sz w:val="20"/>
                <w:szCs w:val="20"/>
                <w:color w:val="auto"/>
              </w:rPr>
            </w:pPr>
            <w:r>
              <w:rPr>
                <w:rFonts w:ascii="Arial" w:cs="Arial" w:eastAsia="Arial" w:hAnsi="Arial"/>
                <w:sz w:val="22"/>
                <w:szCs w:val="22"/>
                <w:color w:val="auto"/>
                <w:w w:val="84"/>
              </w:rPr>
              <w:t>shares of the</w:t>
            </w:r>
          </w:p>
        </w:tc>
      </w:tr>
      <w:tr>
        <w:trPr>
          <w:trHeight w:val="230"/>
        </w:trPr>
        <w:tc>
          <w:tcPr>
            <w:tcW w:w="840" w:type="dxa"/>
            <w:vAlign w:val="bottom"/>
          </w:tcPr>
          <w:p>
            <w:pPr>
              <w:jc w:val="right"/>
              <w:spacing w:after="0" w:line="230" w:lineRule="exact"/>
              <w:rPr>
                <w:sz w:val="20"/>
                <w:szCs w:val="20"/>
                <w:color w:val="auto"/>
              </w:rPr>
            </w:pPr>
            <w:r>
              <w:rPr>
                <w:rFonts w:ascii="Arial" w:cs="Arial" w:eastAsia="Arial" w:hAnsi="Arial"/>
                <w:sz w:val="22"/>
                <w:szCs w:val="22"/>
                <w:color w:val="auto"/>
                <w:w w:val="87"/>
              </w:rPr>
              <w:t>Common</w:t>
            </w:r>
          </w:p>
        </w:tc>
        <w:tc>
          <w:tcPr>
            <w:tcW w:w="1960" w:type="dxa"/>
            <w:vAlign w:val="bottom"/>
          </w:tcPr>
          <w:p>
            <w:pPr>
              <w:ind w:left="20"/>
              <w:spacing w:after="0" w:line="230" w:lineRule="exact"/>
              <w:rPr>
                <w:sz w:val="20"/>
                <w:szCs w:val="20"/>
                <w:color w:val="auto"/>
              </w:rPr>
            </w:pPr>
            <w:r>
              <w:rPr>
                <w:rFonts w:ascii="Arial" w:cs="Arial" w:eastAsia="Arial" w:hAnsi="Arial"/>
                <w:sz w:val="22"/>
                <w:szCs w:val="22"/>
                <w:color w:val="auto"/>
              </w:rPr>
              <w:t>Stock of</w:t>
            </w:r>
          </w:p>
        </w:tc>
        <w:tc>
          <w:tcPr>
            <w:tcW w:w="960" w:type="dxa"/>
            <w:vAlign w:val="bottom"/>
          </w:tcPr>
          <w:p>
            <w:pPr>
              <w:spacing w:after="0"/>
              <w:rPr>
                <w:sz w:val="19"/>
                <w:szCs w:val="19"/>
                <w:color w:val="auto"/>
              </w:rPr>
            </w:pPr>
          </w:p>
        </w:tc>
        <w:tc>
          <w:tcPr>
            <w:tcW w:w="5820" w:type="dxa"/>
            <w:vAlign w:val="bottom"/>
            <w:gridSpan w:val="5"/>
          </w:tcPr>
          <w:p>
            <w:pPr>
              <w:ind w:left="1060"/>
              <w:spacing w:after="0" w:line="230" w:lineRule="exact"/>
              <w:rPr>
                <w:sz w:val="20"/>
                <w:szCs w:val="20"/>
                <w:color w:val="auto"/>
              </w:rPr>
            </w:pPr>
            <w:r>
              <w:rPr>
                <w:rFonts w:ascii="Arial" w:cs="Arial" w:eastAsia="Arial" w:hAnsi="Arial"/>
                <w:sz w:val="22"/>
                <w:szCs w:val="22"/>
                <w:color w:val="auto"/>
                <w:w w:val="98"/>
              </w:rPr>
              <w:t>(the “</w:t>
            </w:r>
            <w:r>
              <w:rPr>
                <w:rFonts w:ascii="Arial" w:cs="Arial" w:eastAsia="Arial" w:hAnsi="Arial"/>
                <w:sz w:val="22"/>
                <w:szCs w:val="22"/>
                <w:b w:val="1"/>
                <w:bCs w:val="1"/>
                <w:color w:val="auto"/>
                <w:w w:val="98"/>
              </w:rPr>
              <w:t>Company</w:t>
            </w:r>
            <w:r>
              <w:rPr>
                <w:rFonts w:ascii="Arial" w:cs="Arial" w:eastAsia="Arial" w:hAnsi="Arial"/>
                <w:sz w:val="22"/>
                <w:szCs w:val="22"/>
                <w:color w:val="auto"/>
                <w:w w:val="98"/>
              </w:rPr>
              <w:t>”) in accordance with the attached</w:t>
            </w:r>
          </w:p>
        </w:tc>
      </w:tr>
      <w:tr>
        <w:trPr>
          <w:trHeight w:val="20"/>
        </w:trPr>
        <w:tc>
          <w:tcPr>
            <w:tcW w:w="8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bl>
    <w:p>
      <w:pPr>
        <w:spacing w:after="0" w:line="6" w:lineRule="exact"/>
        <w:rPr>
          <w:sz w:val="20"/>
          <w:szCs w:val="20"/>
          <w:color w:val="auto"/>
        </w:rPr>
      </w:pPr>
    </w:p>
    <w:p>
      <w:pPr>
        <w:ind w:right="200"/>
        <w:spacing w:after="0" w:line="250" w:lineRule="auto"/>
        <w:rPr>
          <w:sz w:val="20"/>
          <w:szCs w:val="20"/>
          <w:color w:val="auto"/>
        </w:rPr>
      </w:pPr>
      <w:r>
        <w:rPr>
          <w:rFonts w:ascii="Arial" w:cs="Arial" w:eastAsia="Arial" w:hAnsi="Arial"/>
          <w:sz w:val="22"/>
          <w:szCs w:val="22"/>
          <w:color w:val="auto"/>
        </w:rPr>
        <w:t>Warrant To Purchase Common Stock, and tenders payment of the aggregate Warrant Price for such shares as follows:</w:t>
      </w:r>
    </w:p>
    <w:p>
      <w:pPr>
        <w:spacing w:after="0" w:line="188" w:lineRule="exact"/>
        <w:rPr>
          <w:sz w:val="20"/>
          <w:szCs w:val="20"/>
          <w:color w:val="auto"/>
        </w:rPr>
      </w:pPr>
    </w:p>
    <w:tbl>
      <w:tblPr>
        <w:tblLayout w:type="fixed"/>
        <w:tblInd w:w="640" w:type="dxa"/>
        <w:tblCellMar>
          <w:top w:w="0" w:type="dxa"/>
          <w:left w:w="0" w:type="dxa"/>
          <w:bottom w:w="0" w:type="dxa"/>
          <w:right w:w="0" w:type="dxa"/>
        </w:tblCellMar>
      </w:tblPr>
      <w:tr>
        <w:trPr>
          <w:trHeight w:val="274"/>
        </w:trPr>
        <w:tc>
          <w:tcPr>
            <w:tcW w:w="180" w:type="dxa"/>
            <w:vAlign w:val="bottom"/>
          </w:tcPr>
          <w:p>
            <w:pPr>
              <w:jc w:val="right"/>
              <w:spacing w:after="0"/>
              <w:rPr>
                <w:sz w:val="20"/>
                <w:szCs w:val="20"/>
                <w:color w:val="auto"/>
              </w:rPr>
            </w:pPr>
            <w:r>
              <w:rPr>
                <w:rFonts w:ascii="Arial" w:cs="Arial" w:eastAsia="Arial" w:hAnsi="Arial"/>
                <w:sz w:val="22"/>
                <w:szCs w:val="22"/>
                <w:color w:val="auto"/>
                <w:w w:val="97"/>
              </w:rPr>
              <w:t>[</w:t>
            </w:r>
          </w:p>
        </w:tc>
        <w:tc>
          <w:tcPr>
            <w:tcW w:w="34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2860" w:type="dxa"/>
            <w:vAlign w:val="bottom"/>
          </w:tcPr>
          <w:p>
            <w:pPr>
              <w:ind w:left="180"/>
              <w:spacing w:after="0"/>
              <w:rPr>
                <w:sz w:val="20"/>
                <w:szCs w:val="20"/>
                <w:color w:val="auto"/>
              </w:rPr>
            </w:pPr>
            <w:r>
              <w:rPr>
                <w:rFonts w:ascii="Arial" w:cs="Arial" w:eastAsia="Arial" w:hAnsi="Arial"/>
                <w:sz w:val="22"/>
                <w:szCs w:val="22"/>
                <w:color w:val="auto"/>
              </w:rPr>
              <w:t>check in the amount of $</w:t>
            </w:r>
          </w:p>
        </w:tc>
        <w:tc>
          <w:tcPr>
            <w:tcW w:w="5000" w:type="dxa"/>
            <w:vAlign w:val="bottom"/>
          </w:tcPr>
          <w:p>
            <w:pPr>
              <w:ind w:left="540"/>
              <w:spacing w:after="0"/>
              <w:rPr>
                <w:sz w:val="20"/>
                <w:szCs w:val="20"/>
                <w:color w:val="auto"/>
              </w:rPr>
            </w:pPr>
            <w:r>
              <w:rPr>
                <w:rFonts w:ascii="Arial" w:cs="Arial" w:eastAsia="Arial" w:hAnsi="Arial"/>
                <w:sz w:val="22"/>
                <w:szCs w:val="22"/>
                <w:color w:val="auto"/>
                <w:w w:val="88"/>
              </w:rPr>
              <w:t>payable to order of the Company enclosed herewith</w:t>
            </w:r>
          </w:p>
        </w:tc>
      </w:tr>
      <w:tr>
        <w:trPr>
          <w:trHeight w:val="459"/>
        </w:trPr>
        <w:tc>
          <w:tcPr>
            <w:tcW w:w="180" w:type="dxa"/>
            <w:vAlign w:val="bottom"/>
          </w:tcPr>
          <w:p>
            <w:pPr>
              <w:jc w:val="right"/>
              <w:spacing w:after="0"/>
              <w:rPr>
                <w:sz w:val="20"/>
                <w:szCs w:val="20"/>
                <w:color w:val="auto"/>
              </w:rPr>
            </w:pPr>
            <w:r>
              <w:rPr>
                <w:rFonts w:ascii="Arial" w:cs="Arial" w:eastAsia="Arial" w:hAnsi="Arial"/>
                <w:sz w:val="22"/>
                <w:szCs w:val="22"/>
                <w:color w:val="auto"/>
                <w:w w:val="97"/>
              </w:rPr>
              <w:t>[</w:t>
            </w:r>
          </w:p>
        </w:tc>
        <w:tc>
          <w:tcPr>
            <w:tcW w:w="34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7860" w:type="dxa"/>
            <w:vAlign w:val="bottom"/>
            <w:gridSpan w:val="2"/>
          </w:tcPr>
          <w:p>
            <w:pPr>
              <w:ind w:left="160"/>
              <w:spacing w:after="0"/>
              <w:rPr>
                <w:sz w:val="20"/>
                <w:szCs w:val="20"/>
                <w:color w:val="auto"/>
              </w:rPr>
            </w:pPr>
            <w:r>
              <w:rPr>
                <w:rFonts w:ascii="Arial" w:cs="Arial" w:eastAsia="Arial" w:hAnsi="Arial"/>
                <w:sz w:val="22"/>
                <w:szCs w:val="22"/>
                <w:color w:val="auto"/>
              </w:rPr>
              <w:t>Wire transfer of immediately available funds to the Company’s account</w:t>
            </w:r>
          </w:p>
        </w:tc>
      </w:tr>
      <w:tr>
        <w:trPr>
          <w:trHeight w:val="486"/>
        </w:trPr>
        <w:tc>
          <w:tcPr>
            <w:tcW w:w="180" w:type="dxa"/>
            <w:vAlign w:val="bottom"/>
          </w:tcPr>
          <w:p>
            <w:pPr>
              <w:jc w:val="right"/>
              <w:spacing w:after="0"/>
              <w:rPr>
                <w:sz w:val="20"/>
                <w:szCs w:val="20"/>
                <w:color w:val="auto"/>
              </w:rPr>
            </w:pPr>
            <w:r>
              <w:rPr>
                <w:rFonts w:ascii="Arial" w:cs="Arial" w:eastAsia="Arial" w:hAnsi="Arial"/>
                <w:sz w:val="22"/>
                <w:szCs w:val="22"/>
                <w:color w:val="auto"/>
                <w:w w:val="97"/>
              </w:rPr>
              <w:t>[</w:t>
            </w:r>
          </w:p>
        </w:tc>
        <w:tc>
          <w:tcPr>
            <w:tcW w:w="34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7860" w:type="dxa"/>
            <w:vAlign w:val="bottom"/>
            <w:gridSpan w:val="2"/>
          </w:tcPr>
          <w:p>
            <w:pPr>
              <w:ind w:left="180"/>
              <w:spacing w:after="0"/>
              <w:rPr>
                <w:sz w:val="20"/>
                <w:szCs w:val="20"/>
                <w:color w:val="auto"/>
              </w:rPr>
            </w:pPr>
            <w:r>
              <w:rPr>
                <w:rFonts w:ascii="Arial" w:cs="Arial" w:eastAsia="Arial" w:hAnsi="Arial"/>
                <w:sz w:val="22"/>
                <w:szCs w:val="22"/>
                <w:color w:val="auto"/>
              </w:rPr>
              <w:t>Cashless Exercise pursuant to Section 1.2 of the Warrant</w:t>
            </w:r>
          </w:p>
        </w:tc>
      </w:tr>
      <w:tr>
        <w:trPr>
          <w:trHeight w:val="486"/>
        </w:trPr>
        <w:tc>
          <w:tcPr>
            <w:tcW w:w="180" w:type="dxa"/>
            <w:vAlign w:val="bottom"/>
          </w:tcPr>
          <w:p>
            <w:pPr>
              <w:jc w:val="right"/>
              <w:spacing w:after="0"/>
              <w:rPr>
                <w:sz w:val="20"/>
                <w:szCs w:val="20"/>
                <w:color w:val="auto"/>
              </w:rPr>
            </w:pPr>
            <w:r>
              <w:rPr>
                <w:rFonts w:ascii="Arial" w:cs="Arial" w:eastAsia="Arial" w:hAnsi="Arial"/>
                <w:sz w:val="22"/>
                <w:szCs w:val="22"/>
                <w:color w:val="auto"/>
                <w:w w:val="97"/>
              </w:rPr>
              <w:t>[</w:t>
            </w:r>
          </w:p>
        </w:tc>
        <w:tc>
          <w:tcPr>
            <w:tcW w:w="34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2860" w:type="dxa"/>
            <w:vAlign w:val="bottom"/>
          </w:tcPr>
          <w:p>
            <w:pPr>
              <w:ind w:left="180"/>
              <w:spacing w:after="0"/>
              <w:rPr>
                <w:sz w:val="20"/>
                <w:szCs w:val="20"/>
                <w:color w:val="auto"/>
              </w:rPr>
            </w:pPr>
            <w:r>
              <w:rPr>
                <w:rFonts w:ascii="Arial" w:cs="Arial" w:eastAsia="Arial" w:hAnsi="Arial"/>
                <w:sz w:val="22"/>
                <w:szCs w:val="22"/>
                <w:color w:val="auto"/>
              </w:rPr>
              <w:t>Other [Describe]</w:t>
            </w:r>
          </w:p>
        </w:tc>
        <w:tc>
          <w:tcPr>
            <w:tcW w:w="5000" w:type="dxa"/>
            <w:vAlign w:val="bottom"/>
          </w:tcPr>
          <w:p>
            <w:pPr>
              <w:spacing w:after="0"/>
              <w:rPr>
                <w:sz w:val="24"/>
                <w:szCs w:val="24"/>
                <w:color w:val="auto"/>
              </w:rPr>
            </w:pPr>
          </w:p>
        </w:tc>
      </w:tr>
    </w:tbl>
    <w:p>
      <w:pPr>
        <w:spacing w:after="0" w:line="198" w:lineRule="exact"/>
        <w:rPr>
          <w:sz w:val="20"/>
          <w:szCs w:val="20"/>
          <w:color w:val="auto"/>
        </w:rPr>
      </w:pPr>
    </w:p>
    <w:p>
      <w:pPr>
        <w:ind w:left="4200" w:right="340" w:hanging="3554"/>
        <w:spacing w:after="0" w:line="507" w:lineRule="auto"/>
        <w:tabs>
          <w:tab w:leader="none" w:pos="1291" w:val="left"/>
        </w:tabs>
        <w:numPr>
          <w:ilvl w:val="0"/>
          <w:numId w:val="24"/>
        </w:numPr>
        <w:rPr>
          <w:rFonts w:ascii="Arial" w:cs="Arial" w:eastAsia="Arial" w:hAnsi="Arial"/>
          <w:sz w:val="22"/>
          <w:szCs w:val="22"/>
          <w:color w:val="auto"/>
        </w:rPr>
      </w:pPr>
      <w:r>
        <w:rPr>
          <w:rFonts w:ascii="Arial" w:cs="Arial" w:eastAsia="Arial" w:hAnsi="Arial"/>
          <w:sz w:val="22"/>
          <w:szCs w:val="22"/>
          <w:color w:val="auto"/>
        </w:rPr>
        <w:t>Please issue a certificate or certificates representing the Shares in the name specified below: Holder’s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wp:posOffset>
            </wp:positionH>
            <wp:positionV relativeFrom="paragraph">
              <wp:posOffset>-29845</wp:posOffset>
            </wp:positionV>
            <wp:extent cx="503174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6">
                      <a:extLst>
                        <a:ext uri="{28A0092B-C50C-407E-A947-70E740481C1C}"/>
                      </a:extLst>
                    </a:blip>
                    <a:srcRect/>
                    <a:stretch>
                      <a:fillRect/>
                    </a:stretch>
                  </pic:blipFill>
                  <pic:spPr bwMode="auto">
                    <a:xfrm>
                      <a:off x="0" y="0"/>
                      <a:ext cx="503174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wp:posOffset>
            </wp:positionH>
            <wp:positionV relativeFrom="paragraph">
              <wp:posOffset>-347345</wp:posOffset>
            </wp:positionV>
            <wp:extent cx="503174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7">
                      <a:extLst>
                        <a:ext uri="{28A0092B-C50C-407E-A947-70E740481C1C}"/>
                      </a:extLst>
                    </a:blip>
                    <a:srcRect/>
                    <a:stretch>
                      <a:fillRect/>
                    </a:stretch>
                  </pic:blipFill>
                  <pic:spPr bwMode="auto">
                    <a:xfrm>
                      <a:off x="0" y="0"/>
                      <a:ext cx="5031740" cy="8255"/>
                    </a:xfrm>
                    <a:prstGeom prst="rect">
                      <a:avLst/>
                    </a:prstGeom>
                    <a:noFill/>
                  </pic:spPr>
                </pic:pic>
              </a:graphicData>
            </a:graphic>
          </wp:anchor>
        </w:drawing>
      </w:r>
    </w:p>
    <w:p>
      <w:pPr>
        <w:spacing w:after="0" w:line="180"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wp:posOffset>
            </wp:positionH>
            <wp:positionV relativeFrom="paragraph">
              <wp:posOffset>-154940</wp:posOffset>
            </wp:positionV>
            <wp:extent cx="503174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8">
                      <a:extLst>
                        <a:ext uri="{28A0092B-C50C-407E-A947-70E740481C1C}"/>
                      </a:extLst>
                    </a:blip>
                    <a:srcRect/>
                    <a:stretch>
                      <a:fillRect/>
                    </a:stretch>
                  </pic:blipFill>
                  <pic:spPr bwMode="auto">
                    <a:xfrm>
                      <a:off x="0" y="0"/>
                      <a:ext cx="5031740" cy="8255"/>
                    </a:xfrm>
                    <a:prstGeom prst="rect">
                      <a:avLst/>
                    </a:prstGeom>
                    <a:noFill/>
                  </pic:spPr>
                </pic:pic>
              </a:graphicData>
            </a:graphic>
          </wp:anchor>
        </w:drawing>
      </w:r>
    </w:p>
    <w:p>
      <w:pPr>
        <w:spacing w:after="0" w:line="186" w:lineRule="exact"/>
        <w:rPr>
          <w:sz w:val="20"/>
          <w:szCs w:val="20"/>
          <w:color w:val="auto"/>
        </w:rPr>
      </w:pPr>
    </w:p>
    <w:p>
      <w:pPr>
        <w:ind w:right="180" w:firstLine="646"/>
        <w:spacing w:after="0" w:line="328" w:lineRule="auto"/>
        <w:tabs>
          <w:tab w:leader="none" w:pos="1296" w:val="left"/>
        </w:tabs>
        <w:numPr>
          <w:ilvl w:val="0"/>
          <w:numId w:val="25"/>
        </w:numPr>
        <w:rPr>
          <w:rFonts w:ascii="Arial" w:cs="Arial" w:eastAsia="Arial" w:hAnsi="Arial"/>
          <w:sz w:val="19"/>
          <w:szCs w:val="19"/>
          <w:color w:val="auto"/>
        </w:rPr>
      </w:pPr>
      <w:r>
        <w:rPr>
          <w:rFonts w:ascii="Arial" w:cs="Arial" w:eastAsia="Arial" w:hAnsi="Arial"/>
          <w:sz w:val="19"/>
          <w:szCs w:val="19"/>
          <w:color w:val="auto"/>
        </w:rPr>
        <w:t>By its execution below and for the benefit of the Company, Holder hereby restates each of the representations and warranties in Section 4 of the Warrant to Purchase Common Stock as of the date hereof.</w:t>
      </w:r>
    </w:p>
    <w:p>
      <w:pPr>
        <w:spacing w:after="0" w:line="105" w:lineRule="exact"/>
        <w:rPr>
          <w:sz w:val="20"/>
          <w:szCs w:val="20"/>
          <w:color w:val="auto"/>
        </w:rPr>
      </w:pPr>
    </w:p>
    <w:p>
      <w:pPr>
        <w:ind w:left="4880"/>
        <w:spacing w:after="0"/>
        <w:rPr>
          <w:sz w:val="20"/>
          <w:szCs w:val="20"/>
          <w:color w:val="auto"/>
        </w:rPr>
      </w:pPr>
      <w:r>
        <w:rPr>
          <w:rFonts w:ascii="Arial" w:cs="Arial" w:eastAsia="Arial" w:hAnsi="Arial"/>
          <w:sz w:val="22"/>
          <w:szCs w:val="22"/>
          <w:color w:val="auto"/>
        </w:rPr>
        <w:t>HOLDER:</w:t>
      </w:r>
    </w:p>
    <w:p>
      <w:pPr>
        <w:spacing w:after="0" w:line="200" w:lineRule="exact"/>
        <w:rPr>
          <w:sz w:val="20"/>
          <w:szCs w:val="20"/>
          <w:color w:val="auto"/>
        </w:rPr>
      </w:pPr>
    </w:p>
    <w:p>
      <w:pPr>
        <w:spacing w:after="0" w:line="222" w:lineRule="exact"/>
        <w:rPr>
          <w:sz w:val="20"/>
          <w:szCs w:val="20"/>
          <w:color w:val="auto"/>
        </w:rPr>
      </w:pPr>
    </w:p>
    <w:p>
      <w:pPr>
        <w:ind w:left="4880"/>
        <w:spacing w:after="0"/>
        <w:rPr>
          <w:sz w:val="20"/>
          <w:szCs w:val="20"/>
          <w:color w:val="auto"/>
        </w:rPr>
      </w:pPr>
      <w:r>
        <w:rPr>
          <w:rFonts w:ascii="Arial" w:cs="Arial" w:eastAsia="Arial" w:hAnsi="Arial"/>
          <w:sz w:val="22"/>
          <w:szCs w:val="22"/>
          <w:color w:val="auto"/>
        </w:rPr>
        <w:t>By:</w:t>
      </w:r>
    </w:p>
    <w:p>
      <w:pPr>
        <w:ind w:left="4880"/>
        <w:spacing w:after="0" w:line="238" w:lineRule="auto"/>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3774440</wp:posOffset>
            </wp:positionH>
            <wp:positionV relativeFrom="paragraph">
              <wp:posOffset>-151130</wp:posOffset>
            </wp:positionV>
            <wp:extent cx="245999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9">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ind w:left="4880"/>
        <w:spacing w:after="0" w:line="230" w:lineRule="auto"/>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3774440</wp:posOffset>
            </wp:positionH>
            <wp:positionV relativeFrom="paragraph">
              <wp:posOffset>-151130</wp:posOffset>
            </wp:positionV>
            <wp:extent cx="245999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0">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ind w:left="4880"/>
        <w:spacing w:after="0"/>
        <w:rPr>
          <w:sz w:val="20"/>
          <w:szCs w:val="20"/>
          <w:color w:val="auto"/>
        </w:rPr>
      </w:pPr>
      <w:r>
        <w:rPr>
          <w:rFonts w:ascii="Arial" w:cs="Arial" w:eastAsia="Arial" w:hAnsi="Arial"/>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3774440</wp:posOffset>
            </wp:positionH>
            <wp:positionV relativeFrom="paragraph">
              <wp:posOffset>-3810</wp:posOffset>
            </wp:positionV>
            <wp:extent cx="245999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1">
                      <a:extLst>
                        <a:ext uri="{28A0092B-C50C-407E-A947-70E740481C1C}"/>
                      </a:extLst>
                    </a:blip>
                    <a:srcRect/>
                    <a:stretch>
                      <a:fillRect/>
                    </a:stretch>
                  </pic:blipFill>
                  <pic:spPr bwMode="auto">
                    <a:xfrm>
                      <a:off x="0" y="0"/>
                      <a:ext cx="2459990" cy="8255"/>
                    </a:xfrm>
                    <a:prstGeom prst="rect">
                      <a:avLst/>
                    </a:prstGeom>
                    <a:noFill/>
                  </pic:spPr>
                </pic:pic>
              </a:graphicData>
            </a:graphic>
          </wp:anchor>
        </w:drawing>
        <w:drawing>
          <wp:anchor simplePos="0" relativeHeight="251657728" behindDoc="1" locked="0" layoutInCell="0" allowOverlap="1">
            <wp:simplePos x="0" y="0"/>
            <wp:positionH relativeFrom="column">
              <wp:posOffset>3774440</wp:posOffset>
            </wp:positionH>
            <wp:positionV relativeFrom="paragraph">
              <wp:posOffset>-158115</wp:posOffset>
            </wp:positionV>
            <wp:extent cx="245999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2">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7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Appendix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357505</wp:posOffset>
            </wp:positionV>
            <wp:extent cx="629221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580"/>
          </w:cols>
          <w:pgMar w:left="1080" w:top="118" w:right="1239" w:bottom="1440" w:gutter="0" w:footer="0" w:header="0"/>
        </w:sectPr>
      </w:pPr>
    </w:p>
    <w:bookmarkStart w:id="57" w:name="page58"/>
    <w:bookmarkEnd w:id="57"/>
    <w:p>
      <w:pPr>
        <w:jc w:val="right"/>
        <w:ind w:right="499"/>
        <w:spacing w:after="0"/>
        <w:rPr>
          <w:sz w:val="20"/>
          <w:szCs w:val="20"/>
          <w:color w:val="auto"/>
        </w:rPr>
      </w:pPr>
      <w:r>
        <w:rPr>
          <w:rFonts w:ascii="Arial" w:cs="Arial" w:eastAsia="Arial" w:hAnsi="Arial"/>
          <w:sz w:val="20"/>
          <w:szCs w:val="20"/>
          <w:color w:val="auto"/>
        </w:rPr>
        <w:t>EXHIBIT 10.1</w:t>
      </w:r>
    </w:p>
    <w:p>
      <w:pPr>
        <w:spacing w:after="0" w:line="129" w:lineRule="exact"/>
        <w:rPr>
          <w:sz w:val="20"/>
          <w:szCs w:val="20"/>
          <w:color w:val="auto"/>
        </w:rPr>
      </w:pPr>
    </w:p>
    <w:p>
      <w:pPr>
        <w:ind w:left="540"/>
        <w:spacing w:after="0"/>
        <w:rPr>
          <w:sz w:val="20"/>
          <w:szCs w:val="20"/>
          <w:color w:val="auto"/>
        </w:rPr>
      </w:pPr>
      <w:r>
        <w:rPr>
          <w:rFonts w:ascii="Arial" w:cs="Arial" w:eastAsia="Arial" w:hAnsi="Arial"/>
          <w:sz w:val="19"/>
          <w:szCs w:val="19"/>
          <w:color w:val="313131"/>
        </w:rPr>
        <w:t>May 26, 2020</w:t>
      </w:r>
    </w:p>
    <w:p>
      <w:pPr>
        <w:spacing w:after="0" w:line="322" w:lineRule="exact"/>
        <w:rPr>
          <w:sz w:val="20"/>
          <w:szCs w:val="20"/>
          <w:color w:val="auto"/>
        </w:rPr>
      </w:pPr>
    </w:p>
    <w:p>
      <w:pPr>
        <w:ind w:left="540"/>
        <w:spacing w:after="0"/>
        <w:rPr>
          <w:sz w:val="20"/>
          <w:szCs w:val="20"/>
          <w:color w:val="auto"/>
        </w:rPr>
      </w:pPr>
      <w:r>
        <w:rPr>
          <w:rFonts w:ascii="Arial" w:cs="Arial" w:eastAsia="Arial" w:hAnsi="Arial"/>
          <w:sz w:val="19"/>
          <w:szCs w:val="19"/>
          <w:color w:val="313131"/>
        </w:rPr>
        <w:t>Everspin Technologies, Inc.</w:t>
      </w:r>
    </w:p>
    <w:p>
      <w:pPr>
        <w:spacing w:after="0" w:line="52" w:lineRule="exact"/>
        <w:rPr>
          <w:sz w:val="20"/>
          <w:szCs w:val="20"/>
          <w:color w:val="auto"/>
        </w:rPr>
      </w:pPr>
    </w:p>
    <w:p>
      <w:pPr>
        <w:ind w:left="540"/>
        <w:spacing w:after="0"/>
        <w:rPr>
          <w:sz w:val="20"/>
          <w:szCs w:val="20"/>
          <w:color w:val="auto"/>
        </w:rPr>
      </w:pPr>
      <w:r>
        <w:rPr>
          <w:rFonts w:ascii="Arial" w:cs="Arial" w:eastAsia="Arial" w:hAnsi="Arial"/>
          <w:sz w:val="19"/>
          <w:szCs w:val="19"/>
          <w:color w:val="313131"/>
        </w:rPr>
        <w:t>5670 W. Chandler Blvd., Suite 100</w:t>
      </w:r>
    </w:p>
    <w:p>
      <w:pPr>
        <w:spacing w:after="0" w:line="52" w:lineRule="exact"/>
        <w:rPr>
          <w:sz w:val="20"/>
          <w:szCs w:val="20"/>
          <w:color w:val="auto"/>
        </w:rPr>
      </w:pPr>
    </w:p>
    <w:p>
      <w:pPr>
        <w:ind w:left="540"/>
        <w:spacing w:after="0"/>
        <w:rPr>
          <w:sz w:val="20"/>
          <w:szCs w:val="20"/>
          <w:color w:val="auto"/>
        </w:rPr>
      </w:pPr>
      <w:r>
        <w:rPr>
          <w:rFonts w:ascii="Arial" w:cs="Arial" w:eastAsia="Arial" w:hAnsi="Arial"/>
          <w:sz w:val="19"/>
          <w:szCs w:val="19"/>
          <w:color w:val="313131"/>
        </w:rPr>
        <w:t>Chandler, Arizona 85226</w:t>
      </w:r>
    </w:p>
    <w:p>
      <w:pPr>
        <w:spacing w:after="0" w:line="324" w:lineRule="exact"/>
        <w:rPr>
          <w:sz w:val="20"/>
          <w:szCs w:val="20"/>
          <w:color w:val="auto"/>
        </w:rPr>
      </w:pPr>
    </w:p>
    <w:p>
      <w:pPr>
        <w:ind w:left="540"/>
        <w:spacing w:after="0"/>
        <w:rPr>
          <w:sz w:val="20"/>
          <w:szCs w:val="20"/>
          <w:color w:val="auto"/>
        </w:rPr>
      </w:pPr>
      <w:r>
        <w:rPr>
          <w:rFonts w:ascii="Arial" w:cs="Arial" w:eastAsia="Arial" w:hAnsi="Arial"/>
          <w:sz w:val="19"/>
          <w:szCs w:val="19"/>
          <w:b w:val="1"/>
          <w:bCs w:val="1"/>
          <w:color w:val="464646"/>
        </w:rPr>
        <w:t xml:space="preserve">Re: </w:t>
      </w:r>
      <w:r>
        <w:rPr>
          <w:rFonts w:ascii="Arial" w:cs="Arial" w:eastAsia="Arial" w:hAnsi="Arial"/>
          <w:sz w:val="19"/>
          <w:szCs w:val="19"/>
          <w:b w:val="1"/>
          <w:bCs w:val="1"/>
          <w:color w:val="313131"/>
        </w:rPr>
        <w:t>Everspin Technologies, Inc. Chief Financial Officer</w:t>
      </w:r>
    </w:p>
    <w:p>
      <w:pPr>
        <w:spacing w:after="0" w:line="200" w:lineRule="exact"/>
        <w:rPr>
          <w:sz w:val="20"/>
          <w:szCs w:val="20"/>
          <w:color w:val="auto"/>
        </w:rPr>
      </w:pPr>
    </w:p>
    <w:p>
      <w:pPr>
        <w:spacing w:after="0" w:line="267" w:lineRule="exact"/>
        <w:rPr>
          <w:sz w:val="20"/>
          <w:szCs w:val="20"/>
          <w:color w:val="auto"/>
        </w:rPr>
      </w:pPr>
    </w:p>
    <w:p>
      <w:pPr>
        <w:ind w:left="540"/>
        <w:spacing w:after="0"/>
        <w:rPr>
          <w:sz w:val="20"/>
          <w:szCs w:val="20"/>
          <w:color w:val="auto"/>
        </w:rPr>
      </w:pPr>
      <w:r>
        <w:rPr>
          <w:rFonts w:ascii="Arial" w:cs="Arial" w:eastAsia="Arial" w:hAnsi="Arial"/>
          <w:sz w:val="19"/>
          <w:szCs w:val="19"/>
          <w:color w:val="313131"/>
        </w:rPr>
        <w:t>Dear Daniel:</w:t>
      </w:r>
    </w:p>
    <w:p>
      <w:pPr>
        <w:spacing w:after="0" w:line="341" w:lineRule="exact"/>
        <w:rPr>
          <w:sz w:val="20"/>
          <w:szCs w:val="20"/>
          <w:color w:val="auto"/>
        </w:rPr>
      </w:pPr>
    </w:p>
    <w:p>
      <w:pPr>
        <w:ind w:left="540" w:right="539" w:hanging="1"/>
        <w:spacing w:after="0" w:line="378" w:lineRule="auto"/>
        <w:rPr>
          <w:sz w:val="20"/>
          <w:szCs w:val="20"/>
          <w:color w:val="auto"/>
        </w:rPr>
      </w:pPr>
      <w:r>
        <w:rPr>
          <w:rFonts w:ascii="Arial" w:cs="Arial" w:eastAsia="Arial" w:hAnsi="Arial"/>
          <w:sz w:val="18"/>
          <w:szCs w:val="18"/>
          <w:color w:val="313131"/>
        </w:rPr>
        <w:t xml:space="preserve">Everspin Technologies, Inc., a Delaware corporation (the </w:t>
      </w:r>
      <w:r>
        <w:rPr>
          <w:rFonts w:ascii="Arial" w:cs="Arial" w:eastAsia="Arial" w:hAnsi="Arial"/>
          <w:sz w:val="18"/>
          <w:szCs w:val="18"/>
          <w:i w:val="1"/>
          <w:iCs w:val="1"/>
          <w:color w:val="313131"/>
        </w:rPr>
        <w:t>"Company"),</w:t>
      </w:r>
      <w:r>
        <w:rPr>
          <w:rFonts w:ascii="Arial" w:cs="Arial" w:eastAsia="Arial" w:hAnsi="Arial"/>
          <w:sz w:val="18"/>
          <w:szCs w:val="18"/>
          <w:color w:val="313131"/>
        </w:rPr>
        <w:t xml:space="preserve"> is pleased to provide this offer to you for the position of Chief Financial Officer </w:t>
      </w:r>
      <w:r>
        <w:rPr>
          <w:rFonts w:ascii="Arial" w:cs="Arial" w:eastAsia="Arial" w:hAnsi="Arial"/>
          <w:sz w:val="18"/>
          <w:szCs w:val="18"/>
          <w:i w:val="1"/>
          <w:iCs w:val="1"/>
          <w:color w:val="313131"/>
        </w:rPr>
        <w:t>("CFO")</w:t>
      </w:r>
      <w:r>
        <w:rPr>
          <w:rFonts w:ascii="Arial" w:cs="Arial" w:eastAsia="Arial" w:hAnsi="Arial"/>
          <w:sz w:val="18"/>
          <w:szCs w:val="18"/>
          <w:color w:val="313131"/>
        </w:rPr>
        <w:t xml:space="preserve"> on the terms described below.</w:t>
      </w:r>
    </w:p>
    <w:p>
      <w:pPr>
        <w:spacing w:after="0" w:line="133" w:lineRule="exact"/>
        <w:rPr>
          <w:sz w:val="20"/>
          <w:szCs w:val="20"/>
          <w:color w:val="auto"/>
        </w:rPr>
      </w:pPr>
    </w:p>
    <w:p>
      <w:pPr>
        <w:jc w:val="both"/>
        <w:ind w:left="900" w:right="539" w:hanging="318"/>
        <w:spacing w:after="0" w:line="294" w:lineRule="auto"/>
        <w:tabs>
          <w:tab w:leader="none" w:pos="899" w:val="left"/>
        </w:tabs>
        <w:numPr>
          <w:ilvl w:val="0"/>
          <w:numId w:val="26"/>
        </w:numPr>
        <w:rPr>
          <w:rFonts w:ascii="Arial" w:cs="Arial" w:eastAsia="Arial" w:hAnsi="Arial"/>
          <w:sz w:val="17"/>
          <w:szCs w:val="17"/>
          <w:i w:val="1"/>
          <w:iCs w:val="1"/>
          <w:color w:val="313131"/>
        </w:rPr>
      </w:pPr>
      <w:r>
        <w:rPr>
          <w:rFonts w:ascii="Arial" w:cs="Arial" w:eastAsia="Arial" w:hAnsi="Arial"/>
          <w:sz w:val="17"/>
          <w:szCs w:val="17"/>
          <w:b w:val="1"/>
          <w:bCs w:val="1"/>
          <w:color w:val="313131"/>
        </w:rPr>
        <w:t xml:space="preserve">Position. </w:t>
      </w:r>
      <w:r>
        <w:rPr>
          <w:rFonts w:ascii="Arial" w:cs="Arial" w:eastAsia="Arial" w:hAnsi="Arial"/>
          <w:sz w:val="17"/>
          <w:szCs w:val="17"/>
          <w:color w:val="313131"/>
        </w:rPr>
        <w:t>The position of CFO will report directly to the Company's Chief Executive Officer. Your</w:t>
      </w:r>
      <w:r>
        <w:rPr>
          <w:rFonts w:ascii="Arial" w:cs="Arial" w:eastAsia="Arial" w:hAnsi="Arial"/>
          <w:sz w:val="17"/>
          <w:szCs w:val="17"/>
          <w:b w:val="1"/>
          <w:bCs w:val="1"/>
          <w:color w:val="313131"/>
        </w:rPr>
        <w:t xml:space="preserve"> </w:t>
      </w:r>
      <w:r>
        <w:rPr>
          <w:rFonts w:ascii="Arial" w:cs="Arial" w:eastAsia="Arial" w:hAnsi="Arial"/>
          <w:sz w:val="17"/>
          <w:szCs w:val="17"/>
          <w:color w:val="313131"/>
        </w:rPr>
        <w:t xml:space="preserve">primary duties will be to direct financial operations and reporting, regulatory activities, and other customary support that a CFO provides, including Information Technology and Human Resources. By signing this letter, you confirm that you are under no contractual or other legal obligations that would prohibit you from performing your duties with the Company upon your specified start date as outlined below. The anticipated start date is July 15, 2020 (the </w:t>
      </w:r>
      <w:r>
        <w:rPr>
          <w:rFonts w:ascii="Arial" w:cs="Arial" w:eastAsia="Arial" w:hAnsi="Arial"/>
          <w:sz w:val="17"/>
          <w:szCs w:val="17"/>
          <w:i w:val="1"/>
          <w:iCs w:val="1"/>
          <w:color w:val="313131"/>
        </w:rPr>
        <w:t>"Start Date").</w:t>
      </w:r>
    </w:p>
    <w:p>
      <w:pPr>
        <w:spacing w:after="0" w:line="142" w:lineRule="exact"/>
        <w:rPr>
          <w:rFonts w:ascii="Arial" w:cs="Arial" w:eastAsia="Arial" w:hAnsi="Arial"/>
          <w:sz w:val="17"/>
          <w:szCs w:val="17"/>
          <w:i w:val="1"/>
          <w:iCs w:val="1"/>
          <w:color w:val="313131"/>
        </w:rPr>
      </w:pPr>
    </w:p>
    <w:p>
      <w:pPr>
        <w:ind w:left="880" w:hanging="302"/>
        <w:spacing w:after="0"/>
        <w:tabs>
          <w:tab w:leader="none" w:pos="880" w:val="left"/>
        </w:tabs>
        <w:numPr>
          <w:ilvl w:val="0"/>
          <w:numId w:val="26"/>
        </w:numPr>
        <w:rPr>
          <w:rFonts w:ascii="Arial" w:cs="Arial" w:eastAsia="Arial" w:hAnsi="Arial"/>
          <w:sz w:val="19"/>
          <w:szCs w:val="19"/>
          <w:color w:val="313131"/>
        </w:rPr>
      </w:pPr>
      <w:r>
        <w:rPr>
          <w:rFonts w:ascii="Arial" w:cs="Arial" w:eastAsia="Arial" w:hAnsi="Arial"/>
          <w:sz w:val="19"/>
          <w:szCs w:val="19"/>
          <w:b w:val="1"/>
          <w:bCs w:val="1"/>
          <w:color w:val="313131"/>
        </w:rPr>
        <w:t xml:space="preserve">Compensation and Employee Benefits. </w:t>
      </w:r>
      <w:r>
        <w:rPr>
          <w:rFonts w:ascii="Arial" w:cs="Arial" w:eastAsia="Arial" w:hAnsi="Arial"/>
          <w:sz w:val="19"/>
          <w:szCs w:val="19"/>
          <w:color w:val="313131"/>
        </w:rPr>
        <w:t>You will be paid a starting salary at the rate of</w:t>
      </w:r>
    </w:p>
    <w:p>
      <w:pPr>
        <w:spacing w:after="0" w:line="30" w:lineRule="exact"/>
        <w:rPr>
          <w:rFonts w:ascii="Arial" w:cs="Arial" w:eastAsia="Arial" w:hAnsi="Arial"/>
          <w:sz w:val="19"/>
          <w:szCs w:val="19"/>
          <w:color w:val="313131"/>
        </w:rPr>
      </w:pPr>
    </w:p>
    <w:p>
      <w:pPr>
        <w:jc w:val="both"/>
        <w:ind w:left="900" w:right="539" w:hanging="4"/>
        <w:spacing w:after="0" w:line="264" w:lineRule="auto"/>
        <w:rPr>
          <w:rFonts w:ascii="Arial" w:cs="Arial" w:eastAsia="Arial" w:hAnsi="Arial"/>
          <w:sz w:val="19"/>
          <w:szCs w:val="19"/>
          <w:color w:val="313131"/>
        </w:rPr>
      </w:pPr>
      <w:r>
        <w:rPr>
          <w:rFonts w:ascii="Arial" w:cs="Arial" w:eastAsia="Arial" w:hAnsi="Arial"/>
          <w:sz w:val="19"/>
          <w:szCs w:val="19"/>
          <w:color w:val="313131"/>
        </w:rPr>
        <w:t>$300,000 per year, to be reviewed annually. You will also be eligible for a target annual bonus of 50% of your base salary. Your bonus for 2020 will be pro-rated based on your start date and your payout has a minimum guarantee of one-half the pro-rated amount.</w:t>
      </w:r>
    </w:p>
    <w:p>
      <w:pPr>
        <w:spacing w:after="0" w:line="183" w:lineRule="exact"/>
        <w:rPr>
          <w:sz w:val="20"/>
          <w:szCs w:val="20"/>
          <w:color w:val="auto"/>
        </w:rPr>
      </w:pPr>
    </w:p>
    <w:p>
      <w:pPr>
        <w:jc w:val="both"/>
        <w:ind w:left="920" w:right="519" w:hanging="1"/>
        <w:spacing w:after="0" w:line="279" w:lineRule="auto"/>
        <w:rPr>
          <w:sz w:val="20"/>
          <w:szCs w:val="20"/>
          <w:color w:val="auto"/>
        </w:rPr>
      </w:pPr>
      <w:r>
        <w:rPr>
          <w:rFonts w:ascii="Arial" w:cs="Arial" w:eastAsia="Arial" w:hAnsi="Arial"/>
          <w:sz w:val="18"/>
          <w:szCs w:val="18"/>
          <w:color w:val="313131"/>
        </w:rPr>
        <w:t xml:space="preserve">You will be granted an incentive stock option and RSU pursuant to the Company's 2016 Equity Incentive Plan (the </w:t>
      </w:r>
      <w:r>
        <w:rPr>
          <w:rFonts w:ascii="Arial" w:cs="Arial" w:eastAsia="Arial" w:hAnsi="Arial"/>
          <w:sz w:val="18"/>
          <w:szCs w:val="18"/>
          <w:i w:val="1"/>
          <w:iCs w:val="1"/>
          <w:color w:val="313131"/>
        </w:rPr>
        <w:t>"Plan").</w:t>
      </w:r>
      <w:r>
        <w:rPr>
          <w:rFonts w:ascii="Arial" w:cs="Arial" w:eastAsia="Arial" w:hAnsi="Arial"/>
          <w:sz w:val="18"/>
          <w:szCs w:val="18"/>
          <w:color w:val="313131"/>
        </w:rPr>
        <w:t xml:space="preserve"> We will recommend to the Board for their approval as soon as possible after your start date that you are granted an incentive stock option exercisable for 50,000 shares (the </w:t>
      </w:r>
      <w:r>
        <w:rPr>
          <w:rFonts w:ascii="Arial" w:cs="Arial" w:eastAsia="Arial" w:hAnsi="Arial"/>
          <w:sz w:val="18"/>
          <w:szCs w:val="18"/>
          <w:i w:val="1"/>
          <w:iCs w:val="1"/>
          <w:color w:val="313131"/>
        </w:rPr>
        <w:t xml:space="preserve">"Option") </w:t>
      </w:r>
      <w:r>
        <w:rPr>
          <w:rFonts w:ascii="Arial" w:cs="Arial" w:eastAsia="Arial" w:hAnsi="Arial"/>
          <w:sz w:val="17"/>
          <w:szCs w:val="17"/>
          <w:color w:val="313131"/>
        </w:rPr>
        <w:t>and an RSU for 50,000 of stock (the</w:t>
      </w:r>
      <w:r>
        <w:rPr>
          <w:rFonts w:ascii="Arial" w:cs="Arial" w:eastAsia="Arial" w:hAnsi="Arial"/>
          <w:sz w:val="18"/>
          <w:szCs w:val="18"/>
          <w:i w:val="1"/>
          <w:iCs w:val="1"/>
          <w:color w:val="313131"/>
        </w:rPr>
        <w:t xml:space="preserve"> "RSU'). </w:t>
      </w:r>
      <w:r>
        <w:rPr>
          <w:rFonts w:ascii="Arial" w:cs="Arial" w:eastAsia="Arial" w:hAnsi="Arial"/>
          <w:sz w:val="17"/>
          <w:szCs w:val="17"/>
          <w:color w:val="313131"/>
        </w:rPr>
        <w:t>The Option shall vest over four years with</w:t>
      </w:r>
      <w:r>
        <w:rPr>
          <w:rFonts w:ascii="Arial" w:cs="Arial" w:eastAsia="Arial" w:hAnsi="Arial"/>
          <w:sz w:val="18"/>
          <w:szCs w:val="18"/>
          <w:i w:val="1"/>
          <w:iCs w:val="1"/>
          <w:color w:val="313131"/>
        </w:rPr>
        <w:t xml:space="preserve"> </w:t>
      </w:r>
      <w:r>
        <w:rPr>
          <w:rFonts w:ascii="Arial" w:cs="Arial" w:eastAsia="Arial" w:hAnsi="Arial"/>
          <w:sz w:val="17"/>
          <w:szCs w:val="17"/>
          <w:color w:val="313131"/>
        </w:rPr>
        <w:t>25% vesting on the one-year anniversary of your start date and the remainder vesting monthly thereafter. The exercise price of your Option shall be equal to the fair market value of the Common Stock on the date of grant. The RSU shall vest over four years in four annual tranches of 25% each. In the event of a Change in Control (as defined in your Option and RSU grants) you shall be entitled to twelve months of acceleration upon terms and conditions consistent those granted to the other members of the Company's executive team. The complete terms and conditions of your Option and RSU will be as set forth in the Plan, the stock option agreement and RSU grant notice provided by the Company. Subject to your continued service, you will be eligible for additional equity grants in the future in the Board's discretion.</w:t>
      </w:r>
    </w:p>
    <w:p>
      <w:pPr>
        <w:spacing w:after="0" w:line="192" w:lineRule="exact"/>
        <w:rPr>
          <w:sz w:val="20"/>
          <w:szCs w:val="20"/>
          <w:color w:val="auto"/>
        </w:rPr>
      </w:pPr>
    </w:p>
    <w:p>
      <w:pPr>
        <w:jc w:val="both"/>
        <w:ind w:left="920" w:right="519" w:hanging="3"/>
        <w:spacing w:after="0" w:line="309" w:lineRule="auto"/>
        <w:rPr>
          <w:sz w:val="20"/>
          <w:szCs w:val="20"/>
          <w:color w:val="auto"/>
        </w:rPr>
      </w:pPr>
      <w:r>
        <w:rPr>
          <w:rFonts w:ascii="Arial" w:cs="Arial" w:eastAsia="Arial" w:hAnsi="Arial"/>
          <w:sz w:val="17"/>
          <w:szCs w:val="17"/>
          <w:color w:val="313131"/>
        </w:rPr>
        <w:t xml:space="preserve">You will also be entitled to the benefits applicable to C-Level executives pursuant to the Company's Executive Change in Control Plan (the </w:t>
      </w:r>
      <w:r>
        <w:rPr>
          <w:rFonts w:ascii="Arial" w:cs="Arial" w:eastAsia="Arial" w:hAnsi="Arial"/>
          <w:sz w:val="17"/>
          <w:szCs w:val="17"/>
          <w:i w:val="1"/>
          <w:iCs w:val="1"/>
          <w:color w:val="313131"/>
        </w:rPr>
        <w:t>"CIC Plan").</w:t>
      </w:r>
      <w:r>
        <w:rPr>
          <w:rFonts w:ascii="Arial" w:cs="Arial" w:eastAsia="Arial" w:hAnsi="Arial"/>
          <w:sz w:val="17"/>
          <w:szCs w:val="17"/>
          <w:color w:val="313131"/>
        </w:rPr>
        <w:t xml:space="preserve"> The complete terms and conditions of your benefits will be as set forth in the CIC Plan and the participation notice provided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60"/>
        <w:spacing w:after="0"/>
        <w:rPr>
          <w:sz w:val="20"/>
          <w:szCs w:val="20"/>
          <w:color w:val="auto"/>
        </w:rPr>
      </w:pPr>
      <w:r>
        <w:rPr>
          <w:rFonts w:ascii="Arial" w:cs="Arial" w:eastAsia="Arial" w:hAnsi="Arial"/>
          <w:sz w:val="13"/>
          <w:szCs w:val="13"/>
          <w:color w:val="313131"/>
        </w:rPr>
        <w:t>226074510 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351155</wp:posOffset>
            </wp:positionV>
            <wp:extent cx="536638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4">
                      <a:extLst>
                        <a:ext uri="{28A0092B-C50C-407E-A947-70E740481C1C}"/>
                      </a:extLst>
                    </a:blip>
                    <a:srcRect/>
                    <a:stretch>
                      <a:fillRect/>
                    </a:stretch>
                  </pic:blipFill>
                  <pic:spPr bwMode="auto">
                    <a:xfrm>
                      <a:off x="0" y="0"/>
                      <a:ext cx="5366385" cy="17145"/>
                    </a:xfrm>
                    <a:prstGeom prst="rect">
                      <a:avLst/>
                    </a:prstGeom>
                    <a:noFill/>
                  </pic:spPr>
                </pic:pic>
              </a:graphicData>
            </a:graphic>
          </wp:anchor>
        </w:drawing>
      </w:r>
    </w:p>
    <w:p>
      <w:pPr>
        <w:sectPr>
          <w:pgSz w:w="11900" w:h="16838" w:orient="portrait"/>
          <w:cols w:equalWidth="0" w:num="1">
            <w:col w:w="9019"/>
          </w:cols>
          <w:pgMar w:left="1440" w:top="1310" w:right="1440" w:bottom="1440" w:gutter="0" w:footer="0" w:header="0"/>
        </w:sectPr>
      </w:pPr>
    </w:p>
    <w:bookmarkStart w:id="58" w:name="page59"/>
    <w:bookmarkEnd w:id="58"/>
    <w:p>
      <w:pPr>
        <w:jc w:val="both"/>
        <w:ind w:left="940" w:right="339" w:firstLine="1"/>
        <w:spacing w:after="0" w:line="264" w:lineRule="auto"/>
        <w:rPr>
          <w:sz w:val="20"/>
          <w:szCs w:val="20"/>
          <w:color w:val="auto"/>
        </w:rPr>
      </w:pPr>
      <w:r>
        <w:rPr>
          <w:rFonts w:ascii="Arial" w:cs="Arial" w:eastAsia="Arial" w:hAnsi="Arial"/>
          <w:sz w:val="19"/>
          <w:szCs w:val="19"/>
          <w:color w:val="312F31"/>
        </w:rPr>
        <w:t>As a regular employee of the Company you will also be eligible to participate in a number of Company-sponsored benefits (customarily available to executive employees), which will be provided to you.</w:t>
      </w:r>
    </w:p>
    <w:p>
      <w:pPr>
        <w:spacing w:after="0" w:line="204" w:lineRule="exact"/>
        <w:rPr>
          <w:sz w:val="20"/>
          <w:szCs w:val="20"/>
          <w:color w:val="auto"/>
        </w:rPr>
      </w:pPr>
    </w:p>
    <w:p>
      <w:pPr>
        <w:jc w:val="both"/>
        <w:ind w:left="940" w:right="339" w:hanging="321"/>
        <w:spacing w:after="0" w:line="267" w:lineRule="auto"/>
        <w:tabs>
          <w:tab w:leader="none" w:pos="934" w:val="left"/>
        </w:tabs>
        <w:numPr>
          <w:ilvl w:val="0"/>
          <w:numId w:val="27"/>
        </w:numPr>
        <w:rPr>
          <w:rFonts w:ascii="Arial" w:cs="Arial" w:eastAsia="Arial" w:hAnsi="Arial"/>
          <w:sz w:val="19"/>
          <w:szCs w:val="19"/>
          <w:color w:val="312F31"/>
        </w:rPr>
      </w:pPr>
      <w:r>
        <w:rPr>
          <w:rFonts w:ascii="Arial" w:cs="Arial" w:eastAsia="Arial" w:hAnsi="Arial"/>
          <w:sz w:val="19"/>
          <w:szCs w:val="19"/>
          <w:b w:val="1"/>
          <w:bCs w:val="1"/>
          <w:color w:val="312F31"/>
        </w:rPr>
        <w:t xml:space="preserve">Sign-on Bonus. </w:t>
      </w:r>
      <w:r>
        <w:rPr>
          <w:rFonts w:ascii="Arial" w:cs="Arial" w:eastAsia="Arial" w:hAnsi="Arial"/>
          <w:sz w:val="19"/>
          <w:szCs w:val="19"/>
          <w:color w:val="312F31"/>
        </w:rPr>
        <w:t>You will receive a sign-on bonus of $30,000, which will be paid during your first pay</w:t>
      </w:r>
      <w:r>
        <w:rPr>
          <w:rFonts w:ascii="Arial" w:cs="Arial" w:eastAsia="Arial" w:hAnsi="Arial"/>
          <w:sz w:val="19"/>
          <w:szCs w:val="19"/>
          <w:b w:val="1"/>
          <w:bCs w:val="1"/>
          <w:color w:val="312F31"/>
        </w:rPr>
        <w:t xml:space="preserve"> </w:t>
      </w:r>
      <w:r>
        <w:rPr>
          <w:rFonts w:ascii="Arial" w:cs="Arial" w:eastAsia="Arial" w:hAnsi="Arial"/>
          <w:sz w:val="19"/>
          <w:szCs w:val="19"/>
          <w:color w:val="312F31"/>
        </w:rPr>
        <w:t>period after you start. Should you voluntarily vacate your position within a one-year period, you will be required to refund the Company the $30,000 bonus in full.</w:t>
      </w:r>
    </w:p>
    <w:p>
      <w:pPr>
        <w:spacing w:after="0" w:line="175" w:lineRule="exact"/>
        <w:rPr>
          <w:rFonts w:ascii="Arial" w:cs="Arial" w:eastAsia="Arial" w:hAnsi="Arial"/>
          <w:sz w:val="19"/>
          <w:szCs w:val="19"/>
          <w:color w:val="312F31"/>
        </w:rPr>
      </w:pPr>
    </w:p>
    <w:p>
      <w:pPr>
        <w:jc w:val="both"/>
        <w:ind w:left="920" w:right="359" w:hanging="306"/>
        <w:spacing w:after="0" w:line="252" w:lineRule="auto"/>
        <w:tabs>
          <w:tab w:leader="none" w:pos="920" w:val="left"/>
        </w:tabs>
        <w:numPr>
          <w:ilvl w:val="0"/>
          <w:numId w:val="27"/>
        </w:numPr>
        <w:rPr>
          <w:rFonts w:ascii="Arial" w:cs="Arial" w:eastAsia="Arial" w:hAnsi="Arial"/>
          <w:sz w:val="19"/>
          <w:szCs w:val="19"/>
          <w:color w:val="312F31"/>
        </w:rPr>
      </w:pPr>
      <w:r>
        <w:rPr>
          <w:rFonts w:ascii="Arial" w:cs="Arial" w:eastAsia="Arial" w:hAnsi="Arial"/>
          <w:sz w:val="19"/>
          <w:szCs w:val="19"/>
          <w:b w:val="1"/>
          <w:bCs w:val="1"/>
          <w:color w:val="312F31"/>
        </w:rPr>
        <w:t xml:space="preserve">Confidential Information and Invention Assignment Agreement. </w:t>
      </w:r>
      <w:r>
        <w:rPr>
          <w:rFonts w:ascii="Arial" w:cs="Arial" w:eastAsia="Arial" w:hAnsi="Arial"/>
          <w:sz w:val="19"/>
          <w:szCs w:val="19"/>
          <w:color w:val="312F31"/>
        </w:rPr>
        <w:t>You will be required, as a</w:t>
      </w:r>
      <w:r>
        <w:rPr>
          <w:rFonts w:ascii="Arial" w:cs="Arial" w:eastAsia="Arial" w:hAnsi="Arial"/>
          <w:sz w:val="19"/>
          <w:szCs w:val="19"/>
          <w:b w:val="1"/>
          <w:bCs w:val="1"/>
          <w:color w:val="312F31"/>
        </w:rPr>
        <w:t xml:space="preserve"> </w:t>
      </w:r>
      <w:r>
        <w:rPr>
          <w:rFonts w:ascii="Arial" w:cs="Arial" w:eastAsia="Arial" w:hAnsi="Arial"/>
          <w:sz w:val="19"/>
          <w:szCs w:val="19"/>
          <w:color w:val="312F31"/>
        </w:rPr>
        <w:t>condition of your serving as the CFO, to sign the Company's standard confidential information and invention assignment agreement.</w:t>
      </w:r>
    </w:p>
    <w:p>
      <w:pPr>
        <w:spacing w:after="0" w:line="229" w:lineRule="exact"/>
        <w:rPr>
          <w:rFonts w:ascii="Arial" w:cs="Arial" w:eastAsia="Arial" w:hAnsi="Arial"/>
          <w:sz w:val="19"/>
          <w:szCs w:val="19"/>
          <w:color w:val="312F31"/>
        </w:rPr>
      </w:pPr>
    </w:p>
    <w:p>
      <w:pPr>
        <w:jc w:val="both"/>
        <w:ind w:left="940" w:right="339" w:hanging="309"/>
        <w:spacing w:after="0" w:line="313" w:lineRule="auto"/>
        <w:tabs>
          <w:tab w:leader="none" w:pos="939" w:val="left"/>
        </w:tabs>
        <w:numPr>
          <w:ilvl w:val="1"/>
          <w:numId w:val="27"/>
        </w:numPr>
        <w:rPr>
          <w:rFonts w:ascii="Arial" w:cs="Arial" w:eastAsia="Arial" w:hAnsi="Arial"/>
          <w:sz w:val="17"/>
          <w:szCs w:val="17"/>
          <w:color w:val="312F31"/>
        </w:rPr>
      </w:pPr>
      <w:r>
        <w:rPr>
          <w:rFonts w:ascii="Arial" w:cs="Arial" w:eastAsia="Arial" w:hAnsi="Arial"/>
          <w:sz w:val="17"/>
          <w:szCs w:val="17"/>
          <w:b w:val="1"/>
          <w:bCs w:val="1"/>
          <w:color w:val="312F31"/>
        </w:rPr>
        <w:t xml:space="preserve">Relationship. </w:t>
      </w:r>
      <w:r>
        <w:rPr>
          <w:rFonts w:ascii="Arial" w:cs="Arial" w:eastAsia="Arial" w:hAnsi="Arial"/>
          <w:sz w:val="17"/>
          <w:szCs w:val="17"/>
          <w:color w:val="312F31"/>
        </w:rPr>
        <w:t>The arrangement with the Company is for no specific period of time. Your agreement</w:t>
      </w:r>
      <w:r>
        <w:rPr>
          <w:rFonts w:ascii="Arial" w:cs="Arial" w:eastAsia="Arial" w:hAnsi="Arial"/>
          <w:sz w:val="17"/>
          <w:szCs w:val="17"/>
          <w:b w:val="1"/>
          <w:bCs w:val="1"/>
          <w:color w:val="312F31"/>
        </w:rPr>
        <w:t xml:space="preserve"> </w:t>
      </w:r>
      <w:r>
        <w:rPr>
          <w:rFonts w:ascii="Arial" w:cs="Arial" w:eastAsia="Arial" w:hAnsi="Arial"/>
          <w:sz w:val="17"/>
          <w:szCs w:val="17"/>
          <w:color w:val="312F31"/>
        </w:rPr>
        <w:t>with the Company will be "at will," meaning that either you or the Company may terminate at any time and for any reason, with or without cause, upon 30 days prior written notice.</w:t>
      </w:r>
    </w:p>
    <w:p>
      <w:pPr>
        <w:spacing w:after="0" w:line="139" w:lineRule="exact"/>
        <w:rPr>
          <w:rFonts w:ascii="Arial" w:cs="Arial" w:eastAsia="Arial" w:hAnsi="Arial"/>
          <w:sz w:val="17"/>
          <w:szCs w:val="17"/>
          <w:color w:val="312F31"/>
        </w:rPr>
      </w:pPr>
    </w:p>
    <w:p>
      <w:pPr>
        <w:ind w:left="940" w:right="339" w:hanging="313"/>
        <w:spacing w:after="0" w:line="282" w:lineRule="auto"/>
        <w:tabs>
          <w:tab w:leader="none" w:pos="940" w:val="left"/>
        </w:tabs>
        <w:numPr>
          <w:ilvl w:val="1"/>
          <w:numId w:val="27"/>
        </w:numPr>
        <w:rPr>
          <w:rFonts w:ascii="Arial" w:cs="Arial" w:eastAsia="Arial" w:hAnsi="Arial"/>
          <w:sz w:val="19"/>
          <w:szCs w:val="19"/>
          <w:color w:val="312F31"/>
        </w:rPr>
      </w:pPr>
      <w:r>
        <w:rPr>
          <w:rFonts w:ascii="Arial" w:cs="Arial" w:eastAsia="Arial" w:hAnsi="Arial"/>
          <w:sz w:val="19"/>
          <w:szCs w:val="19"/>
          <w:b w:val="1"/>
          <w:bCs w:val="1"/>
          <w:color w:val="312F31"/>
        </w:rPr>
        <w:t xml:space="preserve">Withholding Taxes. </w:t>
      </w:r>
      <w:r>
        <w:rPr>
          <w:rFonts w:ascii="Arial" w:cs="Arial" w:eastAsia="Arial" w:hAnsi="Arial"/>
          <w:sz w:val="19"/>
          <w:szCs w:val="19"/>
          <w:color w:val="312F31"/>
        </w:rPr>
        <w:t>All forms of compensation referred to in this letter are subject to applicable</w:t>
      </w:r>
      <w:r>
        <w:rPr>
          <w:rFonts w:ascii="Arial" w:cs="Arial" w:eastAsia="Arial" w:hAnsi="Arial"/>
          <w:sz w:val="19"/>
          <w:szCs w:val="19"/>
          <w:b w:val="1"/>
          <w:bCs w:val="1"/>
          <w:color w:val="312F31"/>
        </w:rPr>
        <w:t xml:space="preserve"> </w:t>
      </w:r>
      <w:r>
        <w:rPr>
          <w:rFonts w:ascii="Arial" w:cs="Arial" w:eastAsia="Arial" w:hAnsi="Arial"/>
          <w:sz w:val="19"/>
          <w:szCs w:val="19"/>
          <w:color w:val="312F31"/>
        </w:rPr>
        <w:t>withholding and payroll taxes.</w:t>
      </w:r>
    </w:p>
    <w:p>
      <w:pPr>
        <w:spacing w:after="0" w:line="215" w:lineRule="exact"/>
        <w:rPr>
          <w:rFonts w:ascii="Arial" w:cs="Arial" w:eastAsia="Arial" w:hAnsi="Arial"/>
          <w:sz w:val="19"/>
          <w:szCs w:val="19"/>
          <w:color w:val="312F31"/>
        </w:rPr>
      </w:pPr>
    </w:p>
    <w:p>
      <w:pPr>
        <w:jc w:val="both"/>
        <w:ind w:left="940" w:right="319" w:hanging="313"/>
        <w:spacing w:after="0" w:line="267" w:lineRule="auto"/>
        <w:tabs>
          <w:tab w:leader="none" w:pos="940" w:val="left"/>
        </w:tabs>
        <w:numPr>
          <w:ilvl w:val="1"/>
          <w:numId w:val="27"/>
        </w:numPr>
        <w:rPr>
          <w:rFonts w:ascii="Arial" w:cs="Arial" w:eastAsia="Arial" w:hAnsi="Arial"/>
          <w:sz w:val="19"/>
          <w:szCs w:val="19"/>
          <w:color w:val="312F31"/>
        </w:rPr>
      </w:pPr>
      <w:r>
        <w:rPr>
          <w:rFonts w:ascii="Arial" w:cs="Arial" w:eastAsia="Arial" w:hAnsi="Arial"/>
          <w:sz w:val="19"/>
          <w:szCs w:val="19"/>
          <w:b w:val="1"/>
          <w:bCs w:val="1"/>
          <w:color w:val="312F31"/>
        </w:rPr>
        <w:t xml:space="preserve">Entire Agreement. </w:t>
      </w:r>
      <w:r>
        <w:rPr>
          <w:rFonts w:ascii="Arial" w:cs="Arial" w:eastAsia="Arial" w:hAnsi="Arial"/>
          <w:sz w:val="19"/>
          <w:szCs w:val="19"/>
          <w:color w:val="312F31"/>
        </w:rPr>
        <w:t>This letter supersedes and replaces any prior understandings or agreements,</w:t>
      </w:r>
      <w:r>
        <w:rPr>
          <w:rFonts w:ascii="Arial" w:cs="Arial" w:eastAsia="Arial" w:hAnsi="Arial"/>
          <w:sz w:val="19"/>
          <w:szCs w:val="19"/>
          <w:b w:val="1"/>
          <w:bCs w:val="1"/>
          <w:color w:val="312F31"/>
        </w:rPr>
        <w:t xml:space="preserve"> </w:t>
      </w:r>
      <w:r>
        <w:rPr>
          <w:rFonts w:ascii="Arial" w:cs="Arial" w:eastAsia="Arial" w:hAnsi="Arial"/>
          <w:sz w:val="19"/>
          <w:szCs w:val="19"/>
          <w:color w:val="312F31"/>
        </w:rPr>
        <w:t>whether oral, written or implied, between you and the Company regarding the matters described in this letter.</w:t>
      </w:r>
    </w:p>
    <w:p>
      <w:pPr>
        <w:spacing w:after="0" w:line="249" w:lineRule="exact"/>
        <w:rPr>
          <w:sz w:val="20"/>
          <w:szCs w:val="20"/>
          <w:color w:val="auto"/>
        </w:rPr>
      </w:pPr>
    </w:p>
    <w:p>
      <w:pPr>
        <w:jc w:val="both"/>
        <w:ind w:left="600" w:right="319" w:hanging="3"/>
        <w:spacing w:after="0" w:line="302" w:lineRule="auto"/>
        <w:rPr>
          <w:sz w:val="20"/>
          <w:szCs w:val="20"/>
          <w:color w:val="auto"/>
        </w:rPr>
      </w:pPr>
      <w:r>
        <w:rPr>
          <w:rFonts w:ascii="Arial" w:cs="Arial" w:eastAsia="Arial" w:hAnsi="Arial"/>
          <w:sz w:val="19"/>
          <w:szCs w:val="19"/>
          <w:color w:val="312F31"/>
        </w:rPr>
        <w:t>If you wish to accept this offer, please sign and date and return them to me. As required, by law, your agreement with the Company is also contingent upon your providing legal proof of your identity and authorization to work in the United States as well as providing any necessary tax identification documentation the Company may request. This offer, if not accepted, will expire at the close of business on June 15, 2020.</w:t>
      </w:r>
    </w:p>
    <w:p>
      <w:pPr>
        <w:spacing w:after="0" w:line="200" w:lineRule="exact"/>
        <w:rPr>
          <w:sz w:val="20"/>
          <w:szCs w:val="20"/>
          <w:color w:val="auto"/>
        </w:rPr>
      </w:pPr>
    </w:p>
    <w:p>
      <w:pPr>
        <w:spacing w:after="0" w:line="207" w:lineRule="exact"/>
        <w:rPr>
          <w:sz w:val="20"/>
          <w:szCs w:val="20"/>
          <w:color w:val="auto"/>
        </w:rPr>
      </w:pPr>
    </w:p>
    <w:p>
      <w:pPr>
        <w:ind w:left="600"/>
        <w:spacing w:after="0"/>
        <w:rPr>
          <w:sz w:val="20"/>
          <w:szCs w:val="20"/>
          <w:color w:val="auto"/>
        </w:rPr>
      </w:pPr>
      <w:r>
        <w:rPr>
          <w:rFonts w:ascii="Arial" w:cs="Arial" w:eastAsia="Arial" w:hAnsi="Arial"/>
          <w:sz w:val="19"/>
          <w:szCs w:val="19"/>
          <w:color w:val="312F31"/>
        </w:rPr>
        <w:t>With the formalities covered, we are thrilled you are joining the team. Very truly</w:t>
      </w:r>
    </w:p>
    <w:p>
      <w:pPr>
        <w:spacing w:after="0" w:line="335" w:lineRule="exact"/>
        <w:rPr>
          <w:sz w:val="20"/>
          <w:szCs w:val="20"/>
          <w:color w:val="auto"/>
        </w:rPr>
      </w:pPr>
    </w:p>
    <w:p>
      <w:pPr>
        <w:ind w:left="600"/>
        <w:spacing w:after="0"/>
        <w:rPr>
          <w:sz w:val="20"/>
          <w:szCs w:val="20"/>
          <w:color w:val="auto"/>
        </w:rPr>
      </w:pPr>
      <w:r>
        <w:rPr>
          <w:rFonts w:ascii="Arial" w:cs="Arial" w:eastAsia="Arial" w:hAnsi="Arial"/>
          <w:sz w:val="19"/>
          <w:szCs w:val="19"/>
          <w:color w:val="312F31"/>
        </w:rPr>
        <w:t>yours,</w:t>
      </w:r>
    </w:p>
    <w:p>
      <w:pPr>
        <w:spacing w:after="0" w:line="160" w:lineRule="exact"/>
        <w:rPr>
          <w:sz w:val="20"/>
          <w:szCs w:val="20"/>
          <w:color w:val="auto"/>
        </w:rPr>
      </w:pPr>
    </w:p>
    <w:p>
      <w:pPr>
        <w:ind w:left="600"/>
        <w:spacing w:after="0"/>
        <w:rPr>
          <w:sz w:val="20"/>
          <w:szCs w:val="20"/>
          <w:color w:val="auto"/>
        </w:rPr>
      </w:pPr>
      <w:r>
        <w:rPr>
          <w:rFonts w:ascii="Arial" w:cs="Arial" w:eastAsia="Arial" w:hAnsi="Arial"/>
          <w:sz w:val="19"/>
          <w:szCs w:val="19"/>
          <w:color w:val="312F31"/>
        </w:rPr>
        <w:t>Everspin Technologies, Inc.</w:t>
      </w:r>
    </w:p>
    <w:p>
      <w:pPr>
        <w:spacing w:after="0" w:line="200" w:lineRule="exact"/>
        <w:rPr>
          <w:sz w:val="20"/>
          <w:szCs w:val="20"/>
          <w:color w:val="auto"/>
        </w:rPr>
      </w:pPr>
    </w:p>
    <w:p>
      <w:pPr>
        <w:spacing w:after="0" w:line="257" w:lineRule="exact"/>
        <w:rPr>
          <w:sz w:val="20"/>
          <w:szCs w:val="20"/>
          <w:color w:val="auto"/>
        </w:rPr>
      </w:pPr>
    </w:p>
    <w:p>
      <w:pPr>
        <w:ind w:left="580"/>
        <w:spacing w:after="0"/>
        <w:rPr>
          <w:sz w:val="20"/>
          <w:szCs w:val="20"/>
          <w:color w:val="auto"/>
        </w:rPr>
      </w:pPr>
      <w:r>
        <w:rPr>
          <w:rFonts w:ascii="Arial" w:cs="Arial" w:eastAsia="Arial" w:hAnsi="Arial"/>
          <w:sz w:val="19"/>
          <w:szCs w:val="19"/>
          <w:color w:val="312F31"/>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-12700</wp:posOffset>
            </wp:positionV>
            <wp:extent cx="125984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5">
                      <a:extLst>
                        <a:ext uri="{28A0092B-C50C-407E-A947-70E740481C1C}"/>
                      </a:extLst>
                    </a:blip>
                    <a:srcRect/>
                    <a:stretch>
                      <a:fillRect/>
                    </a:stretch>
                  </pic:blipFill>
                  <pic:spPr bwMode="auto">
                    <a:xfrm>
                      <a:off x="0" y="0"/>
                      <a:ext cx="1259840" cy="8890"/>
                    </a:xfrm>
                    <a:prstGeom prst="rect">
                      <a:avLst/>
                    </a:prstGeom>
                    <a:noFill/>
                  </pic:spPr>
                </pic:pic>
              </a:graphicData>
            </a:graphic>
          </wp:anchor>
        </w:drawing>
      </w:r>
    </w:p>
    <w:p>
      <w:pPr>
        <w:spacing w:after="0" w:line="4" w:lineRule="exact"/>
        <w:rPr>
          <w:sz w:val="20"/>
          <w:szCs w:val="20"/>
          <w:color w:val="auto"/>
        </w:rPr>
      </w:pPr>
    </w:p>
    <w:p>
      <w:pPr>
        <w:ind w:left="620"/>
        <w:spacing w:after="0"/>
        <w:rPr>
          <w:sz w:val="20"/>
          <w:szCs w:val="20"/>
          <w:color w:val="auto"/>
        </w:rPr>
      </w:pPr>
      <w:r>
        <w:rPr>
          <w:rFonts w:ascii="Arial" w:cs="Arial" w:eastAsia="Arial" w:hAnsi="Arial"/>
          <w:sz w:val="19"/>
          <w:szCs w:val="19"/>
          <w:color w:val="312F31"/>
        </w:rPr>
        <w:t>Name: Kevin Conley</w:t>
      </w:r>
    </w:p>
    <w:p>
      <w:pPr>
        <w:spacing w:after="0" w:line="119" w:lineRule="exact"/>
        <w:rPr>
          <w:sz w:val="20"/>
          <w:szCs w:val="20"/>
          <w:color w:val="auto"/>
        </w:rPr>
      </w:pPr>
    </w:p>
    <w:p>
      <w:pPr>
        <w:ind w:left="620"/>
        <w:spacing w:after="0"/>
        <w:rPr>
          <w:sz w:val="20"/>
          <w:szCs w:val="20"/>
          <w:color w:val="auto"/>
        </w:rPr>
      </w:pPr>
      <w:r>
        <w:rPr>
          <w:rFonts w:ascii="Arial" w:cs="Arial" w:eastAsia="Arial" w:hAnsi="Arial"/>
          <w:sz w:val="19"/>
          <w:szCs w:val="19"/>
          <w:color w:val="312F31"/>
        </w:rPr>
        <w:t>Title: Chief Executive Officer</w:t>
      </w:r>
    </w:p>
    <w:p>
      <w:pPr>
        <w:spacing w:after="0" w:line="295" w:lineRule="exact"/>
        <w:rPr>
          <w:sz w:val="20"/>
          <w:szCs w:val="20"/>
          <w:color w:val="auto"/>
        </w:rPr>
      </w:pPr>
    </w:p>
    <w:p>
      <w:pPr>
        <w:ind w:left="620"/>
        <w:spacing w:after="0"/>
        <w:rPr>
          <w:sz w:val="20"/>
          <w:szCs w:val="20"/>
          <w:color w:val="auto"/>
        </w:rPr>
      </w:pPr>
      <w:r>
        <w:rPr>
          <w:rFonts w:ascii="Arial" w:cs="Arial" w:eastAsia="Arial" w:hAnsi="Arial"/>
          <w:sz w:val="19"/>
          <w:szCs w:val="19"/>
          <w:color w:val="312F31"/>
        </w:rPr>
        <w:t xml:space="preserve">ACCEPTED </w:t>
      </w:r>
      <w:r>
        <w:rPr>
          <w:rFonts w:ascii="Arial" w:cs="Arial" w:eastAsia="Arial" w:hAnsi="Arial"/>
          <w:sz w:val="19"/>
          <w:szCs w:val="19"/>
          <w:color w:val="464444"/>
        </w:rPr>
        <w:t>AND AGREED</w:t>
      </w:r>
    </w:p>
    <w:p>
      <w:pPr>
        <w:spacing w:after="0" w:line="200" w:lineRule="exact"/>
        <w:rPr>
          <w:sz w:val="20"/>
          <w:szCs w:val="20"/>
          <w:color w:val="auto"/>
        </w:rPr>
      </w:pPr>
    </w:p>
    <w:p>
      <w:pPr>
        <w:spacing w:after="0" w:line="297" w:lineRule="exact"/>
        <w:rPr>
          <w:sz w:val="20"/>
          <w:szCs w:val="20"/>
          <w:color w:val="auto"/>
        </w:rPr>
      </w:pPr>
    </w:p>
    <w:p>
      <w:pPr>
        <w:ind w:left="620"/>
        <w:spacing w:after="0"/>
        <w:rPr>
          <w:sz w:val="20"/>
          <w:szCs w:val="20"/>
          <w:color w:val="auto"/>
        </w:rPr>
      </w:pPr>
      <w:r>
        <w:rPr>
          <w:rFonts w:ascii="Arial" w:cs="Arial" w:eastAsia="Arial" w:hAnsi="Arial"/>
          <w:sz w:val="19"/>
          <w:szCs w:val="19"/>
          <w:color w:val="312F31"/>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564515</wp:posOffset>
            </wp:positionH>
            <wp:positionV relativeFrom="paragraph">
              <wp:posOffset>-12700</wp:posOffset>
            </wp:positionV>
            <wp:extent cx="125984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6">
                      <a:extLst>
                        <a:ext uri="{28A0092B-C50C-407E-A947-70E740481C1C}"/>
                      </a:extLst>
                    </a:blip>
                    <a:srcRect/>
                    <a:stretch>
                      <a:fillRect/>
                    </a:stretch>
                  </pic:blipFill>
                  <pic:spPr bwMode="auto">
                    <a:xfrm>
                      <a:off x="0" y="0"/>
                      <a:ext cx="1259840" cy="8255"/>
                    </a:xfrm>
                    <a:prstGeom prst="rect">
                      <a:avLst/>
                    </a:prstGeom>
                    <a:noFill/>
                  </pic:spPr>
                </pic:pic>
              </a:graphicData>
            </a:graphic>
          </wp:anchor>
        </w:drawing>
      </w:r>
    </w:p>
    <w:p>
      <w:pPr>
        <w:spacing w:after="0" w:line="18" w:lineRule="exact"/>
        <w:rPr>
          <w:sz w:val="20"/>
          <w:szCs w:val="20"/>
          <w:color w:val="auto"/>
        </w:rPr>
      </w:pPr>
    </w:p>
    <w:p>
      <w:pPr>
        <w:ind w:left="620"/>
        <w:spacing w:after="0"/>
        <w:rPr>
          <w:sz w:val="20"/>
          <w:szCs w:val="20"/>
          <w:color w:val="auto"/>
        </w:rPr>
      </w:pPr>
      <w:r>
        <w:rPr>
          <w:rFonts w:ascii="Arial" w:cs="Arial" w:eastAsia="Arial" w:hAnsi="Arial"/>
          <w:sz w:val="19"/>
          <w:szCs w:val="19"/>
          <w:color w:val="312F31"/>
        </w:rPr>
        <w:t xml:space="preserve">Name: Daniel </w:t>
      </w:r>
      <w:r>
        <w:rPr>
          <w:rFonts w:ascii="Arial" w:cs="Arial" w:eastAsia="Arial" w:hAnsi="Arial"/>
          <w:sz w:val="19"/>
          <w:szCs w:val="19"/>
          <w:color w:val="464444"/>
        </w:rPr>
        <w:t>Berenbaum</w:t>
      </w:r>
    </w:p>
    <w:p>
      <w:pPr>
        <w:sectPr>
          <w:pgSz w:w="11900" w:h="16838" w:orient="portrait"/>
          <w:cols w:equalWidth="0" w:num="1">
            <w:col w:w="9019"/>
          </w:cols>
          <w:pgMar w:left="1440" w:top="428" w:right="1440" w:bottom="1440" w:gutter="0" w:footer="0" w:header="0"/>
        </w:sectPr>
      </w:pPr>
    </w:p>
    <w:bookmarkStart w:id="59" w:name="page60"/>
    <w:bookmarkEnd w:id="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1048385</wp:posOffset>
            </wp:positionH>
            <wp:positionV relativeFrom="page">
              <wp:posOffset>8027035</wp:posOffset>
            </wp:positionV>
            <wp:extent cx="545211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jc w:val="right"/>
        <w:spacing w:after="0"/>
        <w:rPr>
          <w:sz w:val="20"/>
          <w:szCs w:val="20"/>
          <w:color w:val="auto"/>
        </w:rPr>
      </w:pPr>
      <w:r>
        <w:rPr>
          <w:rFonts w:ascii="Arial" w:cs="Arial" w:eastAsia="Arial" w:hAnsi="Arial"/>
          <w:sz w:val="20"/>
          <w:szCs w:val="20"/>
          <w:b w:val="1"/>
          <w:bCs w:val="1"/>
          <w:color w:val="auto"/>
        </w:rPr>
        <w:t>Exhibit 10.2</w:t>
      </w:r>
    </w:p>
    <w:p>
      <w:pPr>
        <w:spacing w:after="0" w:line="200" w:lineRule="exact"/>
        <w:rPr>
          <w:sz w:val="20"/>
          <w:szCs w:val="20"/>
          <w:color w:val="auto"/>
        </w:rPr>
      </w:pPr>
    </w:p>
    <w:p>
      <w:pPr>
        <w:spacing w:after="0" w:line="255" w:lineRule="exact"/>
        <w:rPr>
          <w:sz w:val="20"/>
          <w:szCs w:val="20"/>
          <w:color w:val="auto"/>
        </w:rPr>
      </w:pPr>
    </w:p>
    <w:p>
      <w:pPr>
        <w:jc w:val="center"/>
        <w:ind w:right="280"/>
        <w:spacing w:after="0"/>
        <w:rPr>
          <w:sz w:val="20"/>
          <w:szCs w:val="20"/>
          <w:color w:val="auto"/>
        </w:rPr>
      </w:pPr>
      <w:r>
        <w:rPr>
          <w:rFonts w:ascii="Arial" w:cs="Arial" w:eastAsia="Arial" w:hAnsi="Arial"/>
          <w:sz w:val="23"/>
          <w:szCs w:val="23"/>
          <w:color w:val="auto"/>
        </w:rPr>
        <w:t>AMENDMENT NO. 9 TO LEASE</w:t>
      </w:r>
    </w:p>
    <w:p>
      <w:pPr>
        <w:spacing w:after="0" w:line="234" w:lineRule="exact"/>
        <w:rPr>
          <w:sz w:val="20"/>
          <w:szCs w:val="20"/>
          <w:color w:val="auto"/>
        </w:rPr>
      </w:pPr>
    </w:p>
    <w:p>
      <w:pPr>
        <w:jc w:val="both"/>
        <w:ind w:left="200" w:right="680" w:firstLine="647"/>
        <w:spacing w:after="0" w:line="298" w:lineRule="auto"/>
        <w:rPr>
          <w:sz w:val="20"/>
          <w:szCs w:val="20"/>
          <w:color w:val="auto"/>
        </w:rPr>
      </w:pPr>
      <w:r>
        <w:rPr>
          <w:rFonts w:ascii="Arial" w:cs="Arial" w:eastAsia="Arial" w:hAnsi="Arial"/>
          <w:sz w:val="19"/>
          <w:szCs w:val="19"/>
          <w:color w:val="auto"/>
        </w:rPr>
        <w:t xml:space="preserve">This </w:t>
      </w:r>
      <w:r>
        <w:rPr>
          <w:rFonts w:ascii="Arial" w:cs="Arial" w:eastAsia="Arial" w:hAnsi="Arial"/>
          <w:sz w:val="19"/>
          <w:szCs w:val="19"/>
          <w:b w:val="1"/>
          <w:bCs w:val="1"/>
          <w:color w:val="auto"/>
        </w:rPr>
        <w:t>A</w:t>
      </w:r>
      <w:r>
        <w:rPr>
          <w:rFonts w:ascii="Arial" w:cs="Arial" w:eastAsia="Arial" w:hAnsi="Arial"/>
          <w:sz w:val="14"/>
          <w:szCs w:val="14"/>
          <w:b w:val="1"/>
          <w:bCs w:val="1"/>
          <w:color w:val="auto"/>
        </w:rPr>
        <w:t>MENDMENT</w:t>
      </w:r>
      <w:r>
        <w:rPr>
          <w:rFonts w:ascii="Arial" w:cs="Arial" w:eastAsia="Arial" w:hAnsi="Arial"/>
          <w:sz w:val="19"/>
          <w:szCs w:val="19"/>
          <w:color w:val="auto"/>
        </w:rPr>
        <w:t xml:space="preserve"> </w:t>
      </w:r>
      <w:r>
        <w:rPr>
          <w:rFonts w:ascii="Arial" w:cs="Arial" w:eastAsia="Arial" w:hAnsi="Arial"/>
          <w:sz w:val="19"/>
          <w:szCs w:val="19"/>
          <w:b w:val="1"/>
          <w:bCs w:val="1"/>
          <w:color w:val="auto"/>
        </w:rPr>
        <w:t>N</w:t>
      </w:r>
      <w:r>
        <w:rPr>
          <w:rFonts w:ascii="Arial" w:cs="Arial" w:eastAsia="Arial" w:hAnsi="Arial"/>
          <w:sz w:val="14"/>
          <w:szCs w:val="14"/>
          <w:b w:val="1"/>
          <w:bCs w:val="1"/>
          <w:color w:val="auto"/>
        </w:rPr>
        <w:t>O</w:t>
      </w:r>
      <w:r>
        <w:rPr>
          <w:rFonts w:ascii="Arial" w:cs="Arial" w:eastAsia="Arial" w:hAnsi="Arial"/>
          <w:sz w:val="19"/>
          <w:szCs w:val="19"/>
          <w:b w:val="1"/>
          <w:bCs w:val="1"/>
          <w:color w:val="auto"/>
        </w:rPr>
        <w:t>. 9</w:t>
      </w:r>
      <w:r>
        <w:rPr>
          <w:rFonts w:ascii="Arial" w:cs="Arial" w:eastAsia="Arial" w:hAnsi="Arial"/>
          <w:sz w:val="19"/>
          <w:szCs w:val="19"/>
          <w:color w:val="auto"/>
        </w:rPr>
        <w:t xml:space="preserve"> </w:t>
      </w:r>
      <w:r>
        <w:rPr>
          <w:rFonts w:ascii="Arial" w:cs="Arial" w:eastAsia="Arial" w:hAnsi="Arial"/>
          <w:sz w:val="14"/>
          <w:szCs w:val="14"/>
          <w:b w:val="1"/>
          <w:bCs w:val="1"/>
          <w:color w:val="auto"/>
        </w:rPr>
        <w:t>TO</w:t>
      </w:r>
      <w:r>
        <w:rPr>
          <w:rFonts w:ascii="Arial" w:cs="Arial" w:eastAsia="Arial" w:hAnsi="Arial"/>
          <w:sz w:val="19"/>
          <w:szCs w:val="19"/>
          <w:color w:val="auto"/>
        </w:rPr>
        <w:t xml:space="preserve"> </w:t>
      </w:r>
      <w:r>
        <w:rPr>
          <w:rFonts w:ascii="Arial" w:cs="Arial" w:eastAsia="Arial" w:hAnsi="Arial"/>
          <w:sz w:val="19"/>
          <w:szCs w:val="19"/>
          <w:b w:val="1"/>
          <w:bCs w:val="1"/>
          <w:color w:val="auto"/>
        </w:rPr>
        <w:t>L</w:t>
      </w:r>
      <w:r>
        <w:rPr>
          <w:rFonts w:ascii="Arial" w:cs="Arial" w:eastAsia="Arial" w:hAnsi="Arial"/>
          <w:sz w:val="14"/>
          <w:szCs w:val="14"/>
          <w:b w:val="1"/>
          <w:bCs w:val="1"/>
          <w:color w:val="auto"/>
        </w:rPr>
        <w:t>EASE</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Amendment No. 9</w:t>
      </w:r>
      <w:r>
        <w:rPr>
          <w:rFonts w:ascii="Arial" w:cs="Arial" w:eastAsia="Arial" w:hAnsi="Arial"/>
          <w:sz w:val="19"/>
          <w:szCs w:val="19"/>
          <w:color w:val="auto"/>
        </w:rPr>
        <w:t>”), effective as of March 31, 2020, (“</w:t>
      </w:r>
      <w:r>
        <w:rPr>
          <w:rFonts w:ascii="Arial" w:cs="Arial" w:eastAsia="Arial" w:hAnsi="Arial"/>
          <w:sz w:val="19"/>
          <w:szCs w:val="19"/>
          <w:b w:val="1"/>
          <w:bCs w:val="1"/>
          <w:i w:val="1"/>
          <w:iCs w:val="1"/>
          <w:color w:val="auto"/>
        </w:rPr>
        <w:t>Amendment No. 9 Effective Date</w:t>
      </w:r>
      <w:r>
        <w:rPr>
          <w:rFonts w:ascii="Arial" w:cs="Arial" w:eastAsia="Arial" w:hAnsi="Arial"/>
          <w:sz w:val="19"/>
          <w:szCs w:val="19"/>
          <w:color w:val="auto"/>
        </w:rPr>
        <w:t xml:space="preserve">”) is entered into by and between </w:t>
      </w:r>
      <w:r>
        <w:rPr>
          <w:rFonts w:ascii="Arial" w:cs="Arial" w:eastAsia="Arial" w:hAnsi="Arial"/>
          <w:sz w:val="19"/>
          <w:szCs w:val="19"/>
          <w:b w:val="1"/>
          <w:bCs w:val="1"/>
          <w:color w:val="auto"/>
        </w:rPr>
        <w:t>NXP USA, Inc.</w:t>
      </w:r>
      <w:r>
        <w:rPr>
          <w:rFonts w:ascii="Arial" w:cs="Arial" w:eastAsia="Arial" w:hAnsi="Arial"/>
          <w:sz w:val="19"/>
          <w:szCs w:val="19"/>
          <w:color w:val="auto"/>
        </w:rPr>
        <w:t xml:space="preserve"> (formerly FREESCALE SEMICONDUCTOR, INC.), a Delaware corporation and 100% affiliated company of NXP Semiconductors N.V. (“</w:t>
      </w:r>
      <w:r>
        <w:rPr>
          <w:rFonts w:ascii="Arial" w:cs="Arial" w:eastAsia="Arial" w:hAnsi="Arial"/>
          <w:sz w:val="19"/>
          <w:szCs w:val="19"/>
          <w:b w:val="1"/>
          <w:bCs w:val="1"/>
          <w:i w:val="1"/>
          <w:iCs w:val="1"/>
          <w:color w:val="auto"/>
        </w:rPr>
        <w:t>Landlord</w:t>
      </w:r>
      <w:r>
        <w:rPr>
          <w:rFonts w:ascii="Arial" w:cs="Arial" w:eastAsia="Arial" w:hAnsi="Arial"/>
          <w:sz w:val="19"/>
          <w:szCs w:val="19"/>
          <w:i w:val="1"/>
          <w:iCs w:val="1"/>
          <w:color w:val="auto"/>
        </w:rPr>
        <w:t>”</w:t>
      </w:r>
      <w:r>
        <w:rPr>
          <w:rFonts w:ascii="Arial" w:cs="Arial" w:eastAsia="Arial" w:hAnsi="Arial"/>
          <w:sz w:val="19"/>
          <w:szCs w:val="19"/>
          <w:color w:val="auto"/>
        </w:rPr>
        <w:t xml:space="preserve">), and </w:t>
      </w:r>
      <w:r>
        <w:rPr>
          <w:rFonts w:ascii="Arial" w:cs="Arial" w:eastAsia="Arial" w:hAnsi="Arial"/>
          <w:sz w:val="19"/>
          <w:szCs w:val="19"/>
          <w:b w:val="1"/>
          <w:bCs w:val="1"/>
          <w:color w:val="auto"/>
        </w:rPr>
        <w:t>EVERSPIN TECHNOLOGIES, INC.</w:t>
      </w:r>
      <w:r>
        <w:rPr>
          <w:rFonts w:ascii="Arial" w:cs="Arial" w:eastAsia="Arial" w:hAnsi="Arial"/>
          <w:sz w:val="19"/>
          <w:szCs w:val="19"/>
          <w:color w:val="auto"/>
        </w:rPr>
        <w:t>, a Delaware corporation (“</w:t>
      </w:r>
      <w:r>
        <w:rPr>
          <w:rFonts w:ascii="Arial" w:cs="Arial" w:eastAsia="Arial" w:hAnsi="Arial"/>
          <w:sz w:val="19"/>
          <w:szCs w:val="19"/>
          <w:b w:val="1"/>
          <w:bCs w:val="1"/>
          <w:i w:val="1"/>
          <w:iCs w:val="1"/>
          <w:color w:val="auto"/>
        </w:rPr>
        <w:t>Tenant</w:t>
      </w:r>
      <w:r>
        <w:rPr>
          <w:rFonts w:ascii="Arial" w:cs="Arial" w:eastAsia="Arial" w:hAnsi="Arial"/>
          <w:sz w:val="19"/>
          <w:szCs w:val="19"/>
          <w:color w:val="auto"/>
        </w:rPr>
        <w:t>”), with reference to the following facts:</w:t>
      </w:r>
    </w:p>
    <w:p>
      <w:pPr>
        <w:spacing w:after="0" w:line="135" w:lineRule="exact"/>
        <w:rPr>
          <w:sz w:val="20"/>
          <w:szCs w:val="20"/>
          <w:color w:val="auto"/>
        </w:rPr>
      </w:pPr>
    </w:p>
    <w:p>
      <w:pPr>
        <w:jc w:val="both"/>
        <w:ind w:left="200" w:right="680" w:firstLine="656"/>
        <w:spacing w:after="0" w:line="287" w:lineRule="auto"/>
        <w:tabs>
          <w:tab w:leader="none" w:pos="1497" w:val="left"/>
        </w:tabs>
        <w:numPr>
          <w:ilvl w:val="0"/>
          <w:numId w:val="28"/>
        </w:numPr>
        <w:rPr>
          <w:rFonts w:ascii="Arial" w:cs="Arial" w:eastAsia="Arial" w:hAnsi="Arial"/>
          <w:sz w:val="16"/>
          <w:szCs w:val="16"/>
          <w:b w:val="1"/>
          <w:bCs w:val="1"/>
          <w:color w:val="auto"/>
        </w:rPr>
      </w:pPr>
      <w:r>
        <w:rPr>
          <w:rFonts w:ascii="Arial" w:cs="Arial" w:eastAsia="Arial" w:hAnsi="Arial"/>
          <w:sz w:val="19"/>
          <w:szCs w:val="19"/>
          <w:color w:val="auto"/>
        </w:rPr>
        <w:t>Landlord and Tenant are parties to that certain Lease dated as of June 5, 2008 (“</w:t>
      </w:r>
      <w:r>
        <w:rPr>
          <w:rFonts w:ascii="Arial" w:cs="Arial" w:eastAsia="Arial" w:hAnsi="Arial"/>
          <w:sz w:val="19"/>
          <w:szCs w:val="19"/>
          <w:b w:val="1"/>
          <w:bCs w:val="1"/>
          <w:i w:val="1"/>
          <w:iCs w:val="1"/>
          <w:color w:val="auto"/>
        </w:rPr>
        <w:t>Original Lease</w:t>
      </w:r>
      <w:r>
        <w:rPr>
          <w:rFonts w:ascii="Arial" w:cs="Arial" w:eastAsia="Arial" w:hAnsi="Arial"/>
          <w:sz w:val="19"/>
          <w:szCs w:val="19"/>
          <w:color w:val="auto"/>
        </w:rPr>
        <w:t>”), as amended by Amendment No. 1 to Lease executed by Tenant on February 2, 2009 (“</w:t>
      </w:r>
      <w:r>
        <w:rPr>
          <w:rFonts w:ascii="Arial" w:cs="Arial" w:eastAsia="Arial" w:hAnsi="Arial"/>
          <w:sz w:val="19"/>
          <w:szCs w:val="19"/>
          <w:b w:val="1"/>
          <w:bCs w:val="1"/>
          <w:i w:val="1"/>
          <w:iCs w:val="1"/>
          <w:color w:val="auto"/>
        </w:rPr>
        <w:t>Amendment No. 1</w:t>
      </w:r>
      <w:r>
        <w:rPr>
          <w:rFonts w:ascii="Arial" w:cs="Arial" w:eastAsia="Arial" w:hAnsi="Arial"/>
          <w:sz w:val="19"/>
          <w:szCs w:val="19"/>
          <w:color w:val="auto"/>
        </w:rPr>
        <w:t>”), Amendment No. 2 to Lease dated March 1, 2010 (“</w:t>
      </w:r>
      <w:r>
        <w:rPr>
          <w:rFonts w:ascii="Arial" w:cs="Arial" w:eastAsia="Arial" w:hAnsi="Arial"/>
          <w:sz w:val="19"/>
          <w:szCs w:val="19"/>
          <w:b w:val="1"/>
          <w:bCs w:val="1"/>
          <w:i w:val="1"/>
          <w:iCs w:val="1"/>
          <w:color w:val="auto"/>
        </w:rPr>
        <w:t>Amendment No.</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2</w:t>
      </w:r>
      <w:r>
        <w:rPr>
          <w:rFonts w:ascii="Arial" w:cs="Arial" w:eastAsia="Arial" w:hAnsi="Arial"/>
          <w:sz w:val="19"/>
          <w:szCs w:val="19"/>
          <w:color w:val="auto"/>
        </w:rPr>
        <w:t>”), Amendment No. 3 to Lease dated July 20, 2011 (“</w:t>
      </w:r>
      <w:r>
        <w:rPr>
          <w:rFonts w:ascii="Arial" w:cs="Arial" w:eastAsia="Arial" w:hAnsi="Arial"/>
          <w:sz w:val="19"/>
          <w:szCs w:val="19"/>
          <w:b w:val="1"/>
          <w:bCs w:val="1"/>
          <w:i w:val="1"/>
          <w:iCs w:val="1"/>
          <w:color w:val="auto"/>
        </w:rPr>
        <w:t>Amendment No. 3</w:t>
      </w:r>
      <w:r>
        <w:rPr>
          <w:rFonts w:ascii="Arial" w:cs="Arial" w:eastAsia="Arial" w:hAnsi="Arial"/>
          <w:sz w:val="19"/>
          <w:szCs w:val="19"/>
          <w:color w:val="auto"/>
        </w:rPr>
        <w:t>”), Amendment No. 4 to</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Lease dated June 10, 2014 </w:t>
      </w:r>
      <w:r>
        <w:rPr>
          <w:rFonts w:ascii="Arial" w:cs="Arial" w:eastAsia="Arial" w:hAnsi="Arial"/>
          <w:sz w:val="19"/>
          <w:szCs w:val="19"/>
          <w:b w:val="1"/>
          <w:bCs w:val="1"/>
          <w:color w:val="auto"/>
        </w:rPr>
        <w:t>(“</w:t>
      </w:r>
      <w:r>
        <w:rPr>
          <w:rFonts w:ascii="Arial" w:cs="Arial" w:eastAsia="Arial" w:hAnsi="Arial"/>
          <w:sz w:val="19"/>
          <w:szCs w:val="19"/>
          <w:b w:val="1"/>
          <w:bCs w:val="1"/>
          <w:i w:val="1"/>
          <w:iCs w:val="1"/>
          <w:color w:val="auto"/>
        </w:rPr>
        <w:t>Amendment No. 4</w:t>
      </w:r>
      <w:r>
        <w:rPr>
          <w:rFonts w:ascii="Arial" w:cs="Arial" w:eastAsia="Arial" w:hAnsi="Arial"/>
          <w:sz w:val="19"/>
          <w:szCs w:val="19"/>
          <w:b w:val="1"/>
          <w:bCs w:val="1"/>
          <w:color w:val="auto"/>
        </w:rPr>
        <w:t>”)</w:t>
      </w:r>
      <w:r>
        <w:rPr>
          <w:rFonts w:ascii="Arial" w:cs="Arial" w:eastAsia="Arial" w:hAnsi="Arial"/>
          <w:sz w:val="19"/>
          <w:szCs w:val="19"/>
          <w:color w:val="auto"/>
        </w:rPr>
        <w:t xml:space="preserve">, Amendment No. 5 dated January 13, 2017 </w:t>
      </w:r>
      <w:r>
        <w:rPr>
          <w:rFonts w:ascii="Arial" w:cs="Arial" w:eastAsia="Arial" w:hAnsi="Arial"/>
          <w:sz w:val="19"/>
          <w:szCs w:val="19"/>
          <w:b w:val="1"/>
          <w:bCs w:val="1"/>
          <w:color w:val="auto"/>
        </w:rPr>
        <w:t>(“</w:t>
      </w:r>
      <w:r>
        <w:rPr>
          <w:rFonts w:ascii="Arial" w:cs="Arial" w:eastAsia="Arial" w:hAnsi="Arial"/>
          <w:sz w:val="19"/>
          <w:szCs w:val="19"/>
          <w:b w:val="1"/>
          <w:bCs w:val="1"/>
          <w:i w:val="1"/>
          <w:iCs w:val="1"/>
          <w:color w:val="auto"/>
        </w:rPr>
        <w:t>Amendment No. 5</w:t>
      </w:r>
      <w:r>
        <w:rPr>
          <w:rFonts w:ascii="Arial" w:cs="Arial" w:eastAsia="Arial" w:hAnsi="Arial"/>
          <w:sz w:val="19"/>
          <w:szCs w:val="19"/>
          <w:b w:val="1"/>
          <w:bCs w:val="1"/>
          <w:color w:val="auto"/>
        </w:rPr>
        <w:t>”)</w:t>
      </w:r>
      <w:r>
        <w:rPr>
          <w:rFonts w:ascii="Arial" w:cs="Arial" w:eastAsia="Arial" w:hAnsi="Arial"/>
          <w:sz w:val="19"/>
          <w:szCs w:val="19"/>
          <w:color w:val="auto"/>
        </w:rPr>
        <w:t>, Amendment No. 6 dated October 31, 2017</w:t>
      </w:r>
      <w:r>
        <w:rPr>
          <w:rFonts w:ascii="Arial" w:cs="Arial" w:eastAsia="Arial" w:hAnsi="Arial"/>
          <w:sz w:val="19"/>
          <w:szCs w:val="19"/>
          <w:b w:val="1"/>
          <w:bCs w:val="1"/>
          <w:color w:val="auto"/>
        </w:rPr>
        <w:t xml:space="preserve"> (“</w:t>
      </w:r>
      <w:r>
        <w:rPr>
          <w:rFonts w:ascii="Arial" w:cs="Arial" w:eastAsia="Arial" w:hAnsi="Arial"/>
          <w:sz w:val="19"/>
          <w:szCs w:val="19"/>
          <w:b w:val="1"/>
          <w:bCs w:val="1"/>
          <w:i w:val="1"/>
          <w:iCs w:val="1"/>
          <w:color w:val="auto"/>
        </w:rPr>
        <w:t>Amendment No. 6</w:t>
      </w:r>
      <w:r>
        <w:rPr>
          <w:rFonts w:ascii="Arial" w:cs="Arial" w:eastAsia="Arial" w:hAnsi="Arial"/>
          <w:sz w:val="19"/>
          <w:szCs w:val="19"/>
          <w:b w:val="1"/>
          <w:bCs w:val="1"/>
          <w:color w:val="auto"/>
        </w:rPr>
        <w:t>”)</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Amendment No. 7 dated August 2, 2018 </w:t>
      </w:r>
      <w:r>
        <w:rPr>
          <w:rFonts w:ascii="Arial" w:cs="Arial" w:eastAsia="Arial" w:hAnsi="Arial"/>
          <w:sz w:val="19"/>
          <w:szCs w:val="19"/>
          <w:b w:val="1"/>
          <w:bCs w:val="1"/>
          <w:color w:val="auto"/>
        </w:rPr>
        <w:t>(“</w:t>
      </w:r>
      <w:r>
        <w:rPr>
          <w:rFonts w:ascii="Arial" w:cs="Arial" w:eastAsia="Arial" w:hAnsi="Arial"/>
          <w:sz w:val="19"/>
          <w:szCs w:val="19"/>
          <w:b w:val="1"/>
          <w:bCs w:val="1"/>
          <w:i w:val="1"/>
          <w:iCs w:val="1"/>
          <w:color w:val="auto"/>
        </w:rPr>
        <w:t>Amendment No. 7</w:t>
      </w:r>
      <w:r>
        <w:rPr>
          <w:rFonts w:ascii="Arial" w:cs="Arial" w:eastAsia="Arial" w:hAnsi="Arial"/>
          <w:sz w:val="19"/>
          <w:szCs w:val="19"/>
          <w:b w:val="1"/>
          <w:bCs w:val="1"/>
          <w:color w:val="auto"/>
        </w:rPr>
        <w:t>”),</w:t>
      </w:r>
      <w:r>
        <w:rPr>
          <w:rFonts w:ascii="Arial" w:cs="Arial" w:eastAsia="Arial" w:hAnsi="Arial"/>
          <w:sz w:val="19"/>
          <w:szCs w:val="19"/>
          <w:color w:val="auto"/>
        </w:rPr>
        <w:t xml:space="preserve"> and Amendment No. 8 dated November 30, 2019 </w:t>
      </w:r>
      <w:r>
        <w:rPr>
          <w:rFonts w:ascii="Arial" w:cs="Arial" w:eastAsia="Arial" w:hAnsi="Arial"/>
          <w:sz w:val="19"/>
          <w:szCs w:val="19"/>
          <w:b w:val="1"/>
          <w:bCs w:val="1"/>
          <w:color w:val="auto"/>
        </w:rPr>
        <w:t>(“</w:t>
      </w:r>
      <w:r>
        <w:rPr>
          <w:rFonts w:ascii="Arial" w:cs="Arial" w:eastAsia="Arial" w:hAnsi="Arial"/>
          <w:sz w:val="19"/>
          <w:szCs w:val="19"/>
          <w:b w:val="1"/>
          <w:bCs w:val="1"/>
          <w:i w:val="1"/>
          <w:iCs w:val="1"/>
          <w:color w:val="auto"/>
        </w:rPr>
        <w:t>Amendment No. 8</w:t>
      </w:r>
      <w:r>
        <w:rPr>
          <w:rFonts w:ascii="Arial" w:cs="Arial" w:eastAsia="Arial" w:hAnsi="Arial"/>
          <w:sz w:val="19"/>
          <w:szCs w:val="19"/>
          <w:b w:val="1"/>
          <w:bCs w:val="1"/>
          <w:color w:val="auto"/>
        </w:rPr>
        <w:t>”)</w:t>
      </w:r>
      <w:r>
        <w:rPr>
          <w:rFonts w:ascii="Arial" w:cs="Arial" w:eastAsia="Arial" w:hAnsi="Arial"/>
          <w:sz w:val="19"/>
          <w:szCs w:val="19"/>
          <w:color w:val="auto"/>
        </w:rPr>
        <w:t xml:space="preserve">, </w:t>
      </w:r>
      <w:r>
        <w:rPr>
          <w:rFonts w:ascii="Arial" w:cs="Arial" w:eastAsia="Arial" w:hAnsi="Arial"/>
          <w:sz w:val="19"/>
          <w:szCs w:val="19"/>
          <w:b w:val="1"/>
          <w:bCs w:val="1"/>
          <w:color w:val="auto"/>
        </w:rPr>
        <w:t>(</w:t>
      </w:r>
      <w:r>
        <w:rPr>
          <w:rFonts w:ascii="Arial" w:cs="Arial" w:eastAsia="Arial" w:hAnsi="Arial"/>
          <w:sz w:val="19"/>
          <w:szCs w:val="19"/>
          <w:color w:val="auto"/>
        </w:rPr>
        <w:t>the Original Lease, as amended by Amendment No. 1, Amendment No. 2, Amendment No. 3, Amendment No. 4, Amendment No. 5, Amendment No. 6, Amendment No. 7, and Amendment No. 8, is referred to as the “</w:t>
      </w:r>
      <w:r>
        <w:rPr>
          <w:rFonts w:ascii="Arial" w:cs="Arial" w:eastAsia="Arial" w:hAnsi="Arial"/>
          <w:sz w:val="19"/>
          <w:szCs w:val="19"/>
          <w:b w:val="1"/>
          <w:bCs w:val="1"/>
          <w:i w:val="1"/>
          <w:iCs w:val="1"/>
          <w:color w:val="auto"/>
        </w:rPr>
        <w:t>Lease</w:t>
      </w:r>
      <w:r>
        <w:rPr>
          <w:rFonts w:ascii="Arial" w:cs="Arial" w:eastAsia="Arial" w:hAnsi="Arial"/>
          <w:sz w:val="19"/>
          <w:szCs w:val="19"/>
          <w:color w:val="auto"/>
        </w:rPr>
        <w:t>”), pursuant to which Landlord leases to Tenant certain space (“</w:t>
      </w:r>
      <w:r>
        <w:rPr>
          <w:rFonts w:ascii="Arial" w:cs="Arial" w:eastAsia="Arial" w:hAnsi="Arial"/>
          <w:sz w:val="19"/>
          <w:szCs w:val="19"/>
          <w:b w:val="1"/>
          <w:bCs w:val="1"/>
          <w:i w:val="1"/>
          <w:iCs w:val="1"/>
          <w:color w:val="auto"/>
        </w:rPr>
        <w:t>Premises</w:t>
      </w:r>
      <w:r>
        <w:rPr>
          <w:rFonts w:ascii="Arial" w:cs="Arial" w:eastAsia="Arial" w:hAnsi="Arial"/>
          <w:sz w:val="19"/>
          <w:szCs w:val="19"/>
          <w:color w:val="auto"/>
        </w:rPr>
        <w:t>”) located at 1300 North Alma School Road, Chandler Arizona as further described in the Lease.</w:t>
      </w:r>
    </w:p>
    <w:p>
      <w:pPr>
        <w:spacing w:after="0" w:line="158" w:lineRule="exact"/>
        <w:rPr>
          <w:rFonts w:ascii="Arial" w:cs="Arial" w:eastAsia="Arial" w:hAnsi="Arial"/>
          <w:sz w:val="16"/>
          <w:szCs w:val="16"/>
          <w:b w:val="1"/>
          <w:bCs w:val="1"/>
          <w:color w:val="auto"/>
        </w:rPr>
      </w:pPr>
    </w:p>
    <w:p>
      <w:pPr>
        <w:ind w:left="200" w:right="680" w:firstLine="656"/>
        <w:spacing w:after="0" w:line="263" w:lineRule="auto"/>
        <w:tabs>
          <w:tab w:leader="none" w:pos="1497" w:val="left"/>
        </w:tabs>
        <w:numPr>
          <w:ilvl w:val="0"/>
          <w:numId w:val="28"/>
        </w:numPr>
        <w:rPr>
          <w:rFonts w:ascii="Arial" w:cs="Arial" w:eastAsia="Arial" w:hAnsi="Arial"/>
          <w:sz w:val="18"/>
          <w:szCs w:val="18"/>
          <w:b w:val="1"/>
          <w:bCs w:val="1"/>
          <w:color w:val="auto"/>
        </w:rPr>
      </w:pPr>
      <w:r>
        <w:rPr>
          <w:rFonts w:ascii="Arial" w:cs="Arial" w:eastAsia="Arial" w:hAnsi="Arial"/>
          <w:sz w:val="22"/>
          <w:szCs w:val="22"/>
          <w:color w:val="auto"/>
        </w:rPr>
        <w:t>As of the Amendment No. 9 Effective Date, the parties desire to amend the Lease to extend the Term.</w:t>
      </w:r>
    </w:p>
    <w:p>
      <w:pPr>
        <w:spacing w:after="0" w:line="200" w:lineRule="exact"/>
        <w:rPr>
          <w:sz w:val="20"/>
          <w:szCs w:val="20"/>
          <w:color w:val="auto"/>
        </w:rPr>
      </w:pPr>
    </w:p>
    <w:p>
      <w:pPr>
        <w:spacing w:after="0" w:line="212" w:lineRule="exact"/>
        <w:rPr>
          <w:sz w:val="20"/>
          <w:szCs w:val="20"/>
          <w:color w:val="auto"/>
        </w:rPr>
      </w:pPr>
    </w:p>
    <w:p>
      <w:pPr>
        <w:jc w:val="both"/>
        <w:ind w:left="200" w:right="680" w:firstLine="647"/>
        <w:spacing w:after="0" w:line="304" w:lineRule="auto"/>
        <w:rPr>
          <w:sz w:val="20"/>
          <w:szCs w:val="20"/>
          <w:color w:val="auto"/>
        </w:rPr>
      </w:pPr>
      <w:r>
        <w:rPr>
          <w:rFonts w:ascii="Arial" w:cs="Arial" w:eastAsia="Arial" w:hAnsi="Arial"/>
          <w:sz w:val="19"/>
          <w:szCs w:val="19"/>
          <w:b w:val="1"/>
          <w:bCs w:val="1"/>
          <w:color w:val="auto"/>
        </w:rPr>
        <w:t>NOW, THEREFORE</w:t>
      </w:r>
      <w:r>
        <w:rPr>
          <w:rFonts w:ascii="Arial" w:cs="Arial" w:eastAsia="Arial" w:hAnsi="Arial"/>
          <w:sz w:val="19"/>
          <w:szCs w:val="19"/>
          <w:color w:val="auto"/>
        </w:rPr>
        <w:t>, in consideration of the above recitals which are hereby incorporated</w:t>
      </w:r>
      <w:r>
        <w:rPr>
          <w:rFonts w:ascii="Arial" w:cs="Arial" w:eastAsia="Arial" w:hAnsi="Arial"/>
          <w:sz w:val="19"/>
          <w:szCs w:val="19"/>
          <w:b w:val="1"/>
          <w:bCs w:val="1"/>
          <w:color w:val="auto"/>
        </w:rPr>
        <w:t xml:space="preserve"> </w:t>
      </w:r>
      <w:r>
        <w:rPr>
          <w:rFonts w:ascii="Arial" w:cs="Arial" w:eastAsia="Arial" w:hAnsi="Arial"/>
          <w:sz w:val="19"/>
          <w:szCs w:val="19"/>
          <w:color w:val="auto"/>
        </w:rPr>
        <w:t>herein, the mutual covenants and conditions contained herein and other valuable consideration, the receipt and sufficiency of which are hereby acknowledged, Landlord and Tenant agree, effective as of the Amendment No. 9 Effective Date, to amend the Lease as follows:</w:t>
      </w:r>
    </w:p>
    <w:p>
      <w:pPr>
        <w:spacing w:after="0" w:line="135" w:lineRule="exact"/>
        <w:rPr>
          <w:sz w:val="20"/>
          <w:szCs w:val="20"/>
          <w:color w:val="auto"/>
        </w:rPr>
      </w:pPr>
    </w:p>
    <w:p>
      <w:pPr>
        <w:ind w:left="280" w:right="700" w:hanging="8"/>
        <w:spacing w:after="0" w:line="269" w:lineRule="auto"/>
        <w:tabs>
          <w:tab w:leader="none" w:pos="864" w:val="left"/>
        </w:tabs>
        <w:numPr>
          <w:ilvl w:val="0"/>
          <w:numId w:val="29"/>
        </w:numPr>
        <w:rPr>
          <w:rFonts w:ascii="Arial" w:cs="Arial" w:eastAsia="Arial" w:hAnsi="Arial"/>
          <w:sz w:val="18"/>
          <w:szCs w:val="18"/>
          <w:b w:val="1"/>
          <w:bCs w:val="1"/>
          <w:color w:val="auto"/>
        </w:rPr>
      </w:pPr>
      <w:r>
        <w:rPr>
          <w:rFonts w:ascii="Arial" w:cs="Arial" w:eastAsia="Arial" w:hAnsi="Arial"/>
          <w:sz w:val="22"/>
          <w:szCs w:val="22"/>
          <w:b w:val="1"/>
          <w:bCs w:val="1"/>
          <w:u w:val="single" w:color="auto"/>
          <w:color w:val="auto"/>
        </w:rPr>
        <w:t>Term</w:t>
      </w:r>
      <w:r>
        <w:rPr>
          <w:rFonts w:ascii="Arial" w:cs="Arial" w:eastAsia="Arial" w:hAnsi="Arial"/>
          <w:sz w:val="22"/>
          <w:szCs w:val="22"/>
          <w:b w:val="1"/>
          <w:bCs w:val="1"/>
          <w:color w:val="auto"/>
        </w:rPr>
        <w:t xml:space="preserve">. </w:t>
      </w:r>
      <w:r>
        <w:rPr>
          <w:rFonts w:ascii="Arial" w:cs="Arial" w:eastAsia="Arial" w:hAnsi="Arial"/>
          <w:sz w:val="22"/>
          <w:szCs w:val="22"/>
          <w:color w:val="auto"/>
        </w:rPr>
        <w:t>Section 2 of the Lease (as modified by Amendment No. 8) is deleted in its entirety</w:t>
      </w:r>
      <w:r>
        <w:rPr>
          <w:rFonts w:ascii="Arial" w:cs="Arial" w:eastAsia="Arial" w:hAnsi="Arial"/>
          <w:sz w:val="22"/>
          <w:szCs w:val="22"/>
          <w:b w:val="1"/>
          <w:bCs w:val="1"/>
          <w:color w:val="auto"/>
        </w:rPr>
        <w:t xml:space="preserve"> </w:t>
      </w:r>
      <w:r>
        <w:rPr>
          <w:rFonts w:ascii="Arial" w:cs="Arial" w:eastAsia="Arial" w:hAnsi="Arial"/>
          <w:sz w:val="22"/>
          <w:szCs w:val="22"/>
          <w:color w:val="auto"/>
        </w:rPr>
        <w:t>and replaced with the following:</w:t>
      </w:r>
    </w:p>
    <w:p>
      <w:pPr>
        <w:spacing w:after="0" w:line="60" w:lineRule="exact"/>
        <w:rPr>
          <w:sz w:val="20"/>
          <w:szCs w:val="20"/>
          <w:color w:val="auto"/>
        </w:rPr>
      </w:pPr>
    </w:p>
    <w:p>
      <w:pPr>
        <w:ind w:left="1180" w:right="1080"/>
        <w:spacing w:after="0" w:line="248" w:lineRule="auto"/>
        <w:rPr>
          <w:sz w:val="20"/>
          <w:szCs w:val="20"/>
          <w:color w:val="auto"/>
        </w:rPr>
      </w:pPr>
      <w:r>
        <w:rPr>
          <w:rFonts w:ascii="Arial" w:cs="Arial" w:eastAsia="Arial" w:hAnsi="Arial"/>
          <w:sz w:val="22"/>
          <w:szCs w:val="22"/>
          <w:color w:val="auto"/>
        </w:rPr>
        <w:t>“A. The term of this Lease shall commence on June 5, 2008 (the “</w:t>
      </w:r>
      <w:r>
        <w:rPr>
          <w:rFonts w:ascii="Arial" w:cs="Arial" w:eastAsia="Arial" w:hAnsi="Arial"/>
          <w:sz w:val="22"/>
          <w:szCs w:val="22"/>
          <w:b w:val="1"/>
          <w:bCs w:val="1"/>
          <w:i w:val="1"/>
          <w:iCs w:val="1"/>
          <w:color w:val="auto"/>
        </w:rPr>
        <w:t>Commencement</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Date</w:t>
      </w:r>
      <w:r>
        <w:rPr>
          <w:rFonts w:ascii="Arial" w:cs="Arial" w:eastAsia="Arial" w:hAnsi="Arial"/>
          <w:sz w:val="22"/>
          <w:szCs w:val="22"/>
          <w:color w:val="auto"/>
        </w:rPr>
        <w:t>”) and end on January 31, 2023 (the “</w:t>
      </w:r>
      <w:r>
        <w:rPr>
          <w:rFonts w:ascii="Arial" w:cs="Arial" w:eastAsia="Arial" w:hAnsi="Arial"/>
          <w:sz w:val="22"/>
          <w:szCs w:val="22"/>
          <w:b w:val="1"/>
          <w:bCs w:val="1"/>
          <w:i w:val="1"/>
          <w:iCs w:val="1"/>
          <w:color w:val="auto"/>
        </w:rPr>
        <w:t>Term</w:t>
      </w:r>
      <w:r>
        <w:rPr>
          <w:rFonts w:ascii="Arial" w:cs="Arial" w:eastAsia="Arial" w:hAnsi="Arial"/>
          <w:sz w:val="22"/>
          <w:szCs w:val="22"/>
          <w:color w:val="auto"/>
        </w:rPr>
        <w:t>”). Tenant will continue processing</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on Landlord’s tool, FJ01PVS. In the event the Landlord elects to terminate Tenant’s use of the FJ01PVS, the Landlord will give Tenant six (6) months prior written notice.”</w:t>
      </w:r>
    </w:p>
    <w:p>
      <w:pPr>
        <w:spacing w:after="0" w:line="200" w:lineRule="exact"/>
        <w:rPr>
          <w:sz w:val="20"/>
          <w:szCs w:val="20"/>
          <w:color w:val="auto"/>
        </w:rPr>
      </w:pPr>
    </w:p>
    <w:p>
      <w:pPr>
        <w:spacing w:after="0" w:line="215" w:lineRule="exact"/>
        <w:rPr>
          <w:sz w:val="20"/>
          <w:szCs w:val="20"/>
          <w:color w:val="auto"/>
        </w:rPr>
      </w:pPr>
    </w:p>
    <w:p>
      <w:pPr>
        <w:jc w:val="both"/>
        <w:ind w:left="280" w:right="680" w:hanging="8"/>
        <w:spacing w:after="0" w:line="298" w:lineRule="auto"/>
        <w:tabs>
          <w:tab w:leader="none" w:pos="864" w:val="left"/>
        </w:tabs>
        <w:numPr>
          <w:ilvl w:val="0"/>
          <w:numId w:val="30"/>
        </w:numPr>
        <w:rPr>
          <w:rFonts w:ascii="Arial" w:cs="Arial" w:eastAsia="Arial" w:hAnsi="Arial"/>
          <w:sz w:val="16"/>
          <w:szCs w:val="16"/>
          <w:b w:val="1"/>
          <w:bCs w:val="1"/>
          <w:color w:val="auto"/>
        </w:rPr>
      </w:pPr>
      <w:r>
        <w:rPr>
          <w:rFonts w:ascii="Arial" w:cs="Arial" w:eastAsia="Arial" w:hAnsi="Arial"/>
          <w:sz w:val="19"/>
          <w:szCs w:val="19"/>
          <w:b w:val="1"/>
          <w:bCs w:val="1"/>
          <w:u w:val="single" w:color="auto"/>
          <w:color w:val="auto"/>
        </w:rPr>
        <w:t>Exhibit E</w:t>
      </w:r>
      <w:r>
        <w:rPr>
          <w:rFonts w:ascii="Arial" w:cs="Arial" w:eastAsia="Arial" w:hAnsi="Arial"/>
          <w:sz w:val="19"/>
          <w:szCs w:val="19"/>
          <w:b w:val="1"/>
          <w:bCs w:val="1"/>
          <w:color w:val="auto"/>
        </w:rPr>
        <w:t xml:space="preserve">. </w:t>
      </w:r>
      <w:r>
        <w:rPr>
          <w:rFonts w:ascii="Arial" w:cs="Arial" w:eastAsia="Arial" w:hAnsi="Arial"/>
          <w:sz w:val="19"/>
          <w:szCs w:val="19"/>
          <w:color w:val="auto"/>
        </w:rPr>
        <w:t>For consideration in part of this Amendment No. 9, Landlord will provide</w:t>
      </w:r>
      <w:r>
        <w:rPr>
          <w:rFonts w:ascii="Arial" w:cs="Arial" w:eastAsia="Arial" w:hAnsi="Arial"/>
          <w:sz w:val="19"/>
          <w:szCs w:val="19"/>
          <w:b w:val="1"/>
          <w:bCs w:val="1"/>
          <w:color w:val="auto"/>
        </w:rPr>
        <w:t xml:space="preserve"> </w:t>
      </w:r>
      <w:r>
        <w:rPr>
          <w:rFonts w:ascii="Arial" w:cs="Arial" w:eastAsia="Arial" w:hAnsi="Arial"/>
          <w:sz w:val="19"/>
          <w:szCs w:val="19"/>
          <w:color w:val="auto"/>
        </w:rPr>
        <w:t>Tenant with discounted Lease Fixed Rent starting February 1, 2021 through the end of the Lease Term. Should the Lease be further extended, the Landlord does not commit to continue the Fixed Rent discount. Exhibit E to the Lease (as modified by Amendment No. 5) is deleted in its entirety and replaced with the new Exhibit E as attached hereto as Schedule 1 to this Amendment No. 9.</w:t>
      </w:r>
    </w:p>
    <w:p>
      <w:pPr>
        <w:spacing w:after="0" w:line="34" w:lineRule="exact"/>
        <w:rPr>
          <w:rFonts w:ascii="Arial" w:cs="Arial" w:eastAsia="Arial" w:hAnsi="Arial"/>
          <w:sz w:val="16"/>
          <w:szCs w:val="16"/>
          <w:b w:val="1"/>
          <w:bCs w:val="1"/>
          <w:color w:val="auto"/>
        </w:rPr>
      </w:pPr>
    </w:p>
    <w:p>
      <w:pPr>
        <w:ind w:left="860" w:hanging="588"/>
        <w:spacing w:after="0"/>
        <w:tabs>
          <w:tab w:leader="none" w:pos="860" w:val="left"/>
        </w:tabs>
        <w:numPr>
          <w:ilvl w:val="0"/>
          <w:numId w:val="30"/>
        </w:numPr>
        <w:rPr>
          <w:rFonts w:ascii="Arial" w:cs="Arial" w:eastAsia="Arial" w:hAnsi="Arial"/>
          <w:sz w:val="18"/>
          <w:szCs w:val="18"/>
          <w:b w:val="1"/>
          <w:bCs w:val="1"/>
          <w:color w:val="auto"/>
        </w:rPr>
      </w:pPr>
      <w:r>
        <w:rPr>
          <w:rFonts w:ascii="Arial" w:cs="Arial" w:eastAsia="Arial" w:hAnsi="Arial"/>
          <w:sz w:val="22"/>
          <w:szCs w:val="22"/>
          <w:b w:val="1"/>
          <w:bCs w:val="1"/>
          <w:u w:val="single" w:color="auto"/>
          <w:color w:val="auto"/>
        </w:rPr>
        <w:t>Exhibit J</w:t>
      </w:r>
      <w:r>
        <w:rPr>
          <w:rFonts w:ascii="Arial" w:cs="Arial" w:eastAsia="Arial" w:hAnsi="Arial"/>
          <w:sz w:val="22"/>
          <w:szCs w:val="22"/>
          <w:b w:val="1"/>
          <w:bCs w:val="1"/>
          <w:color w:val="auto"/>
        </w:rPr>
        <w:t xml:space="preserve">. </w:t>
      </w:r>
      <w:r>
        <w:rPr>
          <w:rFonts w:ascii="Arial" w:cs="Arial" w:eastAsia="Arial" w:hAnsi="Arial"/>
          <w:sz w:val="22"/>
          <w:szCs w:val="22"/>
          <w:color w:val="auto"/>
        </w:rPr>
        <w:t>Exhibit J to the Lease (as modified by Amendment No. 8) is deleted in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353695</wp:posOffset>
            </wp:positionV>
            <wp:extent cx="5957570"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8">
                      <a:extLst>
                        <a:ext uri="{28A0092B-C50C-407E-A947-70E740481C1C}"/>
                      </a:extLst>
                    </a:blip>
                    <a:srcRect/>
                    <a:stretch>
                      <a:fillRect/>
                    </a:stretch>
                  </pic:blipFill>
                  <pic:spPr bwMode="auto">
                    <a:xfrm>
                      <a:off x="0" y="0"/>
                      <a:ext cx="5957570" cy="25400"/>
                    </a:xfrm>
                    <a:prstGeom prst="rect">
                      <a:avLst/>
                    </a:prstGeom>
                    <a:noFill/>
                  </pic:spPr>
                </pic:pic>
              </a:graphicData>
            </a:graphic>
          </wp:anchor>
        </w:drawing>
      </w:r>
    </w:p>
    <w:p>
      <w:pPr>
        <w:sectPr>
          <w:pgSz w:w="11900" w:h="16838" w:orient="portrait"/>
          <w:cols w:equalWidth="0" w:num="1">
            <w:col w:w="9500"/>
          </w:cols>
          <w:pgMar w:left="1440" w:top="118" w:right="959" w:bottom="1440" w:gutter="0" w:footer="0" w:header="0"/>
        </w:sectPr>
      </w:pPr>
    </w:p>
    <w:bookmarkStart w:id="61" w:name="page62"/>
    <w:bookmarkEnd w:id="61"/>
    <w:p>
      <w:pPr>
        <w:ind w:left="280" w:right="219"/>
        <w:spacing w:after="0" w:line="263" w:lineRule="auto"/>
        <w:rPr>
          <w:sz w:val="20"/>
          <w:szCs w:val="20"/>
          <w:color w:val="auto"/>
        </w:rPr>
      </w:pPr>
      <w:r>
        <w:rPr>
          <w:rFonts w:ascii="Arial" w:cs="Arial" w:eastAsia="Arial" w:hAnsi="Arial"/>
          <w:sz w:val="22"/>
          <w:szCs w:val="22"/>
          <w:color w:val="auto"/>
        </w:rPr>
        <w:t>entirety and replaced with the new Exhibit J as attached hereto as Schedule 2 to this Amendment No. 9.</w:t>
      </w:r>
    </w:p>
    <w:p>
      <w:pPr>
        <w:spacing w:after="0" w:line="61" w:lineRule="exact"/>
        <w:rPr>
          <w:sz w:val="20"/>
          <w:szCs w:val="20"/>
          <w:color w:val="auto"/>
        </w:rPr>
      </w:pPr>
    </w:p>
    <w:p>
      <w:pPr>
        <w:jc w:val="both"/>
        <w:ind w:left="280" w:right="199" w:hanging="8"/>
        <w:spacing w:after="0" w:line="252" w:lineRule="auto"/>
        <w:tabs>
          <w:tab w:leader="none" w:pos="864" w:val="left"/>
        </w:tabs>
        <w:numPr>
          <w:ilvl w:val="0"/>
          <w:numId w:val="31"/>
        </w:numPr>
        <w:rPr>
          <w:rFonts w:ascii="Arial" w:cs="Arial" w:eastAsia="Arial" w:hAnsi="Arial"/>
          <w:sz w:val="18"/>
          <w:szCs w:val="18"/>
          <w:b w:val="1"/>
          <w:bCs w:val="1"/>
          <w:color w:val="auto"/>
        </w:rPr>
      </w:pPr>
      <w:r>
        <w:rPr>
          <w:rFonts w:ascii="Arial" w:cs="Arial" w:eastAsia="Arial" w:hAnsi="Arial"/>
          <w:sz w:val="22"/>
          <w:szCs w:val="22"/>
          <w:b w:val="1"/>
          <w:bCs w:val="1"/>
          <w:u w:val="single" w:color="auto"/>
          <w:color w:val="auto"/>
        </w:rPr>
        <w:t>Brokers.</w:t>
      </w:r>
      <w:r>
        <w:rPr>
          <w:rFonts w:ascii="Arial" w:cs="Arial" w:eastAsia="Arial" w:hAnsi="Arial"/>
          <w:sz w:val="22"/>
          <w:szCs w:val="22"/>
          <w:b w:val="1"/>
          <w:bCs w:val="1"/>
          <w:color w:val="auto"/>
        </w:rPr>
        <w:t xml:space="preserve"> </w:t>
      </w:r>
      <w:r>
        <w:rPr>
          <w:rFonts w:ascii="Arial" w:cs="Arial" w:eastAsia="Arial" w:hAnsi="Arial"/>
          <w:sz w:val="22"/>
          <w:szCs w:val="22"/>
          <w:color w:val="auto"/>
        </w:rPr>
        <w:t>Tenant hereby represents to Landlord that Tenant has dealt with no broker in</w:t>
      </w:r>
      <w:r>
        <w:rPr>
          <w:rFonts w:ascii="Arial" w:cs="Arial" w:eastAsia="Arial" w:hAnsi="Arial"/>
          <w:sz w:val="22"/>
          <w:szCs w:val="22"/>
          <w:b w:val="1"/>
          <w:bCs w:val="1"/>
          <w:color w:val="auto"/>
        </w:rPr>
        <w:t xml:space="preserve"> </w:t>
      </w:r>
      <w:r>
        <w:rPr>
          <w:rFonts w:ascii="Arial" w:cs="Arial" w:eastAsia="Arial" w:hAnsi="Arial"/>
          <w:sz w:val="22"/>
          <w:szCs w:val="22"/>
          <w:color w:val="auto"/>
        </w:rPr>
        <w:t>connection with this Amendment No. 9. Tenant agrees to indemnify and hold Landlord harmless from all claims of any brokers claiming to have represented Tenant in connection with this Amendment No. 9. Landlord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328930</wp:posOffset>
            </wp:positionV>
            <wp:extent cx="5957570"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9">
                      <a:extLst>
                        <a:ext uri="{28A0092B-C50C-407E-A947-70E740481C1C}"/>
                      </a:extLst>
                    </a:blip>
                    <a:srcRect/>
                    <a:stretch>
                      <a:fillRect/>
                    </a:stretch>
                  </pic:blipFill>
                  <pic:spPr bwMode="auto">
                    <a:xfrm>
                      <a:off x="0" y="0"/>
                      <a:ext cx="5957570" cy="25400"/>
                    </a:xfrm>
                    <a:prstGeom prst="rect">
                      <a:avLst/>
                    </a:prstGeom>
                    <a:noFill/>
                  </pic:spPr>
                </pic:pic>
              </a:graphicData>
            </a:graphic>
          </wp:anchor>
        </w:drawing>
      </w:r>
    </w:p>
    <w:p>
      <w:pPr>
        <w:sectPr>
          <w:pgSz w:w="11900" w:h="16838" w:orient="portrait"/>
          <w:cols w:equalWidth="0" w:num="1">
            <w:col w:w="9019"/>
          </w:cols>
          <w:pgMar w:left="1440" w:top="240" w:right="1440" w:bottom="1440" w:gutter="0" w:footer="0" w:header="0"/>
        </w:sectPr>
      </w:pPr>
    </w:p>
    <w:bookmarkStart w:id="62" w:name="page63"/>
    <w:bookmarkEnd w:id="62"/>
    <w:p>
      <w:pPr>
        <w:ind w:left="280" w:right="1180"/>
        <w:spacing w:after="0" w:line="263" w:lineRule="auto"/>
        <w:rPr>
          <w:sz w:val="20"/>
          <w:szCs w:val="20"/>
          <w:color w:val="auto"/>
        </w:rPr>
      </w:pPr>
      <w:r>
        <w:rPr>
          <w:rFonts w:ascii="Arial" w:cs="Arial" w:eastAsia="Arial" w:hAnsi="Arial"/>
          <w:sz w:val="22"/>
          <w:szCs w:val="22"/>
          <w:color w:val="auto"/>
        </w:rPr>
        <w:t>agrees to indemnify and hold Tenant harmless from all claims of any broker claiming to have represented Landlord in connection with this Amendment No. 9.</w:t>
      </w:r>
    </w:p>
    <w:p>
      <w:pPr>
        <w:spacing w:after="0" w:line="61" w:lineRule="exact"/>
        <w:rPr>
          <w:sz w:val="20"/>
          <w:szCs w:val="20"/>
          <w:color w:val="auto"/>
        </w:rPr>
      </w:pPr>
    </w:p>
    <w:p>
      <w:pPr>
        <w:jc w:val="both"/>
        <w:ind w:left="280" w:right="680" w:hanging="8"/>
        <w:spacing w:after="0" w:line="287" w:lineRule="auto"/>
        <w:tabs>
          <w:tab w:leader="none" w:pos="864" w:val="left"/>
        </w:tabs>
        <w:numPr>
          <w:ilvl w:val="0"/>
          <w:numId w:val="32"/>
        </w:numPr>
        <w:rPr>
          <w:rFonts w:ascii="Arial" w:cs="Arial" w:eastAsia="Arial" w:hAnsi="Arial"/>
          <w:sz w:val="16"/>
          <w:szCs w:val="16"/>
          <w:b w:val="1"/>
          <w:bCs w:val="1"/>
          <w:color w:val="auto"/>
        </w:rPr>
      </w:pPr>
      <w:r>
        <w:rPr>
          <w:rFonts w:ascii="Arial" w:cs="Arial" w:eastAsia="Arial" w:hAnsi="Arial"/>
          <w:sz w:val="19"/>
          <w:szCs w:val="19"/>
          <w:b w:val="1"/>
          <w:bCs w:val="1"/>
          <w:u w:val="single" w:color="auto"/>
          <w:color w:val="auto"/>
        </w:rPr>
        <w:t>Miscellaneous</w:t>
      </w:r>
      <w:r>
        <w:rPr>
          <w:rFonts w:ascii="Arial" w:cs="Arial" w:eastAsia="Arial" w:hAnsi="Arial"/>
          <w:sz w:val="19"/>
          <w:szCs w:val="19"/>
          <w:color w:val="auto"/>
        </w:rPr>
        <w:t>. This Amendment No. 9 sets forth the entire agreement between the parties</w:t>
      </w:r>
      <w:r>
        <w:rPr>
          <w:rFonts w:ascii="Arial" w:cs="Arial" w:eastAsia="Arial" w:hAnsi="Arial"/>
          <w:sz w:val="19"/>
          <w:szCs w:val="19"/>
          <w:b w:val="1"/>
          <w:bCs w:val="1"/>
          <w:color w:val="auto"/>
        </w:rPr>
        <w:t xml:space="preserve"> </w:t>
      </w:r>
      <w:r>
        <w:rPr>
          <w:rFonts w:ascii="Arial" w:cs="Arial" w:eastAsia="Arial" w:hAnsi="Arial"/>
          <w:sz w:val="19"/>
          <w:szCs w:val="19"/>
          <w:color w:val="auto"/>
        </w:rPr>
        <w:t>with respect to the matters set forth herein. There have been no additional oral or written representations or agreements. Except as herein modified or amended, the provisions, conditions and terms of the Lease shall remain unchanged an in full force and effect. In the case of any inconsistency between the provisions of the Lease and this Amendment No. 9, the provisions of this Amendment No. 9 shall govern and control. Each signatory of this Amendment No. 9, represents hereby that he or she has the authority to execute and deliver the same on behalf of the party hereto for which such signatory is acting. This Amendment No. 9 may be executed in multiple counterparts each of which is deemed an original but together constitute one and the same instrument. This Amendment No. 9 may be executed in so-called "PDF" format, and each party has the right to rely upon a PDF counterpart of this Amendment No. 9 signed by the other party to the same extent as if such party had received an original counterpart.</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200"/>
        <w:spacing w:after="0"/>
        <w:rPr>
          <w:sz w:val="20"/>
          <w:szCs w:val="20"/>
          <w:color w:val="auto"/>
        </w:rPr>
      </w:pPr>
      <w:r>
        <w:rPr>
          <w:rFonts w:ascii="Arial" w:cs="Arial" w:eastAsia="Arial" w:hAnsi="Arial"/>
          <w:sz w:val="22"/>
          <w:szCs w:val="22"/>
          <w:color w:val="auto"/>
        </w:rPr>
        <w:t>IN WITNESS WHEREOF, Landlord and Tenant have duly executed this Amendment No. 9.</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23"/>
          <w:szCs w:val="23"/>
          <w:color w:val="auto"/>
        </w:rPr>
        <w:t>LANDLORD:</w:t>
      </w:r>
    </w:p>
    <w:p>
      <w:pPr>
        <w:spacing w:after="0" w:line="234"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NXP USA, INC.</w:t>
      </w:r>
    </w:p>
    <w:p>
      <w:pPr>
        <w:ind w:left="200"/>
        <w:spacing w:after="0"/>
        <w:rPr>
          <w:sz w:val="20"/>
          <w:szCs w:val="20"/>
          <w:color w:val="auto"/>
        </w:rPr>
      </w:pPr>
      <w:r>
        <w:rPr>
          <w:rFonts w:ascii="Arial" w:cs="Arial" w:eastAsia="Arial" w:hAnsi="Arial"/>
          <w:sz w:val="22"/>
          <w:szCs w:val="22"/>
          <w:color w:val="auto"/>
        </w:rPr>
        <w:t>a Delaware corporation</w:t>
      </w:r>
    </w:p>
    <w:p>
      <w:pPr>
        <w:spacing w:after="0" w:line="200" w:lineRule="exact"/>
        <w:rPr>
          <w:sz w:val="20"/>
          <w:szCs w:val="20"/>
          <w:color w:val="auto"/>
        </w:rPr>
      </w:pPr>
    </w:p>
    <w:tbl>
      <w:tblPr>
        <w:tblLayout w:type="fixed"/>
        <w:tblInd w:w="200" w:type="dxa"/>
        <w:tblCellMar>
          <w:top w:w="0" w:type="dxa"/>
          <w:left w:w="0" w:type="dxa"/>
          <w:bottom w:w="0" w:type="dxa"/>
          <w:right w:w="0" w:type="dxa"/>
        </w:tblCellMar>
      </w:tblPr>
      <w:tr>
        <w:trPr>
          <w:trHeight w:val="253"/>
        </w:trPr>
        <w:tc>
          <w:tcPr>
            <w:tcW w:w="320" w:type="dxa"/>
            <w:vAlign w:val="bottom"/>
          </w:tcPr>
          <w:p>
            <w:pPr>
              <w:spacing w:after="0"/>
              <w:rPr>
                <w:sz w:val="20"/>
                <w:szCs w:val="20"/>
                <w:color w:val="auto"/>
              </w:rPr>
            </w:pPr>
            <w:r>
              <w:rPr>
                <w:rFonts w:ascii="Arial" w:cs="Arial" w:eastAsia="Arial" w:hAnsi="Arial"/>
                <w:sz w:val="22"/>
                <w:szCs w:val="22"/>
                <w:color w:val="auto"/>
                <w:w w:val="94"/>
              </w:rPr>
              <w:t>By:</w:t>
            </w:r>
          </w:p>
        </w:tc>
        <w:tc>
          <w:tcPr>
            <w:tcW w:w="98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tcPr>
          <w:p>
            <w:pPr>
              <w:ind w:left="700"/>
              <w:spacing w:after="0"/>
              <w:rPr>
                <w:sz w:val="20"/>
                <w:szCs w:val="20"/>
                <w:color w:val="auto"/>
              </w:rPr>
            </w:pPr>
            <w:r>
              <w:rPr>
                <w:rFonts w:ascii="Arial" w:cs="Arial" w:eastAsia="Arial" w:hAnsi="Arial"/>
                <w:sz w:val="22"/>
                <w:szCs w:val="22"/>
                <w:color w:val="auto"/>
              </w:rPr>
              <w:t>By:</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41"/>
        </w:trPr>
        <w:tc>
          <w:tcPr>
            <w:tcW w:w="1300" w:type="dxa"/>
            <w:vAlign w:val="bottom"/>
            <w:gridSpan w:val="2"/>
            <w:vMerge w:val="restart"/>
          </w:tcPr>
          <w:p>
            <w:pPr>
              <w:spacing w:after="0"/>
              <w:rPr>
                <w:sz w:val="20"/>
                <w:szCs w:val="20"/>
                <w:color w:val="auto"/>
              </w:rPr>
            </w:pPr>
            <w:r>
              <w:rPr>
                <w:rFonts w:ascii="Arial" w:cs="Arial" w:eastAsia="Arial" w:hAnsi="Arial"/>
                <w:sz w:val="22"/>
                <w:szCs w:val="22"/>
                <w:color w:val="auto"/>
              </w:rPr>
              <w:t>Name:</w:t>
            </w:r>
          </w:p>
        </w:tc>
        <w:tc>
          <w:tcPr>
            <w:tcW w:w="2540" w:type="dxa"/>
            <w:vAlign w:val="bottom"/>
            <w:gridSpan w:val="2"/>
          </w:tcPr>
          <w:p>
            <w:pPr>
              <w:ind w:left="320"/>
              <w:spacing w:after="0"/>
              <w:rPr>
                <w:sz w:val="20"/>
                <w:szCs w:val="20"/>
                <w:color w:val="auto"/>
              </w:rPr>
            </w:pPr>
            <w:r>
              <w:rPr>
                <w:rFonts w:ascii="Arial" w:cs="Arial" w:eastAsia="Arial" w:hAnsi="Arial"/>
                <w:sz w:val="22"/>
                <w:szCs w:val="22"/>
                <w:b w:val="1"/>
                <w:bCs w:val="1"/>
                <w:color w:val="auto"/>
              </w:rPr>
              <w:t>Katherine Haight</w:t>
            </w:r>
          </w:p>
        </w:tc>
        <w:tc>
          <w:tcPr>
            <w:tcW w:w="1140" w:type="dxa"/>
            <w:vAlign w:val="bottom"/>
            <w:vMerge w:val="restart"/>
          </w:tcPr>
          <w:p>
            <w:pPr>
              <w:ind w:left="580"/>
              <w:spacing w:after="0"/>
              <w:rPr>
                <w:sz w:val="20"/>
                <w:szCs w:val="20"/>
                <w:color w:val="auto"/>
              </w:rPr>
            </w:pPr>
            <w:r>
              <w:rPr>
                <w:rFonts w:ascii="Arial" w:cs="Arial" w:eastAsia="Arial" w:hAnsi="Arial"/>
                <w:sz w:val="22"/>
                <w:szCs w:val="22"/>
                <w:color w:val="auto"/>
                <w:w w:val="83"/>
              </w:rPr>
              <w:t>Name:</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00" w:type="dxa"/>
            <w:vAlign w:val="bottom"/>
            <w:gridSpan w:val="3"/>
          </w:tcPr>
          <w:p>
            <w:pPr>
              <w:ind w:left="140"/>
              <w:spacing w:after="0"/>
              <w:rPr>
                <w:sz w:val="20"/>
                <w:szCs w:val="20"/>
                <w:color w:val="auto"/>
              </w:rPr>
            </w:pPr>
            <w:r>
              <w:rPr>
                <w:rFonts w:ascii="Arial" w:cs="Arial" w:eastAsia="Arial" w:hAnsi="Arial"/>
                <w:sz w:val="22"/>
                <w:szCs w:val="22"/>
                <w:b w:val="1"/>
                <w:bCs w:val="1"/>
                <w:color w:val="auto"/>
              </w:rPr>
              <w:t>Mark Kroeker</w:t>
            </w:r>
          </w:p>
        </w:tc>
        <w:tc>
          <w:tcPr>
            <w:tcW w:w="0" w:type="dxa"/>
            <w:vAlign w:val="bottom"/>
          </w:tcPr>
          <w:p>
            <w:pPr>
              <w:spacing w:after="0"/>
              <w:rPr>
                <w:sz w:val="1"/>
                <w:szCs w:val="1"/>
                <w:color w:val="auto"/>
              </w:rPr>
            </w:pPr>
          </w:p>
        </w:tc>
      </w:tr>
      <w:tr>
        <w:trPr>
          <w:trHeight w:val="108"/>
        </w:trPr>
        <w:tc>
          <w:tcPr>
            <w:tcW w:w="1300" w:type="dxa"/>
            <w:vAlign w:val="bottom"/>
            <w:gridSpan w:val="2"/>
            <w:vMerge w:val="continue"/>
          </w:tcPr>
          <w:p>
            <w:pPr>
              <w:spacing w:after="0"/>
              <w:rPr>
                <w:sz w:val="9"/>
                <w:szCs w:val="9"/>
                <w:color w:val="auto"/>
              </w:rPr>
            </w:pPr>
          </w:p>
        </w:tc>
        <w:tc>
          <w:tcPr>
            <w:tcW w:w="2540" w:type="dxa"/>
            <w:vAlign w:val="bottom"/>
            <w:gridSpan w:val="2"/>
            <w:vMerge w:val="restart"/>
          </w:tcPr>
          <w:p>
            <w:pPr>
              <w:spacing w:after="0" w:line="246" w:lineRule="exact"/>
              <w:rPr>
                <w:sz w:val="20"/>
                <w:szCs w:val="20"/>
                <w:color w:val="auto"/>
              </w:rPr>
            </w:pPr>
            <w:r>
              <w:rPr>
                <w:rFonts w:ascii="Arial" w:cs="Arial" w:eastAsia="Arial" w:hAnsi="Arial"/>
                <w:sz w:val="22"/>
                <w:szCs w:val="22"/>
                <w:color w:val="auto"/>
                <w:w w:val="97"/>
              </w:rPr>
              <w:t>Authorized Representative</w:t>
            </w:r>
          </w:p>
        </w:tc>
        <w:tc>
          <w:tcPr>
            <w:tcW w:w="1140" w:type="dxa"/>
            <w:vAlign w:val="bottom"/>
            <w:vMerge w:val="continue"/>
          </w:tcPr>
          <w:p>
            <w:pPr>
              <w:spacing w:after="0"/>
              <w:rPr>
                <w:sz w:val="9"/>
                <w:szCs w:val="9"/>
                <w:color w:val="auto"/>
              </w:rPr>
            </w:pPr>
          </w:p>
        </w:tc>
        <w:tc>
          <w:tcPr>
            <w:tcW w:w="2560" w:type="dxa"/>
            <w:vAlign w:val="bottom"/>
            <w:gridSpan w:val="3"/>
            <w:vMerge w:val="restart"/>
          </w:tcPr>
          <w:p>
            <w:pPr>
              <w:spacing w:after="0"/>
              <w:rPr>
                <w:sz w:val="20"/>
                <w:szCs w:val="20"/>
                <w:color w:val="auto"/>
              </w:rPr>
            </w:pPr>
            <w:r>
              <w:rPr>
                <w:rFonts w:ascii="Arial" w:cs="Arial" w:eastAsia="Arial" w:hAnsi="Arial"/>
                <w:sz w:val="22"/>
                <w:szCs w:val="22"/>
                <w:color w:val="auto"/>
                <w:w w:val="97"/>
              </w:rPr>
              <w:t>Authorized Representative</w:t>
            </w:r>
          </w:p>
        </w:tc>
        <w:tc>
          <w:tcPr>
            <w:tcW w:w="2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1300" w:type="dxa"/>
            <w:vAlign w:val="bottom"/>
            <w:gridSpan w:val="2"/>
            <w:vMerge w:val="restart"/>
          </w:tcPr>
          <w:p>
            <w:pPr>
              <w:spacing w:after="0"/>
              <w:rPr>
                <w:sz w:val="20"/>
                <w:szCs w:val="20"/>
                <w:color w:val="auto"/>
              </w:rPr>
            </w:pPr>
            <w:r>
              <w:rPr>
                <w:rFonts w:ascii="Arial" w:cs="Arial" w:eastAsia="Arial" w:hAnsi="Arial"/>
                <w:sz w:val="22"/>
                <w:szCs w:val="22"/>
                <w:color w:val="auto"/>
              </w:rPr>
              <w:t>Its:</w:t>
            </w:r>
          </w:p>
        </w:tc>
        <w:tc>
          <w:tcPr>
            <w:tcW w:w="2540" w:type="dxa"/>
            <w:vAlign w:val="bottom"/>
            <w:tcBorders>
              <w:bottom w:val="single" w:sz="8" w:color="auto"/>
            </w:tcBorders>
            <w:gridSpan w:val="2"/>
            <w:vMerge w:val="continue"/>
          </w:tcPr>
          <w:p>
            <w:pPr>
              <w:spacing w:after="0"/>
              <w:rPr>
                <w:sz w:val="12"/>
                <w:szCs w:val="12"/>
                <w:color w:val="auto"/>
              </w:rPr>
            </w:pPr>
          </w:p>
        </w:tc>
        <w:tc>
          <w:tcPr>
            <w:tcW w:w="1140" w:type="dxa"/>
            <w:vAlign w:val="bottom"/>
            <w:vMerge w:val="restart"/>
          </w:tcPr>
          <w:p>
            <w:pPr>
              <w:ind w:left="580"/>
              <w:spacing w:after="0"/>
              <w:rPr>
                <w:sz w:val="20"/>
                <w:szCs w:val="20"/>
                <w:color w:val="auto"/>
              </w:rPr>
            </w:pPr>
            <w:r>
              <w:rPr>
                <w:rFonts w:ascii="Arial" w:cs="Arial" w:eastAsia="Arial" w:hAnsi="Arial"/>
                <w:sz w:val="22"/>
                <w:szCs w:val="22"/>
                <w:color w:val="auto"/>
              </w:rPr>
              <w:t>Its:</w:t>
            </w:r>
          </w:p>
        </w:tc>
        <w:tc>
          <w:tcPr>
            <w:tcW w:w="2560" w:type="dxa"/>
            <w:vAlign w:val="bottom"/>
            <w:gridSpan w:val="3"/>
            <w:vMerge w:val="continue"/>
          </w:tcPr>
          <w:p>
            <w:pPr>
              <w:spacing w:after="0"/>
              <w:rPr>
                <w:sz w:val="12"/>
                <w:szCs w:val="12"/>
                <w:color w:val="auto"/>
              </w:rPr>
            </w:pPr>
          </w:p>
        </w:tc>
        <w:tc>
          <w:tcPr>
            <w:tcW w:w="2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3"/>
        </w:trPr>
        <w:tc>
          <w:tcPr>
            <w:tcW w:w="1300" w:type="dxa"/>
            <w:vAlign w:val="bottom"/>
            <w:gridSpan w:val="2"/>
            <w:vMerge w:val="continue"/>
          </w:tcPr>
          <w:p>
            <w:pPr>
              <w:spacing w:after="0"/>
              <w:rPr>
                <w:sz w:val="4"/>
                <w:szCs w:val="4"/>
                <w:color w:val="auto"/>
              </w:rPr>
            </w:pPr>
          </w:p>
        </w:tc>
        <w:tc>
          <w:tcPr>
            <w:tcW w:w="2540" w:type="dxa"/>
            <w:vAlign w:val="bottom"/>
            <w:gridSpan w:val="2"/>
            <w:vMerge w:val="restart"/>
          </w:tcPr>
          <w:p>
            <w:pPr>
              <w:ind w:left="20"/>
              <w:spacing w:after="0"/>
              <w:rPr>
                <w:sz w:val="20"/>
                <w:szCs w:val="20"/>
                <w:color w:val="auto"/>
              </w:rPr>
            </w:pPr>
            <w:r>
              <w:rPr>
                <w:rFonts w:ascii="Arial" w:cs="Arial" w:eastAsia="Arial" w:hAnsi="Arial"/>
                <w:sz w:val="22"/>
                <w:szCs w:val="22"/>
                <w:color w:val="auto"/>
              </w:rPr>
              <w:t>May 7, 2020</w:t>
            </w:r>
          </w:p>
        </w:tc>
        <w:tc>
          <w:tcPr>
            <w:tcW w:w="1140" w:type="dxa"/>
            <w:vAlign w:val="bottom"/>
            <w:vMerge w:val="continue"/>
          </w:tcPr>
          <w:p>
            <w:pPr>
              <w:spacing w:after="0"/>
              <w:rPr>
                <w:sz w:val="4"/>
                <w:szCs w:val="4"/>
                <w:color w:val="auto"/>
              </w:rPr>
            </w:pPr>
          </w:p>
        </w:tc>
        <w:tc>
          <w:tcPr>
            <w:tcW w:w="2560" w:type="dxa"/>
            <w:vAlign w:val="bottom"/>
            <w:tcBorders>
              <w:bottom w:val="single" w:sz="8" w:color="auto"/>
            </w:tcBorders>
            <w:gridSpan w:val="3"/>
            <w:vMerge w:val="continue"/>
          </w:tcPr>
          <w:p>
            <w:pPr>
              <w:spacing w:after="0"/>
              <w:rPr>
                <w:sz w:val="4"/>
                <w:szCs w:val="4"/>
                <w:color w:val="auto"/>
              </w:rPr>
            </w:pPr>
          </w:p>
        </w:tc>
        <w:tc>
          <w:tcPr>
            <w:tcW w:w="2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9"/>
        </w:trPr>
        <w:tc>
          <w:tcPr>
            <w:tcW w:w="1300" w:type="dxa"/>
            <w:vAlign w:val="bottom"/>
            <w:gridSpan w:val="2"/>
            <w:vMerge w:val="continue"/>
          </w:tcPr>
          <w:p>
            <w:pPr>
              <w:spacing w:after="0"/>
              <w:rPr>
                <w:sz w:val="12"/>
                <w:szCs w:val="12"/>
                <w:color w:val="auto"/>
              </w:rPr>
            </w:pPr>
          </w:p>
        </w:tc>
        <w:tc>
          <w:tcPr>
            <w:tcW w:w="2540" w:type="dxa"/>
            <w:vAlign w:val="bottom"/>
            <w:gridSpan w:val="2"/>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580" w:type="dxa"/>
            <w:vAlign w:val="bottom"/>
            <w:gridSpan w:val="3"/>
            <w:vMerge w:val="restart"/>
          </w:tcPr>
          <w:p>
            <w:pPr>
              <w:spacing w:after="0"/>
              <w:rPr>
                <w:sz w:val="20"/>
                <w:szCs w:val="20"/>
                <w:color w:val="auto"/>
              </w:rPr>
            </w:pPr>
            <w:r>
              <w:rPr>
                <w:rFonts w:ascii="Arial" w:cs="Arial" w:eastAsia="Arial" w:hAnsi="Arial"/>
                <w:sz w:val="22"/>
                <w:szCs w:val="22"/>
                <w:color w:val="auto"/>
              </w:rPr>
              <w:t>May 7, 2020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300" w:type="dxa"/>
            <w:vAlign w:val="bottom"/>
            <w:gridSpan w:val="2"/>
            <w:vMerge w:val="restart"/>
          </w:tcPr>
          <w:p>
            <w:pPr>
              <w:spacing w:after="0"/>
              <w:rPr>
                <w:sz w:val="20"/>
                <w:szCs w:val="20"/>
                <w:color w:val="auto"/>
              </w:rPr>
            </w:pPr>
            <w:r>
              <w:rPr>
                <w:rFonts w:ascii="Arial" w:cs="Arial" w:eastAsia="Arial" w:hAnsi="Arial"/>
                <w:sz w:val="22"/>
                <w:szCs w:val="22"/>
                <w:color w:val="auto"/>
              </w:rPr>
              <w:t>Date:</w:t>
            </w:r>
          </w:p>
        </w:tc>
        <w:tc>
          <w:tcPr>
            <w:tcW w:w="2540" w:type="dxa"/>
            <w:vAlign w:val="bottom"/>
            <w:gridSpan w:val="2"/>
            <w:vMerge w:val="continue"/>
          </w:tcPr>
          <w:p>
            <w:pPr>
              <w:spacing w:after="0"/>
              <w:rPr>
                <w:sz w:val="14"/>
                <w:szCs w:val="14"/>
                <w:color w:val="auto"/>
              </w:rPr>
            </w:pPr>
          </w:p>
        </w:tc>
        <w:tc>
          <w:tcPr>
            <w:tcW w:w="1240" w:type="dxa"/>
            <w:vAlign w:val="bottom"/>
            <w:gridSpan w:val="2"/>
            <w:vMerge w:val="restart"/>
          </w:tcPr>
          <w:p>
            <w:pPr>
              <w:ind w:left="580"/>
              <w:spacing w:after="0"/>
              <w:rPr>
                <w:sz w:val="20"/>
                <w:szCs w:val="20"/>
                <w:color w:val="auto"/>
              </w:rPr>
            </w:pPr>
            <w:r>
              <w:rPr>
                <w:rFonts w:ascii="Arial" w:cs="Arial" w:eastAsia="Arial" w:hAnsi="Arial"/>
                <w:sz w:val="22"/>
                <w:szCs w:val="22"/>
                <w:color w:val="auto"/>
              </w:rPr>
              <w:t>Date:</w:t>
            </w:r>
          </w:p>
        </w:tc>
        <w:tc>
          <w:tcPr>
            <w:tcW w:w="258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3"/>
        </w:trPr>
        <w:tc>
          <w:tcPr>
            <w:tcW w:w="1300" w:type="dxa"/>
            <w:vAlign w:val="bottom"/>
            <w:gridSpan w:val="2"/>
            <w:vMerge w:val="continue"/>
          </w:tcPr>
          <w:p>
            <w:pPr>
              <w:spacing w:after="0"/>
              <w:rPr>
                <w:sz w:val="8"/>
                <w:szCs w:val="8"/>
                <w:color w:val="auto"/>
              </w:rPr>
            </w:pPr>
          </w:p>
        </w:tc>
        <w:tc>
          <w:tcPr>
            <w:tcW w:w="19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2580" w:type="dxa"/>
            <w:vAlign w:val="bottom"/>
            <w:tcBorders>
              <w:bottom w:val="single" w:sz="8" w:color="808080"/>
            </w:tcBorders>
            <w:gridSpan w:val="3"/>
            <w:vMerge w:val="continue"/>
          </w:tcPr>
          <w:p>
            <w:pPr>
              <w:spacing w:after="0"/>
              <w:rPr>
                <w:sz w:val="8"/>
                <w:szCs w:val="8"/>
                <w:color w:val="auto"/>
              </w:rPr>
            </w:pPr>
          </w:p>
        </w:tc>
        <w:tc>
          <w:tcPr>
            <w:tcW w:w="10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1300" w:type="dxa"/>
            <w:vAlign w:val="bottom"/>
            <w:gridSpan w:val="2"/>
            <w:vMerge w:val="continue"/>
          </w:tcPr>
          <w:p>
            <w:pPr>
              <w:spacing w:after="0"/>
              <w:rPr>
                <w:sz w:val="7"/>
                <w:szCs w:val="7"/>
                <w:color w:val="auto"/>
              </w:rPr>
            </w:pPr>
          </w:p>
        </w:tc>
        <w:tc>
          <w:tcPr>
            <w:tcW w:w="19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2580" w:type="dxa"/>
            <w:vAlign w:val="bottom"/>
            <w:gridSpan w:val="3"/>
          </w:tcPr>
          <w:p>
            <w:pPr>
              <w:spacing w:after="0"/>
              <w:rPr>
                <w:sz w:val="7"/>
                <w:szCs w:val="7"/>
                <w:color w:val="auto"/>
              </w:rPr>
            </w:pPr>
          </w:p>
        </w:tc>
        <w:tc>
          <w:tcPr>
            <w:tcW w:w="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20"/>
        <w:spacing w:after="0"/>
        <w:rPr>
          <w:sz w:val="20"/>
          <w:szCs w:val="20"/>
          <w:color w:val="auto"/>
        </w:rPr>
      </w:pPr>
      <w:r>
        <w:rPr>
          <w:rFonts w:ascii="Arial" w:cs="Arial" w:eastAsia="Arial" w:hAnsi="Arial"/>
          <w:sz w:val="23"/>
          <w:szCs w:val="23"/>
          <w:color w:val="auto"/>
        </w:rPr>
        <w:t>TENANT:</w:t>
      </w:r>
    </w:p>
    <w:p>
      <w:pPr>
        <w:spacing w:after="0" w:line="234"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EVERSPIN TECHNOLOGIES, INC.,</w:t>
      </w:r>
    </w:p>
    <w:p>
      <w:pPr>
        <w:ind w:left="200"/>
        <w:spacing w:after="0"/>
        <w:rPr>
          <w:sz w:val="20"/>
          <w:szCs w:val="20"/>
          <w:color w:val="auto"/>
        </w:rPr>
      </w:pPr>
      <w:r>
        <w:rPr>
          <w:rFonts w:ascii="Arial" w:cs="Arial" w:eastAsia="Arial" w:hAnsi="Arial"/>
          <w:sz w:val="22"/>
          <w:szCs w:val="22"/>
          <w:color w:val="auto"/>
        </w:rPr>
        <w:t>a Delaware corporation</w:t>
      </w:r>
    </w:p>
    <w:p>
      <w:pPr>
        <w:spacing w:after="0" w:line="200" w:lineRule="exact"/>
        <w:rPr>
          <w:sz w:val="20"/>
          <w:szCs w:val="20"/>
          <w:color w:val="auto"/>
        </w:rPr>
      </w:pPr>
    </w:p>
    <w:tbl>
      <w:tblPr>
        <w:tblLayout w:type="fixed"/>
        <w:tblInd w:w="120" w:type="dxa"/>
        <w:tblCellMar>
          <w:top w:w="0" w:type="dxa"/>
          <w:left w:w="0" w:type="dxa"/>
          <w:bottom w:w="0" w:type="dxa"/>
          <w:right w:w="0" w:type="dxa"/>
        </w:tblCellMar>
      </w:tblPr>
      <w:tr>
        <w:trPr>
          <w:trHeight w:val="253"/>
        </w:trPr>
        <w:tc>
          <w:tcPr>
            <w:tcW w:w="740" w:type="dxa"/>
            <w:vAlign w:val="bottom"/>
          </w:tcPr>
          <w:p>
            <w:pPr>
              <w:ind w:left="80"/>
              <w:spacing w:after="0"/>
              <w:rPr>
                <w:sz w:val="20"/>
                <w:szCs w:val="20"/>
                <w:color w:val="auto"/>
              </w:rPr>
            </w:pPr>
            <w:r>
              <w:rPr>
                <w:rFonts w:ascii="Arial" w:cs="Arial" w:eastAsia="Arial" w:hAnsi="Arial"/>
                <w:sz w:val="22"/>
                <w:szCs w:val="22"/>
                <w:color w:val="auto"/>
              </w:rPr>
              <w:t>By:</w:t>
            </w:r>
          </w:p>
        </w:tc>
        <w:tc>
          <w:tcPr>
            <w:tcW w:w="180" w:type="dxa"/>
            <w:vAlign w:val="bottom"/>
            <w:tcBorders>
              <w:bottom w:val="single" w:sz="8" w:color="auto"/>
            </w:tcBorders>
          </w:tcPr>
          <w:p>
            <w:pPr>
              <w:spacing w:after="0"/>
              <w:rPr>
                <w:sz w:val="21"/>
                <w:szCs w:val="21"/>
                <w:color w:val="auto"/>
              </w:rPr>
            </w:pPr>
          </w:p>
        </w:tc>
        <w:tc>
          <w:tcPr>
            <w:tcW w:w="23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6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3"/>
        </w:trPr>
        <w:tc>
          <w:tcPr>
            <w:tcW w:w="740" w:type="dxa"/>
            <w:vAlign w:val="bottom"/>
          </w:tcPr>
          <w:p>
            <w:pPr>
              <w:ind w:left="80"/>
              <w:spacing w:after="0"/>
              <w:rPr>
                <w:sz w:val="20"/>
                <w:szCs w:val="20"/>
                <w:color w:val="auto"/>
              </w:rPr>
            </w:pPr>
            <w:r>
              <w:rPr>
                <w:rFonts w:ascii="Arial" w:cs="Arial" w:eastAsia="Arial" w:hAnsi="Arial"/>
                <w:sz w:val="22"/>
                <w:szCs w:val="22"/>
                <w:color w:val="auto"/>
                <w:w w:val="98"/>
              </w:rPr>
              <w:t>Name:</w:t>
            </w:r>
          </w:p>
        </w:tc>
        <w:tc>
          <w:tcPr>
            <w:tcW w:w="180" w:type="dxa"/>
            <w:vAlign w:val="bottom"/>
          </w:tcPr>
          <w:p>
            <w:pPr>
              <w:spacing w:after="0"/>
              <w:rPr>
                <w:sz w:val="24"/>
                <w:szCs w:val="24"/>
                <w:color w:val="auto"/>
              </w:rPr>
            </w:pPr>
          </w:p>
        </w:tc>
        <w:tc>
          <w:tcPr>
            <w:tcW w:w="8460" w:type="dxa"/>
            <w:vAlign w:val="bottom"/>
            <w:gridSpan w:val="4"/>
          </w:tcPr>
          <w:p>
            <w:pPr>
              <w:ind w:left="160"/>
              <w:spacing w:after="0"/>
              <w:rPr>
                <w:sz w:val="20"/>
                <w:szCs w:val="20"/>
                <w:color w:val="auto"/>
              </w:rPr>
            </w:pPr>
            <w:r>
              <w:rPr>
                <w:rFonts w:ascii="Arial" w:cs="Arial" w:eastAsia="Arial" w:hAnsi="Arial"/>
                <w:sz w:val="22"/>
                <w:szCs w:val="22"/>
                <w:b w:val="1"/>
                <w:bCs w:val="1"/>
                <w:color w:val="auto"/>
              </w:rPr>
              <w:t>Matthew Tenorio</w:t>
            </w:r>
          </w:p>
        </w:tc>
        <w:tc>
          <w:tcPr>
            <w:tcW w:w="0" w:type="dxa"/>
            <w:vAlign w:val="bottom"/>
          </w:tcPr>
          <w:p>
            <w:pPr>
              <w:spacing w:after="0"/>
              <w:rPr>
                <w:sz w:val="1"/>
                <w:szCs w:val="1"/>
                <w:color w:val="auto"/>
              </w:rPr>
            </w:pPr>
          </w:p>
        </w:tc>
      </w:tr>
      <w:tr>
        <w:trPr>
          <w:trHeight w:val="209"/>
        </w:trPr>
        <w:tc>
          <w:tcPr>
            <w:tcW w:w="740" w:type="dxa"/>
            <w:vAlign w:val="bottom"/>
            <w:vMerge w:val="restart"/>
          </w:tcPr>
          <w:p>
            <w:pPr>
              <w:ind w:left="80"/>
              <w:spacing w:after="0"/>
              <w:rPr>
                <w:sz w:val="20"/>
                <w:szCs w:val="20"/>
                <w:color w:val="auto"/>
              </w:rPr>
            </w:pPr>
            <w:r>
              <w:rPr>
                <w:rFonts w:ascii="Arial" w:cs="Arial" w:eastAsia="Arial" w:hAnsi="Arial"/>
                <w:sz w:val="22"/>
                <w:szCs w:val="22"/>
                <w:color w:val="auto"/>
              </w:rPr>
              <w:t>Its:</w:t>
            </w:r>
          </w:p>
        </w:tc>
        <w:tc>
          <w:tcPr>
            <w:tcW w:w="2500" w:type="dxa"/>
            <w:vAlign w:val="bottom"/>
            <w:tcBorders>
              <w:bottom w:val="single" w:sz="8" w:color="auto"/>
            </w:tcBorders>
            <w:gridSpan w:val="2"/>
          </w:tcPr>
          <w:p>
            <w:pPr>
              <w:ind w:left="60"/>
              <w:spacing w:after="0" w:line="209" w:lineRule="exact"/>
              <w:rPr>
                <w:sz w:val="20"/>
                <w:szCs w:val="20"/>
                <w:color w:val="auto"/>
              </w:rPr>
            </w:pPr>
            <w:r>
              <w:rPr>
                <w:rFonts w:ascii="Arial" w:cs="Arial" w:eastAsia="Arial" w:hAnsi="Arial"/>
                <w:sz w:val="22"/>
                <w:szCs w:val="22"/>
                <w:color w:val="auto"/>
                <w:w w:val="99"/>
              </w:rPr>
              <w:t>Corporate Controller and</w:t>
            </w:r>
          </w:p>
        </w:tc>
        <w:tc>
          <w:tcPr>
            <w:tcW w:w="614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152"/>
        </w:trPr>
        <w:tc>
          <w:tcPr>
            <w:tcW w:w="740" w:type="dxa"/>
            <w:vAlign w:val="bottom"/>
            <w:vMerge w:val="continue"/>
          </w:tcPr>
          <w:p>
            <w:pPr>
              <w:spacing w:after="0"/>
              <w:rPr>
                <w:sz w:val="13"/>
                <w:szCs w:val="13"/>
                <w:color w:val="auto"/>
              </w:rPr>
            </w:pPr>
          </w:p>
        </w:tc>
        <w:tc>
          <w:tcPr>
            <w:tcW w:w="8640" w:type="dxa"/>
            <w:vAlign w:val="bottom"/>
            <w:gridSpan w:val="5"/>
            <w:vMerge w:val="restart"/>
          </w:tcPr>
          <w:p>
            <w:pPr>
              <w:spacing w:after="0" w:line="237" w:lineRule="exact"/>
              <w:rPr>
                <w:sz w:val="20"/>
                <w:szCs w:val="20"/>
                <w:color w:val="auto"/>
              </w:rPr>
            </w:pPr>
            <w:r>
              <w:rPr>
                <w:rFonts w:ascii="Arial" w:cs="Arial" w:eastAsia="Arial" w:hAnsi="Arial"/>
                <w:sz w:val="22"/>
                <w:szCs w:val="22"/>
                <w:color w:val="auto"/>
              </w:rPr>
              <w:t>Interim CFO</w:t>
            </w:r>
          </w:p>
        </w:tc>
        <w:tc>
          <w:tcPr>
            <w:tcW w:w="0" w:type="dxa"/>
            <w:vAlign w:val="bottom"/>
          </w:tcPr>
          <w:p>
            <w:pPr>
              <w:spacing w:after="0"/>
              <w:rPr>
                <w:sz w:val="1"/>
                <w:szCs w:val="1"/>
                <w:color w:val="auto"/>
              </w:rPr>
            </w:pPr>
          </w:p>
        </w:tc>
      </w:tr>
      <w:tr>
        <w:trPr>
          <w:trHeight w:val="85"/>
        </w:trPr>
        <w:tc>
          <w:tcPr>
            <w:tcW w:w="740" w:type="dxa"/>
            <w:vAlign w:val="bottom"/>
            <w:vMerge w:val="restart"/>
          </w:tcPr>
          <w:p>
            <w:pPr>
              <w:ind w:left="80"/>
              <w:spacing w:after="0"/>
              <w:rPr>
                <w:sz w:val="20"/>
                <w:szCs w:val="20"/>
                <w:color w:val="auto"/>
              </w:rPr>
            </w:pPr>
            <w:r>
              <w:rPr>
                <w:rFonts w:ascii="Arial" w:cs="Arial" w:eastAsia="Arial" w:hAnsi="Arial"/>
                <w:sz w:val="22"/>
                <w:szCs w:val="22"/>
                <w:color w:val="auto"/>
              </w:rPr>
              <w:t>Date:</w:t>
            </w:r>
          </w:p>
        </w:tc>
        <w:tc>
          <w:tcPr>
            <w:tcW w:w="864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740" w:type="dxa"/>
            <w:vAlign w:val="bottom"/>
            <w:vMerge w:val="continue"/>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60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40" w:type="dxa"/>
            <w:vAlign w:val="bottom"/>
            <w:vMerge w:val="continue"/>
          </w:tcPr>
          <w:p>
            <w:pPr>
              <w:spacing w:after="0"/>
              <w:rPr>
                <w:sz w:val="24"/>
                <w:szCs w:val="24"/>
                <w:color w:val="auto"/>
              </w:rPr>
            </w:pPr>
          </w:p>
        </w:tc>
        <w:tc>
          <w:tcPr>
            <w:tcW w:w="8640" w:type="dxa"/>
            <w:vAlign w:val="bottom"/>
            <w:gridSpan w:val="5"/>
          </w:tcPr>
          <w:p>
            <w:pPr>
              <w:spacing w:after="0"/>
              <w:rPr>
                <w:sz w:val="20"/>
                <w:szCs w:val="20"/>
                <w:color w:val="auto"/>
              </w:rPr>
            </w:pPr>
            <w:r>
              <w:rPr>
                <w:rFonts w:ascii="Arial" w:cs="Arial" w:eastAsia="Arial" w:hAnsi="Arial"/>
                <w:sz w:val="22"/>
                <w:szCs w:val="22"/>
                <w:color w:val="auto"/>
              </w:rPr>
              <w:t>May 11, 2020</w:t>
            </w:r>
          </w:p>
        </w:tc>
        <w:tc>
          <w:tcPr>
            <w:tcW w:w="0" w:type="dxa"/>
            <w:vAlign w:val="bottom"/>
          </w:tcPr>
          <w:p>
            <w:pPr>
              <w:spacing w:after="0"/>
              <w:rPr>
                <w:sz w:val="1"/>
                <w:szCs w:val="1"/>
                <w:color w:val="auto"/>
              </w:rPr>
            </w:pPr>
          </w:p>
        </w:tc>
      </w:tr>
      <w:tr>
        <w:trPr>
          <w:trHeight w:val="581"/>
        </w:trPr>
        <w:tc>
          <w:tcPr>
            <w:tcW w:w="740" w:type="dxa"/>
            <w:vAlign w:val="bottom"/>
            <w:tcBorders>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2320" w:type="dxa"/>
            <w:vAlign w:val="bottom"/>
            <w:tcBorders>
              <w:top w:val="single" w:sz="8" w:color="auto"/>
              <w:bottom w:val="single" w:sz="8" w:color="auto"/>
            </w:tcBorders>
          </w:tcPr>
          <w:p>
            <w:pPr>
              <w:spacing w:after="0"/>
              <w:rPr>
                <w:sz w:val="24"/>
                <w:szCs w:val="24"/>
                <w:color w:val="auto"/>
              </w:rPr>
            </w:pPr>
          </w:p>
        </w:tc>
        <w:tc>
          <w:tcPr>
            <w:tcW w:w="60" w:type="dxa"/>
            <w:vAlign w:val="bottom"/>
            <w:tcBorders>
              <w:top w:val="single" w:sz="8" w:color="auto"/>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500"/>
          </w:cols>
          <w:pgMar w:left="1440" w:top="199" w:right="959" w:bottom="1440" w:gutter="0" w:footer="0" w:header="0"/>
        </w:sectPr>
      </w:pPr>
    </w:p>
    <w:bookmarkStart w:id="63" w:name="page64"/>
    <w:bookmarkEnd w:id="63"/>
    <w:p>
      <w:pPr>
        <w:ind w:left="4040"/>
        <w:spacing w:after="0"/>
        <w:rPr>
          <w:sz w:val="20"/>
          <w:szCs w:val="20"/>
          <w:color w:val="auto"/>
        </w:rPr>
      </w:pPr>
      <w:r>
        <w:rPr>
          <w:rFonts w:ascii="Arial" w:cs="Arial" w:eastAsia="Arial" w:hAnsi="Arial"/>
          <w:sz w:val="22"/>
          <w:szCs w:val="22"/>
          <w:color w:val="auto"/>
        </w:rPr>
        <w:t>Schedule 1</w:t>
      </w:r>
    </w:p>
    <w:p>
      <w:pPr>
        <w:spacing w:after="0" w:line="228" w:lineRule="exact"/>
        <w:rPr>
          <w:sz w:val="20"/>
          <w:szCs w:val="20"/>
          <w:color w:val="auto"/>
        </w:rPr>
      </w:pPr>
    </w:p>
    <w:p>
      <w:pPr>
        <w:jc w:val="center"/>
        <w:ind w:right="480"/>
        <w:spacing w:after="0"/>
        <w:rPr>
          <w:sz w:val="20"/>
          <w:szCs w:val="20"/>
          <w:color w:val="auto"/>
        </w:rPr>
      </w:pPr>
      <w:r>
        <w:rPr>
          <w:rFonts w:ascii="Arial" w:cs="Arial" w:eastAsia="Arial" w:hAnsi="Arial"/>
          <w:sz w:val="22"/>
          <w:szCs w:val="22"/>
          <w:color w:val="auto"/>
        </w:rPr>
        <w:t>EXHIBIT E</w:t>
      </w:r>
    </w:p>
    <w:p>
      <w:pPr>
        <w:ind w:left="3780"/>
        <w:spacing w:after="0"/>
        <w:rPr>
          <w:sz w:val="20"/>
          <w:szCs w:val="20"/>
          <w:color w:val="auto"/>
        </w:rPr>
      </w:pPr>
      <w:r>
        <w:rPr>
          <w:rFonts w:ascii="Arial" w:cs="Arial" w:eastAsia="Arial" w:hAnsi="Arial"/>
          <w:sz w:val="21"/>
          <w:szCs w:val="21"/>
          <w:color w:val="353535"/>
        </w:rPr>
        <w:t>Fixed Rent Chart</w:t>
      </w:r>
    </w:p>
    <w:p>
      <w:pPr>
        <w:spacing w:after="0" w:line="213" w:lineRule="exact"/>
        <w:rPr>
          <w:sz w:val="20"/>
          <w:szCs w:val="20"/>
          <w:color w:val="auto"/>
        </w:rPr>
      </w:pPr>
    </w:p>
    <w:p>
      <w:pPr>
        <w:ind w:left="200"/>
        <w:spacing w:after="0"/>
        <w:rPr>
          <w:sz w:val="20"/>
          <w:szCs w:val="20"/>
          <w:color w:val="auto"/>
        </w:rPr>
      </w:pPr>
      <w:r>
        <w:rPr>
          <w:rFonts w:ascii="Arial" w:cs="Arial" w:eastAsia="Arial" w:hAnsi="Arial"/>
          <w:sz w:val="22"/>
          <w:szCs w:val="22"/>
          <w:color w:val="353535"/>
        </w:rPr>
        <w:t>The Fixed Rent is:</w:t>
      </w:r>
    </w:p>
    <w:p>
      <w:pPr>
        <w:spacing w:after="0" w:line="261" w:lineRule="exact"/>
        <w:rPr>
          <w:sz w:val="20"/>
          <w:szCs w:val="20"/>
          <w:color w:val="auto"/>
        </w:rPr>
      </w:pPr>
    </w:p>
    <w:tbl>
      <w:tblPr>
        <w:tblLayout w:type="fixed"/>
        <w:tblInd w:w="120" w:type="dxa"/>
        <w:tblCellMar>
          <w:top w:w="0" w:type="dxa"/>
          <w:left w:w="0" w:type="dxa"/>
          <w:bottom w:w="0" w:type="dxa"/>
          <w:right w:w="0" w:type="dxa"/>
        </w:tblCellMar>
      </w:tblPr>
      <w:tr>
        <w:trPr>
          <w:trHeight w:val="202"/>
        </w:trPr>
        <w:tc>
          <w:tcPr>
            <w:tcW w:w="120" w:type="dxa"/>
            <w:vAlign w:val="bottom"/>
            <w:tcBorders>
              <w:right w:val="single" w:sz="8" w:color="auto"/>
            </w:tcBorders>
          </w:tcPr>
          <w:p>
            <w:pPr>
              <w:spacing w:after="0"/>
              <w:rPr>
                <w:sz w:val="17"/>
                <w:szCs w:val="17"/>
                <w:color w:val="auto"/>
              </w:rPr>
            </w:pPr>
          </w:p>
        </w:tc>
        <w:tc>
          <w:tcPr>
            <w:tcW w:w="1200" w:type="dxa"/>
            <w:vAlign w:val="bottom"/>
            <w:tcBorders>
              <w:top w:val="single" w:sz="8" w:color="auto"/>
              <w:right w:val="single" w:sz="8" w:color="auto"/>
            </w:tcBorders>
          </w:tcPr>
          <w:p>
            <w:pPr>
              <w:ind w:left="80"/>
              <w:spacing w:after="0" w:line="201" w:lineRule="exact"/>
              <w:rPr>
                <w:sz w:val="20"/>
                <w:szCs w:val="20"/>
                <w:color w:val="auto"/>
              </w:rPr>
            </w:pPr>
            <w:r>
              <w:rPr>
                <w:rFonts w:ascii="Arial" w:cs="Arial" w:eastAsia="Arial" w:hAnsi="Arial"/>
                <w:sz w:val="18"/>
                <w:szCs w:val="18"/>
                <w:color w:val="353535"/>
              </w:rPr>
              <w:t>Premises</w:t>
            </w:r>
          </w:p>
        </w:tc>
        <w:tc>
          <w:tcPr>
            <w:tcW w:w="880" w:type="dxa"/>
            <w:vAlign w:val="bottom"/>
            <w:tcBorders>
              <w:top w:val="single" w:sz="8" w:color="auto"/>
              <w:right w:val="single" w:sz="8" w:color="auto"/>
            </w:tcBorders>
          </w:tcPr>
          <w:p>
            <w:pPr>
              <w:ind w:left="100"/>
              <w:spacing w:after="0" w:line="201" w:lineRule="exact"/>
              <w:rPr>
                <w:sz w:val="20"/>
                <w:szCs w:val="20"/>
                <w:color w:val="auto"/>
              </w:rPr>
            </w:pPr>
            <w:r>
              <w:rPr>
                <w:rFonts w:ascii="Arial" w:cs="Arial" w:eastAsia="Arial" w:hAnsi="Arial"/>
                <w:sz w:val="18"/>
                <w:szCs w:val="18"/>
                <w:color w:val="353535"/>
              </w:rPr>
              <w:t>Rentable</w:t>
            </w:r>
          </w:p>
        </w:tc>
        <w:tc>
          <w:tcPr>
            <w:tcW w:w="1100" w:type="dxa"/>
            <w:vAlign w:val="bottom"/>
            <w:tcBorders>
              <w:top w:val="single" w:sz="8" w:color="auto"/>
              <w:right w:val="single" w:sz="8" w:color="auto"/>
            </w:tcBorders>
          </w:tcPr>
          <w:p>
            <w:pPr>
              <w:ind w:left="100"/>
              <w:spacing w:after="0" w:line="201" w:lineRule="exact"/>
              <w:rPr>
                <w:sz w:val="20"/>
                <w:szCs w:val="20"/>
                <w:color w:val="auto"/>
              </w:rPr>
            </w:pPr>
            <w:r>
              <w:rPr>
                <w:rFonts w:ascii="Arial" w:cs="Arial" w:eastAsia="Arial" w:hAnsi="Arial"/>
                <w:sz w:val="18"/>
                <w:szCs w:val="18"/>
                <w:color w:val="353535"/>
              </w:rPr>
              <w:t>Annual</w:t>
            </w:r>
          </w:p>
        </w:tc>
        <w:tc>
          <w:tcPr>
            <w:tcW w:w="1020" w:type="dxa"/>
            <w:vAlign w:val="bottom"/>
            <w:tcBorders>
              <w:top w:val="single" w:sz="8" w:color="auto"/>
              <w:right w:val="single" w:sz="8" w:color="auto"/>
            </w:tcBorders>
          </w:tcPr>
          <w:p>
            <w:pPr>
              <w:ind w:left="100"/>
              <w:spacing w:after="0" w:line="201" w:lineRule="exact"/>
              <w:rPr>
                <w:sz w:val="20"/>
                <w:szCs w:val="20"/>
                <w:color w:val="auto"/>
              </w:rPr>
            </w:pPr>
            <w:r>
              <w:rPr>
                <w:rFonts w:ascii="Arial" w:cs="Arial" w:eastAsia="Arial" w:hAnsi="Arial"/>
                <w:sz w:val="18"/>
                <w:szCs w:val="18"/>
                <w:color w:val="353535"/>
              </w:rPr>
              <w:t>Monthly</w:t>
            </w:r>
          </w:p>
        </w:tc>
        <w:tc>
          <w:tcPr>
            <w:tcW w:w="1100" w:type="dxa"/>
            <w:vAlign w:val="bottom"/>
            <w:tcBorders>
              <w:top w:val="single" w:sz="8" w:color="auto"/>
              <w:right w:val="single" w:sz="8" w:color="auto"/>
            </w:tcBorders>
          </w:tcPr>
          <w:p>
            <w:pPr>
              <w:ind w:left="100"/>
              <w:spacing w:after="0" w:line="201" w:lineRule="exact"/>
              <w:rPr>
                <w:sz w:val="20"/>
                <w:szCs w:val="20"/>
                <w:color w:val="auto"/>
              </w:rPr>
            </w:pPr>
            <w:r>
              <w:rPr>
                <w:rFonts w:ascii="Arial" w:cs="Arial" w:eastAsia="Arial" w:hAnsi="Arial"/>
                <w:sz w:val="18"/>
                <w:szCs w:val="18"/>
                <w:color w:val="353535"/>
              </w:rPr>
              <w:t>Annual</w:t>
            </w:r>
          </w:p>
        </w:tc>
        <w:tc>
          <w:tcPr>
            <w:tcW w:w="1000" w:type="dxa"/>
            <w:vAlign w:val="bottom"/>
            <w:tcBorders>
              <w:top w:val="single" w:sz="8" w:color="auto"/>
              <w:right w:val="single" w:sz="8" w:color="auto"/>
            </w:tcBorders>
          </w:tcPr>
          <w:p>
            <w:pPr>
              <w:ind w:left="100"/>
              <w:spacing w:after="0" w:line="201" w:lineRule="exact"/>
              <w:rPr>
                <w:sz w:val="20"/>
                <w:szCs w:val="20"/>
                <w:color w:val="auto"/>
              </w:rPr>
            </w:pPr>
            <w:r>
              <w:rPr>
                <w:rFonts w:ascii="Arial" w:cs="Arial" w:eastAsia="Arial" w:hAnsi="Arial"/>
                <w:sz w:val="18"/>
                <w:szCs w:val="18"/>
                <w:color w:val="353535"/>
              </w:rPr>
              <w:t>Monthly</w:t>
            </w:r>
          </w:p>
        </w:tc>
        <w:tc>
          <w:tcPr>
            <w:tcW w:w="1120" w:type="dxa"/>
            <w:vAlign w:val="bottom"/>
            <w:tcBorders>
              <w:top w:val="single" w:sz="8" w:color="auto"/>
              <w:right w:val="single" w:sz="8" w:color="auto"/>
            </w:tcBorders>
          </w:tcPr>
          <w:p>
            <w:pPr>
              <w:ind w:left="100"/>
              <w:spacing w:after="0" w:line="201" w:lineRule="exact"/>
              <w:rPr>
                <w:sz w:val="20"/>
                <w:szCs w:val="20"/>
                <w:color w:val="auto"/>
              </w:rPr>
            </w:pPr>
            <w:r>
              <w:rPr>
                <w:rFonts w:ascii="Arial" w:cs="Arial" w:eastAsia="Arial" w:hAnsi="Arial"/>
                <w:sz w:val="18"/>
                <w:szCs w:val="18"/>
                <w:color w:val="353535"/>
              </w:rPr>
              <w:t>Annual</w:t>
            </w:r>
          </w:p>
        </w:tc>
        <w:tc>
          <w:tcPr>
            <w:tcW w:w="1040" w:type="dxa"/>
            <w:vAlign w:val="bottom"/>
            <w:tcBorders>
              <w:top w:val="single" w:sz="8" w:color="auto"/>
              <w:right w:val="single" w:sz="8" w:color="auto"/>
            </w:tcBorders>
          </w:tcPr>
          <w:p>
            <w:pPr>
              <w:ind w:left="100"/>
              <w:spacing w:after="0" w:line="201" w:lineRule="exact"/>
              <w:rPr>
                <w:sz w:val="20"/>
                <w:szCs w:val="20"/>
                <w:color w:val="auto"/>
              </w:rPr>
            </w:pPr>
            <w:r>
              <w:rPr>
                <w:rFonts w:ascii="Arial" w:cs="Arial" w:eastAsia="Arial" w:hAnsi="Arial"/>
                <w:sz w:val="18"/>
                <w:szCs w:val="18"/>
                <w:color w:val="353535"/>
              </w:rPr>
              <w:t>Monthly</w:t>
            </w:r>
          </w:p>
        </w:tc>
        <w:tc>
          <w:tcPr>
            <w:tcW w:w="800" w:type="dxa"/>
            <w:vAlign w:val="bottom"/>
          </w:tcPr>
          <w:p>
            <w:pPr>
              <w:spacing w:after="0"/>
              <w:rPr>
                <w:sz w:val="17"/>
                <w:szCs w:val="17"/>
                <w:color w:val="auto"/>
              </w:rPr>
            </w:pPr>
          </w:p>
        </w:tc>
      </w:tr>
      <w:tr>
        <w:trPr>
          <w:trHeight w:val="203"/>
        </w:trPr>
        <w:tc>
          <w:tcPr>
            <w:tcW w:w="120" w:type="dxa"/>
            <w:vAlign w:val="bottom"/>
            <w:tcBorders>
              <w:right w:val="single" w:sz="8" w:color="auto"/>
            </w:tcBorders>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353535"/>
              </w:rPr>
              <w:t>Square</w:t>
            </w:r>
          </w:p>
        </w:tc>
        <w:tc>
          <w:tcPr>
            <w:tcW w:w="110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353535"/>
              </w:rPr>
              <w:t>Fixed Rent</w:t>
            </w:r>
          </w:p>
        </w:tc>
        <w:tc>
          <w:tcPr>
            <w:tcW w:w="102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353535"/>
              </w:rPr>
              <w:t>Fixed Rent</w:t>
            </w:r>
          </w:p>
        </w:tc>
        <w:tc>
          <w:tcPr>
            <w:tcW w:w="110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353535"/>
              </w:rPr>
              <w:t>Fixed Rent</w:t>
            </w:r>
          </w:p>
        </w:tc>
        <w:tc>
          <w:tcPr>
            <w:tcW w:w="100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353535"/>
                <w:w w:val="98"/>
              </w:rPr>
              <w:t>Fixed Rent</w:t>
            </w:r>
          </w:p>
        </w:tc>
        <w:tc>
          <w:tcPr>
            <w:tcW w:w="112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353535"/>
              </w:rPr>
              <w:t>Fixed Rent</w:t>
            </w:r>
          </w:p>
        </w:tc>
        <w:tc>
          <w:tcPr>
            <w:tcW w:w="104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353535"/>
              </w:rPr>
              <w:t>Fixed Rent</w:t>
            </w:r>
          </w:p>
        </w:tc>
        <w:tc>
          <w:tcPr>
            <w:tcW w:w="800" w:type="dxa"/>
            <w:vAlign w:val="bottom"/>
          </w:tcPr>
          <w:p>
            <w:pPr>
              <w:spacing w:after="0"/>
              <w:rPr>
                <w:sz w:val="17"/>
                <w:szCs w:val="17"/>
                <w:color w:val="auto"/>
              </w:rPr>
            </w:pPr>
          </w:p>
        </w:tc>
      </w:tr>
      <w:tr>
        <w:trPr>
          <w:trHeight w:val="189"/>
        </w:trPr>
        <w:tc>
          <w:tcPr>
            <w:tcW w:w="12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ind w:left="100"/>
              <w:spacing w:after="0" w:line="189" w:lineRule="exact"/>
              <w:rPr>
                <w:sz w:val="20"/>
                <w:szCs w:val="20"/>
                <w:color w:val="auto"/>
              </w:rPr>
            </w:pPr>
            <w:r>
              <w:rPr>
                <w:rFonts w:ascii="Arial" w:cs="Arial" w:eastAsia="Arial" w:hAnsi="Arial"/>
                <w:sz w:val="18"/>
                <w:szCs w:val="18"/>
                <w:color w:val="353535"/>
              </w:rPr>
              <w:t>Feet</w:t>
            </w:r>
          </w:p>
        </w:tc>
        <w:tc>
          <w:tcPr>
            <w:tcW w:w="1100" w:type="dxa"/>
            <w:vAlign w:val="bottom"/>
            <w:tcBorders>
              <w:right w:val="single" w:sz="8" w:color="auto"/>
            </w:tcBorders>
          </w:tcPr>
          <w:p>
            <w:pPr>
              <w:ind w:left="100"/>
              <w:spacing w:after="0" w:line="189" w:lineRule="exact"/>
              <w:rPr>
                <w:sz w:val="20"/>
                <w:szCs w:val="20"/>
                <w:color w:val="auto"/>
              </w:rPr>
            </w:pPr>
            <w:r>
              <w:rPr>
                <w:rFonts w:ascii="Arial" w:cs="Arial" w:eastAsia="Arial" w:hAnsi="Arial"/>
                <w:sz w:val="18"/>
                <w:szCs w:val="18"/>
                <w:color w:val="353535"/>
              </w:rPr>
              <w:t>as of</w:t>
            </w:r>
          </w:p>
        </w:tc>
        <w:tc>
          <w:tcPr>
            <w:tcW w:w="1020" w:type="dxa"/>
            <w:vAlign w:val="bottom"/>
            <w:tcBorders>
              <w:right w:val="single" w:sz="8" w:color="auto"/>
            </w:tcBorders>
          </w:tcPr>
          <w:p>
            <w:pPr>
              <w:ind w:left="100"/>
              <w:spacing w:after="0" w:line="189" w:lineRule="exact"/>
              <w:rPr>
                <w:sz w:val="20"/>
                <w:szCs w:val="20"/>
                <w:color w:val="auto"/>
              </w:rPr>
            </w:pPr>
            <w:r>
              <w:rPr>
                <w:rFonts w:ascii="Arial" w:cs="Arial" w:eastAsia="Arial" w:hAnsi="Arial"/>
                <w:sz w:val="18"/>
                <w:szCs w:val="18"/>
                <w:color w:val="353535"/>
              </w:rPr>
              <w:t>as of</w:t>
            </w:r>
          </w:p>
        </w:tc>
        <w:tc>
          <w:tcPr>
            <w:tcW w:w="1100" w:type="dxa"/>
            <w:vAlign w:val="bottom"/>
            <w:tcBorders>
              <w:right w:val="single" w:sz="8" w:color="auto"/>
            </w:tcBorders>
          </w:tcPr>
          <w:p>
            <w:pPr>
              <w:ind w:left="100"/>
              <w:spacing w:after="0" w:line="189" w:lineRule="exact"/>
              <w:rPr>
                <w:sz w:val="20"/>
                <w:szCs w:val="20"/>
                <w:color w:val="auto"/>
              </w:rPr>
            </w:pPr>
            <w:r>
              <w:rPr>
                <w:rFonts w:ascii="Arial" w:cs="Arial" w:eastAsia="Arial" w:hAnsi="Arial"/>
                <w:sz w:val="18"/>
                <w:szCs w:val="18"/>
                <w:color w:val="353535"/>
              </w:rPr>
              <w:t>beginning</w:t>
            </w:r>
          </w:p>
        </w:tc>
        <w:tc>
          <w:tcPr>
            <w:tcW w:w="1000" w:type="dxa"/>
            <w:vAlign w:val="bottom"/>
            <w:tcBorders>
              <w:right w:val="single" w:sz="8" w:color="auto"/>
            </w:tcBorders>
          </w:tcPr>
          <w:p>
            <w:pPr>
              <w:ind w:left="100"/>
              <w:spacing w:after="0" w:line="189" w:lineRule="exact"/>
              <w:rPr>
                <w:sz w:val="20"/>
                <w:szCs w:val="20"/>
                <w:color w:val="auto"/>
              </w:rPr>
            </w:pPr>
            <w:r>
              <w:rPr>
                <w:rFonts w:ascii="Arial" w:cs="Arial" w:eastAsia="Arial" w:hAnsi="Arial"/>
                <w:sz w:val="18"/>
                <w:szCs w:val="18"/>
                <w:color w:val="353535"/>
              </w:rPr>
              <w:t>beginning</w:t>
            </w:r>
          </w:p>
        </w:tc>
        <w:tc>
          <w:tcPr>
            <w:tcW w:w="1120" w:type="dxa"/>
            <w:vAlign w:val="bottom"/>
            <w:tcBorders>
              <w:right w:val="single" w:sz="8" w:color="auto"/>
            </w:tcBorders>
          </w:tcPr>
          <w:p>
            <w:pPr>
              <w:ind w:left="100"/>
              <w:spacing w:after="0" w:line="189" w:lineRule="exact"/>
              <w:rPr>
                <w:sz w:val="20"/>
                <w:szCs w:val="20"/>
                <w:color w:val="auto"/>
              </w:rPr>
            </w:pPr>
            <w:r>
              <w:rPr>
                <w:rFonts w:ascii="Arial" w:cs="Arial" w:eastAsia="Arial" w:hAnsi="Arial"/>
                <w:sz w:val="18"/>
                <w:szCs w:val="18"/>
                <w:color w:val="353535"/>
              </w:rPr>
              <w:t>beginning</w:t>
            </w:r>
          </w:p>
        </w:tc>
        <w:tc>
          <w:tcPr>
            <w:tcW w:w="1040" w:type="dxa"/>
            <w:vAlign w:val="bottom"/>
            <w:tcBorders>
              <w:right w:val="single" w:sz="8" w:color="auto"/>
            </w:tcBorders>
          </w:tcPr>
          <w:p>
            <w:pPr>
              <w:ind w:left="100"/>
              <w:spacing w:after="0" w:line="189" w:lineRule="exact"/>
              <w:rPr>
                <w:sz w:val="20"/>
                <w:szCs w:val="20"/>
                <w:color w:val="auto"/>
              </w:rPr>
            </w:pPr>
            <w:r>
              <w:rPr>
                <w:rFonts w:ascii="Arial" w:cs="Arial" w:eastAsia="Arial" w:hAnsi="Arial"/>
                <w:sz w:val="18"/>
                <w:szCs w:val="18"/>
                <w:color w:val="353535"/>
              </w:rPr>
              <w:t>beginning</w:t>
            </w:r>
          </w:p>
        </w:tc>
        <w:tc>
          <w:tcPr>
            <w:tcW w:w="800" w:type="dxa"/>
            <w:vAlign w:val="bottom"/>
          </w:tcPr>
          <w:p>
            <w:pPr>
              <w:spacing w:after="0"/>
              <w:rPr>
                <w:sz w:val="16"/>
                <w:szCs w:val="16"/>
                <w:color w:val="auto"/>
              </w:rPr>
            </w:pPr>
          </w:p>
        </w:tc>
      </w:tr>
      <w:tr>
        <w:trPr>
          <w:trHeight w:val="230"/>
        </w:trPr>
        <w:tc>
          <w:tcPr>
            <w:tcW w:w="120" w:type="dxa"/>
            <w:vAlign w:val="bottom"/>
            <w:tcBorders>
              <w:right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353535"/>
              </w:rPr>
              <w:t>3/31/2020</w:t>
            </w:r>
          </w:p>
        </w:tc>
        <w:tc>
          <w:tcPr>
            <w:tcW w:w="10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353535"/>
              </w:rPr>
              <w:t>3/31/2020</w:t>
            </w:r>
          </w:p>
        </w:tc>
        <w:tc>
          <w:tcPr>
            <w:tcW w:w="11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353535"/>
              </w:rPr>
              <w:t>6/7/2020</w:t>
            </w: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353535"/>
              </w:rPr>
              <w:t>6/7/2020</w:t>
            </w:r>
          </w:p>
        </w:tc>
        <w:tc>
          <w:tcPr>
            <w:tcW w:w="1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353535"/>
              </w:rPr>
              <w:t>2/1/2021</w:t>
            </w:r>
          </w:p>
        </w:tc>
        <w:tc>
          <w:tcPr>
            <w:tcW w:w="1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353535"/>
              </w:rPr>
              <w:t>2/1/2021</w:t>
            </w:r>
          </w:p>
        </w:tc>
        <w:tc>
          <w:tcPr>
            <w:tcW w:w="800" w:type="dxa"/>
            <w:vAlign w:val="bottom"/>
          </w:tcPr>
          <w:p>
            <w:pPr>
              <w:spacing w:after="0"/>
              <w:rPr>
                <w:sz w:val="20"/>
                <w:szCs w:val="20"/>
                <w:color w:val="auto"/>
              </w:rPr>
            </w:pPr>
          </w:p>
        </w:tc>
      </w:tr>
      <w:tr>
        <w:trPr>
          <w:trHeight w:val="195"/>
        </w:trPr>
        <w:tc>
          <w:tcPr>
            <w:tcW w:w="12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353535"/>
              </w:rPr>
              <w:t>Office Space</w:t>
            </w:r>
          </w:p>
        </w:tc>
        <w:tc>
          <w:tcPr>
            <w:tcW w:w="88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353535"/>
              </w:rPr>
              <w:t>1,484</w:t>
            </w:r>
          </w:p>
        </w:tc>
        <w:tc>
          <w:tcPr>
            <w:tcW w:w="110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353535"/>
              </w:rPr>
              <w:t>$43933.80</w:t>
            </w:r>
          </w:p>
        </w:tc>
        <w:tc>
          <w:tcPr>
            <w:tcW w:w="102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353535"/>
              </w:rPr>
              <w:t>$3,661.15</w:t>
            </w:r>
          </w:p>
        </w:tc>
        <w:tc>
          <w:tcPr>
            <w:tcW w:w="110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353535"/>
              </w:rPr>
              <w:t>$45,691.20</w:t>
            </w:r>
          </w:p>
        </w:tc>
        <w:tc>
          <w:tcPr>
            <w:tcW w:w="100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353535"/>
              </w:rPr>
              <w:t>$3807.60</w:t>
            </w:r>
          </w:p>
        </w:tc>
        <w:tc>
          <w:tcPr>
            <w:tcW w:w="1120" w:type="dxa"/>
            <w:vAlign w:val="bottom"/>
            <w:tcBorders>
              <w:right w:val="single" w:sz="8" w:color="auto"/>
            </w:tcBorders>
          </w:tcPr>
          <w:p>
            <w:pPr>
              <w:ind w:left="120"/>
              <w:spacing w:after="0" w:line="195" w:lineRule="exact"/>
              <w:rPr>
                <w:sz w:val="20"/>
                <w:szCs w:val="20"/>
                <w:color w:val="auto"/>
              </w:rPr>
            </w:pPr>
            <w:r>
              <w:rPr>
                <w:rFonts w:ascii="Arial" w:cs="Arial" w:eastAsia="Arial" w:hAnsi="Arial"/>
                <w:sz w:val="18"/>
                <w:szCs w:val="18"/>
                <w:color w:val="353535"/>
              </w:rPr>
              <w:t>$38,565.36</w:t>
            </w:r>
          </w:p>
        </w:tc>
        <w:tc>
          <w:tcPr>
            <w:tcW w:w="104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353535"/>
              </w:rPr>
              <w:t>$3,213.78</w:t>
            </w:r>
          </w:p>
        </w:tc>
        <w:tc>
          <w:tcPr>
            <w:tcW w:w="800" w:type="dxa"/>
            <w:vAlign w:val="bottom"/>
          </w:tcPr>
          <w:p>
            <w:pPr>
              <w:spacing w:after="0"/>
              <w:rPr>
                <w:sz w:val="16"/>
                <w:szCs w:val="16"/>
                <w:color w:val="auto"/>
              </w:rPr>
            </w:pPr>
          </w:p>
        </w:tc>
      </w:tr>
      <w:tr>
        <w:trPr>
          <w:trHeight w:val="216"/>
        </w:trPr>
        <w:tc>
          <w:tcPr>
            <w:tcW w:w="12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353535"/>
              </w:rPr>
              <w:t>(M and N</w:t>
            </w:r>
          </w:p>
        </w:tc>
        <w:tc>
          <w:tcPr>
            <w:tcW w:w="88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r>
      <w:tr>
        <w:trPr>
          <w:trHeight w:val="230"/>
        </w:trPr>
        <w:tc>
          <w:tcPr>
            <w:tcW w:w="120" w:type="dxa"/>
            <w:vAlign w:val="bottom"/>
            <w:tcBorders>
              <w:right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353535"/>
              </w:rPr>
              <w:t>Building)</w:t>
            </w:r>
          </w:p>
        </w:tc>
        <w:tc>
          <w:tcPr>
            <w:tcW w:w="88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spacing w:after="0"/>
              <w:rPr>
                <w:sz w:val="20"/>
                <w:szCs w:val="20"/>
                <w:color w:val="auto"/>
              </w:rPr>
            </w:pPr>
          </w:p>
        </w:tc>
        <w:tc>
          <w:tcPr>
            <w:tcW w:w="800" w:type="dxa"/>
            <w:vAlign w:val="bottom"/>
          </w:tcPr>
          <w:p>
            <w:pPr>
              <w:spacing w:after="0"/>
              <w:rPr>
                <w:sz w:val="20"/>
                <w:szCs w:val="20"/>
                <w:color w:val="auto"/>
              </w:rPr>
            </w:pPr>
          </w:p>
        </w:tc>
      </w:tr>
      <w:tr>
        <w:trPr>
          <w:trHeight w:val="195"/>
        </w:trPr>
        <w:tc>
          <w:tcPr>
            <w:tcW w:w="12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353535"/>
              </w:rPr>
              <w:t>Fab Space</w:t>
            </w:r>
          </w:p>
        </w:tc>
        <w:tc>
          <w:tcPr>
            <w:tcW w:w="88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353535"/>
              </w:rPr>
              <w:t>10,012</w:t>
            </w:r>
          </w:p>
        </w:tc>
        <w:tc>
          <w:tcPr>
            <w:tcW w:w="110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353535"/>
                <w:w w:val="95"/>
              </w:rPr>
              <w:t>$879,964.08</w:t>
            </w:r>
          </w:p>
        </w:tc>
        <w:tc>
          <w:tcPr>
            <w:tcW w:w="102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353535"/>
                <w:w w:val="97"/>
              </w:rPr>
              <w:t>$73,330.34</w:t>
            </w:r>
          </w:p>
        </w:tc>
        <w:tc>
          <w:tcPr>
            <w:tcW w:w="110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353535"/>
                <w:w w:val="95"/>
              </w:rPr>
              <w:t>$915,162.60</w:t>
            </w:r>
          </w:p>
        </w:tc>
        <w:tc>
          <w:tcPr>
            <w:tcW w:w="100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353535"/>
                <w:w w:val="95"/>
              </w:rPr>
              <w:t>$76,263.55</w:t>
            </w:r>
          </w:p>
        </w:tc>
        <w:tc>
          <w:tcPr>
            <w:tcW w:w="1120" w:type="dxa"/>
            <w:vAlign w:val="bottom"/>
            <w:tcBorders>
              <w:right w:val="single" w:sz="8" w:color="auto"/>
            </w:tcBorders>
          </w:tcPr>
          <w:p>
            <w:pPr>
              <w:ind w:left="120"/>
              <w:spacing w:after="0" w:line="195" w:lineRule="exact"/>
              <w:rPr>
                <w:sz w:val="20"/>
                <w:szCs w:val="20"/>
                <w:color w:val="auto"/>
              </w:rPr>
            </w:pPr>
            <w:r>
              <w:rPr>
                <w:rFonts w:ascii="Arial" w:cs="Arial" w:eastAsia="Arial" w:hAnsi="Arial"/>
                <w:sz w:val="18"/>
                <w:szCs w:val="18"/>
                <w:color w:val="353535"/>
                <w:w w:val="95"/>
              </w:rPr>
              <w:t>$772,434.60</w:t>
            </w:r>
          </w:p>
        </w:tc>
        <w:tc>
          <w:tcPr>
            <w:tcW w:w="104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353535"/>
                <w:w w:val="99"/>
              </w:rPr>
              <w:t>$64,369.55</w:t>
            </w:r>
          </w:p>
        </w:tc>
        <w:tc>
          <w:tcPr>
            <w:tcW w:w="800" w:type="dxa"/>
            <w:vAlign w:val="bottom"/>
          </w:tcPr>
          <w:p>
            <w:pPr>
              <w:spacing w:after="0"/>
              <w:rPr>
                <w:sz w:val="16"/>
                <w:szCs w:val="16"/>
                <w:color w:val="auto"/>
              </w:rPr>
            </w:pPr>
          </w:p>
        </w:tc>
      </w:tr>
      <w:tr>
        <w:trPr>
          <w:trHeight w:val="230"/>
        </w:trPr>
        <w:tc>
          <w:tcPr>
            <w:tcW w:w="120" w:type="dxa"/>
            <w:vAlign w:val="bottom"/>
            <w:tcBorders>
              <w:right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353535"/>
              </w:rPr>
              <w:t>(A Building)</w:t>
            </w:r>
          </w:p>
        </w:tc>
        <w:tc>
          <w:tcPr>
            <w:tcW w:w="88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spacing w:after="0"/>
              <w:rPr>
                <w:sz w:val="20"/>
                <w:szCs w:val="20"/>
                <w:color w:val="auto"/>
              </w:rPr>
            </w:pPr>
          </w:p>
        </w:tc>
        <w:tc>
          <w:tcPr>
            <w:tcW w:w="800" w:type="dxa"/>
            <w:vAlign w:val="bottom"/>
          </w:tcPr>
          <w:p>
            <w:pPr>
              <w:spacing w:after="0"/>
              <w:rPr>
                <w:sz w:val="20"/>
                <w:szCs w:val="20"/>
                <w:color w:val="auto"/>
              </w:rPr>
            </w:pPr>
          </w:p>
        </w:tc>
      </w:tr>
      <w:tr>
        <w:trPr>
          <w:trHeight w:val="183"/>
        </w:trPr>
        <w:tc>
          <w:tcPr>
            <w:tcW w:w="120" w:type="dxa"/>
            <w:vAlign w:val="bottom"/>
            <w:tcBorders>
              <w:right w:val="single" w:sz="8" w:color="auto"/>
            </w:tcBorders>
          </w:tcPr>
          <w:p>
            <w:pPr>
              <w:spacing w:after="0"/>
              <w:rPr>
                <w:sz w:val="15"/>
                <w:szCs w:val="15"/>
                <w:color w:val="auto"/>
              </w:rPr>
            </w:pPr>
          </w:p>
        </w:tc>
        <w:tc>
          <w:tcPr>
            <w:tcW w:w="1200" w:type="dxa"/>
            <w:vAlign w:val="bottom"/>
            <w:tcBorders>
              <w:bottom w:val="single" w:sz="8" w:color="auto"/>
              <w:right w:val="single" w:sz="8" w:color="auto"/>
            </w:tcBorders>
          </w:tcPr>
          <w:p>
            <w:pPr>
              <w:ind w:left="80"/>
              <w:spacing w:after="0" w:line="182" w:lineRule="exact"/>
              <w:rPr>
                <w:sz w:val="20"/>
                <w:szCs w:val="20"/>
                <w:color w:val="auto"/>
              </w:rPr>
            </w:pPr>
            <w:r>
              <w:rPr>
                <w:rFonts w:ascii="Arial" w:cs="Arial" w:eastAsia="Arial" w:hAnsi="Arial"/>
                <w:sz w:val="18"/>
                <w:szCs w:val="18"/>
                <w:color w:val="353535"/>
              </w:rPr>
              <w:t>Total</w:t>
            </w:r>
          </w:p>
        </w:tc>
        <w:tc>
          <w:tcPr>
            <w:tcW w:w="880" w:type="dxa"/>
            <w:vAlign w:val="bottom"/>
            <w:tcBorders>
              <w:bottom w:val="single" w:sz="8" w:color="auto"/>
              <w:right w:val="single" w:sz="8" w:color="auto"/>
            </w:tcBorders>
          </w:tcPr>
          <w:p>
            <w:pPr>
              <w:ind w:left="100"/>
              <w:spacing w:after="0" w:line="182" w:lineRule="exact"/>
              <w:rPr>
                <w:sz w:val="20"/>
                <w:szCs w:val="20"/>
                <w:color w:val="auto"/>
              </w:rPr>
            </w:pPr>
            <w:r>
              <w:rPr>
                <w:rFonts w:ascii="Arial" w:cs="Arial" w:eastAsia="Arial" w:hAnsi="Arial"/>
                <w:sz w:val="18"/>
                <w:szCs w:val="18"/>
                <w:color w:val="353535"/>
              </w:rPr>
              <w:t>11,496</w:t>
            </w:r>
          </w:p>
        </w:tc>
        <w:tc>
          <w:tcPr>
            <w:tcW w:w="1100" w:type="dxa"/>
            <w:vAlign w:val="bottom"/>
            <w:tcBorders>
              <w:bottom w:val="single" w:sz="8" w:color="auto"/>
              <w:right w:val="single" w:sz="8" w:color="auto"/>
            </w:tcBorders>
          </w:tcPr>
          <w:p>
            <w:pPr>
              <w:ind w:left="100"/>
              <w:spacing w:after="0" w:line="182" w:lineRule="exact"/>
              <w:rPr>
                <w:sz w:val="20"/>
                <w:szCs w:val="20"/>
                <w:color w:val="auto"/>
              </w:rPr>
            </w:pPr>
            <w:r>
              <w:rPr>
                <w:rFonts w:ascii="Arial" w:cs="Arial" w:eastAsia="Arial" w:hAnsi="Arial"/>
                <w:sz w:val="18"/>
                <w:szCs w:val="18"/>
                <w:color w:val="353535"/>
                <w:w w:val="95"/>
              </w:rPr>
              <w:t>$923,897.88</w:t>
            </w:r>
          </w:p>
        </w:tc>
        <w:tc>
          <w:tcPr>
            <w:tcW w:w="1020" w:type="dxa"/>
            <w:vAlign w:val="bottom"/>
            <w:tcBorders>
              <w:bottom w:val="single" w:sz="8" w:color="auto"/>
              <w:right w:val="single" w:sz="8" w:color="auto"/>
            </w:tcBorders>
          </w:tcPr>
          <w:p>
            <w:pPr>
              <w:ind w:left="100"/>
              <w:spacing w:after="0" w:line="182" w:lineRule="exact"/>
              <w:rPr>
                <w:sz w:val="20"/>
                <w:szCs w:val="20"/>
                <w:color w:val="auto"/>
              </w:rPr>
            </w:pPr>
            <w:r>
              <w:rPr>
                <w:rFonts w:ascii="Arial" w:cs="Arial" w:eastAsia="Arial" w:hAnsi="Arial"/>
                <w:sz w:val="18"/>
                <w:szCs w:val="18"/>
                <w:color w:val="353535"/>
                <w:w w:val="97"/>
              </w:rPr>
              <w:t>$76,991.49</w:t>
            </w:r>
          </w:p>
        </w:tc>
        <w:tc>
          <w:tcPr>
            <w:tcW w:w="1100" w:type="dxa"/>
            <w:vAlign w:val="bottom"/>
            <w:tcBorders>
              <w:bottom w:val="single" w:sz="8" w:color="auto"/>
              <w:right w:val="single" w:sz="8" w:color="auto"/>
            </w:tcBorders>
          </w:tcPr>
          <w:p>
            <w:pPr>
              <w:ind w:left="100"/>
              <w:spacing w:after="0" w:line="182" w:lineRule="exact"/>
              <w:rPr>
                <w:sz w:val="20"/>
                <w:szCs w:val="20"/>
                <w:color w:val="auto"/>
              </w:rPr>
            </w:pPr>
            <w:r>
              <w:rPr>
                <w:rFonts w:ascii="Arial" w:cs="Arial" w:eastAsia="Arial" w:hAnsi="Arial"/>
                <w:sz w:val="18"/>
                <w:szCs w:val="18"/>
                <w:color w:val="353535"/>
                <w:w w:val="95"/>
              </w:rPr>
              <w:t>$960,853.80</w:t>
            </w:r>
          </w:p>
        </w:tc>
        <w:tc>
          <w:tcPr>
            <w:tcW w:w="1000" w:type="dxa"/>
            <w:vAlign w:val="bottom"/>
            <w:tcBorders>
              <w:bottom w:val="single" w:sz="8" w:color="auto"/>
              <w:right w:val="single" w:sz="8" w:color="auto"/>
            </w:tcBorders>
          </w:tcPr>
          <w:p>
            <w:pPr>
              <w:ind w:left="100"/>
              <w:spacing w:after="0" w:line="182" w:lineRule="exact"/>
              <w:rPr>
                <w:sz w:val="20"/>
                <w:szCs w:val="20"/>
                <w:color w:val="auto"/>
              </w:rPr>
            </w:pPr>
            <w:r>
              <w:rPr>
                <w:rFonts w:ascii="Arial" w:cs="Arial" w:eastAsia="Arial" w:hAnsi="Arial"/>
                <w:sz w:val="18"/>
                <w:szCs w:val="18"/>
                <w:color w:val="353535"/>
                <w:w w:val="95"/>
              </w:rPr>
              <w:t>$80,071.15</w:t>
            </w:r>
          </w:p>
        </w:tc>
        <w:tc>
          <w:tcPr>
            <w:tcW w:w="1120" w:type="dxa"/>
            <w:vAlign w:val="bottom"/>
            <w:tcBorders>
              <w:bottom w:val="single" w:sz="8" w:color="auto"/>
              <w:right w:val="single" w:sz="8" w:color="auto"/>
            </w:tcBorders>
          </w:tcPr>
          <w:p>
            <w:pPr>
              <w:ind w:left="120"/>
              <w:spacing w:after="0" w:line="182" w:lineRule="exact"/>
              <w:rPr>
                <w:sz w:val="20"/>
                <w:szCs w:val="20"/>
                <w:color w:val="auto"/>
              </w:rPr>
            </w:pPr>
            <w:r>
              <w:rPr>
                <w:rFonts w:ascii="Arial" w:cs="Arial" w:eastAsia="Arial" w:hAnsi="Arial"/>
                <w:sz w:val="18"/>
                <w:szCs w:val="18"/>
                <w:color w:val="353535"/>
                <w:w w:val="95"/>
              </w:rPr>
              <w:t>$810,999.96</w:t>
            </w:r>
          </w:p>
        </w:tc>
        <w:tc>
          <w:tcPr>
            <w:tcW w:w="1040" w:type="dxa"/>
            <w:vAlign w:val="bottom"/>
            <w:tcBorders>
              <w:bottom w:val="single" w:sz="8" w:color="auto"/>
              <w:right w:val="single" w:sz="8" w:color="auto"/>
            </w:tcBorders>
          </w:tcPr>
          <w:p>
            <w:pPr>
              <w:ind w:left="100"/>
              <w:spacing w:after="0" w:line="182" w:lineRule="exact"/>
              <w:rPr>
                <w:sz w:val="20"/>
                <w:szCs w:val="20"/>
                <w:color w:val="auto"/>
              </w:rPr>
            </w:pPr>
            <w:r>
              <w:rPr>
                <w:rFonts w:ascii="Arial" w:cs="Arial" w:eastAsia="Arial" w:hAnsi="Arial"/>
                <w:sz w:val="18"/>
                <w:szCs w:val="18"/>
                <w:color w:val="353535"/>
                <w:w w:val="99"/>
              </w:rPr>
              <w:t>$67,583.33</w:t>
            </w:r>
          </w:p>
        </w:tc>
        <w:tc>
          <w:tcPr>
            <w:tcW w:w="800" w:type="dxa"/>
            <w:vAlign w:val="bottom"/>
          </w:tcPr>
          <w:p>
            <w:pPr>
              <w:spacing w:after="0"/>
              <w:rPr>
                <w:sz w:val="15"/>
                <w:szCs w:val="15"/>
                <w:color w:val="auto"/>
              </w:rPr>
            </w:pPr>
          </w:p>
        </w:tc>
      </w:tr>
      <w:tr>
        <w:trPr>
          <w:trHeight w:val="743"/>
        </w:trPr>
        <w:tc>
          <w:tcPr>
            <w:tcW w:w="1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r>
    </w:tbl>
    <w:p>
      <w:pPr>
        <w:sectPr>
          <w:pgSz w:w="11900" w:h="16838" w:orient="portrait"/>
          <w:cols w:equalWidth="0" w:num="1">
            <w:col w:w="9500"/>
          </w:cols>
          <w:pgMar w:left="1440" w:top="199" w:right="959" w:bottom="1440" w:gutter="0" w:footer="0" w:header="0"/>
        </w:sectPr>
      </w:pPr>
    </w:p>
    <w:bookmarkStart w:id="64" w:name="page65"/>
    <w:bookmarkEnd w:id="64"/>
    <w:p>
      <w:pPr>
        <w:ind w:left="3780"/>
        <w:spacing w:after="0"/>
        <w:rPr>
          <w:sz w:val="20"/>
          <w:szCs w:val="20"/>
          <w:color w:val="auto"/>
        </w:rPr>
      </w:pPr>
      <w:r>
        <w:rPr>
          <w:rFonts w:ascii="Arial" w:cs="Arial" w:eastAsia="Arial" w:hAnsi="Arial"/>
          <w:sz w:val="22"/>
          <w:szCs w:val="22"/>
          <w:color w:val="auto"/>
        </w:rPr>
        <w:t>Schedule 2</w:t>
      </w:r>
    </w:p>
    <w:p>
      <w:pPr>
        <w:spacing w:after="0" w:line="228" w:lineRule="exact"/>
        <w:rPr>
          <w:sz w:val="20"/>
          <w:szCs w:val="20"/>
          <w:color w:val="auto"/>
        </w:rPr>
      </w:pPr>
    </w:p>
    <w:p>
      <w:pPr>
        <w:jc w:val="center"/>
        <w:ind w:right="719"/>
        <w:spacing w:after="0"/>
        <w:rPr>
          <w:sz w:val="20"/>
          <w:szCs w:val="20"/>
          <w:color w:val="auto"/>
        </w:rPr>
      </w:pPr>
      <w:r>
        <w:rPr>
          <w:rFonts w:ascii="Arial" w:cs="Arial" w:eastAsia="Arial" w:hAnsi="Arial"/>
          <w:sz w:val="22"/>
          <w:szCs w:val="22"/>
          <w:color w:val="auto"/>
        </w:rPr>
        <w:t>EXHIBIT J</w:t>
      </w:r>
    </w:p>
    <w:p>
      <w:pPr>
        <w:jc w:val="center"/>
        <w:ind w:right="719"/>
        <w:spacing w:after="0" w:line="225" w:lineRule="auto"/>
        <w:rPr>
          <w:sz w:val="20"/>
          <w:szCs w:val="20"/>
          <w:color w:val="auto"/>
        </w:rPr>
      </w:pPr>
      <w:r>
        <w:rPr>
          <w:rFonts w:ascii="Arial" w:cs="Arial" w:eastAsia="Arial" w:hAnsi="Arial"/>
          <w:sz w:val="22"/>
          <w:szCs w:val="22"/>
          <w:color w:val="353535"/>
        </w:rPr>
        <w:t xml:space="preserve">Additional Rent @ Up to 75wspw MRAM </w:t>
      </w:r>
      <w:r>
        <w:rPr>
          <w:rFonts w:ascii="Arial" w:cs="Arial" w:eastAsia="Arial" w:hAnsi="Arial"/>
          <w:sz w:val="20"/>
          <w:szCs w:val="20"/>
          <w:color w:val="353535"/>
        </w:rPr>
        <w:t>Module</w:t>
      </w:r>
    </w:p>
    <w:p>
      <w:pPr>
        <w:ind w:left="3800"/>
        <w:spacing w:after="0"/>
        <w:rPr>
          <w:sz w:val="20"/>
          <w:szCs w:val="20"/>
          <w:color w:val="auto"/>
        </w:rPr>
      </w:pPr>
      <w:r>
        <w:rPr>
          <w:rFonts w:ascii="Arial" w:cs="Arial" w:eastAsia="Arial" w:hAnsi="Arial"/>
          <w:sz w:val="21"/>
          <w:szCs w:val="21"/>
          <w:color w:val="353535"/>
        </w:rPr>
        <w:t>Equivalent</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00" w:type="dxa"/>
            <w:vAlign w:val="bottom"/>
            <w:tcBorders>
              <w:right w:val="single" w:sz="8" w:color="auto"/>
            </w:tcBorders>
          </w:tcPr>
          <w:p>
            <w:pPr>
              <w:spacing w:after="0"/>
              <w:rPr>
                <w:sz w:val="17"/>
                <w:szCs w:val="17"/>
                <w:color w:val="auto"/>
              </w:rPr>
            </w:pPr>
          </w:p>
        </w:tc>
        <w:tc>
          <w:tcPr>
            <w:tcW w:w="7820" w:type="dxa"/>
            <w:vAlign w:val="bottom"/>
            <w:tcBorders>
              <w:top w:val="single" w:sz="8" w:color="auto"/>
              <w:bottom w:val="single" w:sz="8" w:color="auto"/>
              <w:right w:val="single" w:sz="8" w:color="auto"/>
            </w:tcBorders>
            <w:gridSpan w:val="2"/>
          </w:tcPr>
          <w:p>
            <w:pPr>
              <w:ind w:left="100"/>
              <w:spacing w:after="0" w:line="202" w:lineRule="exact"/>
              <w:rPr>
                <w:sz w:val="20"/>
                <w:szCs w:val="20"/>
                <w:color w:val="auto"/>
              </w:rPr>
            </w:pPr>
            <w:r>
              <w:rPr>
                <w:rFonts w:ascii="Arial" w:cs="Arial" w:eastAsia="Arial" w:hAnsi="Arial"/>
                <w:sz w:val="18"/>
                <w:szCs w:val="18"/>
                <w:color w:val="353535"/>
              </w:rPr>
              <w:t>Manufacturing Services</w:t>
            </w:r>
          </w:p>
        </w:tc>
        <w:tc>
          <w:tcPr>
            <w:tcW w:w="1180" w:type="dxa"/>
            <w:vAlign w:val="bottom"/>
            <w:tcBorders>
              <w:top w:val="single" w:sz="8" w:color="auto"/>
              <w:bottom w:val="single" w:sz="8" w:color="auto"/>
            </w:tcBorders>
          </w:tcPr>
          <w:p>
            <w:pPr>
              <w:spacing w:after="0"/>
              <w:rPr>
                <w:sz w:val="17"/>
                <w:szCs w:val="17"/>
                <w:color w:val="auto"/>
              </w:rPr>
            </w:pPr>
          </w:p>
        </w:tc>
        <w:tc>
          <w:tcPr>
            <w:tcW w:w="60" w:type="dxa"/>
            <w:vAlign w:val="bottom"/>
            <w:tcBorders>
              <w:top w:val="single" w:sz="8" w:color="auto"/>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00" w:type="dxa"/>
            <w:vAlign w:val="bottom"/>
            <w:tcBorders>
              <w:right w:val="single" w:sz="8" w:color="auto"/>
            </w:tcBorders>
          </w:tcPr>
          <w:p>
            <w:pPr>
              <w:spacing w:after="0"/>
              <w:rPr>
                <w:sz w:val="15"/>
                <w:szCs w:val="15"/>
                <w:color w:val="auto"/>
              </w:rPr>
            </w:pPr>
          </w:p>
        </w:tc>
        <w:tc>
          <w:tcPr>
            <w:tcW w:w="400" w:type="dxa"/>
            <w:vAlign w:val="bottom"/>
            <w:tcBorders>
              <w:bottom w:val="single" w:sz="8" w:color="auto"/>
              <w:right w:val="single" w:sz="8" w:color="auto"/>
            </w:tcBorders>
          </w:tcPr>
          <w:p>
            <w:pPr>
              <w:ind w:left="100"/>
              <w:spacing w:after="0" w:line="182" w:lineRule="exact"/>
              <w:rPr>
                <w:sz w:val="20"/>
                <w:szCs w:val="20"/>
                <w:color w:val="auto"/>
              </w:rPr>
            </w:pPr>
            <w:r>
              <w:rPr>
                <w:rFonts w:ascii="Arial" w:cs="Arial" w:eastAsia="Arial" w:hAnsi="Arial"/>
                <w:sz w:val="18"/>
                <w:szCs w:val="18"/>
                <w:color w:val="auto"/>
              </w:rPr>
              <w:t>1.</w:t>
            </w:r>
          </w:p>
        </w:tc>
        <w:tc>
          <w:tcPr>
            <w:tcW w:w="7420" w:type="dxa"/>
            <w:vAlign w:val="bottom"/>
            <w:tcBorders>
              <w:bottom w:val="single" w:sz="8" w:color="auto"/>
              <w:right w:val="single" w:sz="8" w:color="auto"/>
            </w:tcBorders>
          </w:tcPr>
          <w:p>
            <w:pPr>
              <w:ind w:left="80"/>
              <w:spacing w:after="0" w:line="182" w:lineRule="exact"/>
              <w:rPr>
                <w:sz w:val="20"/>
                <w:szCs w:val="20"/>
                <w:color w:val="auto"/>
              </w:rPr>
            </w:pPr>
            <w:r>
              <w:rPr>
                <w:rFonts w:ascii="Arial" w:cs="Arial" w:eastAsia="Arial" w:hAnsi="Arial"/>
                <w:sz w:val="18"/>
                <w:szCs w:val="18"/>
                <w:color w:val="353535"/>
              </w:rPr>
              <w:t>Manufacturing consumables</w:t>
            </w:r>
          </w:p>
        </w:tc>
        <w:tc>
          <w:tcPr>
            <w:tcW w:w="1180" w:type="dxa"/>
            <w:vAlign w:val="bottom"/>
            <w:tcBorders>
              <w:bottom w:val="single" w:sz="8" w:color="auto"/>
            </w:tcBorders>
          </w:tcPr>
          <w:p>
            <w:pPr>
              <w:ind w:left="100"/>
              <w:spacing w:after="0" w:line="182" w:lineRule="exact"/>
              <w:rPr>
                <w:sz w:val="20"/>
                <w:szCs w:val="20"/>
                <w:color w:val="auto"/>
              </w:rPr>
            </w:pPr>
            <w:r>
              <w:rPr>
                <w:rFonts w:ascii="Arial" w:cs="Arial" w:eastAsia="Arial" w:hAnsi="Arial"/>
                <w:sz w:val="18"/>
                <w:szCs w:val="18"/>
                <w:color w:val="353535"/>
                <w:w w:val="96"/>
              </w:rPr>
              <w:t>$7,337.57/mo</w:t>
            </w:r>
          </w:p>
        </w:tc>
        <w:tc>
          <w:tcPr>
            <w:tcW w:w="6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00" w:type="dxa"/>
            <w:vAlign w:val="bottom"/>
            <w:tcBorders>
              <w:right w:val="single" w:sz="8" w:color="auto"/>
            </w:tcBorders>
          </w:tcPr>
          <w:p>
            <w:pPr>
              <w:spacing w:after="0"/>
              <w:rPr>
                <w:sz w:val="15"/>
                <w:szCs w:val="15"/>
                <w:color w:val="auto"/>
              </w:rPr>
            </w:pPr>
          </w:p>
        </w:tc>
        <w:tc>
          <w:tcPr>
            <w:tcW w:w="400" w:type="dxa"/>
            <w:vAlign w:val="bottom"/>
            <w:tcBorders>
              <w:right w:val="single" w:sz="8" w:color="auto"/>
            </w:tcBorders>
          </w:tcPr>
          <w:p>
            <w:pPr>
              <w:spacing w:after="0"/>
              <w:rPr>
                <w:sz w:val="15"/>
                <w:szCs w:val="15"/>
                <w:color w:val="auto"/>
              </w:rPr>
            </w:pPr>
          </w:p>
        </w:tc>
        <w:tc>
          <w:tcPr>
            <w:tcW w:w="7420" w:type="dxa"/>
            <w:vAlign w:val="bottom"/>
            <w:tcBorders>
              <w:right w:val="single" w:sz="8" w:color="auto"/>
            </w:tcBorders>
          </w:tcPr>
          <w:p>
            <w:pPr>
              <w:ind w:left="80"/>
              <w:spacing w:after="0" w:line="182" w:lineRule="exact"/>
              <w:rPr>
                <w:sz w:val="20"/>
                <w:szCs w:val="20"/>
                <w:color w:val="auto"/>
              </w:rPr>
            </w:pPr>
            <w:r>
              <w:rPr>
                <w:rFonts w:ascii="Arial" w:cs="Arial" w:eastAsia="Arial" w:hAnsi="Arial"/>
                <w:sz w:val="18"/>
                <w:szCs w:val="18"/>
                <w:color w:val="353535"/>
              </w:rPr>
              <w:t>Includes:</w:t>
            </w:r>
          </w:p>
        </w:tc>
        <w:tc>
          <w:tcPr>
            <w:tcW w:w="1180" w:type="dxa"/>
            <w:vAlign w:val="bottom"/>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00" w:type="dxa"/>
            <w:vAlign w:val="bottom"/>
            <w:tcBorders>
              <w:right w:val="single" w:sz="8" w:color="auto"/>
            </w:tcBorders>
          </w:tcPr>
          <w:p>
            <w:pPr>
              <w:spacing w:after="0"/>
              <w:rPr>
                <w:sz w:val="17"/>
                <w:szCs w:val="17"/>
                <w:color w:val="auto"/>
              </w:rPr>
            </w:pPr>
          </w:p>
        </w:tc>
        <w:tc>
          <w:tcPr>
            <w:tcW w:w="400" w:type="dxa"/>
            <w:vAlign w:val="bottom"/>
            <w:tcBorders>
              <w:right w:val="single" w:sz="8" w:color="auto"/>
            </w:tcBorders>
          </w:tcPr>
          <w:p>
            <w:pPr>
              <w:spacing w:after="0"/>
              <w:rPr>
                <w:sz w:val="17"/>
                <w:szCs w:val="17"/>
                <w:color w:val="auto"/>
              </w:rPr>
            </w:pPr>
          </w:p>
        </w:tc>
        <w:tc>
          <w:tcPr>
            <w:tcW w:w="742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4D4D4D"/>
              </w:rPr>
              <w:t xml:space="preserve">- </w:t>
            </w:r>
            <w:r>
              <w:rPr>
                <w:rFonts w:ascii="Arial" w:cs="Arial" w:eastAsia="Arial" w:hAnsi="Arial"/>
                <w:sz w:val="18"/>
                <w:szCs w:val="18"/>
                <w:color w:val="353535"/>
              </w:rPr>
              <w:t>Bulk gases and chemicals for up to 75wspw MRAM Module equivalent.</w:t>
            </w:r>
          </w:p>
        </w:tc>
        <w:tc>
          <w:tcPr>
            <w:tcW w:w="1180" w:type="dxa"/>
            <w:vAlign w:val="bottom"/>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0" w:type="dxa"/>
            <w:vAlign w:val="bottom"/>
            <w:tcBorders>
              <w:right w:val="single" w:sz="8" w:color="auto"/>
            </w:tcBorders>
          </w:tcPr>
          <w:p>
            <w:pPr>
              <w:spacing w:after="0"/>
              <w:rPr>
                <w:sz w:val="17"/>
                <w:szCs w:val="17"/>
                <w:color w:val="auto"/>
              </w:rPr>
            </w:pPr>
          </w:p>
        </w:tc>
        <w:tc>
          <w:tcPr>
            <w:tcW w:w="400" w:type="dxa"/>
            <w:vAlign w:val="bottom"/>
            <w:tcBorders>
              <w:right w:val="single" w:sz="8" w:color="auto"/>
            </w:tcBorders>
          </w:tcPr>
          <w:p>
            <w:pPr>
              <w:spacing w:after="0"/>
              <w:rPr>
                <w:sz w:val="17"/>
                <w:szCs w:val="17"/>
                <w:color w:val="auto"/>
              </w:rPr>
            </w:pPr>
          </w:p>
        </w:tc>
        <w:tc>
          <w:tcPr>
            <w:tcW w:w="742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353535"/>
                <w:w w:val="93"/>
              </w:rPr>
              <w:t>Bulk gases are: Oxygen, nitrogen, helium, argon and hydrogen supplied from factory bulk delivery</w:t>
            </w:r>
          </w:p>
        </w:tc>
        <w:tc>
          <w:tcPr>
            <w:tcW w:w="1180" w:type="dxa"/>
            <w:vAlign w:val="bottom"/>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00" w:type="dxa"/>
            <w:vAlign w:val="bottom"/>
            <w:tcBorders>
              <w:right w:val="single" w:sz="8" w:color="auto"/>
            </w:tcBorders>
          </w:tcPr>
          <w:p>
            <w:pPr>
              <w:spacing w:after="0"/>
              <w:rPr>
                <w:sz w:val="17"/>
                <w:szCs w:val="17"/>
                <w:color w:val="auto"/>
              </w:rPr>
            </w:pPr>
          </w:p>
        </w:tc>
        <w:tc>
          <w:tcPr>
            <w:tcW w:w="400" w:type="dxa"/>
            <w:vAlign w:val="bottom"/>
            <w:tcBorders>
              <w:right w:val="single" w:sz="8" w:color="auto"/>
            </w:tcBorders>
          </w:tcPr>
          <w:p>
            <w:pPr>
              <w:spacing w:after="0"/>
              <w:rPr>
                <w:sz w:val="17"/>
                <w:szCs w:val="17"/>
                <w:color w:val="auto"/>
              </w:rPr>
            </w:pPr>
          </w:p>
        </w:tc>
        <w:tc>
          <w:tcPr>
            <w:tcW w:w="742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353535"/>
              </w:rPr>
              <w:t>systems to Tenant-owned equipment.</w:t>
            </w:r>
          </w:p>
        </w:tc>
        <w:tc>
          <w:tcPr>
            <w:tcW w:w="1180" w:type="dxa"/>
            <w:vAlign w:val="bottom"/>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0" w:type="dxa"/>
            <w:vAlign w:val="bottom"/>
            <w:tcBorders>
              <w:right w:val="single" w:sz="8" w:color="auto"/>
            </w:tcBorders>
          </w:tcPr>
          <w:p>
            <w:pPr>
              <w:spacing w:after="0"/>
              <w:rPr>
                <w:sz w:val="17"/>
                <w:szCs w:val="17"/>
                <w:color w:val="auto"/>
              </w:rPr>
            </w:pPr>
          </w:p>
        </w:tc>
        <w:tc>
          <w:tcPr>
            <w:tcW w:w="400" w:type="dxa"/>
            <w:vAlign w:val="bottom"/>
            <w:tcBorders>
              <w:right w:val="single" w:sz="8" w:color="auto"/>
            </w:tcBorders>
          </w:tcPr>
          <w:p>
            <w:pPr>
              <w:spacing w:after="0"/>
              <w:rPr>
                <w:sz w:val="17"/>
                <w:szCs w:val="17"/>
                <w:color w:val="auto"/>
              </w:rPr>
            </w:pPr>
          </w:p>
        </w:tc>
        <w:tc>
          <w:tcPr>
            <w:tcW w:w="742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353535"/>
                <w:w w:val="96"/>
              </w:rPr>
              <w:t>Bulk Chemicals are: Sulfuric acid, hydrogen peroxide, hydrochloric acid, ammonium hydroxide,</w:t>
            </w:r>
          </w:p>
        </w:tc>
        <w:tc>
          <w:tcPr>
            <w:tcW w:w="1180" w:type="dxa"/>
            <w:vAlign w:val="bottom"/>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0" w:type="dxa"/>
            <w:vAlign w:val="bottom"/>
            <w:tcBorders>
              <w:right w:val="single" w:sz="8" w:color="auto"/>
            </w:tcBorders>
          </w:tcPr>
          <w:p>
            <w:pPr>
              <w:spacing w:after="0"/>
              <w:rPr>
                <w:sz w:val="17"/>
                <w:szCs w:val="17"/>
                <w:color w:val="auto"/>
              </w:rPr>
            </w:pPr>
          </w:p>
        </w:tc>
        <w:tc>
          <w:tcPr>
            <w:tcW w:w="400" w:type="dxa"/>
            <w:vAlign w:val="bottom"/>
            <w:tcBorders>
              <w:right w:val="single" w:sz="8" w:color="auto"/>
            </w:tcBorders>
          </w:tcPr>
          <w:p>
            <w:pPr>
              <w:spacing w:after="0"/>
              <w:rPr>
                <w:sz w:val="17"/>
                <w:szCs w:val="17"/>
                <w:color w:val="auto"/>
              </w:rPr>
            </w:pPr>
          </w:p>
        </w:tc>
        <w:tc>
          <w:tcPr>
            <w:tcW w:w="742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353535"/>
              </w:rPr>
              <w:t>hydrofluoric acid, isopropyl alcohol, tetramethylammonium hydroxide, PGMEA, ACT930,</w:t>
            </w:r>
          </w:p>
        </w:tc>
        <w:tc>
          <w:tcPr>
            <w:tcW w:w="1180" w:type="dxa"/>
            <w:vAlign w:val="bottom"/>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0" w:type="dxa"/>
            <w:vAlign w:val="bottom"/>
            <w:tcBorders>
              <w:right w:val="single" w:sz="8" w:color="auto"/>
            </w:tcBorders>
          </w:tcPr>
          <w:p>
            <w:pPr>
              <w:spacing w:after="0"/>
              <w:rPr>
                <w:sz w:val="17"/>
                <w:szCs w:val="17"/>
                <w:color w:val="auto"/>
              </w:rPr>
            </w:pPr>
          </w:p>
        </w:tc>
        <w:tc>
          <w:tcPr>
            <w:tcW w:w="400" w:type="dxa"/>
            <w:vAlign w:val="bottom"/>
            <w:tcBorders>
              <w:right w:val="single" w:sz="8" w:color="auto"/>
            </w:tcBorders>
          </w:tcPr>
          <w:p>
            <w:pPr>
              <w:spacing w:after="0"/>
              <w:rPr>
                <w:sz w:val="17"/>
                <w:szCs w:val="17"/>
                <w:color w:val="auto"/>
              </w:rPr>
            </w:pPr>
          </w:p>
        </w:tc>
        <w:tc>
          <w:tcPr>
            <w:tcW w:w="742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353535"/>
                <w:w w:val="94"/>
              </w:rPr>
              <w:t xml:space="preserve">EKC830, PLA224 </w:t>
            </w:r>
            <w:r>
              <w:rPr>
                <w:rFonts w:ascii="Arial" w:cs="Arial" w:eastAsia="Arial" w:hAnsi="Arial"/>
                <w:sz w:val="18"/>
                <w:szCs w:val="18"/>
                <w:color w:val="4D4D4D"/>
                <w:w w:val="94"/>
              </w:rPr>
              <w:t>slurry,</w:t>
            </w:r>
            <w:r>
              <w:rPr>
                <w:rFonts w:ascii="Arial" w:cs="Arial" w:eastAsia="Arial" w:hAnsi="Arial"/>
                <w:sz w:val="18"/>
                <w:szCs w:val="18"/>
                <w:color w:val="353535"/>
                <w:w w:val="94"/>
              </w:rPr>
              <w:t xml:space="preserve"> SS2SE slurry, W2000b slurry, NOE, Ethylene glycol, Super-Q and NMP</w:t>
            </w:r>
          </w:p>
        </w:tc>
        <w:tc>
          <w:tcPr>
            <w:tcW w:w="1180" w:type="dxa"/>
            <w:vAlign w:val="bottom"/>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0" w:type="dxa"/>
            <w:vAlign w:val="bottom"/>
            <w:tcBorders>
              <w:right w:val="single" w:sz="8" w:color="auto"/>
            </w:tcBorders>
          </w:tcPr>
          <w:p>
            <w:pPr>
              <w:spacing w:after="0"/>
              <w:rPr>
                <w:sz w:val="17"/>
                <w:szCs w:val="17"/>
                <w:color w:val="auto"/>
              </w:rPr>
            </w:pPr>
          </w:p>
        </w:tc>
        <w:tc>
          <w:tcPr>
            <w:tcW w:w="400" w:type="dxa"/>
            <w:vAlign w:val="bottom"/>
            <w:tcBorders>
              <w:right w:val="single" w:sz="8" w:color="auto"/>
            </w:tcBorders>
          </w:tcPr>
          <w:p>
            <w:pPr>
              <w:spacing w:after="0"/>
              <w:rPr>
                <w:sz w:val="17"/>
                <w:szCs w:val="17"/>
                <w:color w:val="auto"/>
              </w:rPr>
            </w:pPr>
          </w:p>
        </w:tc>
        <w:tc>
          <w:tcPr>
            <w:tcW w:w="742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353535"/>
              </w:rPr>
              <w:t>supplied from factory bulk delivery systems to Tenant-owned equipment</w:t>
            </w:r>
          </w:p>
        </w:tc>
        <w:tc>
          <w:tcPr>
            <w:tcW w:w="1180" w:type="dxa"/>
            <w:vAlign w:val="bottom"/>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00" w:type="dxa"/>
            <w:vAlign w:val="bottom"/>
            <w:tcBorders>
              <w:right w:val="single" w:sz="8" w:color="auto"/>
            </w:tcBorders>
          </w:tcPr>
          <w:p>
            <w:pPr>
              <w:spacing w:after="0"/>
              <w:rPr>
                <w:sz w:val="16"/>
                <w:szCs w:val="16"/>
                <w:color w:val="auto"/>
              </w:rPr>
            </w:pPr>
          </w:p>
        </w:tc>
        <w:tc>
          <w:tcPr>
            <w:tcW w:w="400" w:type="dxa"/>
            <w:vAlign w:val="bottom"/>
            <w:tcBorders>
              <w:right w:val="single" w:sz="8" w:color="auto"/>
            </w:tcBorders>
          </w:tcPr>
          <w:p>
            <w:pPr>
              <w:spacing w:after="0"/>
              <w:rPr>
                <w:sz w:val="16"/>
                <w:szCs w:val="16"/>
                <w:color w:val="auto"/>
              </w:rPr>
            </w:pPr>
          </w:p>
        </w:tc>
        <w:tc>
          <w:tcPr>
            <w:tcW w:w="7420" w:type="dxa"/>
            <w:vAlign w:val="bottom"/>
            <w:tcBorders>
              <w:right w:val="single" w:sz="8" w:color="auto"/>
            </w:tcBorders>
          </w:tcPr>
          <w:p>
            <w:pPr>
              <w:ind w:left="80"/>
              <w:spacing w:after="0" w:line="189" w:lineRule="exact"/>
              <w:rPr>
                <w:sz w:val="20"/>
                <w:szCs w:val="20"/>
                <w:color w:val="auto"/>
              </w:rPr>
            </w:pPr>
            <w:r>
              <w:rPr>
                <w:rFonts w:ascii="Arial" w:cs="Arial" w:eastAsia="Arial" w:hAnsi="Arial"/>
                <w:sz w:val="18"/>
                <w:szCs w:val="18"/>
                <w:color w:val="353535"/>
                <w:w w:val="94"/>
              </w:rPr>
              <w:t>- NXP to notify Everspin within 72 hours of detection of any excursion in bulk gases or chemicals.</w:t>
            </w:r>
          </w:p>
        </w:tc>
        <w:tc>
          <w:tcPr>
            <w:tcW w:w="1180" w:type="dxa"/>
            <w:vAlign w:val="bottom"/>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00" w:type="dxa"/>
            <w:vAlign w:val="bottom"/>
            <w:tcBorders>
              <w:right w:val="single" w:sz="8" w:color="auto"/>
            </w:tcBorders>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74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4D4D4D"/>
                <w:w w:val="98"/>
              </w:rPr>
              <w:t xml:space="preserve">- </w:t>
            </w:r>
            <w:r>
              <w:rPr>
                <w:rFonts w:ascii="Arial" w:cs="Arial" w:eastAsia="Arial" w:hAnsi="Arial"/>
                <w:sz w:val="18"/>
                <w:szCs w:val="18"/>
                <w:color w:val="353535"/>
                <w:w w:val="98"/>
              </w:rPr>
              <w:t>Additional Rent will be pro-rated</w:t>
            </w:r>
            <w:r>
              <w:rPr>
                <w:rFonts w:ascii="Arial" w:cs="Arial" w:eastAsia="Arial" w:hAnsi="Arial"/>
                <w:sz w:val="18"/>
                <w:szCs w:val="18"/>
                <w:color w:val="4D4D4D"/>
                <w:w w:val="98"/>
              </w:rPr>
              <w:t xml:space="preserve"> </w:t>
            </w:r>
            <w:r>
              <w:rPr>
                <w:rFonts w:ascii="Arial" w:cs="Arial" w:eastAsia="Arial" w:hAnsi="Arial"/>
                <w:sz w:val="17"/>
                <w:szCs w:val="17"/>
                <w:color w:val="353535"/>
                <w:w w:val="98"/>
              </w:rPr>
              <w:t>for consumption exceeding 75wspw MRAM Module equivalent.</w:t>
            </w:r>
          </w:p>
        </w:tc>
        <w:tc>
          <w:tcPr>
            <w:tcW w:w="118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00" w:type="dxa"/>
            <w:vAlign w:val="bottom"/>
            <w:tcBorders>
              <w:right w:val="single" w:sz="8" w:color="auto"/>
            </w:tcBorders>
            <w:vMerge w:val="restart"/>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00" w:type="dxa"/>
            <w:vAlign w:val="bottom"/>
            <w:tcBorders>
              <w:right w:val="single" w:sz="8" w:color="auto"/>
            </w:tcBorders>
            <w:vMerge w:val="continue"/>
          </w:tcPr>
          <w:p>
            <w:pPr>
              <w:spacing w:after="0"/>
              <w:rPr>
                <w:sz w:val="15"/>
                <w:szCs w:val="15"/>
                <w:color w:val="auto"/>
              </w:rPr>
            </w:pPr>
          </w:p>
        </w:tc>
        <w:tc>
          <w:tcPr>
            <w:tcW w:w="400" w:type="dxa"/>
            <w:vAlign w:val="bottom"/>
            <w:tcBorders>
              <w:bottom w:val="single" w:sz="8" w:color="auto"/>
              <w:right w:val="single" w:sz="8" w:color="auto"/>
            </w:tcBorders>
          </w:tcPr>
          <w:p>
            <w:pPr>
              <w:ind w:left="100"/>
              <w:spacing w:after="0" w:line="182" w:lineRule="exact"/>
              <w:rPr>
                <w:sz w:val="20"/>
                <w:szCs w:val="20"/>
                <w:color w:val="auto"/>
              </w:rPr>
            </w:pPr>
            <w:r>
              <w:rPr>
                <w:rFonts w:ascii="Arial" w:cs="Arial" w:eastAsia="Arial" w:hAnsi="Arial"/>
                <w:sz w:val="18"/>
                <w:szCs w:val="18"/>
                <w:color w:val="auto"/>
              </w:rPr>
              <w:t>2.</w:t>
            </w:r>
          </w:p>
        </w:tc>
        <w:tc>
          <w:tcPr>
            <w:tcW w:w="7420" w:type="dxa"/>
            <w:vAlign w:val="bottom"/>
            <w:tcBorders>
              <w:bottom w:val="single" w:sz="8" w:color="auto"/>
              <w:right w:val="single" w:sz="8" w:color="auto"/>
            </w:tcBorders>
          </w:tcPr>
          <w:p>
            <w:pPr>
              <w:ind w:left="80"/>
              <w:spacing w:after="0" w:line="182" w:lineRule="exact"/>
              <w:rPr>
                <w:sz w:val="20"/>
                <w:szCs w:val="20"/>
                <w:color w:val="auto"/>
              </w:rPr>
            </w:pPr>
            <w:r>
              <w:rPr>
                <w:rFonts w:ascii="Arial" w:cs="Arial" w:eastAsia="Arial" w:hAnsi="Arial"/>
                <w:sz w:val="18"/>
                <w:szCs w:val="18"/>
                <w:color w:val="353535"/>
              </w:rPr>
              <w:t>Manufacturing support services</w:t>
            </w:r>
          </w:p>
        </w:tc>
        <w:tc>
          <w:tcPr>
            <w:tcW w:w="1180" w:type="dxa"/>
            <w:vAlign w:val="bottom"/>
            <w:tcBorders>
              <w:bottom w:val="single" w:sz="8" w:color="auto"/>
            </w:tcBorders>
          </w:tcPr>
          <w:p>
            <w:pPr>
              <w:ind w:left="100"/>
              <w:spacing w:after="0" w:line="182" w:lineRule="exact"/>
              <w:rPr>
                <w:sz w:val="20"/>
                <w:szCs w:val="20"/>
                <w:color w:val="auto"/>
              </w:rPr>
            </w:pPr>
            <w:r>
              <w:rPr>
                <w:rFonts w:ascii="Arial" w:cs="Arial" w:eastAsia="Arial" w:hAnsi="Arial"/>
                <w:sz w:val="18"/>
                <w:szCs w:val="18"/>
                <w:color w:val="auto"/>
              </w:rPr>
              <w:t>$23,901/mo</w:t>
            </w:r>
          </w:p>
        </w:tc>
        <w:tc>
          <w:tcPr>
            <w:tcW w:w="6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00" w:type="dxa"/>
            <w:vAlign w:val="bottom"/>
            <w:tcBorders>
              <w:right w:val="single" w:sz="8" w:color="auto"/>
            </w:tcBorders>
          </w:tcPr>
          <w:p>
            <w:pPr>
              <w:spacing w:after="0"/>
              <w:rPr>
                <w:sz w:val="15"/>
                <w:szCs w:val="15"/>
                <w:color w:val="auto"/>
              </w:rPr>
            </w:pPr>
          </w:p>
        </w:tc>
        <w:tc>
          <w:tcPr>
            <w:tcW w:w="400" w:type="dxa"/>
            <w:vAlign w:val="bottom"/>
            <w:tcBorders>
              <w:right w:val="single" w:sz="8" w:color="auto"/>
            </w:tcBorders>
          </w:tcPr>
          <w:p>
            <w:pPr>
              <w:spacing w:after="0"/>
              <w:rPr>
                <w:sz w:val="15"/>
                <w:szCs w:val="15"/>
                <w:color w:val="auto"/>
              </w:rPr>
            </w:pPr>
          </w:p>
        </w:tc>
        <w:tc>
          <w:tcPr>
            <w:tcW w:w="7420" w:type="dxa"/>
            <w:vAlign w:val="bottom"/>
            <w:tcBorders>
              <w:right w:val="single" w:sz="8" w:color="auto"/>
            </w:tcBorders>
          </w:tcPr>
          <w:p>
            <w:pPr>
              <w:ind w:left="80"/>
              <w:spacing w:after="0" w:line="182" w:lineRule="exact"/>
              <w:rPr>
                <w:sz w:val="20"/>
                <w:szCs w:val="20"/>
                <w:color w:val="auto"/>
              </w:rPr>
            </w:pPr>
            <w:r>
              <w:rPr>
                <w:rFonts w:ascii="Arial" w:cs="Arial" w:eastAsia="Arial" w:hAnsi="Arial"/>
                <w:sz w:val="18"/>
                <w:szCs w:val="18"/>
                <w:color w:val="353535"/>
              </w:rPr>
              <w:t>Includes:</w:t>
            </w:r>
          </w:p>
        </w:tc>
        <w:tc>
          <w:tcPr>
            <w:tcW w:w="1180" w:type="dxa"/>
            <w:vAlign w:val="bottom"/>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00" w:type="dxa"/>
            <w:vAlign w:val="bottom"/>
            <w:tcBorders>
              <w:right w:val="single" w:sz="8" w:color="auto"/>
            </w:tcBorders>
          </w:tcPr>
          <w:p>
            <w:pPr>
              <w:spacing w:after="0"/>
              <w:rPr>
                <w:sz w:val="17"/>
                <w:szCs w:val="17"/>
                <w:color w:val="auto"/>
              </w:rPr>
            </w:pPr>
          </w:p>
        </w:tc>
        <w:tc>
          <w:tcPr>
            <w:tcW w:w="400" w:type="dxa"/>
            <w:vAlign w:val="bottom"/>
            <w:tcBorders>
              <w:right w:val="single" w:sz="8" w:color="auto"/>
            </w:tcBorders>
          </w:tcPr>
          <w:p>
            <w:pPr>
              <w:spacing w:after="0"/>
              <w:rPr>
                <w:sz w:val="17"/>
                <w:szCs w:val="17"/>
                <w:color w:val="auto"/>
              </w:rPr>
            </w:pPr>
          </w:p>
        </w:tc>
        <w:tc>
          <w:tcPr>
            <w:tcW w:w="742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353535"/>
              </w:rPr>
              <w:t>- Sustaining support for factory manufacturing execution, equipment integration and</w:t>
            </w:r>
          </w:p>
        </w:tc>
        <w:tc>
          <w:tcPr>
            <w:tcW w:w="1180" w:type="dxa"/>
            <w:vAlign w:val="bottom"/>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0" w:type="dxa"/>
            <w:vAlign w:val="bottom"/>
            <w:tcBorders>
              <w:right w:val="single" w:sz="8" w:color="auto"/>
            </w:tcBorders>
          </w:tcPr>
          <w:p>
            <w:pPr>
              <w:spacing w:after="0"/>
              <w:rPr>
                <w:sz w:val="17"/>
                <w:szCs w:val="17"/>
                <w:color w:val="auto"/>
              </w:rPr>
            </w:pPr>
          </w:p>
        </w:tc>
        <w:tc>
          <w:tcPr>
            <w:tcW w:w="400" w:type="dxa"/>
            <w:vAlign w:val="bottom"/>
            <w:tcBorders>
              <w:right w:val="single" w:sz="8" w:color="auto"/>
            </w:tcBorders>
          </w:tcPr>
          <w:p>
            <w:pPr>
              <w:spacing w:after="0"/>
              <w:rPr>
                <w:sz w:val="17"/>
                <w:szCs w:val="17"/>
                <w:color w:val="auto"/>
              </w:rPr>
            </w:pPr>
          </w:p>
        </w:tc>
        <w:tc>
          <w:tcPr>
            <w:tcW w:w="742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353535"/>
              </w:rPr>
              <w:t>analysis systems in CH-FAB</w:t>
            </w:r>
          </w:p>
        </w:tc>
        <w:tc>
          <w:tcPr>
            <w:tcW w:w="1180" w:type="dxa"/>
            <w:vAlign w:val="bottom"/>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0" w:type="dxa"/>
            <w:vAlign w:val="bottom"/>
            <w:tcBorders>
              <w:right w:val="single" w:sz="8" w:color="auto"/>
            </w:tcBorders>
          </w:tcPr>
          <w:p>
            <w:pPr>
              <w:spacing w:after="0"/>
              <w:rPr>
                <w:sz w:val="17"/>
                <w:szCs w:val="17"/>
                <w:color w:val="auto"/>
              </w:rPr>
            </w:pPr>
          </w:p>
        </w:tc>
        <w:tc>
          <w:tcPr>
            <w:tcW w:w="400" w:type="dxa"/>
            <w:vAlign w:val="bottom"/>
            <w:tcBorders>
              <w:right w:val="single" w:sz="8" w:color="auto"/>
            </w:tcBorders>
          </w:tcPr>
          <w:p>
            <w:pPr>
              <w:spacing w:after="0"/>
              <w:rPr>
                <w:sz w:val="17"/>
                <w:szCs w:val="17"/>
                <w:color w:val="auto"/>
              </w:rPr>
            </w:pPr>
          </w:p>
        </w:tc>
        <w:tc>
          <w:tcPr>
            <w:tcW w:w="742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353535"/>
              </w:rPr>
              <w:t>Note: Sustaining support does not include Tenant's use of factory manufacturing</w:t>
            </w:r>
          </w:p>
        </w:tc>
        <w:tc>
          <w:tcPr>
            <w:tcW w:w="1180" w:type="dxa"/>
            <w:vAlign w:val="bottom"/>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0" w:type="dxa"/>
            <w:vAlign w:val="bottom"/>
            <w:tcBorders>
              <w:right w:val="single" w:sz="8" w:color="auto"/>
            </w:tcBorders>
          </w:tcPr>
          <w:p>
            <w:pPr>
              <w:spacing w:after="0"/>
              <w:rPr>
                <w:sz w:val="17"/>
                <w:szCs w:val="17"/>
                <w:color w:val="auto"/>
              </w:rPr>
            </w:pPr>
          </w:p>
        </w:tc>
        <w:tc>
          <w:tcPr>
            <w:tcW w:w="400" w:type="dxa"/>
            <w:vAlign w:val="bottom"/>
            <w:tcBorders>
              <w:right w:val="single" w:sz="8" w:color="auto"/>
            </w:tcBorders>
          </w:tcPr>
          <w:p>
            <w:pPr>
              <w:spacing w:after="0"/>
              <w:rPr>
                <w:sz w:val="17"/>
                <w:szCs w:val="17"/>
                <w:color w:val="auto"/>
              </w:rPr>
            </w:pPr>
          </w:p>
        </w:tc>
        <w:tc>
          <w:tcPr>
            <w:tcW w:w="742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353535"/>
              </w:rPr>
              <w:t>execution, equipment integration and analysis software.</w:t>
            </w:r>
          </w:p>
        </w:tc>
        <w:tc>
          <w:tcPr>
            <w:tcW w:w="1180" w:type="dxa"/>
            <w:vAlign w:val="bottom"/>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0" w:type="dxa"/>
            <w:vAlign w:val="bottom"/>
            <w:tcBorders>
              <w:right w:val="single" w:sz="8" w:color="auto"/>
            </w:tcBorders>
          </w:tcPr>
          <w:p>
            <w:pPr>
              <w:spacing w:after="0"/>
              <w:rPr>
                <w:sz w:val="17"/>
                <w:szCs w:val="17"/>
                <w:color w:val="auto"/>
              </w:rPr>
            </w:pPr>
          </w:p>
        </w:tc>
        <w:tc>
          <w:tcPr>
            <w:tcW w:w="400" w:type="dxa"/>
            <w:vAlign w:val="bottom"/>
            <w:tcBorders>
              <w:right w:val="single" w:sz="8" w:color="auto"/>
            </w:tcBorders>
          </w:tcPr>
          <w:p>
            <w:pPr>
              <w:spacing w:after="0"/>
              <w:rPr>
                <w:sz w:val="17"/>
                <w:szCs w:val="17"/>
                <w:color w:val="auto"/>
              </w:rPr>
            </w:pPr>
          </w:p>
        </w:tc>
        <w:tc>
          <w:tcPr>
            <w:tcW w:w="742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353535"/>
              </w:rPr>
              <w:t>-Chandler Analytical Lab services (PALAZ TEM, SEM, etc. Maximum 42 samples/mo.)</w:t>
            </w:r>
          </w:p>
        </w:tc>
        <w:tc>
          <w:tcPr>
            <w:tcW w:w="1180" w:type="dxa"/>
            <w:vAlign w:val="bottom"/>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0" w:type="dxa"/>
            <w:vAlign w:val="bottom"/>
            <w:tcBorders>
              <w:right w:val="single" w:sz="8" w:color="auto"/>
            </w:tcBorders>
          </w:tcPr>
          <w:p>
            <w:pPr>
              <w:spacing w:after="0"/>
              <w:rPr>
                <w:sz w:val="17"/>
                <w:szCs w:val="17"/>
                <w:color w:val="auto"/>
              </w:rPr>
            </w:pPr>
          </w:p>
        </w:tc>
        <w:tc>
          <w:tcPr>
            <w:tcW w:w="400" w:type="dxa"/>
            <w:vAlign w:val="bottom"/>
            <w:tcBorders>
              <w:right w:val="single" w:sz="8" w:color="auto"/>
            </w:tcBorders>
          </w:tcPr>
          <w:p>
            <w:pPr>
              <w:spacing w:after="0"/>
              <w:rPr>
                <w:sz w:val="17"/>
                <w:szCs w:val="17"/>
                <w:color w:val="auto"/>
              </w:rPr>
            </w:pPr>
          </w:p>
        </w:tc>
        <w:tc>
          <w:tcPr>
            <w:tcW w:w="742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353535"/>
              </w:rPr>
              <w:t>- Failure analysis services provided by Global Yield and Device Lab (Maximum 4</w:t>
            </w:r>
          </w:p>
        </w:tc>
        <w:tc>
          <w:tcPr>
            <w:tcW w:w="1180" w:type="dxa"/>
            <w:vAlign w:val="bottom"/>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0" w:type="dxa"/>
            <w:vAlign w:val="bottom"/>
            <w:tcBorders>
              <w:right w:val="single" w:sz="8" w:color="auto"/>
            </w:tcBorders>
          </w:tcPr>
          <w:p>
            <w:pPr>
              <w:spacing w:after="0"/>
              <w:rPr>
                <w:sz w:val="17"/>
                <w:szCs w:val="17"/>
                <w:color w:val="auto"/>
              </w:rPr>
            </w:pPr>
          </w:p>
        </w:tc>
        <w:tc>
          <w:tcPr>
            <w:tcW w:w="400" w:type="dxa"/>
            <w:vAlign w:val="bottom"/>
            <w:tcBorders>
              <w:right w:val="single" w:sz="8" w:color="auto"/>
            </w:tcBorders>
          </w:tcPr>
          <w:p>
            <w:pPr>
              <w:spacing w:after="0"/>
              <w:rPr>
                <w:sz w:val="17"/>
                <w:szCs w:val="17"/>
                <w:color w:val="auto"/>
              </w:rPr>
            </w:pPr>
          </w:p>
        </w:tc>
        <w:tc>
          <w:tcPr>
            <w:tcW w:w="742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353535"/>
              </w:rPr>
              <w:t>samples/mo.)</w:t>
            </w:r>
          </w:p>
        </w:tc>
        <w:tc>
          <w:tcPr>
            <w:tcW w:w="1180" w:type="dxa"/>
            <w:vAlign w:val="bottom"/>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0" w:type="dxa"/>
            <w:vAlign w:val="bottom"/>
            <w:tcBorders>
              <w:right w:val="single" w:sz="8" w:color="auto"/>
            </w:tcBorders>
          </w:tcPr>
          <w:p>
            <w:pPr>
              <w:spacing w:after="0"/>
              <w:rPr>
                <w:sz w:val="17"/>
                <w:szCs w:val="17"/>
                <w:color w:val="auto"/>
              </w:rPr>
            </w:pPr>
          </w:p>
        </w:tc>
        <w:tc>
          <w:tcPr>
            <w:tcW w:w="400" w:type="dxa"/>
            <w:vAlign w:val="bottom"/>
            <w:tcBorders>
              <w:right w:val="single" w:sz="8" w:color="auto"/>
            </w:tcBorders>
          </w:tcPr>
          <w:p>
            <w:pPr>
              <w:spacing w:after="0"/>
              <w:rPr>
                <w:sz w:val="17"/>
                <w:szCs w:val="17"/>
                <w:color w:val="auto"/>
              </w:rPr>
            </w:pPr>
          </w:p>
        </w:tc>
        <w:tc>
          <w:tcPr>
            <w:tcW w:w="742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353535"/>
              </w:rPr>
              <w:t>-Tenant may requisition incidental (“open stock”) equipment parts and supplies from</w:t>
            </w:r>
          </w:p>
        </w:tc>
        <w:tc>
          <w:tcPr>
            <w:tcW w:w="1180" w:type="dxa"/>
            <w:vAlign w:val="bottom"/>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0" w:type="dxa"/>
            <w:vAlign w:val="bottom"/>
            <w:tcBorders>
              <w:right w:val="single" w:sz="8" w:color="auto"/>
            </w:tcBorders>
          </w:tcPr>
          <w:p>
            <w:pPr>
              <w:spacing w:after="0"/>
              <w:rPr>
                <w:sz w:val="17"/>
                <w:szCs w:val="17"/>
                <w:color w:val="auto"/>
              </w:rPr>
            </w:pPr>
          </w:p>
        </w:tc>
        <w:tc>
          <w:tcPr>
            <w:tcW w:w="400" w:type="dxa"/>
            <w:vAlign w:val="bottom"/>
            <w:tcBorders>
              <w:right w:val="single" w:sz="8" w:color="auto"/>
            </w:tcBorders>
          </w:tcPr>
          <w:p>
            <w:pPr>
              <w:spacing w:after="0"/>
              <w:rPr>
                <w:sz w:val="17"/>
                <w:szCs w:val="17"/>
                <w:color w:val="auto"/>
              </w:rPr>
            </w:pPr>
          </w:p>
        </w:tc>
        <w:tc>
          <w:tcPr>
            <w:tcW w:w="742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353535"/>
              </w:rPr>
              <w:t>CH-FAB with a total value not to exceed $1,500 per month at no charge.</w:t>
            </w:r>
          </w:p>
        </w:tc>
        <w:tc>
          <w:tcPr>
            <w:tcW w:w="1180" w:type="dxa"/>
            <w:vAlign w:val="bottom"/>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0" w:type="dxa"/>
            <w:vAlign w:val="bottom"/>
            <w:tcBorders>
              <w:right w:val="single" w:sz="8" w:color="auto"/>
            </w:tcBorders>
          </w:tcPr>
          <w:p>
            <w:pPr>
              <w:spacing w:after="0"/>
              <w:rPr>
                <w:sz w:val="17"/>
                <w:szCs w:val="17"/>
                <w:color w:val="auto"/>
              </w:rPr>
            </w:pPr>
          </w:p>
        </w:tc>
        <w:tc>
          <w:tcPr>
            <w:tcW w:w="400" w:type="dxa"/>
            <w:vAlign w:val="bottom"/>
            <w:tcBorders>
              <w:right w:val="single" w:sz="8" w:color="auto"/>
            </w:tcBorders>
          </w:tcPr>
          <w:p>
            <w:pPr>
              <w:spacing w:after="0"/>
              <w:rPr>
                <w:sz w:val="17"/>
                <w:szCs w:val="17"/>
                <w:color w:val="auto"/>
              </w:rPr>
            </w:pPr>
          </w:p>
        </w:tc>
        <w:tc>
          <w:tcPr>
            <w:tcW w:w="742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353535"/>
              </w:rPr>
              <w:t>“Open stock” items are: Tubing, tie wraps, fittings, valves, terminals, fuses, wire</w:t>
            </w:r>
          </w:p>
        </w:tc>
        <w:tc>
          <w:tcPr>
            <w:tcW w:w="1180" w:type="dxa"/>
            <w:vAlign w:val="bottom"/>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0" w:type="dxa"/>
            <w:vAlign w:val="bottom"/>
            <w:tcBorders>
              <w:right w:val="single" w:sz="8" w:color="auto"/>
            </w:tcBorders>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74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353535"/>
                <w:w w:val="97"/>
              </w:rPr>
              <w:t>connectors, screws, heal shrink tubing, washers, nuts, bolts, retaining rings, silencers/mufflers,</w:t>
            </w:r>
          </w:p>
        </w:tc>
        <w:tc>
          <w:tcPr>
            <w:tcW w:w="118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00" w:type="dxa"/>
            <w:vAlign w:val="bottom"/>
            <w:tcBorders>
              <w:right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74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353535"/>
              </w:rPr>
              <w:t>filter regulators, O-rings.</w:t>
            </w:r>
          </w:p>
        </w:tc>
        <w:tc>
          <w:tcPr>
            <w:tcW w:w="1180" w:type="dxa"/>
            <w:vAlign w:val="bottom"/>
            <w:tcBorders>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00" w:type="dxa"/>
            <w:vAlign w:val="bottom"/>
            <w:tcBorders>
              <w:right w:val="single" w:sz="8" w:color="auto"/>
            </w:tcBorders>
          </w:tcPr>
          <w:p>
            <w:pPr>
              <w:spacing w:after="0"/>
              <w:rPr>
                <w:sz w:val="17"/>
                <w:szCs w:val="17"/>
                <w:color w:val="auto"/>
              </w:rPr>
            </w:pPr>
          </w:p>
        </w:tc>
        <w:tc>
          <w:tcPr>
            <w:tcW w:w="40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3.</w:t>
            </w:r>
          </w:p>
        </w:tc>
        <w:tc>
          <w:tcPr>
            <w:tcW w:w="7420" w:type="dxa"/>
            <w:vAlign w:val="bottom"/>
            <w:tcBorders>
              <w:right w:val="single" w:sz="8" w:color="auto"/>
            </w:tcBorders>
          </w:tcPr>
          <w:p>
            <w:pPr>
              <w:ind w:left="80"/>
              <w:spacing w:after="0" w:line="201" w:lineRule="exact"/>
              <w:rPr>
                <w:sz w:val="20"/>
                <w:szCs w:val="20"/>
                <w:color w:val="auto"/>
              </w:rPr>
            </w:pPr>
            <w:r>
              <w:rPr>
                <w:rFonts w:ascii="Arial" w:cs="Arial" w:eastAsia="Arial" w:hAnsi="Arial"/>
                <w:sz w:val="18"/>
                <w:szCs w:val="18"/>
                <w:color w:val="353535"/>
              </w:rPr>
              <w:t>Items no</w:t>
            </w:r>
            <w:r>
              <w:rPr>
                <w:rFonts w:ascii="Arial" w:cs="Arial" w:eastAsia="Arial" w:hAnsi="Arial"/>
                <w:sz w:val="18"/>
                <w:szCs w:val="18"/>
                <w:color w:val="5E5E5E"/>
              </w:rPr>
              <w:t>t incl</w:t>
            </w:r>
            <w:r>
              <w:rPr>
                <w:rFonts w:ascii="Arial" w:cs="Arial" w:eastAsia="Arial" w:hAnsi="Arial"/>
                <w:sz w:val="18"/>
                <w:szCs w:val="18"/>
                <w:color w:val="353535"/>
              </w:rPr>
              <w:t>uded:</w:t>
            </w:r>
          </w:p>
        </w:tc>
        <w:tc>
          <w:tcPr>
            <w:tcW w:w="1180" w:type="dxa"/>
            <w:vAlign w:val="bottom"/>
          </w:tcPr>
          <w:p>
            <w:pPr>
              <w:ind w:left="100"/>
              <w:spacing w:after="0" w:line="201" w:lineRule="exact"/>
              <w:rPr>
                <w:sz w:val="20"/>
                <w:szCs w:val="20"/>
                <w:color w:val="auto"/>
              </w:rPr>
            </w:pPr>
            <w:r>
              <w:rPr>
                <w:rFonts w:ascii="Arial" w:cs="Arial" w:eastAsia="Arial" w:hAnsi="Arial"/>
                <w:sz w:val="18"/>
                <w:szCs w:val="18"/>
                <w:color w:val="auto"/>
              </w:rPr>
              <w:t>Tenant</w:t>
            </w:r>
          </w:p>
        </w:tc>
        <w:tc>
          <w:tcPr>
            <w:tcW w:w="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00" w:type="dxa"/>
            <w:vAlign w:val="bottom"/>
            <w:tcBorders>
              <w:right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7420" w:type="dxa"/>
            <w:vAlign w:val="bottom"/>
            <w:tcBorders>
              <w:bottom w:val="single" w:sz="8" w:color="auto"/>
              <w:right w:val="single" w:sz="8" w:color="auto"/>
            </w:tcBorders>
          </w:tcPr>
          <w:p>
            <w:pPr>
              <w:spacing w:after="0"/>
              <w:rPr>
                <w:sz w:val="20"/>
                <w:szCs w:val="20"/>
                <w:color w:val="auto"/>
              </w:rPr>
            </w:pPr>
          </w:p>
        </w:tc>
        <w:tc>
          <w:tcPr>
            <w:tcW w:w="11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Expense</w:t>
            </w:r>
          </w:p>
        </w:tc>
        <w:tc>
          <w:tcPr>
            <w:tcW w:w="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00" w:type="dxa"/>
            <w:vAlign w:val="bottom"/>
            <w:tcBorders>
              <w:right w:val="single" w:sz="8" w:color="auto"/>
            </w:tcBorders>
          </w:tcPr>
          <w:p>
            <w:pPr>
              <w:spacing w:after="0"/>
              <w:rPr>
                <w:sz w:val="15"/>
                <w:szCs w:val="15"/>
                <w:color w:val="auto"/>
              </w:rPr>
            </w:pPr>
          </w:p>
        </w:tc>
        <w:tc>
          <w:tcPr>
            <w:tcW w:w="400" w:type="dxa"/>
            <w:vAlign w:val="bottom"/>
            <w:tcBorders>
              <w:right w:val="single" w:sz="8" w:color="auto"/>
            </w:tcBorders>
          </w:tcPr>
          <w:p>
            <w:pPr>
              <w:spacing w:after="0"/>
              <w:rPr>
                <w:sz w:val="15"/>
                <w:szCs w:val="15"/>
                <w:color w:val="auto"/>
              </w:rPr>
            </w:pPr>
          </w:p>
        </w:tc>
        <w:tc>
          <w:tcPr>
            <w:tcW w:w="7420" w:type="dxa"/>
            <w:vAlign w:val="bottom"/>
            <w:tcBorders>
              <w:right w:val="single" w:sz="8" w:color="auto"/>
            </w:tcBorders>
          </w:tcPr>
          <w:p>
            <w:pPr>
              <w:ind w:left="80"/>
              <w:spacing w:after="0" w:line="182" w:lineRule="exact"/>
              <w:rPr>
                <w:sz w:val="20"/>
                <w:szCs w:val="20"/>
                <w:color w:val="auto"/>
              </w:rPr>
            </w:pPr>
            <w:r>
              <w:rPr>
                <w:rFonts w:ascii="Arial" w:cs="Arial" w:eastAsia="Arial" w:hAnsi="Arial"/>
                <w:sz w:val="18"/>
                <w:szCs w:val="18"/>
                <w:color w:val="353535"/>
              </w:rPr>
              <w:t>- Use of factory manufacturing execution, equipment integration and analysis software</w:t>
            </w:r>
          </w:p>
        </w:tc>
        <w:tc>
          <w:tcPr>
            <w:tcW w:w="1180" w:type="dxa"/>
            <w:vAlign w:val="bottom"/>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00" w:type="dxa"/>
            <w:vAlign w:val="bottom"/>
            <w:tcBorders>
              <w:right w:val="single" w:sz="8" w:color="auto"/>
            </w:tcBorders>
          </w:tcPr>
          <w:p>
            <w:pPr>
              <w:spacing w:after="0"/>
              <w:rPr>
                <w:sz w:val="17"/>
                <w:szCs w:val="17"/>
                <w:color w:val="auto"/>
              </w:rPr>
            </w:pPr>
          </w:p>
        </w:tc>
        <w:tc>
          <w:tcPr>
            <w:tcW w:w="400" w:type="dxa"/>
            <w:vAlign w:val="bottom"/>
            <w:tcBorders>
              <w:right w:val="single" w:sz="8" w:color="auto"/>
            </w:tcBorders>
          </w:tcPr>
          <w:p>
            <w:pPr>
              <w:spacing w:after="0"/>
              <w:rPr>
                <w:sz w:val="17"/>
                <w:szCs w:val="17"/>
                <w:color w:val="auto"/>
              </w:rPr>
            </w:pPr>
          </w:p>
        </w:tc>
        <w:tc>
          <w:tcPr>
            <w:tcW w:w="742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5E5E5E"/>
              </w:rPr>
              <w:t xml:space="preserve">- </w:t>
            </w:r>
            <w:r>
              <w:rPr>
                <w:rFonts w:ascii="Arial" w:cs="Arial" w:eastAsia="Arial" w:hAnsi="Arial"/>
                <w:sz w:val="18"/>
                <w:szCs w:val="18"/>
                <w:color w:val="353535"/>
              </w:rPr>
              <w:t>Maintenance of Tenant-owned equipment</w:t>
            </w:r>
          </w:p>
        </w:tc>
        <w:tc>
          <w:tcPr>
            <w:tcW w:w="1180" w:type="dxa"/>
            <w:vAlign w:val="bottom"/>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0" w:type="dxa"/>
            <w:vAlign w:val="bottom"/>
            <w:tcBorders>
              <w:right w:val="single" w:sz="8" w:color="auto"/>
            </w:tcBorders>
          </w:tcPr>
          <w:p>
            <w:pPr>
              <w:spacing w:after="0"/>
              <w:rPr>
                <w:sz w:val="17"/>
                <w:szCs w:val="17"/>
                <w:color w:val="auto"/>
              </w:rPr>
            </w:pPr>
          </w:p>
        </w:tc>
        <w:tc>
          <w:tcPr>
            <w:tcW w:w="400" w:type="dxa"/>
            <w:vAlign w:val="bottom"/>
            <w:tcBorders>
              <w:right w:val="single" w:sz="8" w:color="auto"/>
            </w:tcBorders>
          </w:tcPr>
          <w:p>
            <w:pPr>
              <w:spacing w:after="0"/>
              <w:rPr>
                <w:sz w:val="17"/>
                <w:szCs w:val="17"/>
                <w:color w:val="auto"/>
              </w:rPr>
            </w:pPr>
          </w:p>
        </w:tc>
        <w:tc>
          <w:tcPr>
            <w:tcW w:w="742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4D4D4D"/>
              </w:rPr>
              <w:t xml:space="preserve">- </w:t>
            </w:r>
            <w:r>
              <w:rPr>
                <w:rFonts w:ascii="Arial" w:cs="Arial" w:eastAsia="Arial" w:hAnsi="Arial"/>
                <w:sz w:val="18"/>
                <w:szCs w:val="18"/>
                <w:color w:val="353535"/>
              </w:rPr>
              <w:t>Shipping costs</w:t>
            </w:r>
          </w:p>
        </w:tc>
        <w:tc>
          <w:tcPr>
            <w:tcW w:w="1180" w:type="dxa"/>
            <w:vAlign w:val="bottom"/>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0" w:type="dxa"/>
            <w:vAlign w:val="bottom"/>
            <w:tcBorders>
              <w:right w:val="single" w:sz="8" w:color="auto"/>
            </w:tcBorders>
          </w:tcPr>
          <w:p>
            <w:pPr>
              <w:spacing w:after="0"/>
              <w:rPr>
                <w:sz w:val="17"/>
                <w:szCs w:val="17"/>
                <w:color w:val="auto"/>
              </w:rPr>
            </w:pPr>
          </w:p>
        </w:tc>
        <w:tc>
          <w:tcPr>
            <w:tcW w:w="400" w:type="dxa"/>
            <w:vAlign w:val="bottom"/>
            <w:tcBorders>
              <w:right w:val="single" w:sz="8" w:color="auto"/>
            </w:tcBorders>
          </w:tcPr>
          <w:p>
            <w:pPr>
              <w:spacing w:after="0"/>
              <w:rPr>
                <w:sz w:val="17"/>
                <w:szCs w:val="17"/>
                <w:color w:val="auto"/>
              </w:rPr>
            </w:pPr>
          </w:p>
        </w:tc>
        <w:tc>
          <w:tcPr>
            <w:tcW w:w="742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4D4D4D"/>
              </w:rPr>
              <w:t xml:space="preserve">- </w:t>
            </w:r>
            <w:r>
              <w:rPr>
                <w:rFonts w:ascii="Arial" w:cs="Arial" w:eastAsia="Arial" w:hAnsi="Arial"/>
                <w:sz w:val="18"/>
                <w:szCs w:val="18"/>
                <w:color w:val="353535"/>
              </w:rPr>
              <w:t>Parts ordering and stocking</w:t>
            </w:r>
          </w:p>
        </w:tc>
        <w:tc>
          <w:tcPr>
            <w:tcW w:w="1180" w:type="dxa"/>
            <w:vAlign w:val="bottom"/>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0" w:type="dxa"/>
            <w:vAlign w:val="bottom"/>
            <w:tcBorders>
              <w:right w:val="single" w:sz="8" w:color="auto"/>
            </w:tcBorders>
          </w:tcPr>
          <w:p>
            <w:pPr>
              <w:spacing w:after="0"/>
              <w:rPr>
                <w:sz w:val="17"/>
                <w:szCs w:val="17"/>
                <w:color w:val="auto"/>
              </w:rPr>
            </w:pPr>
          </w:p>
        </w:tc>
        <w:tc>
          <w:tcPr>
            <w:tcW w:w="400" w:type="dxa"/>
            <w:vAlign w:val="bottom"/>
            <w:tcBorders>
              <w:right w:val="single" w:sz="8" w:color="auto"/>
            </w:tcBorders>
          </w:tcPr>
          <w:p>
            <w:pPr>
              <w:spacing w:after="0"/>
              <w:rPr>
                <w:sz w:val="17"/>
                <w:szCs w:val="17"/>
                <w:color w:val="auto"/>
              </w:rPr>
            </w:pPr>
          </w:p>
        </w:tc>
        <w:tc>
          <w:tcPr>
            <w:tcW w:w="742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5E5E5E"/>
              </w:rPr>
              <w:t xml:space="preserve">- </w:t>
            </w:r>
            <w:r>
              <w:rPr>
                <w:rFonts w:ascii="Arial" w:cs="Arial" w:eastAsia="Arial" w:hAnsi="Arial"/>
                <w:sz w:val="18"/>
                <w:szCs w:val="18"/>
                <w:color w:val="353535"/>
              </w:rPr>
              <w:t>Operator staffing to run Tenant-owned tools</w:t>
            </w:r>
          </w:p>
        </w:tc>
        <w:tc>
          <w:tcPr>
            <w:tcW w:w="1180" w:type="dxa"/>
            <w:vAlign w:val="bottom"/>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0" w:type="dxa"/>
            <w:vAlign w:val="bottom"/>
            <w:tcBorders>
              <w:right w:val="single" w:sz="8" w:color="auto"/>
            </w:tcBorders>
          </w:tcPr>
          <w:p>
            <w:pPr>
              <w:spacing w:after="0"/>
              <w:rPr>
                <w:sz w:val="17"/>
                <w:szCs w:val="17"/>
                <w:color w:val="auto"/>
              </w:rPr>
            </w:pPr>
          </w:p>
        </w:tc>
        <w:tc>
          <w:tcPr>
            <w:tcW w:w="400" w:type="dxa"/>
            <w:vAlign w:val="bottom"/>
            <w:tcBorders>
              <w:right w:val="single" w:sz="8" w:color="auto"/>
            </w:tcBorders>
          </w:tcPr>
          <w:p>
            <w:pPr>
              <w:spacing w:after="0"/>
              <w:rPr>
                <w:sz w:val="17"/>
                <w:szCs w:val="17"/>
                <w:color w:val="auto"/>
              </w:rPr>
            </w:pPr>
          </w:p>
        </w:tc>
        <w:tc>
          <w:tcPr>
            <w:tcW w:w="742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5E5E5E"/>
                <w:w w:val="98"/>
              </w:rPr>
              <w:t xml:space="preserve">- </w:t>
            </w:r>
            <w:r>
              <w:rPr>
                <w:rFonts w:ascii="Arial" w:cs="Arial" w:eastAsia="Arial" w:hAnsi="Arial"/>
                <w:sz w:val="18"/>
                <w:szCs w:val="18"/>
                <w:color w:val="353535"/>
                <w:w w:val="98"/>
              </w:rPr>
              <w:t>Specialty gases and chemicals that are not provided as part of factory bulk delivery systems</w:t>
            </w:r>
          </w:p>
        </w:tc>
        <w:tc>
          <w:tcPr>
            <w:tcW w:w="1180" w:type="dxa"/>
            <w:vAlign w:val="bottom"/>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0" w:type="dxa"/>
            <w:vAlign w:val="bottom"/>
            <w:tcBorders>
              <w:right w:val="single" w:sz="8" w:color="auto"/>
            </w:tcBorders>
          </w:tcPr>
          <w:p>
            <w:pPr>
              <w:spacing w:after="0"/>
              <w:rPr>
                <w:sz w:val="17"/>
                <w:szCs w:val="17"/>
                <w:color w:val="auto"/>
              </w:rPr>
            </w:pPr>
          </w:p>
        </w:tc>
        <w:tc>
          <w:tcPr>
            <w:tcW w:w="400" w:type="dxa"/>
            <w:vAlign w:val="bottom"/>
            <w:tcBorders>
              <w:right w:val="single" w:sz="8" w:color="auto"/>
            </w:tcBorders>
          </w:tcPr>
          <w:p>
            <w:pPr>
              <w:spacing w:after="0"/>
              <w:rPr>
                <w:sz w:val="17"/>
                <w:szCs w:val="17"/>
                <w:color w:val="auto"/>
              </w:rPr>
            </w:pPr>
          </w:p>
        </w:tc>
        <w:tc>
          <w:tcPr>
            <w:tcW w:w="742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353535"/>
              </w:rPr>
              <w:t>- Product or package reliability, stress or failure analysis services or support</w:t>
            </w:r>
          </w:p>
        </w:tc>
        <w:tc>
          <w:tcPr>
            <w:tcW w:w="1180" w:type="dxa"/>
            <w:vAlign w:val="bottom"/>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0" w:type="dxa"/>
            <w:vAlign w:val="bottom"/>
            <w:tcBorders>
              <w:right w:val="single" w:sz="8" w:color="auto"/>
            </w:tcBorders>
          </w:tcPr>
          <w:p>
            <w:pPr>
              <w:spacing w:after="0"/>
              <w:rPr>
                <w:sz w:val="17"/>
                <w:szCs w:val="17"/>
                <w:color w:val="auto"/>
              </w:rPr>
            </w:pPr>
          </w:p>
        </w:tc>
        <w:tc>
          <w:tcPr>
            <w:tcW w:w="400" w:type="dxa"/>
            <w:vAlign w:val="bottom"/>
            <w:tcBorders>
              <w:right w:val="single" w:sz="8" w:color="auto"/>
            </w:tcBorders>
          </w:tcPr>
          <w:p>
            <w:pPr>
              <w:spacing w:after="0"/>
              <w:rPr>
                <w:sz w:val="17"/>
                <w:szCs w:val="17"/>
                <w:color w:val="auto"/>
              </w:rPr>
            </w:pPr>
          </w:p>
        </w:tc>
        <w:tc>
          <w:tcPr>
            <w:tcW w:w="742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5E5E5E"/>
              </w:rPr>
              <w:t xml:space="preserve">- </w:t>
            </w:r>
            <w:r>
              <w:rPr>
                <w:rFonts w:ascii="Arial" w:cs="Arial" w:eastAsia="Arial" w:hAnsi="Arial"/>
                <w:sz w:val="18"/>
                <w:szCs w:val="18"/>
                <w:color w:val="353535"/>
              </w:rPr>
              <w:t>Services performed by CH-FAB machine shop</w:t>
            </w:r>
          </w:p>
        </w:tc>
        <w:tc>
          <w:tcPr>
            <w:tcW w:w="1180" w:type="dxa"/>
            <w:vAlign w:val="bottom"/>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0" w:type="dxa"/>
            <w:vAlign w:val="bottom"/>
            <w:tcBorders>
              <w:right w:val="single" w:sz="8" w:color="auto"/>
            </w:tcBorders>
          </w:tcPr>
          <w:p>
            <w:pPr>
              <w:spacing w:after="0"/>
              <w:rPr>
                <w:sz w:val="17"/>
                <w:szCs w:val="17"/>
                <w:color w:val="auto"/>
              </w:rPr>
            </w:pPr>
          </w:p>
        </w:tc>
        <w:tc>
          <w:tcPr>
            <w:tcW w:w="400" w:type="dxa"/>
            <w:vAlign w:val="bottom"/>
            <w:tcBorders>
              <w:right w:val="single" w:sz="8" w:color="auto"/>
            </w:tcBorders>
          </w:tcPr>
          <w:p>
            <w:pPr>
              <w:spacing w:after="0"/>
              <w:rPr>
                <w:sz w:val="17"/>
                <w:szCs w:val="17"/>
                <w:color w:val="auto"/>
              </w:rPr>
            </w:pPr>
          </w:p>
        </w:tc>
        <w:tc>
          <w:tcPr>
            <w:tcW w:w="742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4D4D4D"/>
              </w:rPr>
              <w:t xml:space="preserve">- </w:t>
            </w:r>
            <w:r>
              <w:rPr>
                <w:rFonts w:ascii="Arial" w:cs="Arial" w:eastAsia="Arial" w:hAnsi="Arial"/>
                <w:sz w:val="18"/>
                <w:szCs w:val="18"/>
                <w:color w:val="353535"/>
              </w:rPr>
              <w:t>References to wafer quantities in this exhibit do not constitute a capacity commitment by</w:t>
            </w:r>
          </w:p>
        </w:tc>
        <w:tc>
          <w:tcPr>
            <w:tcW w:w="1180" w:type="dxa"/>
            <w:vAlign w:val="bottom"/>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0" w:type="dxa"/>
            <w:vAlign w:val="bottom"/>
            <w:tcBorders>
              <w:right w:val="single" w:sz="8" w:color="auto"/>
            </w:tcBorders>
          </w:tcPr>
          <w:p>
            <w:pPr>
              <w:spacing w:after="0"/>
              <w:rPr>
                <w:sz w:val="17"/>
                <w:szCs w:val="17"/>
                <w:color w:val="auto"/>
              </w:rPr>
            </w:pPr>
          </w:p>
        </w:tc>
        <w:tc>
          <w:tcPr>
            <w:tcW w:w="400" w:type="dxa"/>
            <w:vAlign w:val="bottom"/>
            <w:tcBorders>
              <w:right w:val="single" w:sz="8" w:color="auto"/>
            </w:tcBorders>
          </w:tcPr>
          <w:p>
            <w:pPr>
              <w:spacing w:after="0"/>
              <w:rPr>
                <w:sz w:val="17"/>
                <w:szCs w:val="17"/>
                <w:color w:val="auto"/>
              </w:rPr>
            </w:pPr>
          </w:p>
        </w:tc>
        <w:tc>
          <w:tcPr>
            <w:tcW w:w="742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353535"/>
              </w:rPr>
              <w:t>Landlord</w:t>
            </w:r>
          </w:p>
        </w:tc>
        <w:tc>
          <w:tcPr>
            <w:tcW w:w="1180" w:type="dxa"/>
            <w:vAlign w:val="bottom"/>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0" w:type="dxa"/>
            <w:vAlign w:val="bottom"/>
            <w:tcBorders>
              <w:right w:val="single" w:sz="8" w:color="auto"/>
            </w:tcBorders>
          </w:tcPr>
          <w:p>
            <w:pPr>
              <w:spacing w:after="0"/>
              <w:rPr>
                <w:sz w:val="17"/>
                <w:szCs w:val="17"/>
                <w:color w:val="auto"/>
              </w:rPr>
            </w:pPr>
          </w:p>
        </w:tc>
        <w:tc>
          <w:tcPr>
            <w:tcW w:w="400" w:type="dxa"/>
            <w:vAlign w:val="bottom"/>
            <w:tcBorders>
              <w:right w:val="single" w:sz="8" w:color="auto"/>
            </w:tcBorders>
          </w:tcPr>
          <w:p>
            <w:pPr>
              <w:spacing w:after="0"/>
              <w:rPr>
                <w:sz w:val="17"/>
                <w:szCs w:val="17"/>
                <w:color w:val="auto"/>
              </w:rPr>
            </w:pPr>
          </w:p>
        </w:tc>
        <w:tc>
          <w:tcPr>
            <w:tcW w:w="742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353535"/>
                <w:w w:val="93"/>
              </w:rPr>
              <w:t>- From time to time, and for the purposes of efficient repair or maintenance of tools and equipment</w:t>
            </w:r>
          </w:p>
        </w:tc>
        <w:tc>
          <w:tcPr>
            <w:tcW w:w="1180" w:type="dxa"/>
            <w:vAlign w:val="bottom"/>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0" w:type="dxa"/>
            <w:vAlign w:val="bottom"/>
            <w:tcBorders>
              <w:right w:val="single" w:sz="8" w:color="auto"/>
            </w:tcBorders>
          </w:tcPr>
          <w:p>
            <w:pPr>
              <w:spacing w:after="0"/>
              <w:rPr>
                <w:sz w:val="17"/>
                <w:szCs w:val="17"/>
                <w:color w:val="auto"/>
              </w:rPr>
            </w:pPr>
          </w:p>
        </w:tc>
        <w:tc>
          <w:tcPr>
            <w:tcW w:w="400" w:type="dxa"/>
            <w:vAlign w:val="bottom"/>
            <w:tcBorders>
              <w:right w:val="single" w:sz="8" w:color="auto"/>
            </w:tcBorders>
          </w:tcPr>
          <w:p>
            <w:pPr>
              <w:spacing w:after="0"/>
              <w:rPr>
                <w:sz w:val="17"/>
                <w:szCs w:val="17"/>
                <w:color w:val="auto"/>
              </w:rPr>
            </w:pPr>
          </w:p>
        </w:tc>
        <w:tc>
          <w:tcPr>
            <w:tcW w:w="742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353535"/>
              </w:rPr>
              <w:t>on Premises, the Tenant may request to procure goods or services from Landlord, whether</w:t>
            </w:r>
          </w:p>
        </w:tc>
        <w:tc>
          <w:tcPr>
            <w:tcW w:w="1180" w:type="dxa"/>
            <w:vAlign w:val="bottom"/>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0" w:type="dxa"/>
            <w:vAlign w:val="bottom"/>
            <w:tcBorders>
              <w:right w:val="single" w:sz="8" w:color="auto"/>
            </w:tcBorders>
          </w:tcPr>
          <w:p>
            <w:pPr>
              <w:spacing w:after="0"/>
              <w:rPr>
                <w:sz w:val="17"/>
                <w:szCs w:val="17"/>
                <w:color w:val="auto"/>
              </w:rPr>
            </w:pPr>
          </w:p>
        </w:tc>
        <w:tc>
          <w:tcPr>
            <w:tcW w:w="400" w:type="dxa"/>
            <w:vAlign w:val="bottom"/>
            <w:tcBorders>
              <w:right w:val="single" w:sz="8" w:color="auto"/>
            </w:tcBorders>
          </w:tcPr>
          <w:p>
            <w:pPr>
              <w:spacing w:after="0"/>
              <w:rPr>
                <w:sz w:val="17"/>
                <w:szCs w:val="17"/>
                <w:color w:val="auto"/>
              </w:rPr>
            </w:pPr>
          </w:p>
        </w:tc>
        <w:tc>
          <w:tcPr>
            <w:tcW w:w="742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353535"/>
                <w:w w:val="96"/>
              </w:rPr>
              <w:t>provided or performed by Landlord or Landlord’s vendor. In such an event, Landlord will invoice</w:t>
            </w:r>
          </w:p>
        </w:tc>
        <w:tc>
          <w:tcPr>
            <w:tcW w:w="1180" w:type="dxa"/>
            <w:vAlign w:val="bottom"/>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0" w:type="dxa"/>
            <w:vAlign w:val="bottom"/>
            <w:tcBorders>
              <w:right w:val="single" w:sz="8" w:color="auto"/>
            </w:tcBorders>
          </w:tcPr>
          <w:p>
            <w:pPr>
              <w:spacing w:after="0"/>
              <w:rPr>
                <w:sz w:val="17"/>
                <w:szCs w:val="17"/>
                <w:color w:val="auto"/>
              </w:rPr>
            </w:pPr>
          </w:p>
        </w:tc>
        <w:tc>
          <w:tcPr>
            <w:tcW w:w="400" w:type="dxa"/>
            <w:vAlign w:val="bottom"/>
            <w:tcBorders>
              <w:right w:val="single" w:sz="8" w:color="auto"/>
            </w:tcBorders>
          </w:tcPr>
          <w:p>
            <w:pPr>
              <w:spacing w:after="0"/>
              <w:rPr>
                <w:sz w:val="17"/>
                <w:szCs w:val="17"/>
                <w:color w:val="auto"/>
              </w:rPr>
            </w:pPr>
          </w:p>
        </w:tc>
        <w:tc>
          <w:tcPr>
            <w:tcW w:w="742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353535"/>
                <w:w w:val="92"/>
              </w:rPr>
              <w:t>Tenant cost plus 10%. Tenant acknowledges services performed by a Landlord vendor which result</w:t>
            </w:r>
          </w:p>
        </w:tc>
        <w:tc>
          <w:tcPr>
            <w:tcW w:w="1180" w:type="dxa"/>
            <w:vAlign w:val="bottom"/>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0" w:type="dxa"/>
            <w:vAlign w:val="bottom"/>
            <w:tcBorders>
              <w:right w:val="single" w:sz="8" w:color="auto"/>
            </w:tcBorders>
          </w:tcPr>
          <w:p>
            <w:pPr>
              <w:spacing w:after="0"/>
              <w:rPr>
                <w:sz w:val="17"/>
                <w:szCs w:val="17"/>
                <w:color w:val="auto"/>
              </w:rPr>
            </w:pPr>
          </w:p>
        </w:tc>
        <w:tc>
          <w:tcPr>
            <w:tcW w:w="400" w:type="dxa"/>
            <w:vAlign w:val="bottom"/>
            <w:tcBorders>
              <w:right w:val="single" w:sz="8" w:color="auto"/>
            </w:tcBorders>
          </w:tcPr>
          <w:p>
            <w:pPr>
              <w:spacing w:after="0"/>
              <w:rPr>
                <w:sz w:val="17"/>
                <w:szCs w:val="17"/>
                <w:color w:val="auto"/>
              </w:rPr>
            </w:pPr>
          </w:p>
        </w:tc>
        <w:tc>
          <w:tcPr>
            <w:tcW w:w="742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353535"/>
                <w:w w:val="95"/>
              </w:rPr>
              <w:t>in damage to Tenant’s property are not caused by Landlord, and therefore, Landlord is not liable</w:t>
            </w:r>
          </w:p>
        </w:tc>
        <w:tc>
          <w:tcPr>
            <w:tcW w:w="1180" w:type="dxa"/>
            <w:vAlign w:val="bottom"/>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00" w:type="dxa"/>
            <w:vAlign w:val="bottom"/>
            <w:tcBorders>
              <w:right w:val="single" w:sz="8" w:color="auto"/>
            </w:tcBorders>
          </w:tcPr>
          <w:p>
            <w:pPr>
              <w:spacing w:after="0"/>
              <w:rPr>
                <w:sz w:val="16"/>
                <w:szCs w:val="16"/>
                <w:color w:val="auto"/>
              </w:rPr>
            </w:pPr>
          </w:p>
        </w:tc>
        <w:tc>
          <w:tcPr>
            <w:tcW w:w="400" w:type="dxa"/>
            <w:vAlign w:val="bottom"/>
            <w:tcBorders>
              <w:right w:val="single" w:sz="8" w:color="auto"/>
            </w:tcBorders>
          </w:tcPr>
          <w:p>
            <w:pPr>
              <w:spacing w:after="0"/>
              <w:rPr>
                <w:sz w:val="16"/>
                <w:szCs w:val="16"/>
                <w:color w:val="auto"/>
              </w:rPr>
            </w:pPr>
          </w:p>
        </w:tc>
        <w:tc>
          <w:tcPr>
            <w:tcW w:w="7420" w:type="dxa"/>
            <w:vAlign w:val="bottom"/>
            <w:tcBorders>
              <w:right w:val="single" w:sz="8" w:color="auto"/>
            </w:tcBorders>
          </w:tcPr>
          <w:p>
            <w:pPr>
              <w:ind w:left="80"/>
              <w:spacing w:after="0" w:line="189" w:lineRule="exact"/>
              <w:rPr>
                <w:sz w:val="20"/>
                <w:szCs w:val="20"/>
                <w:color w:val="auto"/>
              </w:rPr>
            </w:pPr>
            <w:r>
              <w:rPr>
                <w:rFonts w:ascii="Arial" w:cs="Arial" w:eastAsia="Arial" w:hAnsi="Arial"/>
                <w:sz w:val="18"/>
                <w:szCs w:val="18"/>
                <w:color w:val="353535"/>
              </w:rPr>
              <w:t>for any such damages. The foregoing statement does not represent a commitment by the</w:t>
            </w:r>
          </w:p>
        </w:tc>
        <w:tc>
          <w:tcPr>
            <w:tcW w:w="1180" w:type="dxa"/>
            <w:vAlign w:val="bottom"/>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00" w:type="dxa"/>
            <w:vAlign w:val="bottom"/>
            <w:tcBorders>
              <w:right w:val="single" w:sz="8" w:color="auto"/>
            </w:tcBorders>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74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353535"/>
                <w:w w:val="94"/>
              </w:rPr>
              <w:t>Landlord to support the repair or maintenance of Tenant’s tools and equipment on the Premises.”</w:t>
            </w:r>
          </w:p>
        </w:tc>
        <w:tc>
          <w:tcPr>
            <w:tcW w:w="118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100" w:type="dxa"/>
            <w:vAlign w:val="bottom"/>
            <w:tcBorders>
              <w:right w:val="single" w:sz="8" w:color="auto"/>
            </w:tcBorders>
          </w:tcPr>
          <w:p>
            <w:pPr>
              <w:spacing w:after="0"/>
              <w:rPr>
                <w:sz w:val="5"/>
                <w:szCs w:val="5"/>
                <w:color w:val="auto"/>
              </w:rPr>
            </w:pPr>
          </w:p>
        </w:tc>
        <w:tc>
          <w:tcPr>
            <w:tcW w:w="400" w:type="dxa"/>
            <w:vAlign w:val="bottom"/>
            <w:tcBorders>
              <w:bottom w:val="single" w:sz="8" w:color="auto"/>
              <w:right w:val="single" w:sz="8" w:color="auto"/>
            </w:tcBorders>
          </w:tcPr>
          <w:p>
            <w:pPr>
              <w:spacing w:after="0"/>
              <w:rPr>
                <w:sz w:val="5"/>
                <w:szCs w:val="5"/>
                <w:color w:val="auto"/>
              </w:rPr>
            </w:pPr>
          </w:p>
        </w:tc>
        <w:tc>
          <w:tcPr>
            <w:tcW w:w="7420" w:type="dxa"/>
            <w:vAlign w:val="bottom"/>
            <w:tcBorders>
              <w:bottom w:val="single" w:sz="8" w:color="auto"/>
              <w:right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100" w:type="dxa"/>
            <w:vAlign w:val="bottom"/>
            <w:tcBorders>
              <w:right w:val="single" w:sz="8" w:color="auto"/>
            </w:tcBorders>
          </w:tcPr>
          <w:p>
            <w:pPr>
              <w:spacing w:after="0"/>
              <w:rPr>
                <w:sz w:val="16"/>
                <w:szCs w:val="16"/>
                <w:color w:val="auto"/>
              </w:rPr>
            </w:pPr>
          </w:p>
        </w:tc>
        <w:tc>
          <w:tcPr>
            <w:tcW w:w="400" w:type="dxa"/>
            <w:vAlign w:val="bottom"/>
            <w:tcBorders>
              <w:right w:val="single" w:sz="8" w:color="auto"/>
            </w:tcBorders>
          </w:tcPr>
          <w:p>
            <w:pPr>
              <w:spacing w:after="0"/>
              <w:rPr>
                <w:sz w:val="16"/>
                <w:szCs w:val="16"/>
                <w:color w:val="auto"/>
              </w:rPr>
            </w:pPr>
          </w:p>
        </w:tc>
        <w:tc>
          <w:tcPr>
            <w:tcW w:w="742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353535"/>
                <w:w w:val="91"/>
              </w:rPr>
              <w:t>The rate for each of the above items will increase on June 7, 2020 (and each anniversary thereafter)</w:t>
            </w:r>
          </w:p>
        </w:tc>
        <w:tc>
          <w:tcPr>
            <w:tcW w:w="1180" w:type="dxa"/>
            <w:vAlign w:val="bottom"/>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0" w:type="dxa"/>
            <w:vAlign w:val="bottom"/>
            <w:tcBorders>
              <w:right w:val="single" w:sz="8" w:color="auto"/>
            </w:tcBorders>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74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353535"/>
                <w:w w:val="98"/>
              </w:rPr>
              <w:t>of the Lease Term by an amount equal to four percent (4.0%) of the rate for such item for the</w:t>
            </w:r>
          </w:p>
        </w:tc>
        <w:tc>
          <w:tcPr>
            <w:tcW w:w="118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0" w:type="dxa"/>
            <w:vAlign w:val="bottom"/>
            <w:tcBorders>
              <w:right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74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353535"/>
              </w:rPr>
              <w:t>preceding period.</w:t>
            </w:r>
          </w:p>
        </w:tc>
        <w:tc>
          <w:tcPr>
            <w:tcW w:w="1180" w:type="dxa"/>
            <w:vAlign w:val="bottom"/>
            <w:tcBorders>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54"/>
        </w:trPr>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219"/>
          </w:cols>
          <w:pgMar w:left="1240" w:top="199" w:right="1440" w:bottom="1440" w:gutter="0" w:footer="0" w:header="0"/>
        </w:sectPr>
      </w:pPr>
    </w:p>
    <w:bookmarkStart w:id="65" w:name="page66"/>
    <w:bookmarkEnd w:id="6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782320</wp:posOffset>
            </wp:positionH>
            <wp:positionV relativeFrom="page">
              <wp:posOffset>594995</wp:posOffset>
            </wp:positionV>
            <wp:extent cx="5786120"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0">
                      <a:extLst>
                        <a:ext uri="{28A0092B-C50C-407E-A947-70E740481C1C}"/>
                      </a:extLst>
                    </a:blip>
                    <a:srcRect/>
                    <a:stretch>
                      <a:fillRect/>
                    </a:stretch>
                  </pic:blipFill>
                  <pic:spPr bwMode="auto">
                    <a:xfrm>
                      <a:off x="0" y="0"/>
                      <a:ext cx="5786120" cy="254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jc w:val="right"/>
        <w:spacing w:after="0"/>
        <w:rPr>
          <w:sz w:val="20"/>
          <w:szCs w:val="20"/>
          <w:color w:val="auto"/>
        </w:rPr>
      </w:pPr>
      <w:r>
        <w:rPr>
          <w:rFonts w:ascii="Arial" w:cs="Arial" w:eastAsia="Arial" w:hAnsi="Arial"/>
          <w:sz w:val="20"/>
          <w:szCs w:val="20"/>
          <w:b w:val="1"/>
          <w:bCs w:val="1"/>
          <w:color w:val="auto"/>
        </w:rPr>
        <w:t>Exhibit 10.3</w:t>
      </w:r>
    </w:p>
    <w:p>
      <w:pPr>
        <w:spacing w:after="0" w:line="147" w:lineRule="exact"/>
        <w:rPr>
          <w:sz w:val="20"/>
          <w:szCs w:val="20"/>
          <w:color w:val="auto"/>
        </w:rPr>
      </w:pPr>
    </w:p>
    <w:p>
      <w:pPr>
        <w:jc w:val="center"/>
        <w:ind w:right="420"/>
        <w:spacing w:after="0"/>
        <w:rPr>
          <w:sz w:val="20"/>
          <w:szCs w:val="20"/>
          <w:color w:val="auto"/>
        </w:rPr>
      </w:pPr>
      <w:r>
        <w:rPr>
          <w:rFonts w:ascii="Arial" w:cs="Arial" w:eastAsia="Arial" w:hAnsi="Arial"/>
          <w:sz w:val="20"/>
          <w:szCs w:val="20"/>
          <w:b w:val="1"/>
          <w:bCs w:val="1"/>
          <w:color w:val="auto"/>
        </w:rPr>
        <w:t>FIRST AMENDMENT TO</w:t>
      </w:r>
    </w:p>
    <w:p>
      <w:pPr>
        <w:spacing w:after="0" w:line="22" w:lineRule="exact"/>
        <w:rPr>
          <w:sz w:val="20"/>
          <w:szCs w:val="20"/>
          <w:color w:val="auto"/>
        </w:rPr>
      </w:pPr>
    </w:p>
    <w:p>
      <w:pPr>
        <w:jc w:val="center"/>
        <w:ind w:right="420"/>
        <w:spacing w:after="0"/>
        <w:rPr>
          <w:sz w:val="20"/>
          <w:szCs w:val="20"/>
          <w:color w:val="auto"/>
        </w:rPr>
      </w:pPr>
      <w:r>
        <w:rPr>
          <w:rFonts w:ascii="Arial" w:cs="Arial" w:eastAsia="Arial" w:hAnsi="Arial"/>
          <w:sz w:val="20"/>
          <w:szCs w:val="20"/>
          <w:b w:val="1"/>
          <w:bCs w:val="1"/>
          <w:color w:val="auto"/>
        </w:rPr>
        <w:t>AMENDED AND RESTATED LOAN AND SECURITY AGREEMENT</w:t>
      </w:r>
    </w:p>
    <w:p>
      <w:pPr>
        <w:spacing w:after="0" w:line="33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THIS FIRST AMENDMENT TO AMENDED AND RESTATED LOAN AND SECURITY AGREEMENT (this “</w:t>
      </w:r>
      <w:r>
        <w:rPr>
          <w:rFonts w:ascii="Arial" w:cs="Arial" w:eastAsia="Arial" w:hAnsi="Arial"/>
          <w:sz w:val="19"/>
          <w:szCs w:val="19"/>
          <w:b w:val="1"/>
          <w:bCs w:val="1"/>
          <w:color w:val="auto"/>
        </w:rPr>
        <w:t>Amendment</w:t>
      </w:r>
      <w:r>
        <w:rPr>
          <w:rFonts w:ascii="Arial" w:cs="Arial" w:eastAsia="Arial" w:hAnsi="Arial"/>
          <w:sz w:val="19"/>
          <w:szCs w:val="19"/>
          <w:color w:val="auto"/>
        </w:rPr>
        <w:t>”) is entered into this July 15, 2020, by and between SILICON VALLEY BANK, a California corporation (“</w:t>
      </w:r>
      <w:r>
        <w:rPr>
          <w:rFonts w:ascii="Arial" w:cs="Arial" w:eastAsia="Arial" w:hAnsi="Arial"/>
          <w:sz w:val="19"/>
          <w:szCs w:val="19"/>
          <w:b w:val="1"/>
          <w:bCs w:val="1"/>
          <w:color w:val="auto"/>
        </w:rPr>
        <w:t>Bank</w:t>
      </w:r>
      <w:r>
        <w:rPr>
          <w:rFonts w:ascii="Arial" w:cs="Arial" w:eastAsia="Arial" w:hAnsi="Arial"/>
          <w:sz w:val="19"/>
          <w:szCs w:val="19"/>
          <w:color w:val="auto"/>
        </w:rPr>
        <w:t>”), and EVERSPIN TECHNOLOGIES, INC., a Delaware corporation (“</w:t>
      </w:r>
      <w:r>
        <w:rPr>
          <w:rFonts w:ascii="Arial" w:cs="Arial" w:eastAsia="Arial" w:hAnsi="Arial"/>
          <w:sz w:val="19"/>
          <w:szCs w:val="19"/>
          <w:b w:val="1"/>
          <w:bCs w:val="1"/>
          <w:color w:val="auto"/>
        </w:rPr>
        <w:t>Borrower</w:t>
      </w:r>
      <w:r>
        <w:rPr>
          <w:rFonts w:ascii="Arial" w:cs="Arial" w:eastAsia="Arial" w:hAnsi="Arial"/>
          <w:sz w:val="19"/>
          <w:szCs w:val="19"/>
          <w:color w:val="auto"/>
        </w:rPr>
        <w:t>”).</w:t>
      </w:r>
    </w:p>
    <w:p>
      <w:pPr>
        <w:spacing w:after="0" w:line="177" w:lineRule="exact"/>
        <w:rPr>
          <w:sz w:val="20"/>
          <w:szCs w:val="20"/>
          <w:color w:val="auto"/>
        </w:rPr>
      </w:pPr>
    </w:p>
    <w:p>
      <w:pPr>
        <w:jc w:val="center"/>
        <w:ind w:right="420"/>
        <w:spacing w:after="0"/>
        <w:rPr>
          <w:sz w:val="20"/>
          <w:szCs w:val="20"/>
          <w:color w:val="auto"/>
        </w:rPr>
      </w:pPr>
      <w:r>
        <w:rPr>
          <w:rFonts w:ascii="Arial" w:cs="Arial" w:eastAsia="Arial" w:hAnsi="Arial"/>
          <w:sz w:val="20"/>
          <w:szCs w:val="20"/>
          <w:b w:val="1"/>
          <w:bCs w:val="1"/>
          <w:color w:val="auto"/>
        </w:rPr>
        <w:t>R</w:t>
      </w:r>
      <w:r>
        <w:rPr>
          <w:rFonts w:ascii="Arial" w:cs="Arial" w:eastAsia="Arial" w:hAnsi="Arial"/>
          <w:sz w:val="16"/>
          <w:szCs w:val="16"/>
          <w:b w:val="1"/>
          <w:bCs w:val="1"/>
          <w:color w:val="auto"/>
        </w:rPr>
        <w:t>ECITALS</w:t>
      </w:r>
    </w:p>
    <w:p>
      <w:pPr>
        <w:spacing w:after="0" w:line="357" w:lineRule="exact"/>
        <w:rPr>
          <w:sz w:val="20"/>
          <w:szCs w:val="20"/>
          <w:color w:val="auto"/>
        </w:rPr>
      </w:pPr>
    </w:p>
    <w:p>
      <w:pPr>
        <w:ind w:right="880" w:firstLine="650"/>
        <w:spacing w:after="0" w:line="250" w:lineRule="auto"/>
        <w:tabs>
          <w:tab w:leader="none" w:pos="1335" w:val="left"/>
        </w:tabs>
        <w:numPr>
          <w:ilvl w:val="0"/>
          <w:numId w:val="33"/>
        </w:numPr>
        <w:rPr>
          <w:rFonts w:ascii="Arial" w:cs="Arial" w:eastAsia="Arial" w:hAnsi="Arial"/>
          <w:sz w:val="20"/>
          <w:szCs w:val="20"/>
          <w:color w:val="auto"/>
        </w:rPr>
      </w:pPr>
      <w:r>
        <w:rPr>
          <w:rFonts w:ascii="Arial" w:cs="Arial" w:eastAsia="Arial" w:hAnsi="Arial"/>
          <w:sz w:val="20"/>
          <w:szCs w:val="20"/>
          <w:color w:val="auto"/>
        </w:rPr>
        <w:t>Bank and Borrower have entered into that certain Amended and Restated Loan and Security Agreement dated as of August 5, 2019 (as the same may from time to time be further amended, modified, supplemented or restated, the “</w:t>
      </w:r>
      <w:r>
        <w:rPr>
          <w:rFonts w:ascii="Arial" w:cs="Arial" w:eastAsia="Arial" w:hAnsi="Arial"/>
          <w:sz w:val="20"/>
          <w:szCs w:val="20"/>
          <w:b w:val="1"/>
          <w:bCs w:val="1"/>
          <w:color w:val="auto"/>
        </w:rPr>
        <w:t>Loan Agreement</w:t>
      </w:r>
      <w:r>
        <w:rPr>
          <w:rFonts w:ascii="Arial" w:cs="Arial" w:eastAsia="Arial" w:hAnsi="Arial"/>
          <w:sz w:val="20"/>
          <w:szCs w:val="20"/>
          <w:color w:val="auto"/>
        </w:rPr>
        <w:t>”).</w:t>
      </w:r>
    </w:p>
    <w:p>
      <w:pPr>
        <w:spacing w:after="0" w:line="199" w:lineRule="exact"/>
        <w:rPr>
          <w:rFonts w:ascii="Arial" w:cs="Arial" w:eastAsia="Arial" w:hAnsi="Arial"/>
          <w:sz w:val="20"/>
          <w:szCs w:val="20"/>
          <w:color w:val="auto"/>
        </w:rPr>
      </w:pPr>
    </w:p>
    <w:p>
      <w:pPr>
        <w:ind w:left="1320" w:hanging="670"/>
        <w:spacing w:after="0"/>
        <w:tabs>
          <w:tab w:leader="none" w:pos="1320" w:val="left"/>
        </w:tabs>
        <w:numPr>
          <w:ilvl w:val="0"/>
          <w:numId w:val="33"/>
        </w:numPr>
        <w:rPr>
          <w:rFonts w:ascii="Arial" w:cs="Arial" w:eastAsia="Arial" w:hAnsi="Arial"/>
          <w:sz w:val="20"/>
          <w:szCs w:val="20"/>
          <w:color w:val="auto"/>
        </w:rPr>
      </w:pPr>
      <w:r>
        <w:rPr>
          <w:rFonts w:ascii="Arial" w:cs="Arial" w:eastAsia="Arial" w:hAnsi="Arial"/>
          <w:sz w:val="20"/>
          <w:szCs w:val="20"/>
          <w:color w:val="auto"/>
        </w:rPr>
        <w:t>Bank has extended credit to Borrower for the purposes permitted in the Loan Agreement.</w:t>
      </w:r>
    </w:p>
    <w:p>
      <w:pPr>
        <w:spacing w:after="0" w:line="215" w:lineRule="exact"/>
        <w:rPr>
          <w:rFonts w:ascii="Arial" w:cs="Arial" w:eastAsia="Arial" w:hAnsi="Arial"/>
          <w:sz w:val="20"/>
          <w:szCs w:val="20"/>
          <w:color w:val="auto"/>
        </w:rPr>
      </w:pPr>
    </w:p>
    <w:p>
      <w:pPr>
        <w:ind w:right="240" w:firstLine="650"/>
        <w:spacing w:after="0" w:line="246" w:lineRule="auto"/>
        <w:tabs>
          <w:tab w:leader="none" w:pos="1324" w:val="left"/>
        </w:tabs>
        <w:numPr>
          <w:ilvl w:val="0"/>
          <w:numId w:val="33"/>
        </w:numPr>
        <w:rPr>
          <w:rFonts w:ascii="Arial" w:cs="Arial" w:eastAsia="Arial" w:hAnsi="Arial"/>
          <w:sz w:val="20"/>
          <w:szCs w:val="20"/>
          <w:color w:val="auto"/>
        </w:rPr>
      </w:pPr>
      <w:r>
        <w:rPr>
          <w:rFonts w:ascii="Arial" w:cs="Arial" w:eastAsia="Arial" w:hAnsi="Arial"/>
          <w:sz w:val="20"/>
          <w:szCs w:val="20"/>
          <w:color w:val="auto"/>
        </w:rPr>
        <w:t>Borrower has requested that Bank amend the Loan Agreement to (i) change the Term Loan Amortization Date, (ii) extend the Term Loan Maturity Date, (iii) remove the Liquidity Ratio financial covenant, (iv) add a new minimum cash and availability covenant, and (iv) make certain revisions to the Loan Agreement as more fully set forth herein.</w:t>
      </w:r>
    </w:p>
    <w:p>
      <w:pPr>
        <w:spacing w:after="0" w:line="191" w:lineRule="exact"/>
        <w:rPr>
          <w:rFonts w:ascii="Arial" w:cs="Arial" w:eastAsia="Arial" w:hAnsi="Arial"/>
          <w:sz w:val="20"/>
          <w:szCs w:val="20"/>
          <w:color w:val="auto"/>
        </w:rPr>
      </w:pPr>
    </w:p>
    <w:p>
      <w:pPr>
        <w:ind w:right="280" w:firstLine="650"/>
        <w:spacing w:after="0" w:line="250" w:lineRule="auto"/>
        <w:tabs>
          <w:tab w:leader="none" w:pos="1335" w:val="left"/>
        </w:tabs>
        <w:numPr>
          <w:ilvl w:val="0"/>
          <w:numId w:val="33"/>
        </w:numPr>
        <w:rPr>
          <w:rFonts w:ascii="Arial" w:cs="Arial" w:eastAsia="Arial" w:hAnsi="Arial"/>
          <w:sz w:val="20"/>
          <w:szCs w:val="20"/>
          <w:color w:val="auto"/>
        </w:rPr>
      </w:pPr>
      <w:r>
        <w:rPr>
          <w:rFonts w:ascii="Arial" w:cs="Arial" w:eastAsia="Arial" w:hAnsi="Arial"/>
          <w:sz w:val="20"/>
          <w:szCs w:val="20"/>
          <w:color w:val="auto"/>
        </w:rPr>
        <w:t>Bank has agreed to so amend certain provisions of the Loan Agreement, but only to the extent, in accordance with the terms, subject to the conditions and in reliance upon the representations and warranties set forth below.</w:t>
      </w:r>
    </w:p>
    <w:p>
      <w:pPr>
        <w:spacing w:after="0" w:line="180" w:lineRule="exact"/>
        <w:rPr>
          <w:sz w:val="20"/>
          <w:szCs w:val="20"/>
          <w:color w:val="auto"/>
        </w:rPr>
      </w:pPr>
    </w:p>
    <w:p>
      <w:pPr>
        <w:jc w:val="center"/>
        <w:ind w:right="420"/>
        <w:spacing w:after="0"/>
        <w:rPr>
          <w:sz w:val="20"/>
          <w:szCs w:val="20"/>
          <w:color w:val="auto"/>
        </w:rPr>
      </w:pPr>
      <w:r>
        <w:rPr>
          <w:rFonts w:ascii="Arial" w:cs="Arial" w:eastAsia="Arial" w:hAnsi="Arial"/>
          <w:sz w:val="20"/>
          <w:szCs w:val="20"/>
          <w:b w:val="1"/>
          <w:bCs w:val="1"/>
          <w:color w:val="auto"/>
        </w:rPr>
        <w:t>A</w:t>
      </w:r>
      <w:r>
        <w:rPr>
          <w:rFonts w:ascii="Arial" w:cs="Arial" w:eastAsia="Arial" w:hAnsi="Arial"/>
          <w:sz w:val="16"/>
          <w:szCs w:val="16"/>
          <w:b w:val="1"/>
          <w:bCs w:val="1"/>
          <w:color w:val="auto"/>
        </w:rPr>
        <w:t>GREEMENT</w:t>
      </w:r>
    </w:p>
    <w:p>
      <w:pPr>
        <w:spacing w:after="0" w:line="36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N</w:t>
      </w:r>
      <w:r>
        <w:rPr>
          <w:rFonts w:ascii="Arial" w:cs="Arial" w:eastAsia="Arial" w:hAnsi="Arial"/>
          <w:sz w:val="16"/>
          <w:szCs w:val="16"/>
          <w:b w:val="1"/>
          <w:bCs w:val="1"/>
          <w:color w:val="auto"/>
        </w:rPr>
        <w:t>OW</w:t>
      </w:r>
      <w:r>
        <w:rPr>
          <w:rFonts w:ascii="Arial" w:cs="Arial" w:eastAsia="Arial" w:hAnsi="Arial"/>
          <w:sz w:val="20"/>
          <w:szCs w:val="20"/>
          <w:b w:val="1"/>
          <w:bCs w:val="1"/>
          <w:color w:val="auto"/>
        </w:rPr>
        <w:t>, T</w:t>
      </w:r>
      <w:r>
        <w:rPr>
          <w:rFonts w:ascii="Arial" w:cs="Arial" w:eastAsia="Arial" w:hAnsi="Arial"/>
          <w:sz w:val="16"/>
          <w:szCs w:val="16"/>
          <w:b w:val="1"/>
          <w:bCs w:val="1"/>
          <w:color w:val="auto"/>
        </w:rPr>
        <w:t>HEREFORE</w:t>
      </w:r>
      <w:r>
        <w:rPr>
          <w:rFonts w:ascii="Arial" w:cs="Arial" w:eastAsia="Arial" w:hAnsi="Arial"/>
          <w:sz w:val="20"/>
          <w:szCs w:val="20"/>
          <w:b w:val="1"/>
          <w:bCs w:val="1"/>
          <w:color w:val="auto"/>
        </w:rPr>
        <w:t xml:space="preserve">, </w:t>
      </w:r>
      <w:r>
        <w:rPr>
          <w:rFonts w:ascii="Arial" w:cs="Arial" w:eastAsia="Arial" w:hAnsi="Arial"/>
          <w:sz w:val="20"/>
          <w:szCs w:val="20"/>
          <w:color w:val="auto"/>
        </w:rPr>
        <w:t>in consideration of the foregoing recitals and other good and valuable consideration, the</w:t>
      </w:r>
      <w:r>
        <w:rPr>
          <w:rFonts w:ascii="Arial" w:cs="Arial" w:eastAsia="Arial" w:hAnsi="Arial"/>
          <w:sz w:val="20"/>
          <w:szCs w:val="20"/>
          <w:b w:val="1"/>
          <w:bCs w:val="1"/>
          <w:color w:val="auto"/>
        </w:rPr>
        <w:t xml:space="preserve"> </w:t>
      </w:r>
      <w:r>
        <w:rPr>
          <w:rFonts w:ascii="Arial" w:cs="Arial" w:eastAsia="Arial" w:hAnsi="Arial"/>
          <w:sz w:val="20"/>
          <w:szCs w:val="20"/>
          <w:color w:val="auto"/>
        </w:rPr>
        <w:t>receipt and adequacy of which is hereby acknowledged, and intending to be legally bound, the parties hereto agree as follows:</w:t>
      </w:r>
    </w:p>
    <w:p>
      <w:pPr>
        <w:spacing w:after="0" w:line="177" w:lineRule="exact"/>
        <w:rPr>
          <w:sz w:val="20"/>
          <w:szCs w:val="20"/>
          <w:color w:val="auto"/>
        </w:rPr>
      </w:pPr>
    </w:p>
    <w:p>
      <w:pPr>
        <w:ind w:right="360" w:firstLine="650"/>
        <w:spacing w:after="0" w:line="267" w:lineRule="auto"/>
        <w:tabs>
          <w:tab w:leader="none" w:pos="1291" w:val="left"/>
        </w:tabs>
        <w:numPr>
          <w:ilvl w:val="0"/>
          <w:numId w:val="34"/>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Definitions. </w:t>
      </w:r>
      <w:r>
        <w:rPr>
          <w:rFonts w:ascii="Arial" w:cs="Arial" w:eastAsia="Arial" w:hAnsi="Arial"/>
          <w:sz w:val="20"/>
          <w:szCs w:val="20"/>
          <w:color w:val="auto"/>
        </w:rPr>
        <w:t>Capitalized terms used but not defined in this Amendment, including its preamble and</w:t>
      </w:r>
      <w:r>
        <w:rPr>
          <w:rFonts w:ascii="Arial" w:cs="Arial" w:eastAsia="Arial" w:hAnsi="Arial"/>
          <w:sz w:val="20"/>
          <w:szCs w:val="20"/>
          <w:b w:val="1"/>
          <w:bCs w:val="1"/>
          <w:color w:val="auto"/>
        </w:rPr>
        <w:t xml:space="preserve"> </w:t>
      </w:r>
      <w:r>
        <w:rPr>
          <w:rFonts w:ascii="Arial" w:cs="Arial" w:eastAsia="Arial" w:hAnsi="Arial"/>
          <w:sz w:val="20"/>
          <w:szCs w:val="20"/>
          <w:color w:val="auto"/>
        </w:rPr>
        <w:t>recitals, shall have the meanings given to them in the Loan Agreement.</w:t>
      </w:r>
    </w:p>
    <w:p>
      <w:pPr>
        <w:spacing w:after="0" w:line="176" w:lineRule="exact"/>
        <w:rPr>
          <w:rFonts w:ascii="Arial" w:cs="Arial" w:eastAsia="Arial" w:hAnsi="Arial"/>
          <w:sz w:val="20"/>
          <w:szCs w:val="20"/>
          <w:b w:val="1"/>
          <w:bCs w:val="1"/>
          <w:color w:val="auto"/>
        </w:rPr>
      </w:pPr>
    </w:p>
    <w:p>
      <w:pPr>
        <w:ind w:right="200" w:firstLine="650"/>
        <w:spacing w:after="0" w:line="248" w:lineRule="auto"/>
        <w:tabs>
          <w:tab w:leader="none" w:pos="1291" w:val="left"/>
        </w:tabs>
        <w:numPr>
          <w:ilvl w:val="0"/>
          <w:numId w:val="34"/>
        </w:numPr>
        <w:rPr>
          <w:rFonts w:ascii="Arial" w:cs="Arial" w:eastAsia="Arial" w:hAnsi="Arial"/>
          <w:sz w:val="20"/>
          <w:szCs w:val="20"/>
          <w:b w:val="1"/>
          <w:bCs w:val="1"/>
          <w:color w:val="auto"/>
        </w:rPr>
      </w:pPr>
      <w:r>
        <w:rPr>
          <w:rFonts w:ascii="Arial" w:cs="Arial" w:eastAsia="Arial" w:hAnsi="Arial"/>
          <w:sz w:val="20"/>
          <w:szCs w:val="20"/>
          <w:b w:val="1"/>
          <w:bCs w:val="1"/>
          <w:color w:val="auto"/>
        </w:rPr>
        <w:t>Reaffirmation of Obligations</w:t>
      </w:r>
      <w:r>
        <w:rPr>
          <w:rFonts w:ascii="Arial" w:cs="Arial" w:eastAsia="Arial" w:hAnsi="Arial"/>
          <w:sz w:val="20"/>
          <w:szCs w:val="20"/>
          <w:color w:val="auto"/>
        </w:rPr>
        <w:t>. Borrower (a) ratifies, confirms, and reaffirms the Obligations and (b)</w:t>
      </w:r>
      <w:r>
        <w:rPr>
          <w:rFonts w:ascii="Arial" w:cs="Arial" w:eastAsia="Arial" w:hAnsi="Arial"/>
          <w:sz w:val="20"/>
          <w:szCs w:val="20"/>
          <w:b w:val="1"/>
          <w:bCs w:val="1"/>
          <w:color w:val="auto"/>
        </w:rPr>
        <w:t xml:space="preserve"> </w:t>
      </w:r>
      <w:r>
        <w:rPr>
          <w:rFonts w:ascii="Arial" w:cs="Arial" w:eastAsia="Arial" w:hAnsi="Arial"/>
          <w:sz w:val="20"/>
          <w:szCs w:val="20"/>
          <w:color w:val="auto"/>
        </w:rPr>
        <w:t>acknowledges and agrees that (i) each of the Loan Documents remain in full force and effect in accordance with the original terms, except as expressly modified hereby and (ii) the Loan Agreement and the other Loan Documents shall continue to secure all Obligations as stated therein.</w:t>
      </w:r>
    </w:p>
    <w:p>
      <w:pPr>
        <w:spacing w:after="0" w:line="183" w:lineRule="exact"/>
        <w:rPr>
          <w:rFonts w:ascii="Arial" w:cs="Arial" w:eastAsia="Arial" w:hAnsi="Arial"/>
          <w:sz w:val="20"/>
          <w:szCs w:val="20"/>
          <w:b w:val="1"/>
          <w:bCs w:val="1"/>
          <w:color w:val="auto"/>
        </w:rPr>
      </w:pPr>
    </w:p>
    <w:p>
      <w:pPr>
        <w:ind w:right="120" w:firstLine="650"/>
        <w:spacing w:after="0" w:line="248" w:lineRule="auto"/>
        <w:tabs>
          <w:tab w:leader="none" w:pos="1291" w:val="left"/>
        </w:tabs>
        <w:numPr>
          <w:ilvl w:val="0"/>
          <w:numId w:val="34"/>
        </w:numPr>
        <w:rPr>
          <w:rFonts w:ascii="Arial" w:cs="Arial" w:eastAsia="Arial" w:hAnsi="Arial"/>
          <w:sz w:val="20"/>
          <w:szCs w:val="20"/>
          <w:b w:val="1"/>
          <w:bCs w:val="1"/>
          <w:color w:val="auto"/>
        </w:rPr>
      </w:pPr>
      <w:r>
        <w:rPr>
          <w:rFonts w:ascii="Arial" w:cs="Arial" w:eastAsia="Arial" w:hAnsi="Arial"/>
          <w:sz w:val="20"/>
          <w:szCs w:val="20"/>
          <w:b w:val="1"/>
          <w:bCs w:val="1"/>
          <w:color w:val="auto"/>
        </w:rPr>
        <w:t>Reaffirmation of Security Interest in the Collateral</w:t>
      </w:r>
      <w:r>
        <w:rPr>
          <w:rFonts w:ascii="Arial" w:cs="Arial" w:eastAsia="Arial" w:hAnsi="Arial"/>
          <w:sz w:val="20"/>
          <w:szCs w:val="20"/>
          <w:color w:val="auto"/>
        </w:rPr>
        <w:t>. Borrower acknowledges and agrees that (i) the</w:t>
      </w:r>
      <w:r>
        <w:rPr>
          <w:rFonts w:ascii="Arial" w:cs="Arial" w:eastAsia="Arial" w:hAnsi="Arial"/>
          <w:sz w:val="20"/>
          <w:szCs w:val="20"/>
          <w:b w:val="1"/>
          <w:bCs w:val="1"/>
          <w:color w:val="auto"/>
        </w:rPr>
        <w:t xml:space="preserve"> </w:t>
      </w:r>
      <w:r>
        <w:rPr>
          <w:rFonts w:ascii="Arial" w:cs="Arial" w:eastAsia="Arial" w:hAnsi="Arial"/>
          <w:sz w:val="20"/>
          <w:szCs w:val="20"/>
          <w:color w:val="auto"/>
        </w:rPr>
        <w:t>security interests and Liens in the Collateral granted by Borrower under Loan Documents shall remain in place, unimpaired by the transactions contemplated by this Amendment, and Bank’s priority with respect thereto shall not be affected hereby or thereby and (ii) the Loan Documents shall continue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-260350</wp:posOffset>
            </wp:positionH>
            <wp:positionV relativeFrom="paragraph">
              <wp:posOffset>628015</wp:posOffset>
            </wp:positionV>
            <wp:extent cx="629221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500"/>
          </w:cols>
          <w:pgMar w:left="1400" w:top="118" w:right="999" w:bottom="1440" w:gutter="0" w:footer="0" w:header="0"/>
        </w:sectPr>
      </w:pPr>
    </w:p>
    <w:bookmarkStart w:id="67" w:name="page68"/>
    <w:bookmarkEnd w:id="67"/>
    <w:p>
      <w:pPr>
        <w:ind w:right="620"/>
        <w:spacing w:after="0" w:line="261" w:lineRule="auto"/>
        <w:rPr>
          <w:sz w:val="20"/>
          <w:szCs w:val="20"/>
          <w:color w:val="auto"/>
        </w:rPr>
      </w:pPr>
      <w:r>
        <w:rPr>
          <w:rFonts w:ascii="Arial" w:cs="Arial" w:eastAsia="Arial" w:hAnsi="Arial"/>
          <w:sz w:val="20"/>
          <w:szCs w:val="20"/>
          <w:color w:val="auto"/>
        </w:rPr>
        <w:t>secure all Obligations as set forth therein. Nothing in this Amendment is intended to impair or limit the validity, priority or extent of Bank’s security interests in and Liens upon the Collateral.</w:t>
      </w:r>
    </w:p>
    <w:p>
      <w:pPr>
        <w:spacing w:after="0" w:line="170" w:lineRule="exact"/>
        <w:rPr>
          <w:sz w:val="20"/>
          <w:szCs w:val="20"/>
          <w:color w:val="auto"/>
        </w:rPr>
      </w:pPr>
    </w:p>
    <w:p>
      <w:pPr>
        <w:ind w:left="1280" w:hanging="630"/>
        <w:spacing w:after="0"/>
        <w:tabs>
          <w:tab w:leader="none" w:pos="1280" w:val="left"/>
        </w:tabs>
        <w:numPr>
          <w:ilvl w:val="0"/>
          <w:numId w:val="35"/>
        </w:numPr>
        <w:rPr>
          <w:rFonts w:ascii="Arial" w:cs="Arial" w:eastAsia="Arial" w:hAnsi="Arial"/>
          <w:sz w:val="20"/>
          <w:szCs w:val="20"/>
          <w:b w:val="1"/>
          <w:bCs w:val="1"/>
          <w:color w:val="auto"/>
        </w:rPr>
      </w:pPr>
      <w:r>
        <w:rPr>
          <w:rFonts w:ascii="Arial" w:cs="Arial" w:eastAsia="Arial" w:hAnsi="Arial"/>
          <w:sz w:val="20"/>
          <w:szCs w:val="20"/>
          <w:b w:val="1"/>
          <w:bCs w:val="1"/>
          <w:color w:val="auto"/>
        </w:rPr>
        <w:t>Amendments to Loan Agreement.</w:t>
      </w:r>
    </w:p>
    <w:p>
      <w:pPr>
        <w:spacing w:after="0" w:line="229" w:lineRule="exact"/>
        <w:rPr>
          <w:sz w:val="20"/>
          <w:szCs w:val="20"/>
          <w:color w:val="auto"/>
        </w:rPr>
      </w:pPr>
    </w:p>
    <w:p>
      <w:pPr>
        <w:ind w:right="480" w:firstLine="1296"/>
        <w:spacing w:after="0" w:line="267" w:lineRule="auto"/>
        <w:rPr>
          <w:sz w:val="20"/>
          <w:szCs w:val="20"/>
          <w:color w:val="auto"/>
        </w:rPr>
      </w:pPr>
      <w:r>
        <w:rPr>
          <w:rFonts w:ascii="Arial" w:cs="Arial" w:eastAsia="Arial" w:hAnsi="Arial"/>
          <w:sz w:val="20"/>
          <w:szCs w:val="20"/>
          <w:b w:val="1"/>
          <w:bCs w:val="1"/>
          <w:color w:val="auto"/>
        </w:rPr>
        <w:t xml:space="preserve">4.1 Section 2.6 </w:t>
      </w:r>
      <w:r>
        <w:rPr>
          <w:rFonts w:ascii="Arial" w:cs="Arial" w:eastAsia="Arial" w:hAnsi="Arial"/>
          <w:sz w:val="20"/>
          <w:szCs w:val="20"/>
          <w:color w:val="auto"/>
        </w:rPr>
        <w:t>(</w:t>
      </w:r>
      <w:r>
        <w:rPr>
          <w:rFonts w:ascii="Arial" w:cs="Arial" w:eastAsia="Arial" w:hAnsi="Arial"/>
          <w:sz w:val="20"/>
          <w:szCs w:val="20"/>
          <w:b w:val="1"/>
          <w:bCs w:val="1"/>
          <w:color w:val="auto"/>
        </w:rPr>
        <w:t xml:space="preserve">Payment of Interest on the Credit Extensions). </w:t>
      </w:r>
      <w:r>
        <w:rPr>
          <w:rFonts w:ascii="Arial" w:cs="Arial" w:eastAsia="Arial" w:hAnsi="Arial"/>
          <w:sz w:val="20"/>
          <w:szCs w:val="20"/>
          <w:color w:val="auto"/>
        </w:rPr>
        <w:t>Section 2.6(a) of the Loan</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is hereby amended by deleting it in its entirety and replacing it with the following:</w:t>
      </w:r>
    </w:p>
    <w:p>
      <w:pPr>
        <w:spacing w:after="0" w:line="169" w:lineRule="exact"/>
        <w:rPr>
          <w:sz w:val="20"/>
          <w:szCs w:val="20"/>
          <w:color w:val="auto"/>
        </w:rPr>
      </w:pPr>
    </w:p>
    <w:p>
      <w:pPr>
        <w:ind w:left="1960" w:hanging="662"/>
        <w:spacing w:after="0"/>
        <w:tabs>
          <w:tab w:leader="none" w:pos="1960" w:val="left"/>
        </w:tabs>
        <w:numPr>
          <w:ilvl w:val="1"/>
          <w:numId w:val="36"/>
        </w:numPr>
        <w:rPr>
          <w:rFonts w:ascii="Arial" w:cs="Arial" w:eastAsia="Arial" w:hAnsi="Arial"/>
          <w:sz w:val="20"/>
          <w:szCs w:val="20"/>
          <w:color w:val="auto"/>
        </w:rPr>
      </w:pPr>
      <w:r>
        <w:rPr>
          <w:rFonts w:ascii="Arial" w:cs="Arial" w:eastAsia="Arial" w:hAnsi="Arial"/>
          <w:sz w:val="20"/>
          <w:szCs w:val="20"/>
          <w:u w:val="single" w:color="auto"/>
          <w:color w:val="auto"/>
        </w:rPr>
        <w:t>Interest Rate</w:t>
      </w: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ind w:left="660" w:right="500" w:firstLine="1286"/>
        <w:spacing w:after="0" w:line="260" w:lineRule="auto"/>
        <w:tabs>
          <w:tab w:leader="none" w:pos="2637" w:val="left"/>
        </w:tabs>
        <w:numPr>
          <w:ilvl w:val="2"/>
          <w:numId w:val="36"/>
        </w:numPr>
        <w:rPr>
          <w:rFonts w:ascii="Arial" w:cs="Arial" w:eastAsia="Arial" w:hAnsi="Arial"/>
          <w:sz w:val="19"/>
          <w:szCs w:val="19"/>
          <w:color w:val="auto"/>
        </w:rPr>
      </w:pPr>
      <w:r>
        <w:rPr>
          <w:rFonts w:ascii="Arial" w:cs="Arial" w:eastAsia="Arial" w:hAnsi="Arial"/>
          <w:sz w:val="19"/>
          <w:szCs w:val="19"/>
          <w:u w:val="single" w:color="auto"/>
          <w:color w:val="auto"/>
        </w:rPr>
        <w:t>Advances</w:t>
      </w:r>
      <w:r>
        <w:rPr>
          <w:rFonts w:ascii="Arial" w:cs="Arial" w:eastAsia="Arial" w:hAnsi="Arial"/>
          <w:sz w:val="19"/>
          <w:szCs w:val="19"/>
          <w:color w:val="auto"/>
        </w:rPr>
        <w:t>. Subject to Section 2.6(b), the principal amount outstanding under the Revolving Line shall accrue interest at a floating per annum rate equal to the greater of</w:t>
      </w:r>
    </w:p>
    <w:p>
      <w:pPr>
        <w:spacing w:after="0" w:line="1" w:lineRule="exact"/>
        <w:rPr>
          <w:rFonts w:ascii="Arial" w:cs="Arial" w:eastAsia="Arial" w:hAnsi="Arial"/>
          <w:sz w:val="19"/>
          <w:szCs w:val="19"/>
          <w:color w:val="auto"/>
        </w:rPr>
      </w:pPr>
    </w:p>
    <w:p>
      <w:pPr>
        <w:ind w:left="880" w:hanging="230"/>
        <w:spacing w:after="0"/>
        <w:tabs>
          <w:tab w:leader="none" w:pos="8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one and one half of one percent (1.50%) above the Prime Rate, or (ii) four and three quarters of one percent</w:t>
      </w:r>
    </w:p>
    <w:p>
      <w:pPr>
        <w:spacing w:after="0" w:line="45"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20"/>
          <w:szCs w:val="20"/>
          <w:color w:val="auto"/>
        </w:rPr>
        <w:t>(4.75%), which interest shall be payable monthly in accordance with Section 2.6(d) below.</w:t>
      </w:r>
    </w:p>
    <w:p>
      <w:pPr>
        <w:spacing w:after="0" w:line="213" w:lineRule="exact"/>
        <w:rPr>
          <w:rFonts w:ascii="Arial" w:cs="Arial" w:eastAsia="Arial" w:hAnsi="Arial"/>
          <w:sz w:val="16"/>
          <w:szCs w:val="16"/>
          <w:color w:val="auto"/>
        </w:rPr>
      </w:pPr>
    </w:p>
    <w:p>
      <w:pPr>
        <w:ind w:left="660" w:right="100" w:firstLine="1286"/>
        <w:spacing w:after="0" w:line="282" w:lineRule="auto"/>
        <w:tabs>
          <w:tab w:leader="none" w:pos="2643" w:val="left"/>
        </w:tabs>
        <w:numPr>
          <w:ilvl w:val="2"/>
          <w:numId w:val="37"/>
        </w:numPr>
        <w:rPr>
          <w:rFonts w:ascii="Arial" w:cs="Arial" w:eastAsia="Arial" w:hAnsi="Arial"/>
          <w:sz w:val="18"/>
          <w:szCs w:val="18"/>
          <w:color w:val="auto"/>
        </w:rPr>
      </w:pPr>
      <w:r>
        <w:rPr>
          <w:rFonts w:ascii="Arial" w:cs="Arial" w:eastAsia="Arial" w:hAnsi="Arial"/>
          <w:sz w:val="18"/>
          <w:szCs w:val="18"/>
          <w:u w:val="single" w:color="auto"/>
          <w:color w:val="auto"/>
        </w:rPr>
        <w:t>Term Loan Advance</w:t>
      </w:r>
      <w:r>
        <w:rPr>
          <w:rFonts w:ascii="Arial" w:cs="Arial" w:eastAsia="Arial" w:hAnsi="Arial"/>
          <w:sz w:val="18"/>
          <w:szCs w:val="18"/>
          <w:color w:val="auto"/>
        </w:rPr>
        <w:t>. Subject to Section 2.6(b), the principal amount outstanding under the Term Loan Advance shall accrue interest at a floating per annum rate equal to the greater of (i) three quarters of one percent (0.75%) below the Prime Rate, or (ii) three and three quarters of one percent (3.75%), which interest shall be payable monthly in accordance with Section 2.6(d) below.</w:t>
      </w:r>
    </w:p>
    <w:p>
      <w:pPr>
        <w:spacing w:after="0" w:line="155" w:lineRule="exact"/>
        <w:rPr>
          <w:sz w:val="20"/>
          <w:szCs w:val="20"/>
          <w:color w:val="auto"/>
        </w:rPr>
      </w:pPr>
    </w:p>
    <w:p>
      <w:pPr>
        <w:ind w:right="640" w:firstLine="1296"/>
        <w:spacing w:after="0" w:line="293" w:lineRule="auto"/>
        <w:rPr>
          <w:sz w:val="20"/>
          <w:szCs w:val="20"/>
          <w:color w:val="auto"/>
        </w:rPr>
      </w:pPr>
      <w:r>
        <w:rPr>
          <w:rFonts w:ascii="Arial" w:cs="Arial" w:eastAsia="Arial" w:hAnsi="Arial"/>
          <w:sz w:val="19"/>
          <w:szCs w:val="19"/>
          <w:b w:val="1"/>
          <w:bCs w:val="1"/>
          <w:color w:val="auto"/>
        </w:rPr>
        <w:t>4.2 Section 6.2 (Financial Statements, Reports, Certificates)</w:t>
      </w:r>
      <w:r>
        <w:rPr>
          <w:rFonts w:ascii="Arial" w:cs="Arial" w:eastAsia="Arial" w:hAnsi="Arial"/>
          <w:sz w:val="19"/>
          <w:szCs w:val="19"/>
          <w:color w:val="auto"/>
        </w:rPr>
        <w:t>. Section 6.2(b) of the Loan</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is hereby amended by deleting it in its entirety and replacing it with the following:</w:t>
      </w:r>
    </w:p>
    <w:p>
      <w:pPr>
        <w:spacing w:after="0" w:line="148" w:lineRule="exact"/>
        <w:rPr>
          <w:sz w:val="20"/>
          <w:szCs w:val="20"/>
          <w:color w:val="auto"/>
        </w:rPr>
      </w:pPr>
    </w:p>
    <w:p>
      <w:pPr>
        <w:ind w:left="660" w:right="280" w:firstLine="1286"/>
        <w:spacing w:after="0" w:line="263" w:lineRule="auto"/>
        <w:tabs>
          <w:tab w:leader="none" w:pos="2632" w:val="left"/>
        </w:tabs>
        <w:numPr>
          <w:ilvl w:val="1"/>
          <w:numId w:val="38"/>
        </w:numPr>
        <w:rPr>
          <w:rFonts w:ascii="Arial" w:cs="Arial" w:eastAsia="Arial" w:hAnsi="Arial"/>
          <w:sz w:val="19"/>
          <w:szCs w:val="19"/>
          <w:color w:val="auto"/>
        </w:rPr>
      </w:pPr>
      <w:r>
        <w:rPr>
          <w:rFonts w:ascii="Arial" w:cs="Arial" w:eastAsia="Arial" w:hAnsi="Arial"/>
          <w:sz w:val="19"/>
          <w:szCs w:val="19"/>
          <w:color w:val="auto"/>
        </w:rPr>
        <w:t>(i) monthly accounts receivable agings, aged by invoice date, (ii) monthly accounts payable agings, aged by invoice date, and outstanding or held check registers, if any, and</w:t>
      </w:r>
    </w:p>
    <w:p>
      <w:pPr>
        <w:ind w:left="660" w:hanging="10"/>
        <w:spacing w:after="0" w:line="307" w:lineRule="auto"/>
        <w:tabs>
          <w:tab w:leader="none" w:pos="1056" w:val="left"/>
        </w:tabs>
        <w:numPr>
          <w:ilvl w:val="0"/>
          <w:numId w:val="39"/>
        </w:numPr>
        <w:rPr>
          <w:rFonts w:ascii="Arial" w:cs="Arial" w:eastAsia="Arial" w:hAnsi="Arial"/>
          <w:sz w:val="18"/>
          <w:szCs w:val="18"/>
          <w:color w:val="auto"/>
        </w:rPr>
      </w:pPr>
      <w:r>
        <w:rPr>
          <w:rFonts w:ascii="Arial" w:cs="Arial" w:eastAsia="Arial" w:hAnsi="Arial"/>
          <w:sz w:val="18"/>
          <w:szCs w:val="18"/>
          <w:color w:val="auto"/>
        </w:rPr>
        <w:t>monthly reconciliations of accounts receivable agings (aged by invoice date), transaction reports, Deferred Revenue report, and general ledger, no later than within thirty (30) days after the end of each month;</w:t>
      </w:r>
    </w:p>
    <w:p>
      <w:pPr>
        <w:spacing w:after="0" w:line="132" w:lineRule="exact"/>
        <w:rPr>
          <w:sz w:val="20"/>
          <w:szCs w:val="20"/>
          <w:color w:val="auto"/>
        </w:rPr>
      </w:pPr>
    </w:p>
    <w:p>
      <w:pPr>
        <w:ind w:right="80" w:firstLine="1296"/>
        <w:spacing w:after="0" w:line="267" w:lineRule="auto"/>
        <w:rPr>
          <w:sz w:val="20"/>
          <w:szCs w:val="20"/>
          <w:color w:val="auto"/>
        </w:rPr>
      </w:pPr>
      <w:r>
        <w:rPr>
          <w:rFonts w:ascii="Arial" w:cs="Arial" w:eastAsia="Arial" w:hAnsi="Arial"/>
          <w:sz w:val="20"/>
          <w:szCs w:val="20"/>
          <w:b w:val="1"/>
          <w:bCs w:val="1"/>
          <w:color w:val="auto"/>
        </w:rPr>
        <w:t>4.3 Section 6.9 (Financial Covenants)</w:t>
      </w:r>
      <w:r>
        <w:rPr>
          <w:rFonts w:ascii="Arial" w:cs="Arial" w:eastAsia="Arial" w:hAnsi="Arial"/>
          <w:sz w:val="20"/>
          <w:szCs w:val="20"/>
          <w:color w:val="auto"/>
        </w:rPr>
        <w:t>. Section 6.9(a) of the Loan Agreement is hereby amended</w:t>
      </w:r>
      <w:r>
        <w:rPr>
          <w:rFonts w:ascii="Arial" w:cs="Arial" w:eastAsia="Arial" w:hAnsi="Arial"/>
          <w:sz w:val="20"/>
          <w:szCs w:val="20"/>
          <w:b w:val="1"/>
          <w:bCs w:val="1"/>
          <w:color w:val="auto"/>
        </w:rPr>
        <w:t xml:space="preserve"> </w:t>
      </w:r>
      <w:r>
        <w:rPr>
          <w:rFonts w:ascii="Arial" w:cs="Arial" w:eastAsia="Arial" w:hAnsi="Arial"/>
          <w:sz w:val="20"/>
          <w:szCs w:val="20"/>
          <w:color w:val="auto"/>
        </w:rPr>
        <w:t>by deleting it in its entirety and replacing it with the following:</w:t>
      </w:r>
    </w:p>
    <w:p>
      <w:pPr>
        <w:spacing w:after="0" w:line="169" w:lineRule="exact"/>
        <w:rPr>
          <w:sz w:val="20"/>
          <w:szCs w:val="20"/>
          <w:color w:val="auto"/>
        </w:rPr>
      </w:pPr>
    </w:p>
    <w:p>
      <w:pPr>
        <w:ind w:left="660" w:firstLine="1286"/>
        <w:spacing w:after="0" w:line="260" w:lineRule="auto"/>
        <w:tabs>
          <w:tab w:leader="none" w:pos="2621" w:val="left"/>
        </w:tabs>
        <w:numPr>
          <w:ilvl w:val="0"/>
          <w:numId w:val="40"/>
        </w:numPr>
        <w:rPr>
          <w:rFonts w:ascii="Arial" w:cs="Arial" w:eastAsia="Arial" w:hAnsi="Arial"/>
          <w:sz w:val="20"/>
          <w:szCs w:val="20"/>
          <w:color w:val="auto"/>
        </w:rPr>
      </w:pPr>
      <w:r>
        <w:rPr>
          <w:rFonts w:ascii="Arial" w:cs="Arial" w:eastAsia="Arial" w:hAnsi="Arial"/>
          <w:sz w:val="20"/>
          <w:szCs w:val="20"/>
          <w:u w:val="single" w:color="auto"/>
          <w:color w:val="auto"/>
        </w:rPr>
        <w:t>Minimum Cash and Availability</w:t>
      </w:r>
      <w:r>
        <w:rPr>
          <w:rFonts w:ascii="Arial" w:cs="Arial" w:eastAsia="Arial" w:hAnsi="Arial"/>
          <w:sz w:val="20"/>
          <w:szCs w:val="20"/>
          <w:color w:val="auto"/>
        </w:rPr>
        <w:t>. Maintain at all times, to be tested as of the last day of each month, Cash and Availability of at least Eleven Million Dollars ($11,000,000).</w:t>
      </w:r>
    </w:p>
    <w:p>
      <w:pPr>
        <w:spacing w:after="0" w:line="171"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0"/>
          <w:szCs w:val="20"/>
          <w:b w:val="1"/>
          <w:bCs w:val="1"/>
          <w:color w:val="auto"/>
        </w:rPr>
        <w:t>4.4</w:t>
      </w:r>
      <w:r>
        <w:rPr>
          <w:sz w:val="20"/>
          <w:szCs w:val="20"/>
          <w:color w:val="auto"/>
        </w:rPr>
        <w:tab/>
      </w:r>
      <w:r>
        <w:rPr>
          <w:rFonts w:ascii="Arial" w:cs="Arial" w:eastAsia="Arial" w:hAnsi="Arial"/>
          <w:sz w:val="16"/>
          <w:szCs w:val="16"/>
          <w:b w:val="1"/>
          <w:bCs w:val="1"/>
          <w:color w:val="auto"/>
        </w:rPr>
        <w:t>Section 10 (Address for Notices)</w:t>
      </w:r>
      <w:r>
        <w:rPr>
          <w:rFonts w:ascii="Arial" w:cs="Arial" w:eastAsia="Arial" w:hAnsi="Arial"/>
          <w:sz w:val="16"/>
          <w:szCs w:val="16"/>
          <w:color w:val="auto"/>
        </w:rPr>
        <w:t>. Borrower’s address for notices set forth in Section 10 of the</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Loan Agreement is hereby amended in its entirety and replaced with the following:</w:t>
      </w:r>
    </w:p>
    <w:p>
      <w:pPr>
        <w:sectPr>
          <w:pgSz w:w="11900" w:h="16838" w:orient="portrait"/>
          <w:cols w:equalWidth="0" w:num="1">
            <w:col w:w="9480"/>
          </w:cols>
          <w:pgMar w:left="1400" w:top="122" w:right="1019" w:bottom="1440" w:gutter="0" w:footer="0" w:header="0"/>
        </w:sectPr>
      </w:pPr>
    </w:p>
    <w:p>
      <w:pPr>
        <w:spacing w:after="0" w:line="213"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If to Borrower:</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color w:val="auto"/>
        </w:rPr>
        <w:t>Everspin Technologies, Inc.</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5670 W. Chandler Blvd, Suite 100</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Chandler, Arizona 85226</w:t>
      </w:r>
    </w:p>
    <w:p>
      <w:pPr>
        <w:spacing w:after="0"/>
        <w:tabs>
          <w:tab w:leader="none" w:pos="640" w:val="left"/>
        </w:tabs>
        <w:rPr>
          <w:sz w:val="20"/>
          <w:szCs w:val="20"/>
          <w:color w:val="auto"/>
        </w:rPr>
      </w:pPr>
      <w:r>
        <w:rPr>
          <w:rFonts w:ascii="Arial" w:cs="Arial" w:eastAsia="Arial" w:hAnsi="Arial"/>
          <w:sz w:val="20"/>
          <w:szCs w:val="20"/>
          <w:color w:val="auto"/>
        </w:rPr>
        <w:t>Attn:</w:t>
        <w:tab/>
        <w:t>Kevin Conley, CEO</w:t>
      </w:r>
    </w:p>
    <w:p>
      <w:pPr>
        <w:spacing w:after="0"/>
        <w:rPr>
          <w:sz w:val="20"/>
          <w:szCs w:val="20"/>
          <w:color w:val="auto"/>
        </w:rPr>
      </w:pPr>
      <w:r>
        <w:rPr>
          <w:rFonts w:ascii="Arial" w:cs="Arial" w:eastAsia="Arial" w:hAnsi="Arial"/>
          <w:sz w:val="18"/>
          <w:szCs w:val="18"/>
          <w:color w:val="auto"/>
        </w:rPr>
        <w:t>Email: kevin.conley@everspin.com</w:t>
      </w:r>
    </w:p>
    <w:p>
      <w:pPr>
        <w:spacing w:after="0" w:line="200" w:lineRule="exact"/>
        <w:rPr>
          <w:sz w:val="20"/>
          <w:szCs w:val="20"/>
          <w:color w:val="auto"/>
        </w:rPr>
      </w:pPr>
    </w:p>
    <w:p>
      <w:pPr>
        <w:sectPr>
          <w:pgSz w:w="11900" w:h="16838" w:orient="portrait"/>
          <w:cols w:equalWidth="0" w:num="2">
            <w:col w:w="2520" w:space="720"/>
            <w:col w:w="6240"/>
          </w:cols>
          <w:pgMar w:left="1400" w:top="122" w:right="1019" w:bottom="1440" w:gutter="0" w:footer="0" w:header="0"/>
          <w:type w:val="continuous"/>
        </w:sectPr>
      </w:pPr>
    </w:p>
    <w:p>
      <w:pPr>
        <w:spacing w:after="0" w:line="17"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0"/>
          <w:szCs w:val="20"/>
          <w:b w:val="1"/>
          <w:bCs w:val="1"/>
          <w:color w:val="auto"/>
        </w:rPr>
        <w:t>4.5</w:t>
      </w:r>
      <w:r>
        <w:rPr>
          <w:sz w:val="20"/>
          <w:szCs w:val="20"/>
          <w:color w:val="auto"/>
        </w:rPr>
        <w:tab/>
      </w:r>
      <w:r>
        <w:rPr>
          <w:rFonts w:ascii="Arial" w:cs="Arial" w:eastAsia="Arial" w:hAnsi="Arial"/>
          <w:sz w:val="16"/>
          <w:szCs w:val="16"/>
          <w:b w:val="1"/>
          <w:bCs w:val="1"/>
          <w:color w:val="auto"/>
        </w:rPr>
        <w:t>Section 13 (Definitions)</w:t>
      </w:r>
      <w:r>
        <w:rPr>
          <w:rFonts w:ascii="Arial" w:cs="Arial" w:eastAsia="Arial" w:hAnsi="Arial"/>
          <w:sz w:val="16"/>
          <w:szCs w:val="16"/>
          <w:color w:val="auto"/>
        </w:rPr>
        <w:t>.</w:t>
      </w:r>
    </w:p>
    <w:p>
      <w:pPr>
        <w:spacing w:after="0" w:line="222" w:lineRule="exact"/>
        <w:rPr>
          <w:sz w:val="20"/>
          <w:szCs w:val="20"/>
          <w:color w:val="auto"/>
        </w:rPr>
      </w:pPr>
    </w:p>
    <w:p>
      <w:pPr>
        <w:ind w:right="500" w:firstLine="1298"/>
        <w:spacing w:after="0" w:line="316" w:lineRule="auto"/>
        <w:tabs>
          <w:tab w:leader="none" w:pos="1957"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following terms and their respective definitions set forth in Section 13.1 of the Loan Agreement are hereby amended by deleting them in their entirety and replacing them with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-260350</wp:posOffset>
            </wp:positionH>
            <wp:positionV relativeFrom="paragraph">
              <wp:posOffset>590550</wp:posOffset>
            </wp:positionV>
            <wp:extent cx="629221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80"/>
          </w:cols>
          <w:pgMar w:left="1400" w:top="122" w:right="1019" w:bottom="1440" w:gutter="0" w:footer="0" w:header="0"/>
          <w:type w:val="continuous"/>
        </w:sectPr>
      </w:pPr>
    </w:p>
    <w:bookmarkStart w:id="68" w:name="page69"/>
    <w:bookmarkEnd w:id="68"/>
    <w:p>
      <w:pPr>
        <w:ind w:left="1940" w:right="22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Term Loan Amortization Date</w:t>
      </w:r>
      <w:r>
        <w:rPr>
          <w:rFonts w:ascii="Arial" w:cs="Arial" w:eastAsia="Arial" w:hAnsi="Arial"/>
          <w:sz w:val="20"/>
          <w:szCs w:val="20"/>
          <w:color w:val="auto"/>
        </w:rPr>
        <w:t>” is January 1, 2021. “</w:t>
      </w:r>
      <w:r>
        <w:rPr>
          <w:rFonts w:ascii="Arial" w:cs="Arial" w:eastAsia="Arial" w:hAnsi="Arial"/>
          <w:sz w:val="20"/>
          <w:szCs w:val="20"/>
          <w:b w:val="1"/>
          <w:bCs w:val="1"/>
          <w:color w:val="auto"/>
        </w:rPr>
        <w:t>Term Loan Maturity Date</w:t>
      </w:r>
      <w:r>
        <w:rPr>
          <w:rFonts w:ascii="Arial" w:cs="Arial" w:eastAsia="Arial" w:hAnsi="Arial"/>
          <w:sz w:val="20"/>
          <w:szCs w:val="20"/>
          <w:color w:val="auto"/>
        </w:rPr>
        <w:t>” June 1, 2023.</w:t>
      </w:r>
    </w:p>
    <w:p>
      <w:pPr>
        <w:spacing w:after="0" w:line="82" w:lineRule="exact"/>
        <w:rPr>
          <w:sz w:val="20"/>
          <w:szCs w:val="20"/>
          <w:color w:val="auto"/>
        </w:rPr>
      </w:pPr>
    </w:p>
    <w:p>
      <w:pPr>
        <w:jc w:val="both"/>
        <w:ind w:left="1300" w:firstLine="648"/>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Streamline Period</w:t>
      </w:r>
      <w:r>
        <w:rPr>
          <w:rFonts w:ascii="Arial" w:cs="Arial" w:eastAsia="Arial" w:hAnsi="Arial"/>
          <w:sz w:val="18"/>
          <w:szCs w:val="18"/>
          <w:color w:val="auto"/>
        </w:rPr>
        <w:t>” is, on and after the First Amendment Effective Date, provided no Event of Default has occurred and is continuing, the period (a) commencing on the first day of the month following the day that Borrower provides to Bank a written report that Borrower has, for each consecutive day in the immediately preceding month, maintained Cash and Availability of at least Twelve Million Dollars ($12,000,000), as determined by Bank in its discretion (the “</w:t>
      </w:r>
      <w:r>
        <w:rPr>
          <w:rFonts w:ascii="Arial" w:cs="Arial" w:eastAsia="Arial" w:hAnsi="Arial"/>
          <w:sz w:val="18"/>
          <w:szCs w:val="18"/>
          <w:b w:val="1"/>
          <w:bCs w:val="1"/>
          <w:color w:val="auto"/>
        </w:rPr>
        <w:t>Streamline</w:t>
      </w:r>
      <w:r>
        <w:rPr>
          <w:rFonts w:ascii="Arial" w:cs="Arial" w:eastAsia="Arial" w:hAnsi="Arial"/>
          <w:sz w:val="18"/>
          <w:szCs w:val="18"/>
          <w:color w:val="auto"/>
        </w:rPr>
        <w:t xml:space="preserve"> </w:t>
      </w:r>
      <w:r>
        <w:rPr>
          <w:rFonts w:ascii="Arial" w:cs="Arial" w:eastAsia="Arial" w:hAnsi="Arial"/>
          <w:sz w:val="18"/>
          <w:szCs w:val="18"/>
          <w:b w:val="1"/>
          <w:bCs w:val="1"/>
          <w:color w:val="auto"/>
        </w:rPr>
        <w:t>Threshold</w:t>
      </w:r>
      <w:r>
        <w:rPr>
          <w:rFonts w:ascii="Arial" w:cs="Arial" w:eastAsia="Arial" w:hAnsi="Arial"/>
          <w:sz w:val="18"/>
          <w:szCs w:val="18"/>
          <w:color w:val="auto"/>
        </w:rPr>
        <w:t>”); and (b) terminating on the earlier to occur of (i) the occurrence of an Event of Default,</w:t>
      </w:r>
      <w:r>
        <w:rPr>
          <w:rFonts w:ascii="Arial" w:cs="Arial" w:eastAsia="Arial" w:hAnsi="Arial"/>
          <w:sz w:val="18"/>
          <w:szCs w:val="18"/>
          <w:b w:val="1"/>
          <w:bCs w:val="1"/>
          <w:color w:val="auto"/>
        </w:rPr>
        <w:t xml:space="preserve"> </w:t>
      </w:r>
      <w:r>
        <w:rPr>
          <w:rFonts w:ascii="Arial" w:cs="Arial" w:eastAsia="Arial" w:hAnsi="Arial"/>
          <w:sz w:val="18"/>
          <w:szCs w:val="18"/>
          <w:color w:val="auto"/>
        </w:rPr>
        <w:t>and (ii) the first day thereafter in which Borrower fails to maintain the Streamline Threshold, as determined by Bank in its discretion. Upon the termination of a Streamline Period, Borrower must maintain the Streamline Threshold each consecutive day for one (1) fiscal quarter as determined by Bank in its discretion, prior to entering into a subsequent Streamline Period. Borrower shall give Bank prior written notice of Borrower’s election to enter into any such Streamline Period, and each such Streamline Period shall commence on the first day of the monthly period following the date Bank determines, in its discretion, that the Streamline Threshold has been achieved.</w:t>
      </w:r>
    </w:p>
    <w:p>
      <w:pPr>
        <w:spacing w:after="0" w:line="186" w:lineRule="exact"/>
        <w:rPr>
          <w:sz w:val="20"/>
          <w:szCs w:val="20"/>
          <w:color w:val="auto"/>
        </w:rPr>
      </w:pPr>
    </w:p>
    <w:p>
      <w:pPr>
        <w:jc w:val="both"/>
        <w:ind w:left="1300"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Warrant</w:t>
      </w:r>
      <w:r>
        <w:rPr>
          <w:rFonts w:ascii="Arial" w:cs="Arial" w:eastAsia="Arial" w:hAnsi="Arial"/>
          <w:sz w:val="20"/>
          <w:szCs w:val="20"/>
          <w:color w:val="auto"/>
        </w:rPr>
        <w:t>” means, individually and collectively, (a) that certain Amended and Restated Warrant to Purchase Common Stock dated as of the Effective Date executed by Borrower in favor of Bank, and (b) that certain Warrant to Purchase Common Stock dated as of the First Amendment Effective Date executed by Borrower in favor of Bank, each as the same may be amended, modified, supplemented or restated from time to time.</w:t>
      </w:r>
    </w:p>
    <w:p>
      <w:pPr>
        <w:spacing w:after="0" w:line="204" w:lineRule="exact"/>
        <w:rPr>
          <w:sz w:val="20"/>
          <w:szCs w:val="20"/>
          <w:color w:val="auto"/>
        </w:rPr>
      </w:pPr>
    </w:p>
    <w:p>
      <w:pPr>
        <w:ind w:left="1980" w:hanging="682"/>
        <w:spacing w:after="0"/>
        <w:tabs>
          <w:tab w:leader="none" w:pos="1980" w:val="left"/>
        </w:tabs>
        <w:numPr>
          <w:ilvl w:val="0"/>
          <w:numId w:val="42"/>
        </w:numPr>
        <w:rPr>
          <w:rFonts w:ascii="Arial" w:cs="Arial" w:eastAsia="Arial" w:hAnsi="Arial"/>
          <w:sz w:val="19"/>
          <w:szCs w:val="19"/>
          <w:color w:val="auto"/>
        </w:rPr>
      </w:pPr>
      <w:r>
        <w:rPr>
          <w:rFonts w:ascii="Arial" w:cs="Arial" w:eastAsia="Arial" w:hAnsi="Arial"/>
          <w:sz w:val="19"/>
          <w:szCs w:val="19"/>
          <w:color w:val="auto"/>
        </w:rPr>
        <w:t>The following new defined terms are hereby inserted alphabetically in Section 13.1 of the</w:t>
      </w:r>
    </w:p>
    <w:p>
      <w:pPr>
        <w:spacing w:after="0" w:line="27"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Loan Agreement:</w:t>
      </w:r>
    </w:p>
    <w:p>
      <w:pPr>
        <w:spacing w:after="0" w:line="194" w:lineRule="exact"/>
        <w:rPr>
          <w:sz w:val="20"/>
          <w:szCs w:val="20"/>
          <w:color w:val="auto"/>
        </w:rPr>
      </w:pPr>
    </w:p>
    <w:p>
      <w:pPr>
        <w:ind w:left="1300" w:right="20"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Cash and Availability</w:t>
      </w:r>
      <w:r>
        <w:rPr>
          <w:rFonts w:ascii="Arial" w:cs="Arial" w:eastAsia="Arial" w:hAnsi="Arial"/>
          <w:sz w:val="20"/>
          <w:szCs w:val="20"/>
          <w:color w:val="auto"/>
        </w:rPr>
        <w:t>” means the sum of (i) Borrower’s unrestricted cash maintained at Bank and Bank’s Affiliates, plus (ii) the Availability Amount.</w:t>
      </w:r>
    </w:p>
    <w:p>
      <w:pPr>
        <w:spacing w:after="0" w:line="163" w:lineRule="exact"/>
        <w:rPr>
          <w:sz w:val="20"/>
          <w:szCs w:val="20"/>
          <w:color w:val="auto"/>
        </w:rPr>
      </w:pPr>
    </w:p>
    <w:p>
      <w:pPr>
        <w:ind w:left="19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First Amendment Effective Date</w:t>
      </w:r>
      <w:r>
        <w:rPr>
          <w:rFonts w:ascii="Arial" w:cs="Arial" w:eastAsia="Arial" w:hAnsi="Arial"/>
          <w:sz w:val="20"/>
          <w:szCs w:val="20"/>
          <w:color w:val="auto"/>
        </w:rPr>
        <w:t>” is July 15, 2020.</w:t>
      </w:r>
    </w:p>
    <w:p>
      <w:pPr>
        <w:spacing w:after="0" w:line="364" w:lineRule="exact"/>
        <w:rPr>
          <w:sz w:val="20"/>
          <w:szCs w:val="20"/>
          <w:color w:val="auto"/>
        </w:rPr>
      </w:pPr>
    </w:p>
    <w:p>
      <w:pPr>
        <w:ind w:left="19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Streamline Threshold</w:t>
      </w:r>
      <w:r>
        <w:rPr>
          <w:rFonts w:ascii="Arial" w:cs="Arial" w:eastAsia="Arial" w:hAnsi="Arial"/>
          <w:sz w:val="20"/>
          <w:szCs w:val="20"/>
          <w:color w:val="auto"/>
        </w:rPr>
        <w:t>” is defined in the definition of Streamline Period.</w:t>
      </w:r>
    </w:p>
    <w:p>
      <w:pPr>
        <w:spacing w:after="0" w:line="370" w:lineRule="exact"/>
        <w:rPr>
          <w:sz w:val="20"/>
          <w:szCs w:val="20"/>
          <w:color w:val="auto"/>
        </w:rPr>
      </w:pPr>
    </w:p>
    <w:p>
      <w:pPr>
        <w:ind w:left="1960" w:hanging="662"/>
        <w:spacing w:after="0"/>
        <w:tabs>
          <w:tab w:leader="none" w:pos="1960" w:val="left"/>
        </w:tabs>
        <w:numPr>
          <w:ilvl w:val="0"/>
          <w:numId w:val="43"/>
        </w:numPr>
        <w:rPr>
          <w:rFonts w:ascii="Arial" w:cs="Arial" w:eastAsia="Arial" w:hAnsi="Arial"/>
          <w:sz w:val="19"/>
          <w:szCs w:val="19"/>
          <w:color w:val="auto"/>
        </w:rPr>
      </w:pPr>
      <w:r>
        <w:rPr>
          <w:rFonts w:ascii="Arial" w:cs="Arial" w:eastAsia="Arial" w:hAnsi="Arial"/>
          <w:sz w:val="19"/>
          <w:szCs w:val="19"/>
          <w:color w:val="auto"/>
        </w:rPr>
        <w:t>The defined term “Eligible Accounts” in Section 13.1 of the Loan Agreement is hereby</w:t>
      </w:r>
    </w:p>
    <w:p>
      <w:pPr>
        <w:spacing w:after="0" w:line="27"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amended as follows:</w:t>
      </w:r>
    </w:p>
    <w:p>
      <w:pPr>
        <w:spacing w:after="0" w:line="193" w:lineRule="exact"/>
        <w:rPr>
          <w:rFonts w:ascii="Arial" w:cs="Arial" w:eastAsia="Arial" w:hAnsi="Arial"/>
          <w:sz w:val="19"/>
          <w:szCs w:val="19"/>
          <w:color w:val="auto"/>
        </w:rPr>
      </w:pPr>
    </w:p>
    <w:p>
      <w:pPr>
        <w:ind w:right="600" w:firstLine="1946"/>
        <w:spacing w:after="0" w:line="267" w:lineRule="auto"/>
        <w:tabs>
          <w:tab w:leader="none" w:pos="2625" w:val="left"/>
        </w:tabs>
        <w:numPr>
          <w:ilvl w:val="1"/>
          <w:numId w:val="43"/>
        </w:numPr>
        <w:rPr>
          <w:rFonts w:ascii="Arial" w:cs="Arial" w:eastAsia="Arial" w:hAnsi="Arial"/>
          <w:sz w:val="20"/>
          <w:szCs w:val="20"/>
          <w:color w:val="auto"/>
        </w:rPr>
      </w:pPr>
      <w:r>
        <w:rPr>
          <w:rFonts w:ascii="Arial" w:cs="Arial" w:eastAsia="Arial" w:hAnsi="Arial"/>
          <w:sz w:val="20"/>
          <w:szCs w:val="20"/>
          <w:color w:val="auto"/>
        </w:rPr>
        <w:t>Clause (b) of the definition of “</w:t>
      </w:r>
      <w:r>
        <w:rPr>
          <w:rFonts w:ascii="Arial" w:cs="Arial" w:eastAsia="Arial" w:hAnsi="Arial"/>
          <w:sz w:val="20"/>
          <w:szCs w:val="20"/>
          <w:b w:val="1"/>
          <w:bCs w:val="1"/>
          <w:color w:val="auto"/>
        </w:rPr>
        <w:t>Eligible Accounts</w:t>
      </w:r>
      <w:r>
        <w:rPr>
          <w:rFonts w:ascii="Arial" w:cs="Arial" w:eastAsia="Arial" w:hAnsi="Arial"/>
          <w:sz w:val="20"/>
          <w:szCs w:val="20"/>
          <w:color w:val="auto"/>
        </w:rPr>
        <w:t>” in Section 13.1 of the Loan Agreement is hereby amended in its entirety and replaced with the following:</w:t>
      </w:r>
    </w:p>
    <w:p>
      <w:pPr>
        <w:spacing w:after="0" w:line="169" w:lineRule="exact"/>
        <w:rPr>
          <w:sz w:val="20"/>
          <w:szCs w:val="20"/>
          <w:color w:val="auto"/>
        </w:rPr>
      </w:pPr>
    </w:p>
    <w:p>
      <w:pPr>
        <w:jc w:val="both"/>
        <w:ind w:left="1300" w:right="20" w:firstLine="646"/>
        <w:spacing w:after="0" w:line="250" w:lineRule="auto"/>
        <w:tabs>
          <w:tab w:leader="none" w:pos="2252" w:val="left"/>
        </w:tabs>
        <w:numPr>
          <w:ilvl w:val="0"/>
          <w:numId w:val="44"/>
        </w:numPr>
        <w:rPr>
          <w:rFonts w:ascii="Arial" w:cs="Arial" w:eastAsia="Arial" w:hAnsi="Arial"/>
          <w:sz w:val="20"/>
          <w:szCs w:val="20"/>
          <w:color w:val="auto"/>
        </w:rPr>
      </w:pPr>
      <w:r>
        <w:rPr>
          <w:rFonts w:ascii="Arial" w:cs="Arial" w:eastAsia="Arial" w:hAnsi="Arial"/>
          <w:sz w:val="20"/>
          <w:szCs w:val="20"/>
          <w:color w:val="auto"/>
        </w:rPr>
        <w:t>Accounts that the Account Debtor has not paid within ninety (90) days (or one hundred twenty (120) days when the Account Debtor is Celestica Shared Service Centre) of invoice date regardless of invoice payment period terms;</w:t>
      </w:r>
    </w:p>
    <w:p>
      <w:pPr>
        <w:spacing w:after="0" w:line="180" w:lineRule="exact"/>
        <w:rPr>
          <w:sz w:val="20"/>
          <w:szCs w:val="20"/>
          <w:color w:val="auto"/>
        </w:rPr>
      </w:pPr>
    </w:p>
    <w:p>
      <w:pPr>
        <w:ind w:right="620" w:firstLine="1946"/>
        <w:spacing w:after="0" w:line="267" w:lineRule="auto"/>
        <w:tabs>
          <w:tab w:leader="none" w:pos="2631" w:val="left"/>
        </w:tabs>
        <w:numPr>
          <w:ilvl w:val="0"/>
          <w:numId w:val="45"/>
        </w:numPr>
        <w:rPr>
          <w:rFonts w:ascii="Arial" w:cs="Arial" w:eastAsia="Arial" w:hAnsi="Arial"/>
          <w:sz w:val="20"/>
          <w:szCs w:val="20"/>
          <w:color w:val="auto"/>
        </w:rPr>
      </w:pPr>
      <w:r>
        <w:rPr>
          <w:rFonts w:ascii="Arial" w:cs="Arial" w:eastAsia="Arial" w:hAnsi="Arial"/>
          <w:sz w:val="20"/>
          <w:szCs w:val="20"/>
          <w:color w:val="auto"/>
        </w:rPr>
        <w:t>Clause (z) of the definition of “</w:t>
      </w:r>
      <w:r>
        <w:rPr>
          <w:rFonts w:ascii="Arial" w:cs="Arial" w:eastAsia="Arial" w:hAnsi="Arial"/>
          <w:sz w:val="20"/>
          <w:szCs w:val="20"/>
          <w:b w:val="1"/>
          <w:bCs w:val="1"/>
          <w:color w:val="auto"/>
        </w:rPr>
        <w:t>Eligible Accounts</w:t>
      </w:r>
      <w:r>
        <w:rPr>
          <w:rFonts w:ascii="Arial" w:cs="Arial" w:eastAsia="Arial" w:hAnsi="Arial"/>
          <w:sz w:val="20"/>
          <w:szCs w:val="20"/>
          <w:color w:val="auto"/>
        </w:rPr>
        <w:t>” in Section 13.1 of the Loan Agreement is hereby amended in its entirety and replaced with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-260350</wp:posOffset>
            </wp:positionH>
            <wp:positionV relativeFrom="paragraph">
              <wp:posOffset>615315</wp:posOffset>
            </wp:positionV>
            <wp:extent cx="629221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500"/>
          </w:cols>
          <w:pgMar w:left="1400" w:top="495" w:right="999" w:bottom="1440" w:gutter="0" w:footer="0" w:header="0"/>
        </w:sectPr>
      </w:pPr>
    </w:p>
    <w:bookmarkStart w:id="69" w:name="page70"/>
    <w:bookmarkEnd w:id="69"/>
    <w:p>
      <w:pPr>
        <w:jc w:val="both"/>
        <w:ind w:left="1300" w:firstLine="646"/>
        <w:spacing w:after="0" w:line="250" w:lineRule="auto"/>
        <w:tabs>
          <w:tab w:leader="none" w:pos="2255" w:val="left"/>
        </w:tabs>
        <w:numPr>
          <w:ilvl w:val="1"/>
          <w:numId w:val="46"/>
        </w:numPr>
        <w:rPr>
          <w:rFonts w:ascii="Arial" w:cs="Arial" w:eastAsia="Arial" w:hAnsi="Arial"/>
          <w:sz w:val="20"/>
          <w:szCs w:val="20"/>
          <w:color w:val="auto"/>
        </w:rPr>
      </w:pPr>
      <w:r>
        <w:rPr>
          <w:rFonts w:ascii="Arial" w:cs="Arial" w:eastAsia="Arial" w:hAnsi="Arial"/>
          <w:sz w:val="20"/>
          <w:szCs w:val="20"/>
          <w:color w:val="auto"/>
        </w:rPr>
        <w:t>Accounts owing from an Account Debtor, whose total obligations to Borrower exceed twenty-five percent (25.0%) of all Accounts, except for Celestica Shared Service Centre, for which such percentage is thirty-five percent (35.0%);</w:t>
      </w:r>
    </w:p>
    <w:p>
      <w:pPr>
        <w:spacing w:after="0" w:line="185" w:lineRule="exact"/>
        <w:rPr>
          <w:rFonts w:ascii="Arial" w:cs="Arial" w:eastAsia="Arial" w:hAnsi="Arial"/>
          <w:sz w:val="20"/>
          <w:szCs w:val="20"/>
          <w:color w:val="auto"/>
        </w:rPr>
      </w:pPr>
    </w:p>
    <w:p>
      <w:pPr>
        <w:ind w:right="520" w:firstLine="1298"/>
        <w:spacing w:after="0" w:line="316" w:lineRule="auto"/>
        <w:tabs>
          <w:tab w:leader="none" w:pos="1968"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following terms and their respective definitions set forth in Section 13.1 of the Loan Agreement are hereby deleted in their entirety: “</w:t>
      </w:r>
      <w:r>
        <w:rPr>
          <w:rFonts w:ascii="Arial" w:cs="Arial" w:eastAsia="Arial" w:hAnsi="Arial"/>
          <w:sz w:val="18"/>
          <w:szCs w:val="18"/>
          <w:b w:val="1"/>
          <w:bCs w:val="1"/>
          <w:color w:val="auto"/>
        </w:rPr>
        <w:t>Liquidity Ratio</w:t>
      </w:r>
      <w:r>
        <w:rPr>
          <w:rFonts w:ascii="Arial" w:cs="Arial" w:eastAsia="Arial" w:hAnsi="Arial"/>
          <w:sz w:val="18"/>
          <w:szCs w:val="18"/>
          <w:color w:val="auto"/>
        </w:rPr>
        <w:t>”, “</w:t>
      </w:r>
      <w:r>
        <w:rPr>
          <w:rFonts w:ascii="Arial" w:cs="Arial" w:eastAsia="Arial" w:hAnsi="Arial"/>
          <w:sz w:val="18"/>
          <w:szCs w:val="18"/>
          <w:b w:val="1"/>
          <w:bCs w:val="1"/>
          <w:color w:val="auto"/>
        </w:rPr>
        <w:t>Quick Assets</w:t>
      </w:r>
      <w:r>
        <w:rPr>
          <w:rFonts w:ascii="Arial" w:cs="Arial" w:eastAsia="Arial" w:hAnsi="Arial"/>
          <w:sz w:val="18"/>
          <w:szCs w:val="18"/>
          <w:color w:val="auto"/>
        </w:rPr>
        <w:t>”, and “</w:t>
      </w:r>
      <w:r>
        <w:rPr>
          <w:rFonts w:ascii="Arial" w:cs="Arial" w:eastAsia="Arial" w:hAnsi="Arial"/>
          <w:sz w:val="18"/>
          <w:szCs w:val="18"/>
          <w:b w:val="1"/>
          <w:bCs w:val="1"/>
          <w:color w:val="auto"/>
        </w:rPr>
        <w:t>Streamline Ratio”</w:t>
      </w:r>
      <w:r>
        <w:rPr>
          <w:rFonts w:ascii="Arial" w:cs="Arial" w:eastAsia="Arial" w:hAnsi="Arial"/>
          <w:sz w:val="18"/>
          <w:szCs w:val="18"/>
          <w:color w:val="auto"/>
        </w:rPr>
        <w:t>.</w:t>
      </w:r>
    </w:p>
    <w:p>
      <w:pPr>
        <w:spacing w:after="0" w:line="124" w:lineRule="exact"/>
        <w:rPr>
          <w:sz w:val="20"/>
          <w:szCs w:val="20"/>
          <w:color w:val="auto"/>
        </w:rPr>
      </w:pPr>
    </w:p>
    <w:p>
      <w:pPr>
        <w:ind w:right="100" w:firstLine="1296"/>
        <w:spacing w:after="0" w:line="285" w:lineRule="auto"/>
        <w:rPr>
          <w:sz w:val="20"/>
          <w:szCs w:val="20"/>
          <w:color w:val="auto"/>
        </w:rPr>
      </w:pPr>
      <w:r>
        <w:rPr>
          <w:rFonts w:ascii="Arial" w:cs="Arial" w:eastAsia="Arial" w:hAnsi="Arial"/>
          <w:sz w:val="18"/>
          <w:szCs w:val="18"/>
          <w:b w:val="1"/>
          <w:bCs w:val="1"/>
          <w:color w:val="auto"/>
        </w:rPr>
        <w:t>4.6 Exhibit B (Compliance Certificate)</w:t>
      </w:r>
      <w:r>
        <w:rPr>
          <w:rFonts w:ascii="Arial" w:cs="Arial" w:eastAsia="Arial" w:hAnsi="Arial"/>
          <w:sz w:val="18"/>
          <w:szCs w:val="18"/>
          <w:color w:val="auto"/>
        </w:rPr>
        <w:t>. The Compliance Certificate attached to the Loan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Agreement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is hereby replaced in its entirety with the Compliance Certificate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From and after the First Amendment Effective Date, all references in the Loan Agreement to the Compliance Certificate shall be deemed to refer to the Compliance Certificate in the form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164" w:lineRule="exact"/>
        <w:rPr>
          <w:sz w:val="20"/>
          <w:szCs w:val="20"/>
          <w:color w:val="auto"/>
        </w:rPr>
      </w:pPr>
    </w:p>
    <w:p>
      <w:pPr>
        <w:ind w:left="1300" w:hanging="650"/>
        <w:spacing w:after="0"/>
        <w:tabs>
          <w:tab w:leader="none" w:pos="1300" w:val="left"/>
        </w:tabs>
        <w:numPr>
          <w:ilvl w:val="0"/>
          <w:numId w:val="48"/>
        </w:numPr>
        <w:rPr>
          <w:rFonts w:ascii="Arial" w:cs="Arial" w:eastAsia="Arial" w:hAnsi="Arial"/>
          <w:sz w:val="20"/>
          <w:szCs w:val="20"/>
          <w:b w:val="1"/>
          <w:bCs w:val="1"/>
          <w:color w:val="auto"/>
        </w:rPr>
      </w:pPr>
      <w:r>
        <w:rPr>
          <w:rFonts w:ascii="Arial" w:cs="Arial" w:eastAsia="Arial" w:hAnsi="Arial"/>
          <w:sz w:val="20"/>
          <w:szCs w:val="20"/>
          <w:b w:val="1"/>
          <w:bCs w:val="1"/>
          <w:color w:val="auto"/>
        </w:rPr>
        <w:t>Limitation of Amendments.</w:t>
      </w:r>
    </w:p>
    <w:p>
      <w:pPr>
        <w:spacing w:after="0" w:line="216" w:lineRule="exact"/>
        <w:rPr>
          <w:sz w:val="20"/>
          <w:szCs w:val="20"/>
          <w:color w:val="auto"/>
        </w:rPr>
      </w:pPr>
    </w:p>
    <w:p>
      <w:pPr>
        <w:ind w:right="280" w:firstLine="1296"/>
        <w:spacing w:after="0" w:line="285" w:lineRule="auto"/>
        <w:rPr>
          <w:sz w:val="20"/>
          <w:szCs w:val="20"/>
          <w:color w:val="auto"/>
        </w:rPr>
      </w:pPr>
      <w:r>
        <w:rPr>
          <w:rFonts w:ascii="Arial" w:cs="Arial" w:eastAsia="Arial" w:hAnsi="Arial"/>
          <w:sz w:val="18"/>
          <w:szCs w:val="18"/>
          <w:b w:val="1"/>
          <w:bCs w:val="1"/>
          <w:color w:val="auto"/>
        </w:rPr>
        <w:t xml:space="preserve">5.1 </w:t>
      </w:r>
      <w:r>
        <w:rPr>
          <w:rFonts w:ascii="Arial" w:cs="Arial" w:eastAsia="Arial" w:hAnsi="Arial"/>
          <w:sz w:val="18"/>
          <w:szCs w:val="18"/>
          <w:color w:val="auto"/>
        </w:rPr>
        <w:t>The amendments set forth in Section 4, above, are effective for the purposes set forth herein</w:t>
      </w:r>
      <w:r>
        <w:rPr>
          <w:rFonts w:ascii="Arial" w:cs="Arial" w:eastAsia="Arial" w:hAnsi="Arial"/>
          <w:sz w:val="18"/>
          <w:szCs w:val="18"/>
          <w:b w:val="1"/>
          <w:bCs w:val="1"/>
          <w:color w:val="auto"/>
        </w:rPr>
        <w:t xml:space="preserve"> </w:t>
      </w:r>
      <w:r>
        <w:rPr>
          <w:rFonts w:ascii="Arial" w:cs="Arial" w:eastAsia="Arial" w:hAnsi="Arial"/>
          <w:sz w:val="18"/>
          <w:szCs w:val="18"/>
          <w:color w:val="auto"/>
        </w:rPr>
        <w:t>and shall be limited precisely as written and shall not be deemed to (a) be a consent to any amendment, waiver or modification of any other term or condition of any Loan Document, or (b) otherwise prejudice any right or remedy which Bank may now have or may have in the future under or in connection with any Loan Document.</w:t>
      </w:r>
    </w:p>
    <w:p>
      <w:pPr>
        <w:spacing w:after="0" w:line="164" w:lineRule="exact"/>
        <w:rPr>
          <w:sz w:val="20"/>
          <w:szCs w:val="20"/>
          <w:color w:val="auto"/>
        </w:rPr>
      </w:pPr>
    </w:p>
    <w:p>
      <w:pPr>
        <w:jc w:val="both"/>
        <w:ind w:right="20" w:firstLine="1296"/>
        <w:spacing w:after="0" w:line="294" w:lineRule="auto"/>
        <w:rPr>
          <w:sz w:val="20"/>
          <w:szCs w:val="20"/>
          <w:color w:val="auto"/>
        </w:rPr>
      </w:pPr>
      <w:r>
        <w:rPr>
          <w:rFonts w:ascii="Arial" w:cs="Arial" w:eastAsia="Arial" w:hAnsi="Arial"/>
          <w:sz w:val="18"/>
          <w:szCs w:val="18"/>
          <w:b w:val="1"/>
          <w:bCs w:val="1"/>
          <w:color w:val="auto"/>
        </w:rPr>
        <w:t xml:space="preserve">5.2 </w:t>
      </w:r>
      <w:r>
        <w:rPr>
          <w:rFonts w:ascii="Arial" w:cs="Arial" w:eastAsia="Arial" w:hAnsi="Arial"/>
          <w:sz w:val="18"/>
          <w:szCs w:val="18"/>
          <w:color w:val="auto"/>
        </w:rPr>
        <w:t>This Amendment shall be construed in connection with and as part of the Loan Documents and</w:t>
      </w:r>
      <w:r>
        <w:rPr>
          <w:rFonts w:ascii="Arial" w:cs="Arial" w:eastAsia="Arial" w:hAnsi="Arial"/>
          <w:sz w:val="18"/>
          <w:szCs w:val="18"/>
          <w:b w:val="1"/>
          <w:bCs w:val="1"/>
          <w:color w:val="auto"/>
        </w:rPr>
        <w:t xml:space="preserve"> </w:t>
      </w:r>
      <w:r>
        <w:rPr>
          <w:rFonts w:ascii="Arial" w:cs="Arial" w:eastAsia="Arial" w:hAnsi="Arial"/>
          <w:sz w:val="18"/>
          <w:szCs w:val="18"/>
          <w:color w:val="auto"/>
        </w:rPr>
        <w:t>all terms, conditions, representations, warranties, covenants and agreements set forth in the Loan Documents, except as herein amended, are hereby ratified and confirmed and shall remain in full force and effect.</w:t>
      </w:r>
    </w:p>
    <w:p>
      <w:pPr>
        <w:spacing w:after="0" w:line="157" w:lineRule="exact"/>
        <w:rPr>
          <w:sz w:val="20"/>
          <w:szCs w:val="20"/>
          <w:color w:val="auto"/>
        </w:rPr>
      </w:pPr>
    </w:p>
    <w:p>
      <w:pPr>
        <w:ind w:right="60" w:firstLine="650"/>
        <w:spacing w:after="0" w:line="267" w:lineRule="auto"/>
        <w:tabs>
          <w:tab w:leader="none" w:pos="1291" w:val="left"/>
        </w:tabs>
        <w:numPr>
          <w:ilvl w:val="0"/>
          <w:numId w:val="49"/>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Representations and Warranties. </w:t>
      </w:r>
      <w:r>
        <w:rPr>
          <w:rFonts w:ascii="Arial" w:cs="Arial" w:eastAsia="Arial" w:hAnsi="Arial"/>
          <w:sz w:val="20"/>
          <w:szCs w:val="20"/>
          <w:color w:val="auto"/>
        </w:rPr>
        <w:t>To induce Bank to enter into this Amendment, Borrower hereby</w:t>
      </w:r>
      <w:r>
        <w:rPr>
          <w:rFonts w:ascii="Arial" w:cs="Arial" w:eastAsia="Arial" w:hAnsi="Arial"/>
          <w:sz w:val="20"/>
          <w:szCs w:val="20"/>
          <w:b w:val="1"/>
          <w:bCs w:val="1"/>
          <w:color w:val="auto"/>
        </w:rPr>
        <w:t xml:space="preserve"> </w:t>
      </w:r>
      <w:r>
        <w:rPr>
          <w:rFonts w:ascii="Arial" w:cs="Arial" w:eastAsia="Arial" w:hAnsi="Arial"/>
          <w:sz w:val="20"/>
          <w:szCs w:val="20"/>
          <w:color w:val="auto"/>
        </w:rPr>
        <w:t>represents and warrants to Bank as follows:</w:t>
      </w:r>
    </w:p>
    <w:p>
      <w:pPr>
        <w:spacing w:after="0" w:line="163" w:lineRule="exact"/>
        <w:rPr>
          <w:sz w:val="20"/>
          <w:szCs w:val="20"/>
          <w:color w:val="auto"/>
        </w:rPr>
      </w:pPr>
    </w:p>
    <w:p>
      <w:pPr>
        <w:ind w:right="200" w:firstLine="1296"/>
        <w:spacing w:after="0" w:line="265" w:lineRule="auto"/>
        <w:rPr>
          <w:sz w:val="20"/>
          <w:szCs w:val="20"/>
          <w:color w:val="auto"/>
        </w:rPr>
      </w:pPr>
      <w:r>
        <w:rPr>
          <w:rFonts w:ascii="Arial" w:cs="Arial" w:eastAsia="Arial" w:hAnsi="Arial"/>
          <w:sz w:val="19"/>
          <w:szCs w:val="19"/>
          <w:b w:val="1"/>
          <w:bCs w:val="1"/>
          <w:color w:val="auto"/>
        </w:rPr>
        <w:t xml:space="preserve">6.1 </w:t>
      </w:r>
      <w:r>
        <w:rPr>
          <w:rFonts w:ascii="Arial" w:cs="Arial" w:eastAsia="Arial" w:hAnsi="Arial"/>
          <w:sz w:val="19"/>
          <w:szCs w:val="19"/>
          <w:color w:val="auto"/>
        </w:rPr>
        <w:t>Immediately after giving effect to this Amendment (a) the representations and warranties</w:t>
      </w:r>
      <w:r>
        <w:rPr>
          <w:rFonts w:ascii="Arial" w:cs="Arial" w:eastAsia="Arial" w:hAnsi="Arial"/>
          <w:sz w:val="19"/>
          <w:szCs w:val="19"/>
          <w:b w:val="1"/>
          <w:bCs w:val="1"/>
          <w:color w:val="auto"/>
        </w:rPr>
        <w:t xml:space="preserve"> </w:t>
      </w:r>
      <w:r>
        <w:rPr>
          <w:rFonts w:ascii="Arial" w:cs="Arial" w:eastAsia="Arial" w:hAnsi="Arial"/>
          <w:sz w:val="19"/>
          <w:szCs w:val="19"/>
          <w:color w:val="auto"/>
        </w:rPr>
        <w:t>contained in the Loan Documents are true, accurate and complete in all material respects as of the date hereof (except to the extent such representations and warranties relate to an earlier date, in which case they are true and correct as of such date), and (b) no Event of Default has occurred and is continuing;</w:t>
      </w:r>
    </w:p>
    <w:p>
      <w:pPr>
        <w:spacing w:after="0" w:line="169" w:lineRule="exact"/>
        <w:rPr>
          <w:sz w:val="20"/>
          <w:szCs w:val="20"/>
          <w:color w:val="auto"/>
        </w:rPr>
      </w:pPr>
    </w:p>
    <w:p>
      <w:pPr>
        <w:ind w:right="180" w:firstLine="1296"/>
        <w:spacing w:after="0" w:line="267" w:lineRule="auto"/>
        <w:rPr>
          <w:sz w:val="20"/>
          <w:szCs w:val="20"/>
          <w:color w:val="auto"/>
        </w:rPr>
      </w:pPr>
      <w:r>
        <w:rPr>
          <w:rFonts w:ascii="Arial" w:cs="Arial" w:eastAsia="Arial" w:hAnsi="Arial"/>
          <w:sz w:val="20"/>
          <w:szCs w:val="20"/>
          <w:b w:val="1"/>
          <w:bCs w:val="1"/>
          <w:color w:val="auto"/>
        </w:rPr>
        <w:t xml:space="preserve">6.2 </w:t>
      </w:r>
      <w:r>
        <w:rPr>
          <w:rFonts w:ascii="Arial" w:cs="Arial" w:eastAsia="Arial" w:hAnsi="Arial"/>
          <w:sz w:val="20"/>
          <w:szCs w:val="20"/>
          <w:color w:val="auto"/>
        </w:rPr>
        <w:t>Borrower has the power and authority to execute and deliver this Amendment and to perform</w:t>
      </w:r>
      <w:r>
        <w:rPr>
          <w:rFonts w:ascii="Arial" w:cs="Arial" w:eastAsia="Arial" w:hAnsi="Arial"/>
          <w:sz w:val="20"/>
          <w:szCs w:val="20"/>
          <w:b w:val="1"/>
          <w:bCs w:val="1"/>
          <w:color w:val="auto"/>
        </w:rPr>
        <w:t xml:space="preserve"> </w:t>
      </w:r>
      <w:r>
        <w:rPr>
          <w:rFonts w:ascii="Arial" w:cs="Arial" w:eastAsia="Arial" w:hAnsi="Arial"/>
          <w:sz w:val="20"/>
          <w:szCs w:val="20"/>
          <w:color w:val="auto"/>
        </w:rPr>
        <w:t>its obligations under the Loan Agreement, as amended by this Amendment;</w:t>
      </w:r>
    </w:p>
    <w:p>
      <w:pPr>
        <w:spacing w:after="0" w:line="177" w:lineRule="exact"/>
        <w:rPr>
          <w:sz w:val="20"/>
          <w:szCs w:val="20"/>
          <w:color w:val="auto"/>
        </w:rPr>
      </w:pPr>
    </w:p>
    <w:p>
      <w:pPr>
        <w:jc w:val="both"/>
        <w:ind w:right="340" w:firstLine="1296"/>
        <w:spacing w:after="0" w:line="253" w:lineRule="auto"/>
        <w:rPr>
          <w:sz w:val="20"/>
          <w:szCs w:val="20"/>
          <w:color w:val="auto"/>
        </w:rPr>
      </w:pPr>
      <w:r>
        <w:rPr>
          <w:rFonts w:ascii="Arial" w:cs="Arial" w:eastAsia="Arial" w:hAnsi="Arial"/>
          <w:sz w:val="20"/>
          <w:szCs w:val="20"/>
          <w:b w:val="1"/>
          <w:bCs w:val="1"/>
          <w:color w:val="auto"/>
        </w:rPr>
        <w:t xml:space="preserve">6.3 </w:t>
      </w:r>
      <w:r>
        <w:rPr>
          <w:rFonts w:ascii="Arial" w:cs="Arial" w:eastAsia="Arial" w:hAnsi="Arial"/>
          <w:sz w:val="20"/>
          <w:szCs w:val="20"/>
          <w:color w:val="auto"/>
        </w:rPr>
        <w:t>The organizational documents of Borrower delivered to Bank on the Effective Date remain</w:t>
      </w:r>
      <w:r>
        <w:rPr>
          <w:rFonts w:ascii="Arial" w:cs="Arial" w:eastAsia="Arial" w:hAnsi="Arial"/>
          <w:sz w:val="20"/>
          <w:szCs w:val="20"/>
          <w:b w:val="1"/>
          <w:bCs w:val="1"/>
          <w:color w:val="auto"/>
        </w:rPr>
        <w:t xml:space="preserve"> </w:t>
      </w:r>
      <w:r>
        <w:rPr>
          <w:rFonts w:ascii="Arial" w:cs="Arial" w:eastAsia="Arial" w:hAnsi="Arial"/>
          <w:sz w:val="20"/>
          <w:szCs w:val="20"/>
          <w:color w:val="auto"/>
        </w:rPr>
        <w:t>true, accurate and complete and have not been amended, supplemented or restated and are and continue to be in full force and effect;</w:t>
      </w:r>
    </w:p>
    <w:p>
      <w:pPr>
        <w:spacing w:after="0" w:line="177" w:lineRule="exact"/>
        <w:rPr>
          <w:sz w:val="20"/>
          <w:szCs w:val="20"/>
          <w:color w:val="auto"/>
        </w:rPr>
      </w:pPr>
    </w:p>
    <w:p>
      <w:pPr>
        <w:ind w:right="40" w:firstLine="1296"/>
        <w:spacing w:after="0" w:line="323" w:lineRule="auto"/>
        <w:rPr>
          <w:sz w:val="20"/>
          <w:szCs w:val="20"/>
          <w:color w:val="auto"/>
        </w:rPr>
      </w:pPr>
      <w:r>
        <w:rPr>
          <w:rFonts w:ascii="Arial" w:cs="Arial" w:eastAsia="Arial" w:hAnsi="Arial"/>
          <w:sz w:val="18"/>
          <w:szCs w:val="18"/>
          <w:b w:val="1"/>
          <w:bCs w:val="1"/>
          <w:color w:val="auto"/>
        </w:rPr>
        <w:t xml:space="preserve">6.4 </w:t>
      </w:r>
      <w:r>
        <w:rPr>
          <w:rFonts w:ascii="Arial" w:cs="Arial" w:eastAsia="Arial" w:hAnsi="Arial"/>
          <w:sz w:val="18"/>
          <w:szCs w:val="18"/>
          <w:color w:val="auto"/>
        </w:rPr>
        <w:t>The execution and delivery by Borrower of this Amendment and the performance by Borrower</w:t>
      </w:r>
      <w:r>
        <w:rPr>
          <w:rFonts w:ascii="Arial" w:cs="Arial" w:eastAsia="Arial" w:hAnsi="Arial"/>
          <w:sz w:val="18"/>
          <w:szCs w:val="18"/>
          <w:b w:val="1"/>
          <w:bCs w:val="1"/>
          <w:color w:val="auto"/>
        </w:rPr>
        <w:t xml:space="preserve"> </w:t>
      </w:r>
      <w:r>
        <w:rPr>
          <w:rFonts w:ascii="Arial" w:cs="Arial" w:eastAsia="Arial" w:hAnsi="Arial"/>
          <w:sz w:val="18"/>
          <w:szCs w:val="18"/>
          <w:color w:val="auto"/>
        </w:rPr>
        <w:t>of its obligations under the Loan Agreement, as amended by this Amendment, have been duly authorized;</w:t>
      </w:r>
    </w:p>
    <w:p>
      <w:pPr>
        <w:spacing w:after="0" w:line="118" w:lineRule="exact"/>
        <w:rPr>
          <w:sz w:val="20"/>
          <w:szCs w:val="20"/>
          <w:color w:val="auto"/>
        </w:rPr>
      </w:pPr>
    </w:p>
    <w:p>
      <w:pPr>
        <w:ind w:right="40" w:firstLine="1296"/>
        <w:spacing w:after="0" w:line="248" w:lineRule="auto"/>
        <w:rPr>
          <w:sz w:val="20"/>
          <w:szCs w:val="20"/>
          <w:color w:val="auto"/>
        </w:rPr>
      </w:pPr>
      <w:r>
        <w:rPr>
          <w:rFonts w:ascii="Arial" w:cs="Arial" w:eastAsia="Arial" w:hAnsi="Arial"/>
          <w:sz w:val="20"/>
          <w:szCs w:val="20"/>
          <w:b w:val="1"/>
          <w:bCs w:val="1"/>
          <w:color w:val="auto"/>
        </w:rPr>
        <w:t xml:space="preserve">6.5 </w:t>
      </w:r>
      <w:r>
        <w:rPr>
          <w:rFonts w:ascii="Arial" w:cs="Arial" w:eastAsia="Arial" w:hAnsi="Arial"/>
          <w:sz w:val="20"/>
          <w:szCs w:val="20"/>
          <w:color w:val="auto"/>
        </w:rPr>
        <w:t>The execution and delivery by Borrower of this Amendment and the performance by Borrower</w:t>
      </w:r>
      <w:r>
        <w:rPr>
          <w:rFonts w:ascii="Arial" w:cs="Arial" w:eastAsia="Arial" w:hAnsi="Arial"/>
          <w:sz w:val="20"/>
          <w:szCs w:val="20"/>
          <w:b w:val="1"/>
          <w:bCs w:val="1"/>
          <w:color w:val="auto"/>
        </w:rPr>
        <w:t xml:space="preserve"> </w:t>
      </w:r>
      <w:r>
        <w:rPr>
          <w:rFonts w:ascii="Arial" w:cs="Arial" w:eastAsia="Arial" w:hAnsi="Arial"/>
          <w:sz w:val="20"/>
          <w:szCs w:val="20"/>
          <w:color w:val="auto"/>
        </w:rPr>
        <w:t>of its obligations under the Loan Agreement, as amended by this Amendment, do not and will not contravene (a) any law or regulation binding on or affecting Borrower, (b) any contractual restriction with a Person binding on Borrower, (c) any order, judgment or decree of any court or other governmental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-260350</wp:posOffset>
            </wp:positionH>
            <wp:positionV relativeFrom="paragraph">
              <wp:posOffset>628015</wp:posOffset>
            </wp:positionV>
            <wp:extent cx="6292215"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500"/>
          </w:cols>
          <w:pgMar w:left="1400" w:top="501" w:right="999" w:bottom="1440" w:gutter="0" w:footer="0" w:header="0"/>
        </w:sectPr>
      </w:pPr>
    </w:p>
    <w:bookmarkStart w:id="70" w:name="page71"/>
    <w:bookmarkEnd w:id="70"/>
    <w:p>
      <w:pPr>
        <w:ind w:right="620"/>
        <w:spacing w:after="0" w:line="261" w:lineRule="auto"/>
        <w:rPr>
          <w:sz w:val="20"/>
          <w:szCs w:val="20"/>
          <w:color w:val="auto"/>
        </w:rPr>
      </w:pPr>
      <w:r>
        <w:rPr>
          <w:rFonts w:ascii="Arial" w:cs="Arial" w:eastAsia="Arial" w:hAnsi="Arial"/>
          <w:sz w:val="20"/>
          <w:szCs w:val="20"/>
          <w:color w:val="auto"/>
        </w:rPr>
        <w:t>or public body or authority, or subdivision thereof, binding on Borrower, or (d) the organizational documents of Borrower;</w:t>
      </w:r>
    </w:p>
    <w:p>
      <w:pPr>
        <w:spacing w:after="0" w:line="183" w:lineRule="exact"/>
        <w:rPr>
          <w:sz w:val="20"/>
          <w:szCs w:val="20"/>
          <w:color w:val="auto"/>
        </w:rPr>
      </w:pPr>
    </w:p>
    <w:p>
      <w:pPr>
        <w:ind w:firstLine="1296"/>
        <w:spacing w:after="0" w:line="246" w:lineRule="auto"/>
        <w:rPr>
          <w:sz w:val="20"/>
          <w:szCs w:val="20"/>
          <w:color w:val="auto"/>
        </w:rPr>
      </w:pPr>
      <w:r>
        <w:rPr>
          <w:rFonts w:ascii="Arial" w:cs="Arial" w:eastAsia="Arial" w:hAnsi="Arial"/>
          <w:sz w:val="20"/>
          <w:szCs w:val="20"/>
          <w:b w:val="1"/>
          <w:bCs w:val="1"/>
          <w:color w:val="auto"/>
        </w:rPr>
        <w:t xml:space="preserve">6.6 </w:t>
      </w:r>
      <w:r>
        <w:rPr>
          <w:rFonts w:ascii="Arial" w:cs="Arial" w:eastAsia="Arial" w:hAnsi="Arial"/>
          <w:sz w:val="20"/>
          <w:szCs w:val="20"/>
          <w:color w:val="auto"/>
        </w:rPr>
        <w:t>The execution and delivery by Borrower of this Amendment and the performance by Borrower</w:t>
      </w:r>
      <w:r>
        <w:rPr>
          <w:rFonts w:ascii="Arial" w:cs="Arial" w:eastAsia="Arial" w:hAnsi="Arial"/>
          <w:sz w:val="20"/>
          <w:szCs w:val="20"/>
          <w:b w:val="1"/>
          <w:bCs w:val="1"/>
          <w:color w:val="auto"/>
        </w:rPr>
        <w:t xml:space="preserve"> </w:t>
      </w:r>
      <w:r>
        <w:rPr>
          <w:rFonts w:ascii="Arial" w:cs="Arial" w:eastAsia="Arial" w:hAnsi="Arial"/>
          <w:sz w:val="20"/>
          <w:szCs w:val="20"/>
          <w:color w:val="auto"/>
        </w:rPr>
        <w:t>of its obligations under the Loan Agreement, as amended by this Amendment, do not require any order, consent, approval, license, authorization or validation of, or filing, recording or registration with, or exemption by any governmental or public body or authority, or subdivision thereof, binding on Borrower, except as already has been obtained or made; and</w:t>
      </w:r>
    </w:p>
    <w:p>
      <w:pPr>
        <w:spacing w:after="0" w:line="185" w:lineRule="exact"/>
        <w:rPr>
          <w:sz w:val="20"/>
          <w:szCs w:val="20"/>
          <w:color w:val="auto"/>
        </w:rPr>
      </w:pPr>
    </w:p>
    <w:p>
      <w:pPr>
        <w:ind w:right="160" w:firstLine="1296"/>
        <w:spacing w:after="0" w:line="248" w:lineRule="auto"/>
        <w:rPr>
          <w:sz w:val="20"/>
          <w:szCs w:val="20"/>
          <w:color w:val="auto"/>
        </w:rPr>
      </w:pPr>
      <w:r>
        <w:rPr>
          <w:rFonts w:ascii="Arial" w:cs="Arial" w:eastAsia="Arial" w:hAnsi="Arial"/>
          <w:sz w:val="20"/>
          <w:szCs w:val="20"/>
          <w:b w:val="1"/>
          <w:bCs w:val="1"/>
          <w:color w:val="auto"/>
        </w:rPr>
        <w:t xml:space="preserve">6.7 </w:t>
      </w:r>
      <w:r>
        <w:rPr>
          <w:rFonts w:ascii="Arial" w:cs="Arial" w:eastAsia="Arial" w:hAnsi="Arial"/>
          <w:sz w:val="20"/>
          <w:szCs w:val="20"/>
          <w:color w:val="auto"/>
        </w:rPr>
        <w:t>This Amendment has been duly executed and delivered by Borrower and is the binding</w:t>
      </w:r>
      <w:r>
        <w:rPr>
          <w:rFonts w:ascii="Arial" w:cs="Arial" w:eastAsia="Arial" w:hAnsi="Arial"/>
          <w:sz w:val="20"/>
          <w:szCs w:val="20"/>
          <w:b w:val="1"/>
          <w:bCs w:val="1"/>
          <w:color w:val="auto"/>
        </w:rPr>
        <w:t xml:space="preserve"> </w:t>
      </w:r>
      <w:r>
        <w:rPr>
          <w:rFonts w:ascii="Arial" w:cs="Arial" w:eastAsia="Arial" w:hAnsi="Arial"/>
          <w:sz w:val="20"/>
          <w:szCs w:val="20"/>
          <w:color w:val="auto"/>
        </w:rPr>
        <w:t>obligation of Borrower, enforceable against Borrower in accordance with its terms, except as such enforceability may be limited by bankruptcy, insolvency, reorganization, liquidation, moratorium or other similar laws of general application and equitable principles relating to or affecting creditors’ rights.</w:t>
      </w:r>
    </w:p>
    <w:p>
      <w:pPr>
        <w:spacing w:after="0" w:line="197" w:lineRule="exact"/>
        <w:rPr>
          <w:sz w:val="20"/>
          <w:szCs w:val="20"/>
          <w:color w:val="auto"/>
        </w:rPr>
      </w:pPr>
    </w:p>
    <w:p>
      <w:pPr>
        <w:ind w:right="100" w:firstLine="650"/>
        <w:spacing w:after="0" w:line="265" w:lineRule="auto"/>
        <w:tabs>
          <w:tab w:leader="none" w:pos="1291" w:val="left"/>
        </w:tabs>
        <w:numPr>
          <w:ilvl w:val="0"/>
          <w:numId w:val="50"/>
        </w:numPr>
        <w:rPr>
          <w:rFonts w:ascii="Arial" w:cs="Arial" w:eastAsia="Arial" w:hAnsi="Arial"/>
          <w:sz w:val="19"/>
          <w:szCs w:val="19"/>
          <w:b w:val="1"/>
          <w:bCs w:val="1"/>
          <w:color w:val="auto"/>
        </w:rPr>
      </w:pPr>
      <w:r>
        <w:rPr>
          <w:rFonts w:ascii="Arial" w:cs="Arial" w:eastAsia="Arial" w:hAnsi="Arial"/>
          <w:sz w:val="19"/>
          <w:szCs w:val="19"/>
          <w:b w:val="1"/>
          <w:bCs w:val="1"/>
          <w:color w:val="auto"/>
        </w:rPr>
        <w:t>Integration</w:t>
      </w:r>
      <w:r>
        <w:rPr>
          <w:rFonts w:ascii="Arial" w:cs="Arial" w:eastAsia="Arial" w:hAnsi="Arial"/>
          <w:sz w:val="19"/>
          <w:szCs w:val="19"/>
          <w:color w:val="auto"/>
        </w:rPr>
        <w:t>. This Amendment and the Loan Documents represent the entire agreement about this</w:t>
      </w:r>
      <w:r>
        <w:rPr>
          <w:rFonts w:ascii="Arial" w:cs="Arial" w:eastAsia="Arial" w:hAnsi="Arial"/>
          <w:sz w:val="19"/>
          <w:szCs w:val="19"/>
          <w:b w:val="1"/>
          <w:bCs w:val="1"/>
          <w:color w:val="auto"/>
        </w:rPr>
        <w:t xml:space="preserve"> </w:t>
      </w:r>
      <w:r>
        <w:rPr>
          <w:rFonts w:ascii="Arial" w:cs="Arial" w:eastAsia="Arial" w:hAnsi="Arial"/>
          <w:sz w:val="19"/>
          <w:szCs w:val="19"/>
          <w:color w:val="auto"/>
        </w:rPr>
        <w:t>subject matter and supersede prior negotiations or agreements. All prior agreements, understandings, representations, warranties, and negotiations between the parties about the subject matter of this Amendment and the Loan Documents merge into this Amendment and the Loan Documents.</w:t>
      </w:r>
    </w:p>
    <w:p>
      <w:pPr>
        <w:spacing w:after="0" w:line="169" w:lineRule="exact"/>
        <w:rPr>
          <w:rFonts w:ascii="Arial" w:cs="Arial" w:eastAsia="Arial" w:hAnsi="Arial"/>
          <w:sz w:val="19"/>
          <w:szCs w:val="19"/>
          <w:b w:val="1"/>
          <w:bCs w:val="1"/>
          <w:color w:val="auto"/>
        </w:rPr>
      </w:pPr>
    </w:p>
    <w:p>
      <w:pPr>
        <w:ind w:right="520" w:firstLine="650"/>
        <w:spacing w:after="0" w:line="267" w:lineRule="auto"/>
        <w:tabs>
          <w:tab w:leader="none" w:pos="1291" w:val="left"/>
        </w:tabs>
        <w:numPr>
          <w:ilvl w:val="0"/>
          <w:numId w:val="50"/>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Counterparts. </w:t>
      </w:r>
      <w:r>
        <w:rPr>
          <w:rFonts w:ascii="Arial" w:cs="Arial" w:eastAsia="Arial" w:hAnsi="Arial"/>
          <w:sz w:val="20"/>
          <w:szCs w:val="20"/>
          <w:color w:val="auto"/>
        </w:rPr>
        <w:t>This Amendment may be executed in any number of counterparts and all of such</w:t>
      </w:r>
      <w:r>
        <w:rPr>
          <w:rFonts w:ascii="Arial" w:cs="Arial" w:eastAsia="Arial" w:hAnsi="Arial"/>
          <w:sz w:val="20"/>
          <w:szCs w:val="20"/>
          <w:b w:val="1"/>
          <w:bCs w:val="1"/>
          <w:color w:val="auto"/>
        </w:rPr>
        <w:t xml:space="preserve"> </w:t>
      </w:r>
      <w:r>
        <w:rPr>
          <w:rFonts w:ascii="Arial" w:cs="Arial" w:eastAsia="Arial" w:hAnsi="Arial"/>
          <w:sz w:val="20"/>
          <w:szCs w:val="20"/>
          <w:color w:val="auto"/>
        </w:rPr>
        <w:t>counterparts taken together shall be deemed to constitute one and the same instrument.</w:t>
      </w:r>
    </w:p>
    <w:p>
      <w:pPr>
        <w:spacing w:after="0" w:line="163" w:lineRule="exact"/>
        <w:rPr>
          <w:rFonts w:ascii="Arial" w:cs="Arial" w:eastAsia="Arial" w:hAnsi="Arial"/>
          <w:sz w:val="20"/>
          <w:szCs w:val="20"/>
          <w:b w:val="1"/>
          <w:bCs w:val="1"/>
          <w:color w:val="auto"/>
        </w:rPr>
      </w:pPr>
    </w:p>
    <w:p>
      <w:pPr>
        <w:jc w:val="both"/>
        <w:ind w:right="140" w:firstLine="650"/>
        <w:spacing w:after="0" w:line="308" w:lineRule="auto"/>
        <w:tabs>
          <w:tab w:leader="none" w:pos="1291" w:val="left"/>
        </w:tabs>
        <w:numPr>
          <w:ilvl w:val="0"/>
          <w:numId w:val="50"/>
        </w:numPr>
        <w:rPr>
          <w:rFonts w:ascii="Arial" w:cs="Arial" w:eastAsia="Arial" w:hAnsi="Arial"/>
          <w:sz w:val="16"/>
          <w:szCs w:val="16"/>
          <w:b w:val="1"/>
          <w:bCs w:val="1"/>
          <w:color w:val="auto"/>
        </w:rPr>
      </w:pPr>
      <w:r>
        <w:rPr>
          <w:rFonts w:ascii="Arial" w:cs="Arial" w:eastAsia="Arial" w:hAnsi="Arial"/>
          <w:sz w:val="16"/>
          <w:szCs w:val="16"/>
          <w:b w:val="1"/>
          <w:bCs w:val="1"/>
          <w:color w:val="auto"/>
        </w:rPr>
        <w:t>Effectiveness</w:t>
      </w:r>
      <w:r>
        <w:rPr>
          <w:rFonts w:ascii="Arial" w:cs="Arial" w:eastAsia="Arial" w:hAnsi="Arial"/>
          <w:sz w:val="16"/>
          <w:szCs w:val="16"/>
          <w:color w:val="auto"/>
        </w:rPr>
        <w:t>. This Amendment shall be deemed effective upon (a) the due execution and delivery to</w:t>
      </w:r>
      <w:r>
        <w:rPr>
          <w:rFonts w:ascii="Arial" w:cs="Arial" w:eastAsia="Arial" w:hAnsi="Arial"/>
          <w:sz w:val="16"/>
          <w:szCs w:val="16"/>
          <w:b w:val="1"/>
          <w:bCs w:val="1"/>
          <w:color w:val="auto"/>
        </w:rPr>
        <w:t xml:space="preserve"> </w:t>
      </w:r>
      <w:r>
        <w:rPr>
          <w:rFonts w:ascii="Arial" w:cs="Arial" w:eastAsia="Arial" w:hAnsi="Arial"/>
          <w:sz w:val="16"/>
          <w:szCs w:val="16"/>
          <w:color w:val="auto"/>
        </w:rPr>
        <w:t>Bank of this Amendment by each party hereto, (b) the due execution and delivery to Bank of the Warrant to Purchase Common Stock dated as of the First Amendment Effective Date by each party hereto (the “</w:t>
      </w:r>
      <w:r>
        <w:rPr>
          <w:rFonts w:ascii="Arial" w:cs="Arial" w:eastAsia="Arial" w:hAnsi="Arial"/>
          <w:sz w:val="16"/>
          <w:szCs w:val="16"/>
          <w:b w:val="1"/>
          <w:bCs w:val="1"/>
          <w:color w:val="auto"/>
        </w:rPr>
        <w:t>2020 Warrant</w:t>
      </w:r>
      <w:r>
        <w:rPr>
          <w:rFonts w:ascii="Arial" w:cs="Arial" w:eastAsia="Arial" w:hAnsi="Arial"/>
          <w:sz w:val="16"/>
          <w:szCs w:val="16"/>
          <w:color w:val="auto"/>
        </w:rPr>
        <w:t>”), and (c)</w:t>
      </w:r>
    </w:p>
    <w:p>
      <w:pPr>
        <w:spacing w:after="0" w:line="2" w:lineRule="exact"/>
        <w:rPr>
          <w:rFonts w:ascii="Arial" w:cs="Arial" w:eastAsia="Arial" w:hAnsi="Arial"/>
          <w:sz w:val="16"/>
          <w:szCs w:val="16"/>
          <w:b w:val="1"/>
          <w:bCs w:val="1"/>
          <w:color w:val="auto"/>
        </w:rPr>
      </w:pPr>
    </w:p>
    <w:p>
      <w:pPr>
        <w:ind w:right="160"/>
        <w:spacing w:after="0" w:line="244" w:lineRule="auto"/>
        <w:rPr>
          <w:rFonts w:ascii="Arial" w:cs="Arial" w:eastAsia="Arial" w:hAnsi="Arial"/>
          <w:sz w:val="16"/>
          <w:szCs w:val="16"/>
          <w:b w:val="1"/>
          <w:bCs w:val="1"/>
          <w:color w:val="auto"/>
        </w:rPr>
      </w:pPr>
      <w:r>
        <w:rPr>
          <w:rFonts w:ascii="Arial" w:cs="Arial" w:eastAsia="Arial" w:hAnsi="Arial"/>
          <w:sz w:val="20"/>
          <w:szCs w:val="20"/>
          <w:color w:val="auto"/>
        </w:rPr>
        <w:t>Borrower’s payment of Bank’s legal fees and expenses incurred in connection with the negotiation and preparation of this Agreement and the 2020 Warrant.</w:t>
      </w:r>
    </w:p>
    <w:p>
      <w:pPr>
        <w:spacing w:after="0" w:line="191" w:lineRule="exact"/>
        <w:rPr>
          <w:sz w:val="20"/>
          <w:szCs w:val="20"/>
          <w:color w:val="auto"/>
        </w:rPr>
      </w:pPr>
    </w:p>
    <w:p>
      <w:pPr>
        <w:jc w:val="center"/>
        <w:ind w:right="380"/>
        <w:spacing w:after="0"/>
        <w:rPr>
          <w:sz w:val="20"/>
          <w:szCs w:val="20"/>
          <w:color w:val="auto"/>
        </w:rPr>
      </w:pPr>
      <w:r>
        <w:rPr>
          <w:rFonts w:ascii="Arial" w:cs="Arial" w:eastAsia="Arial" w:hAnsi="Arial"/>
          <w:sz w:val="20"/>
          <w:szCs w:val="20"/>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-260350</wp:posOffset>
            </wp:positionH>
            <wp:positionV relativeFrom="paragraph">
              <wp:posOffset>644525</wp:posOffset>
            </wp:positionV>
            <wp:extent cx="6292215"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00" w:top="122" w:right="1039" w:bottom="1440" w:gutter="0" w:footer="0" w:header="0"/>
        </w:sectPr>
      </w:pPr>
    </w:p>
    <w:bookmarkStart w:id="71" w:name="page72"/>
    <w:bookmarkEnd w:id="71"/>
    <w:p>
      <w:pPr>
        <w:ind w:left="420" w:firstLine="648"/>
        <w:spacing w:after="0" w:line="267" w:lineRule="auto"/>
        <w:rPr>
          <w:sz w:val="20"/>
          <w:szCs w:val="20"/>
          <w:color w:val="auto"/>
        </w:rPr>
      </w:pPr>
      <w:r>
        <w:rPr>
          <w:rFonts w:ascii="Arial" w:cs="Arial" w:eastAsia="Arial" w:hAnsi="Arial"/>
          <w:sz w:val="20"/>
          <w:szCs w:val="20"/>
          <w:b w:val="1"/>
          <w:bCs w:val="1"/>
          <w:color w:val="auto"/>
        </w:rPr>
        <w:t>I</w:t>
      </w:r>
      <w:r>
        <w:rPr>
          <w:rFonts w:ascii="Arial" w:cs="Arial" w:eastAsia="Arial" w:hAnsi="Arial"/>
          <w:sz w:val="16"/>
          <w:szCs w:val="16"/>
          <w:b w:val="1"/>
          <w:bCs w:val="1"/>
          <w:color w:val="auto"/>
        </w:rPr>
        <w:t>N</w:t>
      </w:r>
      <w:r>
        <w:rPr>
          <w:rFonts w:ascii="Arial" w:cs="Arial" w:eastAsia="Arial" w:hAnsi="Arial"/>
          <w:sz w:val="20"/>
          <w:szCs w:val="20"/>
          <w:b w:val="1"/>
          <w:bCs w:val="1"/>
          <w:color w:val="auto"/>
        </w:rPr>
        <w:t xml:space="preserve"> W</w:t>
      </w:r>
      <w:r>
        <w:rPr>
          <w:rFonts w:ascii="Arial" w:cs="Arial" w:eastAsia="Arial" w:hAnsi="Arial"/>
          <w:sz w:val="16"/>
          <w:szCs w:val="16"/>
          <w:b w:val="1"/>
          <w:bCs w:val="1"/>
          <w:color w:val="auto"/>
        </w:rPr>
        <w:t>ITNESS</w:t>
      </w:r>
      <w:r>
        <w:rPr>
          <w:rFonts w:ascii="Arial" w:cs="Arial" w:eastAsia="Arial" w:hAnsi="Arial"/>
          <w:sz w:val="20"/>
          <w:szCs w:val="20"/>
          <w:b w:val="1"/>
          <w:bCs w:val="1"/>
          <w:color w:val="auto"/>
        </w:rPr>
        <w:t xml:space="preserve"> W</w:t>
      </w:r>
      <w:r>
        <w:rPr>
          <w:rFonts w:ascii="Arial" w:cs="Arial" w:eastAsia="Arial" w:hAnsi="Arial"/>
          <w:sz w:val="16"/>
          <w:szCs w:val="16"/>
          <w:b w:val="1"/>
          <w:bCs w:val="1"/>
          <w:color w:val="auto"/>
        </w:rPr>
        <w:t>HEREOF</w:t>
      </w:r>
      <w:r>
        <w:rPr>
          <w:rFonts w:ascii="Arial" w:cs="Arial" w:eastAsia="Arial" w:hAnsi="Arial"/>
          <w:sz w:val="20"/>
          <w:szCs w:val="20"/>
          <w:b w:val="1"/>
          <w:bCs w:val="1"/>
          <w:color w:val="auto"/>
        </w:rPr>
        <w:t xml:space="preserve">, </w:t>
      </w:r>
      <w:r>
        <w:rPr>
          <w:rFonts w:ascii="Arial" w:cs="Arial" w:eastAsia="Arial" w:hAnsi="Arial"/>
          <w:sz w:val="20"/>
          <w:szCs w:val="20"/>
          <w:color w:val="auto"/>
        </w:rPr>
        <w:t>the parties hereto have caused this Amendment to be duly executed and delivered as</w:t>
      </w:r>
      <w:r>
        <w:rPr>
          <w:rFonts w:ascii="Arial" w:cs="Arial" w:eastAsia="Arial" w:hAnsi="Arial"/>
          <w:sz w:val="20"/>
          <w:szCs w:val="20"/>
          <w:b w:val="1"/>
          <w:bCs w:val="1"/>
          <w:color w:val="auto"/>
        </w:rPr>
        <w:t xml:space="preserve"> </w:t>
      </w:r>
      <w:r>
        <w:rPr>
          <w:rFonts w:ascii="Arial" w:cs="Arial" w:eastAsia="Arial" w:hAnsi="Arial"/>
          <w:sz w:val="20"/>
          <w:szCs w:val="20"/>
          <w:color w:val="auto"/>
        </w:rPr>
        <w:t>of the date first written above.</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BORROWER:</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EVERSPIN TECHNOLOGIES, INC.</w:t>
      </w:r>
    </w:p>
    <w:p>
      <w:pPr>
        <w:spacing w:after="0" w:line="200" w:lineRule="exact"/>
        <w:rPr>
          <w:sz w:val="20"/>
          <w:szCs w:val="20"/>
          <w:color w:val="auto"/>
        </w:rPr>
      </w:pPr>
    </w:p>
    <w:p>
      <w:pPr>
        <w:spacing w:after="0" w:line="232" w:lineRule="exact"/>
        <w:rPr>
          <w:sz w:val="20"/>
          <w:szCs w:val="20"/>
          <w:color w:val="auto"/>
        </w:rPr>
      </w:pPr>
    </w:p>
    <w:p>
      <w:pPr>
        <w:ind w:left="420"/>
        <w:spacing w:after="0"/>
        <w:rPr>
          <w:sz w:val="20"/>
          <w:szCs w:val="20"/>
          <w:color w:val="auto"/>
        </w:rPr>
      </w:pPr>
      <w:r>
        <w:rPr>
          <w:rFonts w:ascii="Arial" w:cs="Arial" w:eastAsia="Arial" w:hAnsi="Arial"/>
          <w:sz w:val="19"/>
          <w:szCs w:val="19"/>
          <w:color w:val="auto"/>
        </w:rPr>
        <w:t>/s/ Kevin Conley</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By: Name: Kevin Conley</w:t>
      </w:r>
    </w:p>
    <w:p>
      <w:pPr>
        <w:ind w:left="420"/>
        <w:spacing w:after="0"/>
        <w:rPr>
          <w:sz w:val="20"/>
          <w:szCs w:val="20"/>
          <w:color w:val="auto"/>
        </w:rPr>
      </w:pPr>
      <w:r>
        <w:rPr>
          <w:rFonts w:ascii="Arial" w:cs="Arial" w:eastAsia="Arial" w:hAnsi="Arial"/>
          <w:sz w:val="20"/>
          <w:szCs w:val="20"/>
          <w:color w:val="auto"/>
        </w:rPr>
        <w:t>Title: President and CEO</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BANK:</w:t>
      </w:r>
    </w:p>
    <w:p>
      <w:pPr>
        <w:spacing w:after="0" w:line="222" w:lineRule="exact"/>
        <w:rPr>
          <w:sz w:val="20"/>
          <w:szCs w:val="20"/>
          <w:color w:val="auto"/>
        </w:rPr>
      </w:pPr>
    </w:p>
    <w:p>
      <w:pPr>
        <w:jc w:val="center"/>
        <w:ind w:right="7540"/>
        <w:spacing w:after="0"/>
        <w:rPr>
          <w:sz w:val="20"/>
          <w:szCs w:val="20"/>
          <w:color w:val="auto"/>
        </w:rPr>
      </w:pPr>
      <w:r>
        <w:rPr>
          <w:rFonts w:ascii="Arial" w:cs="Arial" w:eastAsia="Arial" w:hAnsi="Arial"/>
          <w:sz w:val="20"/>
          <w:szCs w:val="20"/>
          <w:color w:val="auto"/>
        </w:rPr>
        <w:t>SILICON VALLEY BANK</w:t>
      </w:r>
    </w:p>
    <w:p>
      <w:pPr>
        <w:spacing w:after="0" w:line="216" w:lineRule="exact"/>
        <w:rPr>
          <w:sz w:val="20"/>
          <w:szCs w:val="20"/>
          <w:color w:val="auto"/>
        </w:rPr>
      </w:pPr>
    </w:p>
    <w:p>
      <w:pPr>
        <w:ind w:left="420"/>
        <w:spacing w:after="0"/>
        <w:rPr>
          <w:sz w:val="20"/>
          <w:szCs w:val="20"/>
          <w:color w:val="auto"/>
        </w:rPr>
      </w:pPr>
      <w:r>
        <w:rPr>
          <w:rFonts w:ascii="Arial" w:cs="Arial" w:eastAsia="Arial" w:hAnsi="Arial"/>
          <w:sz w:val="19"/>
          <w:szCs w:val="19"/>
          <w:color w:val="auto"/>
        </w:rPr>
        <w:t>/s/ Ryan Edwards</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By: Name: Ryan Edwards</w:t>
      </w:r>
    </w:p>
    <w:p>
      <w:pPr>
        <w:ind w:left="420"/>
        <w:spacing w:after="0"/>
        <w:rPr>
          <w:sz w:val="20"/>
          <w:szCs w:val="20"/>
          <w:color w:val="auto"/>
        </w:rPr>
      </w:pPr>
      <w:r>
        <w:rPr>
          <w:rFonts w:ascii="Arial" w:cs="Arial" w:eastAsia="Arial" w:hAnsi="Arial"/>
          <w:sz w:val="20"/>
          <w:szCs w:val="20"/>
          <w:color w:val="auto"/>
        </w:rPr>
        <w:t>Title: Managing Director</w:t>
      </w:r>
    </w:p>
    <w:p>
      <w:pPr>
        <w:spacing w:after="0" w:line="200" w:lineRule="exact"/>
        <w:rPr>
          <w:sz w:val="20"/>
          <w:szCs w:val="20"/>
          <w:color w:val="auto"/>
        </w:rPr>
      </w:pPr>
    </w:p>
    <w:p>
      <w:pPr>
        <w:spacing w:after="0" w:line="2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[Signature Page to First Amendment to Amended and Restated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503555</wp:posOffset>
            </wp:positionV>
            <wp:extent cx="629221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760"/>
          </w:cols>
          <w:pgMar w:left="980" w:top="495" w:right="1159" w:bottom="1440" w:gutter="0" w:footer="0" w:header="0"/>
        </w:sectPr>
      </w:pPr>
    </w:p>
    <w:bookmarkStart w:id="72" w:name="page73"/>
    <w:bookmarkEnd w:id="72"/>
    <w:p>
      <w:pPr>
        <w:jc w:val="center"/>
        <w:spacing w:after="0"/>
        <w:rPr>
          <w:sz w:val="20"/>
          <w:szCs w:val="20"/>
          <w:color w:val="auto"/>
        </w:rPr>
      </w:pPr>
      <w:r>
        <w:rPr>
          <w:rFonts w:ascii="Arial" w:cs="Arial" w:eastAsia="Arial" w:hAnsi="Arial"/>
          <w:sz w:val="20"/>
          <w:szCs w:val="20"/>
          <w:b w:val="1"/>
          <w:bCs w:val="1"/>
          <w:u w:val="single" w:color="auto"/>
          <w:color w:val="auto"/>
        </w:rPr>
        <w:t>EXHIBIT B</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COMPLIANCE CERTIFICATE</w:t>
      </w:r>
    </w:p>
    <w:p>
      <w:pPr>
        <w:spacing w:after="0" w:line="200" w:lineRule="exact"/>
        <w:rPr>
          <w:sz w:val="20"/>
          <w:szCs w:val="20"/>
          <w:color w:val="auto"/>
        </w:rPr>
      </w:pPr>
    </w:p>
    <w:p>
      <w:pPr>
        <w:spacing w:after="0"/>
        <w:tabs>
          <w:tab w:leader="none" w:pos="640" w:val="left"/>
          <w:tab w:leader="none" w:pos="4940" w:val="left"/>
        </w:tabs>
        <w:rPr>
          <w:sz w:val="20"/>
          <w:szCs w:val="20"/>
          <w:color w:val="auto"/>
        </w:rPr>
      </w:pPr>
      <w:r>
        <w:rPr>
          <w:rFonts w:ascii="Arial" w:cs="Arial" w:eastAsia="Arial" w:hAnsi="Arial"/>
          <w:sz w:val="20"/>
          <w:szCs w:val="20"/>
          <w:color w:val="auto"/>
        </w:rPr>
        <w:t>TO:</w:t>
      </w:r>
      <w:r>
        <w:rPr>
          <w:sz w:val="20"/>
          <w:szCs w:val="20"/>
          <w:color w:val="auto"/>
        </w:rPr>
        <w:tab/>
      </w:r>
      <w:r>
        <w:rPr>
          <w:rFonts w:ascii="Arial" w:cs="Arial" w:eastAsia="Arial" w:hAnsi="Arial"/>
          <w:sz w:val="20"/>
          <w:szCs w:val="20"/>
          <w:color w:val="auto"/>
        </w:rPr>
        <w:t>SILICON VALLEY BANK</w:t>
      </w:r>
      <w:r>
        <w:rPr>
          <w:sz w:val="20"/>
          <w:szCs w:val="20"/>
          <w:color w:val="auto"/>
        </w:rPr>
        <w:tab/>
      </w:r>
      <w:r>
        <w:rPr>
          <w:rFonts w:ascii="Arial" w:cs="Arial" w:eastAsia="Arial" w:hAnsi="Arial"/>
          <w:sz w:val="16"/>
          <w:szCs w:val="16"/>
          <w:color w:val="auto"/>
        </w:rPr>
        <w:t>Date:</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FROM: EVERSPIN TECHNOLOGIES,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3820795</wp:posOffset>
            </wp:positionH>
            <wp:positionV relativeFrom="paragraph">
              <wp:posOffset>-144780</wp:posOffset>
            </wp:positionV>
            <wp:extent cx="247713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7">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pacing w:after="0" w:line="174" w:lineRule="exact"/>
        <w:rPr>
          <w:sz w:val="20"/>
          <w:szCs w:val="20"/>
          <w:color w:val="auto"/>
        </w:rPr>
      </w:pPr>
    </w:p>
    <w:p>
      <w:pPr>
        <w:jc w:val="both"/>
        <w:ind w:left="100" w:firstLine="1296"/>
        <w:spacing w:after="0" w:line="247" w:lineRule="auto"/>
        <w:rPr>
          <w:sz w:val="20"/>
          <w:szCs w:val="20"/>
          <w:color w:val="auto"/>
        </w:rPr>
      </w:pPr>
      <w:r>
        <w:rPr>
          <w:rFonts w:ascii="Arial" w:cs="Arial" w:eastAsia="Arial" w:hAnsi="Arial"/>
          <w:sz w:val="20"/>
          <w:szCs w:val="20"/>
          <w:color w:val="auto"/>
        </w:rPr>
        <w:t>The undersigned authorized officer of EVERSPIN TECHNOLOGIES, INC. (“</w:t>
      </w:r>
      <w:r>
        <w:rPr>
          <w:rFonts w:ascii="Arial" w:cs="Arial" w:eastAsia="Arial" w:hAnsi="Arial"/>
          <w:sz w:val="20"/>
          <w:szCs w:val="20"/>
          <w:b w:val="1"/>
          <w:bCs w:val="1"/>
          <w:color w:val="auto"/>
        </w:rPr>
        <w:t>Borrower</w:t>
      </w:r>
      <w:r>
        <w:rPr>
          <w:rFonts w:ascii="Arial" w:cs="Arial" w:eastAsia="Arial" w:hAnsi="Arial"/>
          <w:sz w:val="20"/>
          <w:szCs w:val="20"/>
          <w:color w:val="auto"/>
        </w:rPr>
        <w:t>”) certifies that under the terms and conditions of the Amended and Restated Loan and Security Agreement between Borrower and Bank (the “</w:t>
      </w:r>
      <w:r>
        <w:rPr>
          <w:rFonts w:ascii="Arial" w:cs="Arial" w:eastAsia="Arial" w:hAnsi="Arial"/>
          <w:sz w:val="20"/>
          <w:szCs w:val="20"/>
          <w:b w:val="1"/>
          <w:bCs w:val="1"/>
          <w:color w:val="auto"/>
        </w:rPr>
        <w:t>Agreement</w:t>
      </w:r>
      <w:r>
        <w:rPr>
          <w:rFonts w:ascii="Arial" w:cs="Arial" w:eastAsia="Arial" w:hAnsi="Arial"/>
          <w:sz w:val="20"/>
          <w:szCs w:val="20"/>
          <w:color w:val="auto"/>
        </w:rPr>
        <w:t>”), (1) Borrower is in complete compliance for the period ending</w:t>
      </w:r>
    </w:p>
    <w:p>
      <w:pPr>
        <w:jc w:val="both"/>
        <w:ind w:left="100" w:firstLine="1530"/>
        <w:spacing w:after="0" w:line="299" w:lineRule="auto"/>
        <w:rPr>
          <w:sz w:val="20"/>
          <w:szCs w:val="20"/>
          <w:color w:val="auto"/>
        </w:rPr>
      </w:pPr>
      <w:r>
        <w:rPr>
          <w:rFonts w:ascii="Arial" w:cs="Arial" w:eastAsia="Arial" w:hAnsi="Arial"/>
          <w:sz w:val="16"/>
          <w:szCs w:val="16"/>
          <w:color w:val="auto"/>
        </w:rPr>
        <w:t xml:space="preserve">with all required covenants except as noted below, (2) there are no Events of Default, (3) all representations and warranties in the Agreement are true and correct in all material respects on this date except as noted below;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such materiality qualifier shall not be applicable to any representations and warranties that already are qualified or modified by materiality in the text thereof;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those representations and warranties expressly referring to a specific date shall be true, accurate and complete in all material respects as of such date,</w:t>
      </w:r>
    </w:p>
    <w:p>
      <w:pPr>
        <w:spacing w:after="0" w:line="1" w:lineRule="exact"/>
        <w:rPr>
          <w:sz w:val="20"/>
          <w:szCs w:val="20"/>
          <w:color w:val="auto"/>
        </w:rPr>
      </w:pPr>
    </w:p>
    <w:p>
      <w:pPr>
        <w:jc w:val="both"/>
        <w:ind w:left="100" w:hanging="2"/>
        <w:spacing w:after="0" w:line="269" w:lineRule="auto"/>
        <w:tabs>
          <w:tab w:leader="none" w:pos="399" w:val="left"/>
        </w:tabs>
        <w:numPr>
          <w:ilvl w:val="0"/>
          <w:numId w:val="51"/>
        </w:numPr>
        <w:rPr>
          <w:rFonts w:ascii="Arial" w:cs="Arial" w:eastAsia="Arial" w:hAnsi="Arial"/>
          <w:sz w:val="18"/>
          <w:szCs w:val="18"/>
          <w:color w:val="auto"/>
        </w:rPr>
      </w:pPr>
      <w:r>
        <w:rPr>
          <w:rFonts w:ascii="Arial" w:cs="Arial" w:eastAsia="Arial" w:hAnsi="Arial"/>
          <w:sz w:val="18"/>
          <w:szCs w:val="18"/>
          <w:color w:val="auto"/>
        </w:rPr>
        <w:t>Borrower, and each of its Subsidiaries, has timely filed all required tax returns and reports, and Borrower has timely paid all foreign, federal, state and local taxes, assessments, deposits and contributions owed by Borrower except as otherwise permitted pursuant to the terms of Section 5.8 of the Agreement, and (5) no Liens have been levied or claims made against Borrower or any of its Subsidiaries, if any, relating to unpaid employee payroll or benefits of which Borrower has not previously provided written notification to Bank. Attached are the required documents supporting the certification. The undersigned certifies that these are prepared in accordance with GAAP consistently applied from one period to the next except as explained in an accompanying letter or footnotes. The undersigned acknowledges that no borrowings may be requested at any time or date of determination that Borrower is not in compliance with any of the terms of the Agreement, and that compliance is determined not just at the date this certificate is delivered. Capitalized terms used but not otherwise defined herein shall have the meanings given them in the Agreement.</w:t>
      </w:r>
    </w:p>
    <w:p>
      <w:pPr>
        <w:spacing w:after="0" w:line="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Please indicate compliance status by circling Yes/No under “Complies” column.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160020</wp:posOffset>
            </wp:positionV>
            <wp:extent cx="6292215" cy="24771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8">
                      <a:extLst>
                        <a:ext uri="{28A0092B-C50C-407E-A947-70E740481C1C}"/>
                      </a:extLst>
                    </a:blip>
                    <a:srcRect/>
                    <a:stretch>
                      <a:fillRect/>
                    </a:stretch>
                  </pic:blipFill>
                  <pic:spPr bwMode="auto">
                    <a:xfrm>
                      <a:off x="0" y="0"/>
                      <a:ext cx="6292215" cy="2477135"/>
                    </a:xfrm>
                    <a:prstGeom prst="rect">
                      <a:avLst/>
                    </a:prstGeom>
                    <a:noFill/>
                  </pic:spPr>
                </pic:pic>
              </a:graphicData>
            </a:graphic>
          </wp:anchor>
        </w:drawing>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60" w:type="dxa"/>
            <w:vAlign w:val="bottom"/>
            <w:tcBorders>
              <w:top w:val="single" w:sz="8" w:color="auto"/>
              <w:right w:val="single" w:sz="8" w:color="auto"/>
            </w:tcBorders>
            <w:gridSpan w:val="3"/>
          </w:tcPr>
          <w:p>
            <w:pPr>
              <w:ind w:left="1340"/>
              <w:spacing w:after="0" w:line="203" w:lineRule="exact"/>
              <w:rPr>
                <w:sz w:val="20"/>
                <w:szCs w:val="20"/>
                <w:color w:val="auto"/>
              </w:rPr>
            </w:pPr>
            <w:r>
              <w:rPr>
                <w:rFonts w:ascii="Arial" w:cs="Arial" w:eastAsia="Arial" w:hAnsi="Arial"/>
                <w:sz w:val="20"/>
                <w:szCs w:val="20"/>
                <w:b w:val="1"/>
                <w:bCs w:val="1"/>
                <w:color w:val="auto"/>
              </w:rPr>
              <w:t>Reporting Covenants</w:t>
            </w:r>
          </w:p>
        </w:tc>
        <w:tc>
          <w:tcPr>
            <w:tcW w:w="1240" w:type="dxa"/>
            <w:vAlign w:val="bottom"/>
            <w:tcBorders>
              <w:top w:val="single" w:sz="8" w:color="auto"/>
            </w:tcBorders>
          </w:tcPr>
          <w:p>
            <w:pPr>
              <w:spacing w:after="0"/>
              <w:rPr>
                <w:sz w:val="17"/>
                <w:szCs w:val="17"/>
                <w:color w:val="auto"/>
              </w:rPr>
            </w:pPr>
          </w:p>
        </w:tc>
        <w:tc>
          <w:tcPr>
            <w:tcW w:w="2060" w:type="dxa"/>
            <w:vAlign w:val="bottom"/>
            <w:tcBorders>
              <w:top w:val="single" w:sz="8" w:color="auto"/>
              <w:right w:val="single" w:sz="8" w:color="auto"/>
            </w:tcBorders>
            <w:gridSpan w:val="2"/>
          </w:tcPr>
          <w:p>
            <w:pPr>
              <w:spacing w:after="0" w:line="203" w:lineRule="exact"/>
              <w:rPr>
                <w:sz w:val="20"/>
                <w:szCs w:val="20"/>
                <w:color w:val="auto"/>
              </w:rPr>
            </w:pPr>
            <w:r>
              <w:rPr>
                <w:rFonts w:ascii="Arial" w:cs="Arial" w:eastAsia="Arial" w:hAnsi="Arial"/>
                <w:sz w:val="20"/>
                <w:szCs w:val="20"/>
                <w:b w:val="1"/>
                <w:bCs w:val="1"/>
                <w:color w:val="auto"/>
              </w:rPr>
              <w:t>Required</w:t>
            </w:r>
          </w:p>
        </w:tc>
        <w:tc>
          <w:tcPr>
            <w:tcW w:w="1760" w:type="dxa"/>
            <w:vAlign w:val="bottom"/>
            <w:tcBorders>
              <w:top w:val="single" w:sz="8" w:color="auto"/>
            </w:tcBorders>
            <w:gridSpan w:val="3"/>
          </w:tcPr>
          <w:p>
            <w:pPr>
              <w:ind w:left="420"/>
              <w:spacing w:after="0" w:line="203" w:lineRule="exact"/>
              <w:rPr>
                <w:sz w:val="20"/>
                <w:szCs w:val="20"/>
                <w:color w:val="auto"/>
              </w:rPr>
            </w:pPr>
            <w:r>
              <w:rPr>
                <w:rFonts w:ascii="Arial" w:cs="Arial" w:eastAsia="Arial" w:hAnsi="Arial"/>
                <w:sz w:val="20"/>
                <w:szCs w:val="20"/>
                <w:b w:val="1"/>
                <w:bCs w:val="1"/>
                <w:color w:val="auto"/>
              </w:rPr>
              <w:t>Complies</w:t>
            </w:r>
          </w:p>
        </w:tc>
      </w:tr>
      <w:tr>
        <w:trPr>
          <w:trHeight w:val="21"/>
        </w:trPr>
        <w:tc>
          <w:tcPr>
            <w:tcW w:w="1340" w:type="dxa"/>
            <w:vAlign w:val="bottom"/>
            <w:tcBorders>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142"/>
        </w:trPr>
        <w:tc>
          <w:tcPr>
            <w:tcW w:w="1340" w:type="dxa"/>
            <w:vAlign w:val="bottom"/>
            <w:tcBorders>
              <w:bottom w:val="single" w:sz="8" w:color="auto"/>
            </w:tcBorders>
          </w:tcPr>
          <w:p>
            <w:pPr>
              <w:spacing w:after="0"/>
              <w:rPr>
                <w:sz w:val="12"/>
                <w:szCs w:val="12"/>
                <w:color w:val="auto"/>
              </w:rPr>
            </w:pPr>
          </w:p>
        </w:tc>
        <w:tc>
          <w:tcPr>
            <w:tcW w:w="1800" w:type="dxa"/>
            <w:vAlign w:val="bottom"/>
            <w:tcBorders>
              <w:bottom w:val="single" w:sz="8" w:color="auto"/>
            </w:tcBorders>
          </w:tcPr>
          <w:p>
            <w:pPr>
              <w:spacing w:after="0"/>
              <w:rPr>
                <w:sz w:val="12"/>
                <w:szCs w:val="12"/>
                <w:color w:val="auto"/>
              </w:rPr>
            </w:pPr>
          </w:p>
        </w:tc>
        <w:tc>
          <w:tcPr>
            <w:tcW w:w="1720" w:type="dxa"/>
            <w:vAlign w:val="bottom"/>
            <w:tcBorders>
              <w:bottom w:val="single" w:sz="8" w:color="auto"/>
              <w:right w:val="single" w:sz="8" w:color="auto"/>
            </w:tcBorders>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260" w:type="dxa"/>
            <w:vAlign w:val="bottom"/>
            <w:tcBorders>
              <w:bottom w:val="single" w:sz="8" w:color="auto"/>
              <w:right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r>
      <w:tr>
        <w:trPr>
          <w:trHeight w:val="206"/>
        </w:trPr>
        <w:tc>
          <w:tcPr>
            <w:tcW w:w="4860" w:type="dxa"/>
            <w:vAlign w:val="bottom"/>
            <w:tcBorders>
              <w:right w:val="single" w:sz="8" w:color="auto"/>
            </w:tcBorders>
            <w:gridSpan w:val="3"/>
          </w:tcPr>
          <w:p>
            <w:pPr>
              <w:ind w:left="120"/>
              <w:spacing w:after="0" w:line="207" w:lineRule="exact"/>
              <w:rPr>
                <w:sz w:val="20"/>
                <w:szCs w:val="20"/>
                <w:color w:val="auto"/>
              </w:rPr>
            </w:pPr>
            <w:r>
              <w:rPr>
                <w:rFonts w:ascii="Arial" w:cs="Arial" w:eastAsia="Arial" w:hAnsi="Arial"/>
                <w:sz w:val="20"/>
                <w:szCs w:val="20"/>
                <w:color w:val="auto"/>
              </w:rPr>
              <w:t>Monthly financial statements with</w:t>
            </w:r>
          </w:p>
        </w:tc>
        <w:tc>
          <w:tcPr>
            <w:tcW w:w="3300" w:type="dxa"/>
            <w:vAlign w:val="bottom"/>
            <w:tcBorders>
              <w:right w:val="single" w:sz="8" w:color="auto"/>
            </w:tcBorders>
            <w:gridSpan w:val="3"/>
          </w:tcPr>
          <w:p>
            <w:pPr>
              <w:ind w:left="100"/>
              <w:spacing w:after="0" w:line="207" w:lineRule="exact"/>
              <w:rPr>
                <w:sz w:val="20"/>
                <w:szCs w:val="20"/>
                <w:color w:val="auto"/>
              </w:rPr>
            </w:pPr>
            <w:r>
              <w:rPr>
                <w:rFonts w:ascii="Arial" w:cs="Arial" w:eastAsia="Arial" w:hAnsi="Arial"/>
                <w:sz w:val="20"/>
                <w:szCs w:val="20"/>
                <w:color w:val="auto"/>
              </w:rPr>
              <w:t>Monthly within 30 days</w:t>
            </w:r>
          </w:p>
        </w:tc>
        <w:tc>
          <w:tcPr>
            <w:tcW w:w="420" w:type="dxa"/>
            <w:vAlign w:val="bottom"/>
          </w:tcPr>
          <w:p>
            <w:pPr>
              <w:spacing w:after="0"/>
              <w:rPr>
                <w:sz w:val="17"/>
                <w:szCs w:val="17"/>
                <w:color w:val="auto"/>
              </w:rPr>
            </w:pPr>
          </w:p>
        </w:tc>
        <w:tc>
          <w:tcPr>
            <w:tcW w:w="1340" w:type="dxa"/>
            <w:vAlign w:val="bottom"/>
            <w:gridSpan w:val="2"/>
          </w:tcPr>
          <w:p>
            <w:pPr>
              <w:ind w:left="260"/>
              <w:spacing w:after="0" w:line="207" w:lineRule="exact"/>
              <w:rPr>
                <w:sz w:val="20"/>
                <w:szCs w:val="20"/>
                <w:color w:val="auto"/>
              </w:rPr>
            </w:pPr>
            <w:r>
              <w:rPr>
                <w:rFonts w:ascii="Arial" w:cs="Arial" w:eastAsia="Arial" w:hAnsi="Arial"/>
                <w:sz w:val="20"/>
                <w:szCs w:val="20"/>
                <w:color w:val="auto"/>
              </w:rPr>
              <w:t>Yes No</w:t>
            </w:r>
          </w:p>
        </w:tc>
      </w:tr>
      <w:tr>
        <w:trPr>
          <w:trHeight w:val="246"/>
        </w:trPr>
        <w:tc>
          <w:tcPr>
            <w:tcW w:w="4860" w:type="dxa"/>
            <w:vAlign w:val="bottom"/>
            <w:tcBorders>
              <w:bottom w:val="single" w:sz="8" w:color="auto"/>
              <w:right w:val="single" w:sz="8" w:color="auto"/>
            </w:tcBorders>
            <w:gridSpan w:val="3"/>
          </w:tcPr>
          <w:p>
            <w:pPr>
              <w:ind w:left="120"/>
              <w:spacing w:after="0"/>
              <w:rPr>
                <w:sz w:val="20"/>
                <w:szCs w:val="20"/>
                <w:color w:val="auto"/>
              </w:rPr>
            </w:pPr>
            <w:r>
              <w:rPr>
                <w:rFonts w:ascii="Arial" w:cs="Arial" w:eastAsia="Arial" w:hAnsi="Arial"/>
                <w:sz w:val="20"/>
                <w:szCs w:val="20"/>
                <w:color w:val="auto"/>
              </w:rPr>
              <w:t>Compliance Certificate</w:t>
            </w:r>
          </w:p>
        </w:tc>
        <w:tc>
          <w:tcPr>
            <w:tcW w:w="12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260" w:type="dxa"/>
            <w:vAlign w:val="bottom"/>
            <w:tcBorders>
              <w:bottom w:val="single" w:sz="8" w:color="auto"/>
              <w:right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r>
      <w:tr>
        <w:trPr>
          <w:trHeight w:val="223"/>
        </w:trPr>
        <w:tc>
          <w:tcPr>
            <w:tcW w:w="4860" w:type="dxa"/>
            <w:vAlign w:val="bottom"/>
            <w:tcBorders>
              <w:bottom w:val="single" w:sz="8" w:color="auto"/>
              <w:right w:val="single" w:sz="8" w:color="auto"/>
            </w:tcBorders>
            <w:gridSpan w:val="3"/>
          </w:tcPr>
          <w:p>
            <w:pPr>
              <w:ind w:left="120"/>
              <w:spacing w:after="0" w:line="223" w:lineRule="exact"/>
              <w:rPr>
                <w:sz w:val="20"/>
                <w:szCs w:val="20"/>
                <w:color w:val="auto"/>
              </w:rPr>
            </w:pPr>
            <w:r>
              <w:rPr>
                <w:rFonts w:ascii="Arial" w:cs="Arial" w:eastAsia="Arial" w:hAnsi="Arial"/>
                <w:sz w:val="20"/>
                <w:szCs w:val="20"/>
                <w:color w:val="auto"/>
              </w:rPr>
              <w:t>Annual financial statements (CPA Audited)</w:t>
            </w:r>
          </w:p>
        </w:tc>
        <w:tc>
          <w:tcPr>
            <w:tcW w:w="3300" w:type="dxa"/>
            <w:vAlign w:val="bottom"/>
            <w:tcBorders>
              <w:bottom w:val="single" w:sz="8" w:color="auto"/>
              <w:right w:val="single" w:sz="8" w:color="auto"/>
            </w:tcBorders>
            <w:gridSpan w:val="3"/>
          </w:tcPr>
          <w:p>
            <w:pPr>
              <w:ind w:left="100"/>
              <w:spacing w:after="0" w:line="223" w:lineRule="exact"/>
              <w:rPr>
                <w:sz w:val="20"/>
                <w:szCs w:val="20"/>
                <w:color w:val="auto"/>
              </w:rPr>
            </w:pPr>
            <w:r>
              <w:rPr>
                <w:rFonts w:ascii="Arial" w:cs="Arial" w:eastAsia="Arial" w:hAnsi="Arial"/>
                <w:sz w:val="20"/>
                <w:szCs w:val="20"/>
                <w:color w:val="auto"/>
              </w:rPr>
              <w:t>FYE within 150 days</w:t>
            </w: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ind w:left="260"/>
              <w:spacing w:after="0" w:line="223" w:lineRule="exact"/>
              <w:rPr>
                <w:sz w:val="20"/>
                <w:szCs w:val="20"/>
                <w:color w:val="auto"/>
              </w:rPr>
            </w:pPr>
            <w:r>
              <w:rPr>
                <w:rFonts w:ascii="Arial" w:cs="Arial" w:eastAsia="Arial" w:hAnsi="Arial"/>
                <w:sz w:val="20"/>
                <w:szCs w:val="20"/>
                <w:color w:val="auto"/>
              </w:rPr>
              <w:t>Yes No</w:t>
            </w:r>
          </w:p>
        </w:tc>
      </w:tr>
      <w:tr>
        <w:trPr>
          <w:trHeight w:val="206"/>
        </w:trPr>
        <w:tc>
          <w:tcPr>
            <w:tcW w:w="4860" w:type="dxa"/>
            <w:vAlign w:val="bottom"/>
            <w:tcBorders>
              <w:right w:val="single" w:sz="8" w:color="auto"/>
            </w:tcBorders>
            <w:gridSpan w:val="3"/>
          </w:tcPr>
          <w:p>
            <w:pPr>
              <w:ind w:left="120"/>
              <w:spacing w:after="0" w:line="207" w:lineRule="exact"/>
              <w:rPr>
                <w:sz w:val="20"/>
                <w:szCs w:val="20"/>
                <w:color w:val="auto"/>
              </w:rPr>
            </w:pPr>
            <w:r>
              <w:rPr>
                <w:rFonts w:ascii="Arial" w:cs="Arial" w:eastAsia="Arial" w:hAnsi="Arial"/>
                <w:sz w:val="20"/>
                <w:szCs w:val="20"/>
                <w:color w:val="auto"/>
              </w:rPr>
              <w:t>10-Q, 10-K and 8-K</w:t>
            </w:r>
          </w:p>
        </w:tc>
        <w:tc>
          <w:tcPr>
            <w:tcW w:w="3300" w:type="dxa"/>
            <w:vAlign w:val="bottom"/>
            <w:tcBorders>
              <w:right w:val="single" w:sz="8" w:color="auto"/>
            </w:tcBorders>
            <w:gridSpan w:val="3"/>
          </w:tcPr>
          <w:p>
            <w:pPr>
              <w:ind w:left="100"/>
              <w:spacing w:after="0" w:line="207" w:lineRule="exact"/>
              <w:rPr>
                <w:sz w:val="20"/>
                <w:szCs w:val="20"/>
                <w:color w:val="auto"/>
              </w:rPr>
            </w:pPr>
            <w:r>
              <w:rPr>
                <w:rFonts w:ascii="Arial" w:cs="Arial" w:eastAsia="Arial" w:hAnsi="Arial"/>
                <w:sz w:val="20"/>
                <w:szCs w:val="20"/>
                <w:color w:val="auto"/>
              </w:rPr>
              <w:t>Within 5 days after filing with</w:t>
            </w:r>
          </w:p>
        </w:tc>
        <w:tc>
          <w:tcPr>
            <w:tcW w:w="420" w:type="dxa"/>
            <w:vAlign w:val="bottom"/>
          </w:tcPr>
          <w:p>
            <w:pPr>
              <w:spacing w:after="0"/>
              <w:rPr>
                <w:sz w:val="17"/>
                <w:szCs w:val="17"/>
                <w:color w:val="auto"/>
              </w:rPr>
            </w:pPr>
          </w:p>
        </w:tc>
        <w:tc>
          <w:tcPr>
            <w:tcW w:w="1340" w:type="dxa"/>
            <w:vAlign w:val="bottom"/>
            <w:gridSpan w:val="2"/>
          </w:tcPr>
          <w:p>
            <w:pPr>
              <w:ind w:left="260"/>
              <w:spacing w:after="0" w:line="207" w:lineRule="exact"/>
              <w:rPr>
                <w:sz w:val="20"/>
                <w:szCs w:val="20"/>
                <w:color w:val="auto"/>
              </w:rPr>
            </w:pPr>
            <w:r>
              <w:rPr>
                <w:rFonts w:ascii="Arial" w:cs="Arial" w:eastAsia="Arial" w:hAnsi="Arial"/>
                <w:sz w:val="20"/>
                <w:szCs w:val="20"/>
                <w:color w:val="auto"/>
              </w:rPr>
              <w:t>Yes No</w:t>
            </w:r>
          </w:p>
        </w:tc>
      </w:tr>
      <w:tr>
        <w:trPr>
          <w:trHeight w:val="246"/>
        </w:trPr>
        <w:tc>
          <w:tcPr>
            <w:tcW w:w="134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spacing w:after="0"/>
              <w:rPr>
                <w:sz w:val="21"/>
                <w:szCs w:val="21"/>
                <w:color w:val="auto"/>
              </w:rPr>
            </w:pPr>
          </w:p>
        </w:tc>
        <w:tc>
          <w:tcPr>
            <w:tcW w:w="1720" w:type="dxa"/>
            <w:vAlign w:val="bottom"/>
            <w:tcBorders>
              <w:bottom w:val="single" w:sz="8" w:color="auto"/>
              <w:right w:val="single" w:sz="8" w:color="auto"/>
            </w:tcBorders>
          </w:tcPr>
          <w:p>
            <w:pPr>
              <w:spacing w:after="0"/>
              <w:rPr>
                <w:sz w:val="21"/>
                <w:szCs w:val="21"/>
                <w:color w:val="auto"/>
              </w:rPr>
            </w:pPr>
          </w:p>
        </w:tc>
        <w:tc>
          <w:tcPr>
            <w:tcW w:w="330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20"/>
                <w:szCs w:val="20"/>
                <w:color w:val="auto"/>
              </w:rPr>
              <w:t>SEC</w:t>
            </w:r>
          </w:p>
        </w:tc>
        <w:tc>
          <w:tcPr>
            <w:tcW w:w="4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r>
      <w:tr>
        <w:trPr>
          <w:trHeight w:val="223"/>
        </w:trPr>
        <w:tc>
          <w:tcPr>
            <w:tcW w:w="4860" w:type="dxa"/>
            <w:vAlign w:val="bottom"/>
            <w:tcBorders>
              <w:bottom w:val="single" w:sz="8" w:color="auto"/>
              <w:right w:val="single" w:sz="8" w:color="auto"/>
            </w:tcBorders>
            <w:gridSpan w:val="3"/>
          </w:tcPr>
          <w:p>
            <w:pPr>
              <w:ind w:left="120"/>
              <w:spacing w:after="0" w:line="223" w:lineRule="exact"/>
              <w:rPr>
                <w:sz w:val="20"/>
                <w:szCs w:val="20"/>
                <w:color w:val="auto"/>
              </w:rPr>
            </w:pPr>
            <w:r>
              <w:rPr>
                <w:rFonts w:ascii="Arial" w:cs="Arial" w:eastAsia="Arial" w:hAnsi="Arial"/>
                <w:sz w:val="20"/>
                <w:szCs w:val="20"/>
                <w:color w:val="auto"/>
              </w:rPr>
              <w:t>A/R &amp; A/P Agings</w:t>
            </w:r>
          </w:p>
        </w:tc>
        <w:tc>
          <w:tcPr>
            <w:tcW w:w="3300" w:type="dxa"/>
            <w:vAlign w:val="bottom"/>
            <w:tcBorders>
              <w:bottom w:val="single" w:sz="8" w:color="auto"/>
              <w:right w:val="single" w:sz="8" w:color="auto"/>
            </w:tcBorders>
            <w:gridSpan w:val="3"/>
          </w:tcPr>
          <w:p>
            <w:pPr>
              <w:ind w:left="100"/>
              <w:spacing w:after="0" w:line="223" w:lineRule="exact"/>
              <w:rPr>
                <w:sz w:val="20"/>
                <w:szCs w:val="20"/>
                <w:color w:val="auto"/>
              </w:rPr>
            </w:pPr>
            <w:r>
              <w:rPr>
                <w:rFonts w:ascii="Arial" w:cs="Arial" w:eastAsia="Arial" w:hAnsi="Arial"/>
                <w:sz w:val="20"/>
                <w:szCs w:val="20"/>
                <w:color w:val="auto"/>
                <w:w w:val="97"/>
              </w:rPr>
              <w:t>monthly within 30 days of month end</w:t>
            </w: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ind w:left="260"/>
              <w:spacing w:after="0" w:line="223" w:lineRule="exact"/>
              <w:rPr>
                <w:sz w:val="20"/>
                <w:szCs w:val="20"/>
                <w:color w:val="auto"/>
              </w:rPr>
            </w:pPr>
            <w:r>
              <w:rPr>
                <w:rFonts w:ascii="Arial" w:cs="Arial" w:eastAsia="Arial" w:hAnsi="Arial"/>
                <w:sz w:val="20"/>
                <w:szCs w:val="20"/>
                <w:color w:val="auto"/>
              </w:rPr>
              <w:t>Yes No</w:t>
            </w:r>
          </w:p>
        </w:tc>
      </w:tr>
      <w:tr>
        <w:trPr>
          <w:trHeight w:val="223"/>
        </w:trPr>
        <w:tc>
          <w:tcPr>
            <w:tcW w:w="4860" w:type="dxa"/>
            <w:vAlign w:val="bottom"/>
            <w:tcBorders>
              <w:bottom w:val="single" w:sz="8" w:color="auto"/>
              <w:right w:val="single" w:sz="8" w:color="auto"/>
            </w:tcBorders>
            <w:gridSpan w:val="3"/>
          </w:tcPr>
          <w:p>
            <w:pPr>
              <w:ind w:left="120"/>
              <w:spacing w:after="0" w:line="223" w:lineRule="exact"/>
              <w:rPr>
                <w:sz w:val="20"/>
                <w:szCs w:val="20"/>
                <w:color w:val="auto"/>
              </w:rPr>
            </w:pPr>
            <w:r>
              <w:rPr>
                <w:rFonts w:ascii="Arial" w:cs="Arial" w:eastAsia="Arial" w:hAnsi="Arial"/>
                <w:sz w:val="20"/>
                <w:szCs w:val="20"/>
                <w:color w:val="auto"/>
              </w:rPr>
              <w:t>Deferred Revenue Report</w:t>
            </w:r>
          </w:p>
        </w:tc>
        <w:tc>
          <w:tcPr>
            <w:tcW w:w="3300" w:type="dxa"/>
            <w:vAlign w:val="bottom"/>
            <w:tcBorders>
              <w:bottom w:val="single" w:sz="8" w:color="auto"/>
              <w:right w:val="single" w:sz="8" w:color="auto"/>
            </w:tcBorders>
            <w:gridSpan w:val="3"/>
          </w:tcPr>
          <w:p>
            <w:pPr>
              <w:ind w:left="100"/>
              <w:spacing w:after="0" w:line="223" w:lineRule="exact"/>
              <w:rPr>
                <w:sz w:val="20"/>
                <w:szCs w:val="20"/>
                <w:color w:val="auto"/>
              </w:rPr>
            </w:pPr>
            <w:r>
              <w:rPr>
                <w:rFonts w:ascii="Arial" w:cs="Arial" w:eastAsia="Arial" w:hAnsi="Arial"/>
                <w:sz w:val="20"/>
                <w:szCs w:val="20"/>
                <w:color w:val="auto"/>
              </w:rPr>
              <w:t>Monthly within 30 days</w:t>
            </w: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ind w:left="260"/>
              <w:spacing w:after="0" w:line="223" w:lineRule="exact"/>
              <w:rPr>
                <w:sz w:val="20"/>
                <w:szCs w:val="20"/>
                <w:color w:val="auto"/>
              </w:rPr>
            </w:pPr>
            <w:r>
              <w:rPr>
                <w:rFonts w:ascii="Arial" w:cs="Arial" w:eastAsia="Arial" w:hAnsi="Arial"/>
                <w:sz w:val="20"/>
                <w:szCs w:val="20"/>
                <w:color w:val="auto"/>
              </w:rPr>
              <w:t>Yes No</w:t>
            </w:r>
          </w:p>
        </w:tc>
      </w:tr>
      <w:tr>
        <w:trPr>
          <w:trHeight w:val="206"/>
        </w:trPr>
        <w:tc>
          <w:tcPr>
            <w:tcW w:w="4860" w:type="dxa"/>
            <w:vAlign w:val="bottom"/>
            <w:tcBorders>
              <w:right w:val="single" w:sz="8" w:color="auto"/>
            </w:tcBorders>
            <w:gridSpan w:val="3"/>
          </w:tcPr>
          <w:p>
            <w:pPr>
              <w:ind w:left="120"/>
              <w:spacing w:after="0" w:line="207" w:lineRule="exact"/>
              <w:rPr>
                <w:sz w:val="20"/>
                <w:szCs w:val="20"/>
                <w:color w:val="auto"/>
              </w:rPr>
            </w:pPr>
            <w:r>
              <w:rPr>
                <w:rFonts w:ascii="Arial" w:cs="Arial" w:eastAsia="Arial" w:hAnsi="Arial"/>
                <w:sz w:val="20"/>
                <w:szCs w:val="20"/>
                <w:color w:val="auto"/>
              </w:rPr>
              <w:t>Borrowing Base Reports</w:t>
            </w:r>
          </w:p>
        </w:tc>
        <w:tc>
          <w:tcPr>
            <w:tcW w:w="3300" w:type="dxa"/>
            <w:vAlign w:val="bottom"/>
            <w:tcBorders>
              <w:right w:val="single" w:sz="8" w:color="auto"/>
            </w:tcBorders>
            <w:gridSpan w:val="3"/>
          </w:tcPr>
          <w:p>
            <w:pPr>
              <w:ind w:left="100"/>
              <w:spacing w:after="0" w:line="207" w:lineRule="exact"/>
              <w:rPr>
                <w:sz w:val="20"/>
                <w:szCs w:val="20"/>
                <w:color w:val="auto"/>
              </w:rPr>
            </w:pPr>
            <w:r>
              <w:rPr>
                <w:rFonts w:ascii="Arial" w:cs="Arial" w:eastAsia="Arial" w:hAnsi="Arial"/>
                <w:sz w:val="20"/>
                <w:szCs w:val="20"/>
                <w:color w:val="auto"/>
              </w:rPr>
              <w:t>Weekly on Friday of each</w:t>
            </w:r>
          </w:p>
        </w:tc>
        <w:tc>
          <w:tcPr>
            <w:tcW w:w="420" w:type="dxa"/>
            <w:vAlign w:val="bottom"/>
          </w:tcPr>
          <w:p>
            <w:pPr>
              <w:spacing w:after="0"/>
              <w:rPr>
                <w:sz w:val="17"/>
                <w:szCs w:val="17"/>
                <w:color w:val="auto"/>
              </w:rPr>
            </w:pPr>
          </w:p>
        </w:tc>
        <w:tc>
          <w:tcPr>
            <w:tcW w:w="1340" w:type="dxa"/>
            <w:vAlign w:val="bottom"/>
            <w:gridSpan w:val="2"/>
          </w:tcPr>
          <w:p>
            <w:pPr>
              <w:ind w:left="260"/>
              <w:spacing w:after="0" w:line="207" w:lineRule="exact"/>
              <w:rPr>
                <w:sz w:val="20"/>
                <w:szCs w:val="20"/>
                <w:color w:val="auto"/>
              </w:rPr>
            </w:pPr>
            <w:r>
              <w:rPr>
                <w:rFonts w:ascii="Arial" w:cs="Arial" w:eastAsia="Arial" w:hAnsi="Arial"/>
                <w:sz w:val="20"/>
                <w:szCs w:val="20"/>
                <w:color w:val="auto"/>
              </w:rPr>
              <w:t>Yes No</w:t>
            </w:r>
          </w:p>
        </w:tc>
      </w:tr>
      <w:tr>
        <w:trPr>
          <w:trHeight w:val="230"/>
        </w:trPr>
        <w:tc>
          <w:tcPr>
            <w:tcW w:w="13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720" w:type="dxa"/>
            <w:vAlign w:val="bottom"/>
            <w:tcBorders>
              <w:right w:val="single" w:sz="8" w:color="auto"/>
            </w:tcBorders>
          </w:tcPr>
          <w:p>
            <w:pPr>
              <w:spacing w:after="0"/>
              <w:rPr>
                <w:sz w:val="19"/>
                <w:szCs w:val="19"/>
                <w:color w:val="auto"/>
              </w:rPr>
            </w:pPr>
          </w:p>
        </w:tc>
        <w:tc>
          <w:tcPr>
            <w:tcW w:w="3300" w:type="dxa"/>
            <w:vAlign w:val="bottom"/>
            <w:tcBorders>
              <w:right w:val="single" w:sz="8" w:color="auto"/>
            </w:tcBorders>
            <w:gridSpan w:val="3"/>
          </w:tcPr>
          <w:p>
            <w:pPr>
              <w:ind w:left="100"/>
              <w:spacing w:after="0"/>
              <w:rPr>
                <w:sz w:val="20"/>
                <w:szCs w:val="20"/>
                <w:color w:val="auto"/>
              </w:rPr>
            </w:pPr>
            <w:r>
              <w:rPr>
                <w:rFonts w:ascii="Arial" w:cs="Arial" w:eastAsia="Arial" w:hAnsi="Arial"/>
                <w:sz w:val="20"/>
                <w:szCs w:val="20"/>
                <w:color w:val="auto"/>
              </w:rPr>
              <w:t>week/monthly within 7 days of</w:t>
            </w: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46"/>
        </w:trPr>
        <w:tc>
          <w:tcPr>
            <w:tcW w:w="134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spacing w:after="0"/>
              <w:rPr>
                <w:sz w:val="21"/>
                <w:szCs w:val="21"/>
                <w:color w:val="auto"/>
              </w:rPr>
            </w:pPr>
          </w:p>
        </w:tc>
        <w:tc>
          <w:tcPr>
            <w:tcW w:w="1720" w:type="dxa"/>
            <w:vAlign w:val="bottom"/>
            <w:tcBorders>
              <w:bottom w:val="single" w:sz="8" w:color="auto"/>
              <w:right w:val="single" w:sz="8" w:color="auto"/>
            </w:tcBorders>
          </w:tcPr>
          <w:p>
            <w:pPr>
              <w:spacing w:after="0"/>
              <w:rPr>
                <w:sz w:val="21"/>
                <w:szCs w:val="21"/>
                <w:color w:val="auto"/>
              </w:rPr>
            </w:pPr>
          </w:p>
        </w:tc>
        <w:tc>
          <w:tcPr>
            <w:tcW w:w="330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20"/>
                <w:szCs w:val="20"/>
                <w:color w:val="auto"/>
              </w:rPr>
              <w:t>month end</w:t>
            </w:r>
          </w:p>
        </w:tc>
        <w:tc>
          <w:tcPr>
            <w:tcW w:w="4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r>
      <w:tr>
        <w:trPr>
          <w:trHeight w:val="206"/>
        </w:trPr>
        <w:tc>
          <w:tcPr>
            <w:tcW w:w="4860" w:type="dxa"/>
            <w:vAlign w:val="bottom"/>
            <w:tcBorders>
              <w:right w:val="single" w:sz="8" w:color="auto"/>
            </w:tcBorders>
            <w:gridSpan w:val="3"/>
          </w:tcPr>
          <w:p>
            <w:pPr>
              <w:ind w:left="120"/>
              <w:spacing w:after="0" w:line="207" w:lineRule="exact"/>
              <w:rPr>
                <w:sz w:val="20"/>
                <w:szCs w:val="20"/>
                <w:color w:val="auto"/>
              </w:rPr>
            </w:pPr>
            <w:r>
              <w:rPr>
                <w:rFonts w:ascii="Arial" w:cs="Arial" w:eastAsia="Arial" w:hAnsi="Arial"/>
                <w:sz w:val="20"/>
                <w:szCs w:val="20"/>
                <w:color w:val="auto"/>
              </w:rPr>
              <w:t>Board approved projections</w:t>
            </w:r>
          </w:p>
        </w:tc>
        <w:tc>
          <w:tcPr>
            <w:tcW w:w="3300" w:type="dxa"/>
            <w:vAlign w:val="bottom"/>
            <w:tcBorders>
              <w:right w:val="single" w:sz="8" w:color="auto"/>
            </w:tcBorders>
            <w:gridSpan w:val="3"/>
          </w:tcPr>
          <w:p>
            <w:pPr>
              <w:ind w:left="100"/>
              <w:spacing w:after="0" w:line="207" w:lineRule="exact"/>
              <w:rPr>
                <w:sz w:val="20"/>
                <w:szCs w:val="20"/>
                <w:color w:val="auto"/>
              </w:rPr>
            </w:pPr>
            <w:r>
              <w:rPr>
                <w:rFonts w:ascii="Arial" w:cs="Arial" w:eastAsia="Arial" w:hAnsi="Arial"/>
                <w:sz w:val="20"/>
                <w:szCs w:val="20"/>
                <w:color w:val="auto"/>
                <w:w w:val="90"/>
              </w:rPr>
              <w:t>Earlier of (i) 15 days of Board approval,</w:t>
            </w:r>
          </w:p>
        </w:tc>
        <w:tc>
          <w:tcPr>
            <w:tcW w:w="420" w:type="dxa"/>
            <w:vAlign w:val="bottom"/>
          </w:tcPr>
          <w:p>
            <w:pPr>
              <w:spacing w:after="0"/>
              <w:rPr>
                <w:sz w:val="17"/>
                <w:szCs w:val="17"/>
                <w:color w:val="auto"/>
              </w:rPr>
            </w:pPr>
          </w:p>
        </w:tc>
        <w:tc>
          <w:tcPr>
            <w:tcW w:w="1340" w:type="dxa"/>
            <w:vAlign w:val="bottom"/>
            <w:gridSpan w:val="2"/>
          </w:tcPr>
          <w:p>
            <w:pPr>
              <w:ind w:left="260"/>
              <w:spacing w:after="0" w:line="207" w:lineRule="exact"/>
              <w:rPr>
                <w:sz w:val="20"/>
                <w:szCs w:val="20"/>
                <w:color w:val="auto"/>
              </w:rPr>
            </w:pPr>
            <w:r>
              <w:rPr>
                <w:rFonts w:ascii="Arial" w:cs="Arial" w:eastAsia="Arial" w:hAnsi="Arial"/>
                <w:sz w:val="20"/>
                <w:szCs w:val="20"/>
                <w:color w:val="auto"/>
              </w:rPr>
              <w:t>Yes No</w:t>
            </w:r>
          </w:p>
        </w:tc>
      </w:tr>
      <w:tr>
        <w:trPr>
          <w:trHeight w:val="229"/>
        </w:trPr>
        <w:tc>
          <w:tcPr>
            <w:tcW w:w="13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720" w:type="dxa"/>
            <w:vAlign w:val="bottom"/>
            <w:tcBorders>
              <w:right w:val="single" w:sz="8" w:color="auto"/>
            </w:tcBorders>
          </w:tcPr>
          <w:p>
            <w:pPr>
              <w:spacing w:after="0"/>
              <w:rPr>
                <w:sz w:val="19"/>
                <w:szCs w:val="19"/>
                <w:color w:val="auto"/>
              </w:rPr>
            </w:pPr>
          </w:p>
        </w:tc>
        <w:tc>
          <w:tcPr>
            <w:tcW w:w="3300" w:type="dxa"/>
            <w:vAlign w:val="bottom"/>
            <w:tcBorders>
              <w:right w:val="single" w:sz="8" w:color="auto"/>
            </w:tcBorders>
            <w:gridSpan w:val="3"/>
          </w:tcPr>
          <w:p>
            <w:pPr>
              <w:ind w:left="100"/>
              <w:spacing w:after="0"/>
              <w:rPr>
                <w:sz w:val="20"/>
                <w:szCs w:val="20"/>
                <w:color w:val="auto"/>
              </w:rPr>
            </w:pPr>
            <w:r>
              <w:rPr>
                <w:rFonts w:ascii="Arial" w:cs="Arial" w:eastAsia="Arial" w:hAnsi="Arial"/>
                <w:sz w:val="20"/>
                <w:szCs w:val="20"/>
                <w:color w:val="auto"/>
              </w:rPr>
              <w:t>or (ii) January 31 and as</w:t>
            </w: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46"/>
        </w:trPr>
        <w:tc>
          <w:tcPr>
            <w:tcW w:w="134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spacing w:after="0"/>
              <w:rPr>
                <w:sz w:val="21"/>
                <w:szCs w:val="21"/>
                <w:color w:val="auto"/>
              </w:rPr>
            </w:pPr>
          </w:p>
        </w:tc>
        <w:tc>
          <w:tcPr>
            <w:tcW w:w="1720" w:type="dxa"/>
            <w:vAlign w:val="bottom"/>
            <w:tcBorders>
              <w:bottom w:val="single" w:sz="8" w:color="auto"/>
              <w:right w:val="single" w:sz="8" w:color="auto"/>
            </w:tcBorders>
          </w:tcPr>
          <w:p>
            <w:pPr>
              <w:spacing w:after="0"/>
              <w:rPr>
                <w:sz w:val="21"/>
                <w:szCs w:val="21"/>
                <w:color w:val="auto"/>
              </w:rPr>
            </w:pPr>
          </w:p>
        </w:tc>
        <w:tc>
          <w:tcPr>
            <w:tcW w:w="330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20"/>
                <w:szCs w:val="20"/>
                <w:color w:val="auto"/>
              </w:rPr>
              <w:t>amended/updated</w:t>
            </w:r>
          </w:p>
        </w:tc>
        <w:tc>
          <w:tcPr>
            <w:tcW w:w="4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r>
    </w:tbl>
    <w:p>
      <w:pPr>
        <w:spacing w:after="0" w:line="145" w:lineRule="exact"/>
        <w:rPr>
          <w:sz w:val="20"/>
          <w:szCs w:val="20"/>
          <w:color w:val="auto"/>
        </w:rPr>
      </w:pPr>
    </w:p>
    <w:p>
      <w:pPr>
        <w:ind w:left="120"/>
        <w:spacing w:after="0"/>
        <w:rPr>
          <w:sz w:val="20"/>
          <w:szCs w:val="20"/>
          <w:color w:val="auto"/>
        </w:rPr>
      </w:pPr>
      <w:r>
        <w:rPr>
          <w:rFonts w:ascii="Arial" w:cs="Arial" w:eastAsia="Arial" w:hAnsi="Arial"/>
          <w:sz w:val="20"/>
          <w:szCs w:val="20"/>
          <w:color w:val="auto"/>
        </w:rPr>
        <w:t>The following Intellectual Property was registered after the Effective Date (if no registrations, state “None”)</w:t>
      </w:r>
    </w:p>
    <w:p>
      <w:pPr>
        <w:sectPr>
          <w:pgSz w:w="11900" w:h="16838" w:orient="portrait"/>
          <w:cols w:equalWidth="0" w:num="1">
            <w:col w:w="9920"/>
          </w:cols>
          <w:pgMar w:left="980" w:top="118" w:right="999" w:bottom="1440" w:gutter="0" w:footer="0" w:header="0"/>
        </w:sectPr>
      </w:pPr>
    </w:p>
    <w:p>
      <w:pPr>
        <w:spacing w:after="0" w:line="250" w:lineRule="exact"/>
        <w:rPr>
          <w:sz w:val="20"/>
          <w:szCs w:val="20"/>
          <w:color w:val="auto"/>
        </w:rPr>
      </w:pPr>
    </w:p>
    <w:p>
      <w:pPr>
        <w:ind w:left="1860"/>
        <w:spacing w:after="0"/>
        <w:rPr>
          <w:sz w:val="20"/>
          <w:szCs w:val="20"/>
          <w:color w:val="auto"/>
        </w:rPr>
      </w:pPr>
      <w:r>
        <w:rPr>
          <w:rFonts w:ascii="Arial" w:cs="Arial" w:eastAsia="Arial" w:hAnsi="Arial"/>
          <w:sz w:val="16"/>
          <w:szCs w:val="16"/>
          <w:b w:val="1"/>
          <w:bCs w:val="1"/>
          <w:u w:val="single" w:color="auto"/>
          <w:color w:val="auto"/>
        </w:rPr>
        <w:t>Financial Covenant</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-3536315</wp:posOffset>
            </wp:positionH>
            <wp:positionV relativeFrom="paragraph">
              <wp:posOffset>772160</wp:posOffset>
            </wp:positionV>
            <wp:extent cx="6292215"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9">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-3536315</wp:posOffset>
            </wp:positionH>
            <wp:positionV relativeFrom="paragraph">
              <wp:posOffset>-110490</wp:posOffset>
            </wp:positionV>
            <wp:extent cx="6292215" cy="1625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0">
                      <a:extLst>
                        <a:ext uri="{28A0092B-C50C-407E-A947-70E740481C1C}"/>
                      </a:extLst>
                    </a:blip>
                    <a:srcRect/>
                    <a:stretch>
                      <a:fillRect/>
                    </a:stretch>
                  </pic:blipFill>
                  <pic:spPr bwMode="auto">
                    <a:xfrm>
                      <a:off x="0" y="0"/>
                      <a:ext cx="6292215"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Actual</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Complies</w:t>
      </w:r>
    </w:p>
    <w:p>
      <w:pPr>
        <w:sectPr>
          <w:pgSz w:w="11900" w:h="16838" w:orient="portrait"/>
          <w:cols w:equalWidth="0" w:num="4">
            <w:col w:w="4860" w:space="720"/>
            <w:col w:w="780" w:space="500"/>
            <w:col w:w="920" w:space="720"/>
            <w:col w:w="1420"/>
          </w:cols>
          <w:pgMar w:left="980" w:top="118" w:right="999" w:bottom="1440" w:gutter="0" w:footer="0" w:header="0"/>
          <w:type w:val="continuous"/>
        </w:sectPr>
      </w:pPr>
    </w:p>
    <w:bookmarkStart w:id="73" w:name="page74"/>
    <w:bookmarkEnd w:id="73"/>
    <w:tbl>
      <w:tblPr>
        <w:tblLayout w:type="fixed"/>
        <w:tblInd w:w="10" w:type="dxa"/>
        <w:tblCellMar>
          <w:top w:w="0" w:type="dxa"/>
          <w:left w:w="0" w:type="dxa"/>
          <w:bottom w:w="0" w:type="dxa"/>
          <w:right w:w="0" w:type="dxa"/>
        </w:tblCellMar>
      </w:tblPr>
      <w:tr>
        <w:trPr>
          <w:trHeight w:val="243"/>
        </w:trPr>
        <w:tc>
          <w:tcPr>
            <w:tcW w:w="1840" w:type="dxa"/>
            <w:vAlign w:val="bottom"/>
            <w:tcBorders>
              <w:top w:val="single" w:sz="8" w:color="auto"/>
              <w:left w:val="single" w:sz="8" w:color="auto"/>
              <w:bottom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right w:val="single" w:sz="8" w:color="auto"/>
            </w:tcBorders>
          </w:tcPr>
          <w:p>
            <w:pPr>
              <w:spacing w:after="0"/>
              <w:rPr>
                <w:sz w:val="21"/>
                <w:szCs w:val="21"/>
                <w:color w:val="auto"/>
              </w:rPr>
            </w:pPr>
          </w:p>
        </w:tc>
        <w:tc>
          <w:tcPr>
            <w:tcW w:w="1300" w:type="dxa"/>
            <w:vAlign w:val="bottom"/>
            <w:tcBorders>
              <w:top w:val="single" w:sz="8" w:color="auto"/>
              <w:bottom w:val="single" w:sz="8" w:color="auto"/>
              <w:right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600" w:type="dxa"/>
            <w:vAlign w:val="bottom"/>
            <w:tcBorders>
              <w:top w:val="single" w:sz="8" w:color="auto"/>
              <w:bottom w:val="single" w:sz="8" w:color="auto"/>
            </w:tcBorders>
          </w:tcPr>
          <w:p>
            <w:pPr>
              <w:spacing w:after="0"/>
              <w:rPr>
                <w:sz w:val="21"/>
                <w:szCs w:val="21"/>
                <w:color w:val="auto"/>
              </w:rPr>
            </w:pPr>
          </w:p>
        </w:tc>
        <w:tc>
          <w:tcPr>
            <w:tcW w:w="60" w:type="dxa"/>
            <w:vAlign w:val="bottom"/>
            <w:tcBorders>
              <w:top w:val="single" w:sz="8" w:color="auto"/>
              <w:bottom w:val="single" w:sz="8" w:color="auto"/>
              <w:right w:val="single" w:sz="8" w:color="auto"/>
            </w:tcBorders>
          </w:tcPr>
          <w:p>
            <w:pPr>
              <w:spacing w:after="0"/>
              <w:rPr>
                <w:sz w:val="21"/>
                <w:szCs w:val="21"/>
                <w:color w:val="auto"/>
              </w:rPr>
            </w:pPr>
          </w:p>
        </w:tc>
        <w:tc>
          <w:tcPr>
            <w:tcW w:w="560" w:type="dxa"/>
            <w:vAlign w:val="bottom"/>
            <w:tcBorders>
              <w:top w:val="single" w:sz="8" w:color="auto"/>
              <w:bottom w:val="single" w:sz="8" w:color="auto"/>
            </w:tcBorders>
          </w:tcPr>
          <w:p>
            <w:pPr>
              <w:spacing w:after="0"/>
              <w:rPr>
                <w:sz w:val="21"/>
                <w:szCs w:val="21"/>
                <w:color w:val="auto"/>
              </w:rPr>
            </w:pPr>
          </w:p>
        </w:tc>
        <w:tc>
          <w:tcPr>
            <w:tcW w:w="64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right w:val="single" w:sz="8" w:color="auto"/>
            </w:tcBorders>
          </w:tcPr>
          <w:p>
            <w:pPr>
              <w:spacing w:after="0"/>
              <w:rPr>
                <w:sz w:val="21"/>
                <w:szCs w:val="21"/>
                <w:color w:val="auto"/>
              </w:rPr>
            </w:pPr>
          </w:p>
        </w:tc>
      </w:tr>
      <w:tr>
        <w:trPr>
          <w:trHeight w:val="223"/>
        </w:trPr>
        <w:tc>
          <w:tcPr>
            <w:tcW w:w="3140" w:type="dxa"/>
            <w:vAlign w:val="bottom"/>
            <w:tcBorders>
              <w:left w:val="single" w:sz="8" w:color="auto"/>
              <w:bottom w:val="single" w:sz="8" w:color="auto"/>
            </w:tcBorders>
            <w:gridSpan w:val="3"/>
          </w:tcPr>
          <w:p>
            <w:pPr>
              <w:ind w:left="140"/>
              <w:spacing w:after="0" w:line="223" w:lineRule="exact"/>
              <w:rPr>
                <w:sz w:val="20"/>
                <w:szCs w:val="20"/>
                <w:color w:val="auto"/>
              </w:rPr>
            </w:pPr>
            <w:r>
              <w:rPr>
                <w:rFonts w:ascii="Arial" w:cs="Arial" w:eastAsia="Arial" w:hAnsi="Arial"/>
                <w:sz w:val="20"/>
                <w:szCs w:val="20"/>
                <w:b w:val="1"/>
                <w:bCs w:val="1"/>
                <w:color w:val="auto"/>
              </w:rPr>
              <w:t>Maintain monthly:</w:t>
            </w:r>
          </w:p>
        </w:tc>
        <w:tc>
          <w:tcPr>
            <w:tcW w:w="1140" w:type="dxa"/>
            <w:vAlign w:val="bottom"/>
            <w:tcBorders>
              <w:bottom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spacing w:after="0"/>
              <w:rPr>
                <w:sz w:val="19"/>
                <w:szCs w:val="19"/>
                <w:color w:val="auto"/>
              </w:rPr>
            </w:pPr>
          </w:p>
        </w:tc>
        <w:tc>
          <w:tcPr>
            <w:tcW w:w="1300" w:type="dxa"/>
            <w:vAlign w:val="bottom"/>
            <w:tcBorders>
              <w:bottom w:val="single" w:sz="8" w:color="auto"/>
              <w:right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60" w:type="dxa"/>
            <w:vAlign w:val="bottom"/>
            <w:tcBorders>
              <w:bottom w:val="single" w:sz="8" w:color="auto"/>
              <w:right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r>
      <w:tr>
        <w:trPr>
          <w:trHeight w:val="183"/>
        </w:trPr>
        <w:tc>
          <w:tcPr>
            <w:tcW w:w="3140" w:type="dxa"/>
            <w:vAlign w:val="bottom"/>
            <w:tcBorders>
              <w:left w:val="single" w:sz="8" w:color="auto"/>
            </w:tcBorders>
            <w:gridSpan w:val="3"/>
          </w:tcPr>
          <w:p>
            <w:pPr>
              <w:ind w:left="140"/>
              <w:spacing w:after="0" w:line="183" w:lineRule="exact"/>
              <w:rPr>
                <w:sz w:val="20"/>
                <w:szCs w:val="20"/>
                <w:color w:val="auto"/>
              </w:rPr>
            </w:pPr>
            <w:r>
              <w:rPr>
                <w:rFonts w:ascii="Arial" w:cs="Arial" w:eastAsia="Arial" w:hAnsi="Arial"/>
                <w:sz w:val="20"/>
                <w:szCs w:val="20"/>
                <w:color w:val="auto"/>
              </w:rPr>
              <w:t>Minimum Cash and Availability</w:t>
            </w:r>
          </w:p>
        </w:tc>
        <w:tc>
          <w:tcPr>
            <w:tcW w:w="1140" w:type="dxa"/>
            <w:vAlign w:val="bottom"/>
          </w:tcPr>
          <w:p>
            <w:pPr>
              <w:spacing w:after="0"/>
              <w:rPr>
                <w:sz w:val="15"/>
                <w:szCs w:val="15"/>
                <w:color w:val="auto"/>
              </w:rPr>
            </w:pPr>
          </w:p>
        </w:tc>
        <w:tc>
          <w:tcPr>
            <w:tcW w:w="1180" w:type="dxa"/>
            <w:vAlign w:val="bottom"/>
            <w:tcBorders>
              <w:right w:val="single" w:sz="8" w:color="auto"/>
            </w:tcBorders>
          </w:tcPr>
          <w:p>
            <w:pPr>
              <w:spacing w:after="0"/>
              <w:rPr>
                <w:sz w:val="15"/>
                <w:szCs w:val="15"/>
                <w:color w:val="auto"/>
              </w:rPr>
            </w:pPr>
          </w:p>
        </w:tc>
        <w:tc>
          <w:tcPr>
            <w:tcW w:w="1300" w:type="dxa"/>
            <w:vAlign w:val="bottom"/>
            <w:tcBorders>
              <w:right w:val="single" w:sz="8" w:color="auto"/>
            </w:tcBorders>
          </w:tcPr>
          <w:p>
            <w:pPr>
              <w:jc w:val="right"/>
              <w:ind w:right="101"/>
              <w:spacing w:after="0" w:line="183" w:lineRule="exact"/>
              <w:rPr>
                <w:sz w:val="20"/>
                <w:szCs w:val="20"/>
                <w:color w:val="auto"/>
              </w:rPr>
            </w:pPr>
            <w:r>
              <w:rPr>
                <w:rFonts w:ascii="Arial" w:cs="Arial" w:eastAsia="Arial" w:hAnsi="Arial"/>
                <w:sz w:val="20"/>
                <w:szCs w:val="20"/>
                <w:color w:val="auto"/>
                <w:w w:val="97"/>
              </w:rPr>
              <w:t>$11,000,000</w:t>
            </w:r>
          </w:p>
        </w:tc>
        <w:tc>
          <w:tcPr>
            <w:tcW w:w="260" w:type="dxa"/>
            <w:vAlign w:val="bottom"/>
          </w:tcPr>
          <w:p>
            <w:pPr>
              <w:jc w:val="right"/>
              <w:spacing w:after="0" w:line="183" w:lineRule="exact"/>
              <w:rPr>
                <w:sz w:val="20"/>
                <w:szCs w:val="20"/>
                <w:color w:val="auto"/>
              </w:rPr>
            </w:pPr>
            <w:r>
              <w:rPr>
                <w:rFonts w:ascii="Arial" w:cs="Arial" w:eastAsia="Arial" w:hAnsi="Arial"/>
                <w:sz w:val="20"/>
                <w:szCs w:val="20"/>
                <w:color w:val="auto"/>
              </w:rPr>
              <w:t>$</w:t>
            </w:r>
          </w:p>
        </w:tc>
        <w:tc>
          <w:tcPr>
            <w:tcW w:w="380" w:type="dxa"/>
            <w:vAlign w:val="bottom"/>
            <w:tcBorders>
              <w:bottom w:val="single" w:sz="8" w:color="auto"/>
            </w:tcBorders>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1880" w:type="dxa"/>
            <w:vAlign w:val="bottom"/>
            <w:tcBorders>
              <w:right w:val="single" w:sz="8" w:color="auto"/>
            </w:tcBorders>
            <w:gridSpan w:val="3"/>
          </w:tcPr>
          <w:p>
            <w:pPr>
              <w:ind w:left="500"/>
              <w:spacing w:after="0" w:line="183" w:lineRule="exact"/>
              <w:rPr>
                <w:sz w:val="20"/>
                <w:szCs w:val="20"/>
                <w:color w:val="auto"/>
              </w:rPr>
            </w:pPr>
            <w:r>
              <w:rPr>
                <w:rFonts w:ascii="Arial" w:cs="Arial" w:eastAsia="Arial" w:hAnsi="Arial"/>
                <w:sz w:val="20"/>
                <w:szCs w:val="20"/>
                <w:color w:val="auto"/>
              </w:rPr>
              <w:t>Yes No</w:t>
            </w:r>
          </w:p>
        </w:tc>
      </w:tr>
      <w:tr>
        <w:trPr>
          <w:trHeight w:val="20"/>
        </w:trPr>
        <w:tc>
          <w:tcPr>
            <w:tcW w:w="1840" w:type="dxa"/>
            <w:vAlign w:val="bottom"/>
            <w:tcBorders>
              <w:left w:val="single" w:sz="8" w:color="auto"/>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c>
          <w:tcPr>
            <w:tcW w:w="1300" w:type="dxa"/>
            <w:vAlign w:val="bottom"/>
            <w:tcBorders>
              <w:bottom w:val="single" w:sz="8" w:color="auto"/>
              <w:right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right w:val="single" w:sz="8" w:color="auto"/>
            </w:tcBorders>
          </w:tcPr>
          <w:p>
            <w:pPr>
              <w:spacing w:after="0" w:line="20" w:lineRule="exact"/>
              <w:rPr>
                <w:sz w:val="1"/>
                <w:szCs w:val="1"/>
                <w:color w:val="auto"/>
              </w:rPr>
            </w:pPr>
          </w:p>
        </w:tc>
      </w:tr>
      <w:tr>
        <w:trPr>
          <w:trHeight w:val="588"/>
        </w:trPr>
        <w:tc>
          <w:tcPr>
            <w:tcW w:w="18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2"/>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r>
      <w:tr>
        <w:trPr>
          <w:trHeight w:val="183"/>
        </w:trPr>
        <w:tc>
          <w:tcPr>
            <w:tcW w:w="1840" w:type="dxa"/>
            <w:vAlign w:val="bottom"/>
            <w:tcBorders>
              <w:lef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320" w:type="dxa"/>
            <w:vAlign w:val="bottom"/>
            <w:gridSpan w:val="2"/>
          </w:tcPr>
          <w:p>
            <w:pPr>
              <w:ind w:left="100"/>
              <w:spacing w:after="0" w:line="183" w:lineRule="exact"/>
              <w:rPr>
                <w:sz w:val="20"/>
                <w:szCs w:val="20"/>
                <w:color w:val="auto"/>
              </w:rPr>
            </w:pPr>
            <w:r>
              <w:rPr>
                <w:rFonts w:ascii="Arial" w:cs="Arial" w:eastAsia="Arial" w:hAnsi="Arial"/>
                <w:sz w:val="20"/>
                <w:szCs w:val="20"/>
                <w:b w:val="1"/>
                <w:bCs w:val="1"/>
                <w:color w:val="auto"/>
              </w:rPr>
              <w:t>Streamline Period</w:t>
            </w:r>
          </w:p>
        </w:tc>
        <w:tc>
          <w:tcPr>
            <w:tcW w:w="1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20" w:type="dxa"/>
            <w:vAlign w:val="bottom"/>
            <w:tcBorders>
              <w:right w:val="single" w:sz="8" w:color="auto"/>
            </w:tcBorders>
            <w:gridSpan w:val="2"/>
          </w:tcPr>
          <w:p>
            <w:pPr>
              <w:jc w:val="center"/>
              <w:ind w:right="680"/>
              <w:spacing w:after="0" w:line="183" w:lineRule="exact"/>
              <w:rPr>
                <w:sz w:val="20"/>
                <w:szCs w:val="20"/>
                <w:color w:val="auto"/>
              </w:rPr>
            </w:pPr>
            <w:r>
              <w:rPr>
                <w:rFonts w:ascii="Arial" w:cs="Arial" w:eastAsia="Arial" w:hAnsi="Arial"/>
                <w:sz w:val="20"/>
                <w:szCs w:val="20"/>
                <w:b w:val="1"/>
                <w:bCs w:val="1"/>
                <w:color w:val="auto"/>
                <w:w w:val="88"/>
              </w:rPr>
              <w:t>Applies</w:t>
            </w:r>
          </w:p>
        </w:tc>
      </w:tr>
      <w:tr>
        <w:trPr>
          <w:trHeight w:val="28"/>
        </w:trPr>
        <w:tc>
          <w:tcPr>
            <w:tcW w:w="1840" w:type="dxa"/>
            <w:vAlign w:val="bottom"/>
            <w:tcBorders>
              <w:left w:val="single" w:sz="8" w:color="auto"/>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40" w:type="dxa"/>
            <w:vAlign w:val="bottom"/>
            <w:tcBorders>
              <w:top w:val="single" w:sz="8" w:color="auto"/>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r>
      <w:tr>
        <w:trPr>
          <w:trHeight w:val="216"/>
        </w:trPr>
        <w:tc>
          <w:tcPr>
            <w:tcW w:w="1840" w:type="dxa"/>
            <w:vAlign w:val="bottom"/>
            <w:tcBorders>
              <w:left w:val="single" w:sz="8" w:color="auto"/>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80" w:type="dxa"/>
            <w:vAlign w:val="bottom"/>
            <w:tcBorders>
              <w:bottom w:val="single" w:sz="8" w:color="auto"/>
              <w:right w:val="single" w:sz="8" w:color="auto"/>
            </w:tcBorders>
          </w:tcPr>
          <w:p>
            <w:pPr>
              <w:spacing w:after="0"/>
              <w:rPr>
                <w:sz w:val="18"/>
                <w:szCs w:val="18"/>
                <w:color w:val="auto"/>
              </w:rPr>
            </w:pPr>
          </w:p>
        </w:tc>
      </w:tr>
      <w:tr>
        <w:trPr>
          <w:trHeight w:val="183"/>
        </w:trPr>
        <w:tc>
          <w:tcPr>
            <w:tcW w:w="3140" w:type="dxa"/>
            <w:vAlign w:val="bottom"/>
            <w:tcBorders>
              <w:left w:val="single" w:sz="8" w:color="auto"/>
            </w:tcBorders>
            <w:gridSpan w:val="3"/>
          </w:tcPr>
          <w:p>
            <w:pPr>
              <w:ind w:left="140"/>
              <w:spacing w:after="0" w:line="183" w:lineRule="exact"/>
              <w:rPr>
                <w:sz w:val="20"/>
                <w:szCs w:val="20"/>
                <w:color w:val="auto"/>
              </w:rPr>
            </w:pPr>
            <w:r>
              <w:rPr>
                <w:rFonts w:ascii="Arial" w:cs="Arial" w:eastAsia="Arial" w:hAnsi="Arial"/>
                <w:sz w:val="20"/>
                <w:szCs w:val="20"/>
                <w:color w:val="auto"/>
                <w:w w:val="93"/>
              </w:rPr>
              <w:t>Cash and Availability &gt; $12,000,000</w:t>
            </w:r>
          </w:p>
        </w:tc>
        <w:tc>
          <w:tcPr>
            <w:tcW w:w="1140" w:type="dxa"/>
            <w:vAlign w:val="bottom"/>
            <w:tcBorders>
              <w:right w:val="single" w:sz="8" w:color="auto"/>
            </w:tcBorders>
          </w:tcPr>
          <w:p>
            <w:pPr>
              <w:spacing w:after="0"/>
              <w:rPr>
                <w:sz w:val="15"/>
                <w:szCs w:val="15"/>
                <w:color w:val="auto"/>
              </w:rPr>
            </w:pPr>
          </w:p>
        </w:tc>
        <w:tc>
          <w:tcPr>
            <w:tcW w:w="1180" w:type="dxa"/>
            <w:vAlign w:val="bottom"/>
          </w:tcPr>
          <w:p>
            <w:pPr>
              <w:ind w:left="100"/>
              <w:spacing w:after="0" w:line="183" w:lineRule="exact"/>
              <w:rPr>
                <w:sz w:val="20"/>
                <w:szCs w:val="20"/>
                <w:color w:val="auto"/>
              </w:rPr>
            </w:pPr>
            <w:r>
              <w:rPr>
                <w:rFonts w:ascii="Arial" w:cs="Arial" w:eastAsia="Arial" w:hAnsi="Arial"/>
                <w:sz w:val="20"/>
                <w:szCs w:val="20"/>
                <w:color w:val="auto"/>
              </w:rPr>
              <w:t>Yes</w:t>
            </w:r>
          </w:p>
        </w:tc>
        <w:tc>
          <w:tcPr>
            <w:tcW w:w="1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20" w:type="dxa"/>
            <w:vAlign w:val="bottom"/>
            <w:tcBorders>
              <w:right w:val="single" w:sz="8" w:color="auto"/>
            </w:tcBorders>
            <w:gridSpan w:val="2"/>
          </w:tcPr>
          <w:p>
            <w:pPr>
              <w:jc w:val="center"/>
              <w:ind w:right="660"/>
              <w:spacing w:after="0" w:line="183" w:lineRule="exact"/>
              <w:rPr>
                <w:sz w:val="20"/>
                <w:szCs w:val="20"/>
                <w:color w:val="auto"/>
              </w:rPr>
            </w:pPr>
            <w:r>
              <w:rPr>
                <w:rFonts w:ascii="Arial" w:cs="Arial" w:eastAsia="Arial" w:hAnsi="Arial"/>
                <w:sz w:val="20"/>
                <w:szCs w:val="20"/>
                <w:color w:val="auto"/>
                <w:w w:val="88"/>
              </w:rPr>
              <w:t>Yes No</w:t>
            </w:r>
          </w:p>
        </w:tc>
      </w:tr>
      <w:tr>
        <w:trPr>
          <w:trHeight w:val="21"/>
        </w:trPr>
        <w:tc>
          <w:tcPr>
            <w:tcW w:w="1840" w:type="dxa"/>
            <w:vAlign w:val="bottom"/>
            <w:tcBorders>
              <w:left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right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right w:val="single" w:sz="8" w:color="auto"/>
            </w:tcBorders>
          </w:tcPr>
          <w:p>
            <w:pPr>
              <w:spacing w:after="0" w:line="20" w:lineRule="exact"/>
              <w:rPr>
                <w:sz w:val="1"/>
                <w:szCs w:val="1"/>
                <w:color w:val="auto"/>
              </w:rPr>
            </w:pPr>
          </w:p>
        </w:tc>
      </w:tr>
      <w:tr>
        <w:trPr>
          <w:trHeight w:val="223"/>
        </w:trPr>
        <w:tc>
          <w:tcPr>
            <w:tcW w:w="3140" w:type="dxa"/>
            <w:vAlign w:val="bottom"/>
            <w:tcBorders>
              <w:left w:val="single" w:sz="8" w:color="auto"/>
              <w:bottom w:val="single" w:sz="8" w:color="auto"/>
            </w:tcBorders>
            <w:gridSpan w:val="3"/>
          </w:tcPr>
          <w:p>
            <w:pPr>
              <w:ind w:left="140"/>
              <w:spacing w:after="0" w:line="223" w:lineRule="exact"/>
              <w:rPr>
                <w:sz w:val="20"/>
                <w:szCs w:val="20"/>
                <w:color w:val="auto"/>
              </w:rPr>
            </w:pPr>
            <w:r>
              <w:rPr>
                <w:rFonts w:ascii="Arial" w:cs="Arial" w:eastAsia="Arial" w:hAnsi="Arial"/>
                <w:sz w:val="20"/>
                <w:szCs w:val="20"/>
                <w:color w:val="auto"/>
                <w:w w:val="93"/>
              </w:rPr>
              <w:t>Cash and Availability &lt; $12,000,000</w:t>
            </w:r>
          </w:p>
        </w:tc>
        <w:tc>
          <w:tcPr>
            <w:tcW w:w="1140" w:type="dxa"/>
            <w:vAlign w:val="bottom"/>
            <w:tcBorders>
              <w:bottom w:val="single" w:sz="8" w:color="auto"/>
              <w:right w:val="single" w:sz="8" w:color="auto"/>
            </w:tcBorders>
          </w:tcPr>
          <w:p>
            <w:pPr>
              <w:spacing w:after="0"/>
              <w:rPr>
                <w:sz w:val="19"/>
                <w:szCs w:val="19"/>
                <w:color w:val="auto"/>
              </w:rPr>
            </w:pPr>
          </w:p>
        </w:tc>
        <w:tc>
          <w:tcPr>
            <w:tcW w:w="1180" w:type="dxa"/>
            <w:vAlign w:val="bottom"/>
            <w:tcBorders>
              <w:bottom w:val="single" w:sz="8" w:color="auto"/>
            </w:tcBorders>
          </w:tcPr>
          <w:p>
            <w:pPr>
              <w:ind w:left="100"/>
              <w:spacing w:after="0" w:line="223" w:lineRule="exact"/>
              <w:rPr>
                <w:sz w:val="20"/>
                <w:szCs w:val="20"/>
                <w:color w:val="auto"/>
              </w:rPr>
            </w:pPr>
            <w:r>
              <w:rPr>
                <w:rFonts w:ascii="Arial" w:cs="Arial" w:eastAsia="Arial" w:hAnsi="Arial"/>
                <w:sz w:val="20"/>
                <w:szCs w:val="20"/>
                <w:color w:val="auto"/>
              </w:rPr>
              <w:t>No</w:t>
            </w:r>
          </w:p>
        </w:tc>
        <w:tc>
          <w:tcPr>
            <w:tcW w:w="13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600" w:type="dxa"/>
            <w:vAlign w:val="bottom"/>
            <w:tcBorders>
              <w:bottom w:val="single" w:sz="8" w:color="auto"/>
              <w:right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320" w:type="dxa"/>
            <w:vAlign w:val="bottom"/>
            <w:tcBorders>
              <w:bottom w:val="single" w:sz="8" w:color="auto"/>
              <w:right w:val="single" w:sz="8" w:color="auto"/>
            </w:tcBorders>
            <w:gridSpan w:val="2"/>
          </w:tcPr>
          <w:p>
            <w:pPr>
              <w:jc w:val="center"/>
              <w:ind w:right="660"/>
              <w:spacing w:after="0" w:line="223" w:lineRule="exact"/>
              <w:rPr>
                <w:sz w:val="20"/>
                <w:szCs w:val="20"/>
                <w:color w:val="auto"/>
              </w:rPr>
            </w:pPr>
            <w:r>
              <w:rPr>
                <w:rFonts w:ascii="Arial" w:cs="Arial" w:eastAsia="Arial" w:hAnsi="Arial"/>
                <w:sz w:val="20"/>
                <w:szCs w:val="20"/>
                <w:color w:val="auto"/>
                <w:w w:val="88"/>
              </w:rPr>
              <w:t>Yes No</w:t>
            </w:r>
          </w:p>
        </w:tc>
      </w:tr>
    </w:tbl>
    <w:p>
      <w:pPr>
        <w:spacing w:after="0" w:line="348" w:lineRule="exact"/>
        <w:rPr>
          <w:sz w:val="20"/>
          <w:szCs w:val="20"/>
          <w:color w:val="auto"/>
        </w:rPr>
      </w:pPr>
    </w:p>
    <w:p>
      <w:pPr>
        <w:ind w:left="420" w:right="560" w:firstLine="648"/>
        <w:spacing w:after="0" w:line="260" w:lineRule="auto"/>
        <w:rPr>
          <w:sz w:val="20"/>
          <w:szCs w:val="20"/>
          <w:color w:val="auto"/>
        </w:rPr>
      </w:pPr>
      <w:r>
        <w:rPr>
          <w:rFonts w:ascii="Arial" w:cs="Arial" w:eastAsia="Arial" w:hAnsi="Arial"/>
          <w:sz w:val="20"/>
          <w:szCs w:val="20"/>
          <w:color w:val="auto"/>
        </w:rPr>
        <w:t>The following financial covenant and Streamline Period analyses and information set forth in Schedule 1 attached hereto are true and accurate as of the date of this Certificate.</w:t>
      </w:r>
    </w:p>
    <w:p>
      <w:pPr>
        <w:spacing w:after="0" w:line="177" w:lineRule="exact"/>
        <w:rPr>
          <w:sz w:val="20"/>
          <w:szCs w:val="20"/>
          <w:color w:val="auto"/>
        </w:rPr>
      </w:pPr>
    </w:p>
    <w:p>
      <w:pPr>
        <w:ind w:left="420" w:right="520" w:firstLine="648"/>
        <w:spacing w:after="0" w:line="260" w:lineRule="auto"/>
        <w:rPr>
          <w:sz w:val="20"/>
          <w:szCs w:val="20"/>
          <w:color w:val="auto"/>
        </w:rPr>
      </w:pPr>
      <w:r>
        <w:rPr>
          <w:rFonts w:ascii="Arial" w:cs="Arial" w:eastAsia="Arial" w:hAnsi="Arial"/>
          <w:sz w:val="20"/>
          <w:szCs w:val="20"/>
          <w:color w:val="auto"/>
        </w:rPr>
        <w:t>The following are the exceptions with respect to the certification above: (If no exceptions exist, state “No exceptions to note.”)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4480" w:type="dxa"/>
            <w:vAlign w:val="bottom"/>
            <w:gridSpan w:val="2"/>
          </w:tcPr>
          <w:p>
            <w:pPr>
              <w:spacing w:after="0"/>
              <w:rPr>
                <w:sz w:val="20"/>
                <w:szCs w:val="20"/>
                <w:color w:val="auto"/>
              </w:rPr>
            </w:pPr>
            <w:r>
              <w:rPr>
                <w:rFonts w:ascii="Arial" w:cs="Arial" w:eastAsia="Arial" w:hAnsi="Arial"/>
                <w:sz w:val="20"/>
                <w:szCs w:val="20"/>
                <w:color w:val="auto"/>
              </w:rPr>
              <w:t>EVERSPIN TECHNOLOGIES, INC.</w:t>
            </w:r>
          </w:p>
        </w:tc>
        <w:tc>
          <w:tcPr>
            <w:tcW w:w="1880" w:type="dxa"/>
            <w:vAlign w:val="bottom"/>
          </w:tcPr>
          <w:p>
            <w:pPr>
              <w:ind w:left="260"/>
              <w:spacing w:after="0"/>
              <w:rPr>
                <w:sz w:val="20"/>
                <w:szCs w:val="20"/>
                <w:color w:val="auto"/>
              </w:rPr>
            </w:pPr>
            <w:r>
              <w:rPr>
                <w:rFonts w:ascii="Arial" w:cs="Arial" w:eastAsia="Arial" w:hAnsi="Arial"/>
                <w:sz w:val="20"/>
                <w:szCs w:val="20"/>
                <w:b w:val="1"/>
                <w:bCs w:val="1"/>
                <w:color w:val="auto"/>
                <w:w w:val="96"/>
              </w:rPr>
              <w:t>BANK USE ONLY</w:t>
            </w:r>
          </w:p>
        </w:tc>
        <w:tc>
          <w:tcPr>
            <w:tcW w:w="94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1"/>
        </w:trPr>
        <w:tc>
          <w:tcPr>
            <w:tcW w:w="4480" w:type="dxa"/>
            <w:vAlign w:val="bottom"/>
            <w:gridSpan w:val="2"/>
            <w:vMerge w:val="restart"/>
          </w:tcPr>
          <w:p>
            <w:pPr>
              <w:spacing w:after="0"/>
              <w:rPr>
                <w:sz w:val="20"/>
                <w:szCs w:val="20"/>
                <w:color w:val="auto"/>
              </w:rPr>
            </w:pPr>
            <w:r>
              <w:rPr>
                <w:rFonts w:ascii="Arial" w:cs="Arial" w:eastAsia="Arial" w:hAnsi="Arial"/>
                <w:sz w:val="20"/>
                <w:szCs w:val="20"/>
                <w:color w:val="auto"/>
              </w:rPr>
              <w:t>By:</w:t>
            </w:r>
          </w:p>
        </w:tc>
        <w:tc>
          <w:tcPr>
            <w:tcW w:w="1880" w:type="dxa"/>
            <w:vAlign w:val="bottom"/>
          </w:tcPr>
          <w:p>
            <w:pPr>
              <w:ind w:left="260"/>
              <w:spacing w:after="0"/>
              <w:rPr>
                <w:sz w:val="20"/>
                <w:szCs w:val="20"/>
                <w:color w:val="auto"/>
              </w:rPr>
            </w:pPr>
            <w:r>
              <w:rPr>
                <w:rFonts w:ascii="Arial" w:cs="Arial" w:eastAsia="Arial" w:hAnsi="Arial"/>
                <w:sz w:val="20"/>
                <w:szCs w:val="20"/>
                <w:color w:val="auto"/>
              </w:rPr>
              <w:t>Received by:</w:t>
            </w:r>
          </w:p>
        </w:tc>
        <w:tc>
          <w:tcPr>
            <w:tcW w:w="94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4480" w:type="dxa"/>
            <w:vAlign w:val="bottom"/>
            <w:gridSpan w:val="2"/>
            <w:vMerge w:val="continue"/>
          </w:tcPr>
          <w:p>
            <w:pPr>
              <w:spacing w:after="0"/>
              <w:rPr>
                <w:sz w:val="19"/>
                <w:szCs w:val="19"/>
                <w:color w:val="auto"/>
              </w:rPr>
            </w:pPr>
          </w:p>
        </w:tc>
        <w:tc>
          <w:tcPr>
            <w:tcW w:w="1880" w:type="dxa"/>
            <w:vAlign w:val="bottom"/>
          </w:tcPr>
          <w:p>
            <w:pPr>
              <w:spacing w:after="0"/>
              <w:rPr>
                <w:sz w:val="19"/>
                <w:szCs w:val="19"/>
                <w:color w:val="auto"/>
              </w:rPr>
            </w:pPr>
          </w:p>
        </w:tc>
        <w:tc>
          <w:tcPr>
            <w:tcW w:w="3560" w:type="dxa"/>
            <w:vAlign w:val="bottom"/>
            <w:gridSpan w:val="2"/>
          </w:tcPr>
          <w:p>
            <w:pPr>
              <w:jc w:val="center"/>
              <w:ind w:right="1041"/>
              <w:spacing w:after="0"/>
              <w:rPr>
                <w:sz w:val="20"/>
                <w:szCs w:val="20"/>
                <w:color w:val="auto"/>
              </w:rPr>
            </w:pPr>
            <w:r>
              <w:rPr>
                <w:rFonts w:ascii="Arial" w:cs="Arial" w:eastAsia="Arial" w:hAnsi="Arial"/>
                <w:sz w:val="16"/>
                <w:szCs w:val="16"/>
                <w:color w:val="auto"/>
                <w:w w:val="97"/>
              </w:rPr>
              <w:t>AUTHORIZED SIGNER</w:t>
            </w:r>
          </w:p>
        </w:tc>
        <w:tc>
          <w:tcPr>
            <w:tcW w:w="0" w:type="dxa"/>
            <w:vAlign w:val="bottom"/>
          </w:tcPr>
          <w:p>
            <w:pPr>
              <w:spacing w:after="0"/>
              <w:rPr>
                <w:sz w:val="1"/>
                <w:szCs w:val="1"/>
                <w:color w:val="auto"/>
              </w:rPr>
            </w:pPr>
          </w:p>
        </w:tc>
      </w:tr>
      <w:tr>
        <w:trPr>
          <w:trHeight w:val="220"/>
        </w:trPr>
        <w:tc>
          <w:tcPr>
            <w:tcW w:w="900" w:type="dxa"/>
            <w:vAlign w:val="bottom"/>
          </w:tcPr>
          <w:p>
            <w:pPr>
              <w:spacing w:after="0" w:line="220" w:lineRule="exact"/>
              <w:rPr>
                <w:sz w:val="20"/>
                <w:szCs w:val="20"/>
                <w:color w:val="auto"/>
              </w:rPr>
            </w:pPr>
            <w:r>
              <w:rPr>
                <w:rFonts w:ascii="Arial" w:cs="Arial" w:eastAsia="Arial" w:hAnsi="Arial"/>
                <w:sz w:val="20"/>
                <w:szCs w:val="20"/>
                <w:color w:val="auto"/>
              </w:rPr>
              <w:t>Name:</w:t>
            </w:r>
          </w:p>
        </w:tc>
        <w:tc>
          <w:tcPr>
            <w:tcW w:w="3580" w:type="dxa"/>
            <w:vAlign w:val="bottom"/>
            <w:tcBorders>
              <w:top w:val="single" w:sz="8" w:color="auto"/>
            </w:tcBorders>
          </w:tcPr>
          <w:p>
            <w:pPr>
              <w:spacing w:after="0"/>
              <w:rPr>
                <w:sz w:val="19"/>
                <w:szCs w:val="19"/>
                <w:color w:val="auto"/>
              </w:rPr>
            </w:pPr>
          </w:p>
        </w:tc>
        <w:tc>
          <w:tcPr>
            <w:tcW w:w="1880" w:type="dxa"/>
            <w:vAlign w:val="bottom"/>
          </w:tcPr>
          <w:p>
            <w:pPr>
              <w:ind w:left="260"/>
              <w:spacing w:after="0" w:line="220" w:lineRule="exact"/>
              <w:rPr>
                <w:sz w:val="20"/>
                <w:szCs w:val="20"/>
                <w:color w:val="auto"/>
              </w:rPr>
            </w:pPr>
            <w:r>
              <w:rPr>
                <w:rFonts w:ascii="Arial" w:cs="Arial" w:eastAsia="Arial" w:hAnsi="Arial"/>
                <w:sz w:val="20"/>
                <w:szCs w:val="20"/>
                <w:color w:val="auto"/>
              </w:rPr>
              <w:t>Date:</w:t>
            </w:r>
          </w:p>
        </w:tc>
        <w:tc>
          <w:tcPr>
            <w:tcW w:w="94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900" w:type="dxa"/>
            <w:vAlign w:val="bottom"/>
            <w:vMerge w:val="restart"/>
          </w:tcPr>
          <w:p>
            <w:pPr>
              <w:spacing w:after="0"/>
              <w:rPr>
                <w:sz w:val="20"/>
                <w:szCs w:val="20"/>
                <w:color w:val="auto"/>
              </w:rPr>
            </w:pPr>
            <w:r>
              <w:rPr>
                <w:rFonts w:ascii="Arial" w:cs="Arial" w:eastAsia="Arial" w:hAnsi="Arial"/>
                <w:sz w:val="20"/>
                <w:szCs w:val="20"/>
                <w:color w:val="auto"/>
              </w:rPr>
              <w:t>Title:</w:t>
            </w:r>
          </w:p>
        </w:tc>
        <w:tc>
          <w:tcPr>
            <w:tcW w:w="3580" w:type="dxa"/>
            <w:vAlign w:val="bottom"/>
            <w:tcBorders>
              <w:bottom w:val="single" w:sz="8" w:color="auto"/>
            </w:tcBorders>
          </w:tcPr>
          <w:p>
            <w:pPr>
              <w:spacing w:after="0"/>
              <w:rPr>
                <w:sz w:val="2"/>
                <w:szCs w:val="2"/>
                <w:color w:val="auto"/>
              </w:rPr>
            </w:pPr>
          </w:p>
        </w:tc>
        <w:tc>
          <w:tcPr>
            <w:tcW w:w="1880" w:type="dxa"/>
            <w:vAlign w:val="bottom"/>
            <w:vMerge w:val="restart"/>
          </w:tcPr>
          <w:p>
            <w:pPr>
              <w:ind w:left="260"/>
              <w:spacing w:after="0"/>
              <w:rPr>
                <w:sz w:val="20"/>
                <w:szCs w:val="20"/>
                <w:color w:val="auto"/>
              </w:rPr>
            </w:pPr>
            <w:r>
              <w:rPr>
                <w:rFonts w:ascii="Arial" w:cs="Arial" w:eastAsia="Arial" w:hAnsi="Arial"/>
                <w:sz w:val="20"/>
                <w:szCs w:val="20"/>
                <w:color w:val="auto"/>
              </w:rPr>
              <w:t>Verified:</w:t>
            </w:r>
          </w:p>
        </w:tc>
        <w:tc>
          <w:tcPr>
            <w:tcW w:w="94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900" w:type="dxa"/>
            <w:vAlign w:val="bottom"/>
            <w:vMerge w:val="continue"/>
          </w:tcPr>
          <w:p>
            <w:pPr>
              <w:spacing w:after="0"/>
              <w:rPr>
                <w:sz w:val="18"/>
                <w:szCs w:val="18"/>
                <w:color w:val="auto"/>
              </w:rPr>
            </w:pPr>
          </w:p>
        </w:tc>
        <w:tc>
          <w:tcPr>
            <w:tcW w:w="3580" w:type="dxa"/>
            <w:vAlign w:val="bottom"/>
          </w:tcPr>
          <w:p>
            <w:pPr>
              <w:spacing w:after="0"/>
              <w:rPr>
                <w:sz w:val="18"/>
                <w:szCs w:val="18"/>
                <w:color w:val="auto"/>
              </w:rPr>
            </w:pPr>
          </w:p>
        </w:tc>
        <w:tc>
          <w:tcPr>
            <w:tcW w:w="1880" w:type="dxa"/>
            <w:vAlign w:val="bottom"/>
            <w:vMerge w:val="continue"/>
          </w:tcPr>
          <w:p>
            <w:pPr>
              <w:spacing w:after="0"/>
              <w:rPr>
                <w:sz w:val="18"/>
                <w:szCs w:val="18"/>
                <w:color w:val="auto"/>
              </w:rPr>
            </w:pPr>
          </w:p>
        </w:tc>
        <w:tc>
          <w:tcPr>
            <w:tcW w:w="9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900" w:type="dxa"/>
            <w:vAlign w:val="bottom"/>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1880" w:type="dxa"/>
            <w:vAlign w:val="bottom"/>
          </w:tcPr>
          <w:p>
            <w:pPr>
              <w:spacing w:after="0"/>
              <w:rPr>
                <w:sz w:val="2"/>
                <w:szCs w:val="2"/>
                <w:color w:val="auto"/>
              </w:rPr>
            </w:pPr>
          </w:p>
        </w:tc>
        <w:tc>
          <w:tcPr>
            <w:tcW w:w="35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90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3560" w:type="dxa"/>
            <w:vAlign w:val="bottom"/>
            <w:gridSpan w:val="2"/>
          </w:tcPr>
          <w:p>
            <w:pPr>
              <w:jc w:val="center"/>
              <w:ind w:right="1041"/>
              <w:spacing w:after="0"/>
              <w:rPr>
                <w:sz w:val="20"/>
                <w:szCs w:val="20"/>
                <w:color w:val="auto"/>
              </w:rPr>
            </w:pPr>
            <w:r>
              <w:rPr>
                <w:rFonts w:ascii="Arial" w:cs="Arial" w:eastAsia="Arial" w:hAnsi="Arial"/>
                <w:sz w:val="16"/>
                <w:szCs w:val="16"/>
                <w:color w:val="auto"/>
                <w:w w:val="97"/>
              </w:rPr>
              <w:t>AUTHORIZED SIGNER</w:t>
            </w:r>
          </w:p>
        </w:tc>
        <w:tc>
          <w:tcPr>
            <w:tcW w:w="0" w:type="dxa"/>
            <w:vAlign w:val="bottom"/>
          </w:tcPr>
          <w:p>
            <w:pPr>
              <w:spacing w:after="0"/>
              <w:rPr>
                <w:sz w:val="1"/>
                <w:szCs w:val="1"/>
                <w:color w:val="auto"/>
              </w:rPr>
            </w:pPr>
          </w:p>
        </w:tc>
      </w:tr>
      <w:tr>
        <w:trPr>
          <w:trHeight w:val="260"/>
        </w:trPr>
        <w:tc>
          <w:tcPr>
            <w:tcW w:w="900" w:type="dxa"/>
            <w:vAlign w:val="bottom"/>
          </w:tcPr>
          <w:p>
            <w:pPr>
              <w:spacing w:after="0"/>
              <w:rPr>
                <w:sz w:val="22"/>
                <w:szCs w:val="22"/>
                <w:color w:val="auto"/>
              </w:rPr>
            </w:pPr>
          </w:p>
        </w:tc>
        <w:tc>
          <w:tcPr>
            <w:tcW w:w="3580" w:type="dxa"/>
            <w:vAlign w:val="bottom"/>
          </w:tcPr>
          <w:p>
            <w:pPr>
              <w:spacing w:after="0"/>
              <w:rPr>
                <w:sz w:val="22"/>
                <w:szCs w:val="22"/>
                <w:color w:val="auto"/>
              </w:rPr>
            </w:pPr>
          </w:p>
        </w:tc>
        <w:tc>
          <w:tcPr>
            <w:tcW w:w="1880" w:type="dxa"/>
            <w:vAlign w:val="bottom"/>
          </w:tcPr>
          <w:p>
            <w:pPr>
              <w:ind w:left="260"/>
              <w:spacing w:after="0"/>
              <w:rPr>
                <w:sz w:val="20"/>
                <w:szCs w:val="20"/>
                <w:color w:val="auto"/>
              </w:rPr>
            </w:pPr>
            <w:r>
              <w:rPr>
                <w:rFonts w:ascii="Arial" w:cs="Arial" w:eastAsia="Arial" w:hAnsi="Arial"/>
                <w:sz w:val="20"/>
                <w:szCs w:val="20"/>
                <w:color w:val="auto"/>
              </w:rPr>
              <w:t>Date:</w:t>
            </w:r>
          </w:p>
        </w:tc>
        <w:tc>
          <w:tcPr>
            <w:tcW w:w="940" w:type="dxa"/>
            <w:vAlign w:val="bottom"/>
            <w:tcBorders>
              <w:bottom w:val="single" w:sz="8" w:color="auto"/>
            </w:tcBorders>
          </w:tcPr>
          <w:p>
            <w:pPr>
              <w:spacing w:after="0"/>
              <w:rPr>
                <w:sz w:val="22"/>
                <w:szCs w:val="22"/>
                <w:color w:val="auto"/>
              </w:rPr>
            </w:pPr>
          </w:p>
        </w:tc>
        <w:tc>
          <w:tcPr>
            <w:tcW w:w="26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90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1880" w:type="dxa"/>
            <w:vAlign w:val="bottom"/>
          </w:tcPr>
          <w:p>
            <w:pPr>
              <w:ind w:left="260"/>
              <w:spacing w:after="0" w:line="220" w:lineRule="exact"/>
              <w:rPr>
                <w:sz w:val="20"/>
                <w:szCs w:val="20"/>
                <w:color w:val="auto"/>
              </w:rPr>
            </w:pPr>
            <w:r>
              <w:rPr>
                <w:rFonts w:ascii="Arial" w:cs="Arial" w:eastAsia="Arial" w:hAnsi="Arial"/>
                <w:sz w:val="20"/>
                <w:szCs w:val="20"/>
                <w:color w:val="auto"/>
                <w:w w:val="92"/>
              </w:rPr>
              <w:t>Compliance Status:</w:t>
            </w:r>
          </w:p>
        </w:tc>
        <w:tc>
          <w:tcPr>
            <w:tcW w:w="940" w:type="dxa"/>
            <w:vAlign w:val="bottom"/>
          </w:tcPr>
          <w:p>
            <w:pPr>
              <w:ind w:left="460"/>
              <w:spacing w:after="0"/>
              <w:rPr>
                <w:sz w:val="20"/>
                <w:szCs w:val="20"/>
                <w:color w:val="auto"/>
              </w:rPr>
            </w:pPr>
            <w:r>
              <w:rPr>
                <w:rFonts w:ascii="Arial" w:cs="Arial" w:eastAsia="Arial" w:hAnsi="Arial"/>
                <w:sz w:val="20"/>
                <w:szCs w:val="20"/>
                <w:color w:val="auto"/>
              </w:rPr>
              <w:t>Yes</w:t>
            </w:r>
          </w:p>
        </w:tc>
        <w:tc>
          <w:tcPr>
            <w:tcW w:w="2620" w:type="dxa"/>
            <w:vAlign w:val="bottom"/>
          </w:tcPr>
          <w:p>
            <w:pPr>
              <w:jc w:val="center"/>
              <w:ind w:right="1921"/>
              <w:spacing w:after="0"/>
              <w:rPr>
                <w:sz w:val="20"/>
                <w:szCs w:val="20"/>
                <w:color w:val="auto"/>
              </w:rPr>
            </w:pPr>
            <w:r>
              <w:rPr>
                <w:rFonts w:ascii="Arial" w:cs="Arial" w:eastAsia="Arial" w:hAnsi="Arial"/>
                <w:sz w:val="20"/>
                <w:szCs w:val="20"/>
                <w:color w:val="auto"/>
                <w:w w:val="93"/>
              </w:rPr>
              <w:t>No</w:t>
            </w:r>
          </w:p>
        </w:tc>
        <w:tc>
          <w:tcPr>
            <w:tcW w:w="0" w:type="dxa"/>
            <w:vAlign w:val="bottom"/>
          </w:tcPr>
          <w:p>
            <w:pPr>
              <w:spacing w:after="0"/>
              <w:rPr>
                <w:sz w:val="1"/>
                <w:szCs w:val="1"/>
                <w:color w:val="auto"/>
              </w:rPr>
            </w:pPr>
          </w:p>
        </w:tc>
      </w:tr>
      <w:tr>
        <w:trPr>
          <w:trHeight w:val="985"/>
        </w:trPr>
        <w:tc>
          <w:tcPr>
            <w:tcW w:w="90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40"/>
          </w:cols>
          <w:pgMar w:left="980" w:top="133" w:right="979" w:bottom="1440" w:gutter="0" w:footer="0" w:header="0"/>
        </w:sectPr>
      </w:pPr>
    </w:p>
    <w:bookmarkStart w:id="74" w:name="page75"/>
    <w:bookmarkEnd w:id="74"/>
    <w:p>
      <w:pPr>
        <w:jc w:val="center"/>
        <w:ind w:right="199"/>
        <w:spacing w:after="0"/>
        <w:rPr>
          <w:sz w:val="20"/>
          <w:szCs w:val="20"/>
          <w:color w:val="auto"/>
        </w:rPr>
      </w:pPr>
      <w:r>
        <w:rPr>
          <w:rFonts w:ascii="Arial" w:cs="Arial" w:eastAsia="Arial" w:hAnsi="Arial"/>
          <w:sz w:val="20"/>
          <w:szCs w:val="20"/>
          <w:b w:val="1"/>
          <w:bCs w:val="1"/>
          <w:u w:val="single" w:color="auto"/>
          <w:color w:val="auto"/>
        </w:rPr>
        <w:t>Schedule 1 to Compliance Certificate</w:t>
      </w:r>
    </w:p>
    <w:p>
      <w:pPr>
        <w:spacing w:after="0" w:line="215" w:lineRule="exact"/>
        <w:rPr>
          <w:sz w:val="20"/>
          <w:szCs w:val="20"/>
          <w:color w:val="auto"/>
        </w:rPr>
      </w:pPr>
    </w:p>
    <w:p>
      <w:pPr>
        <w:jc w:val="center"/>
        <w:ind w:right="219"/>
        <w:spacing w:after="0"/>
        <w:rPr>
          <w:sz w:val="20"/>
          <w:szCs w:val="20"/>
          <w:color w:val="auto"/>
        </w:rPr>
      </w:pPr>
      <w:r>
        <w:rPr>
          <w:rFonts w:ascii="Arial" w:cs="Arial" w:eastAsia="Arial" w:hAnsi="Arial"/>
          <w:sz w:val="20"/>
          <w:szCs w:val="20"/>
          <w:b w:val="1"/>
          <w:bCs w:val="1"/>
          <w:u w:val="single" w:color="auto"/>
          <w:color w:val="auto"/>
        </w:rPr>
        <w:t>Financial Covenant and Streamline Period of Borrower</w:t>
      </w:r>
    </w:p>
    <w:p>
      <w:pPr>
        <w:spacing w:after="0" w:line="343"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 the event of a conflict between this Schedule and the Agreement, the terms of the Agreement shall govern.</w:t>
      </w:r>
    </w:p>
    <w:p>
      <w:pPr>
        <w:spacing w:after="0" w:line="289" w:lineRule="exact"/>
        <w:rPr>
          <w:sz w:val="20"/>
          <w:szCs w:val="20"/>
          <w:color w:val="auto"/>
        </w:rPr>
      </w:pPr>
    </w:p>
    <w:p>
      <w:pPr>
        <w:spacing w:after="0"/>
        <w:rPr>
          <w:sz w:val="20"/>
          <w:szCs w:val="20"/>
          <w:color w:val="auto"/>
        </w:rPr>
      </w:pPr>
      <w:r>
        <w:rPr>
          <w:rFonts w:ascii="Arial" w:cs="Arial" w:eastAsia="Arial" w:hAnsi="Arial"/>
          <w:sz w:val="20"/>
          <w:szCs w:val="20"/>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10160</wp:posOffset>
            </wp:positionV>
            <wp:extent cx="385762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1">
                      <a:extLst>
                        <a:ext uri="{28A0092B-C50C-407E-A947-70E740481C1C}"/>
                      </a:extLst>
                    </a:blip>
                    <a:srcRect/>
                    <a:stretch>
                      <a:fillRect/>
                    </a:stretch>
                  </pic:blipFill>
                  <pic:spPr bwMode="auto">
                    <a:xfrm>
                      <a:off x="0" y="0"/>
                      <a:ext cx="3857625" cy="8255"/>
                    </a:xfrm>
                    <a:prstGeom prst="rect">
                      <a:avLst/>
                    </a:prstGeom>
                    <a:noFill/>
                  </pic:spPr>
                </pic:pic>
              </a:graphicData>
            </a:graphic>
          </wp:anchor>
        </w:drawing>
      </w:r>
    </w:p>
    <w:p>
      <w:pPr>
        <w:spacing w:after="0" w:line="190" w:lineRule="exact"/>
        <w:rPr>
          <w:sz w:val="20"/>
          <w:szCs w:val="20"/>
          <w:color w:val="auto"/>
        </w:rPr>
      </w:pPr>
    </w:p>
    <w:p>
      <w:pPr>
        <w:ind w:left="600" w:hanging="591"/>
        <w:spacing w:after="0"/>
        <w:tabs>
          <w:tab w:leader="none" w:pos="600" w:val="left"/>
        </w:tabs>
        <w:numPr>
          <w:ilvl w:val="0"/>
          <w:numId w:val="52"/>
        </w:numPr>
        <w:rPr>
          <w:rFonts w:ascii="Arial" w:cs="Arial" w:eastAsia="Arial" w:hAnsi="Arial"/>
          <w:sz w:val="20"/>
          <w:szCs w:val="20"/>
          <w:b w:val="1"/>
          <w:bCs w:val="1"/>
          <w:color w:val="auto"/>
        </w:rPr>
      </w:pPr>
      <w:r>
        <w:rPr>
          <w:rFonts w:ascii="Arial" w:cs="Arial" w:eastAsia="Arial" w:hAnsi="Arial"/>
          <w:sz w:val="20"/>
          <w:szCs w:val="20"/>
          <w:b w:val="1"/>
          <w:bCs w:val="1"/>
          <w:color w:val="auto"/>
        </w:rPr>
        <w:t>Minimum Cash and Availability (Section 6.9(a))</w:t>
      </w:r>
    </w:p>
    <w:p>
      <w:pPr>
        <w:spacing w:after="0" w:line="222" w:lineRule="exact"/>
        <w:rPr>
          <w:sz w:val="20"/>
          <w:szCs w:val="20"/>
          <w:color w:val="auto"/>
        </w:rPr>
      </w:pPr>
    </w:p>
    <w:p>
      <w:pPr>
        <w:spacing w:after="0"/>
        <w:tabs>
          <w:tab w:leader="none" w:pos="1520" w:val="left"/>
        </w:tabs>
        <w:rPr>
          <w:sz w:val="20"/>
          <w:szCs w:val="20"/>
          <w:color w:val="auto"/>
        </w:rPr>
      </w:pPr>
      <w:r>
        <w:rPr>
          <w:rFonts w:ascii="Arial" w:cs="Arial" w:eastAsia="Arial" w:hAnsi="Arial"/>
          <w:sz w:val="20"/>
          <w:szCs w:val="20"/>
          <w:color w:val="auto"/>
        </w:rPr>
        <w:t>Required:</w:t>
      </w:r>
      <w:r>
        <w:rPr>
          <w:sz w:val="20"/>
          <w:szCs w:val="20"/>
          <w:color w:val="auto"/>
        </w:rPr>
        <w:tab/>
      </w:r>
      <w:r>
        <w:rPr>
          <w:rFonts w:ascii="Arial" w:cs="Arial" w:eastAsia="Arial" w:hAnsi="Arial"/>
          <w:sz w:val="20"/>
          <w:szCs w:val="20"/>
          <w:color w:val="auto"/>
        </w:rPr>
        <w:t>$11,000,000</w:t>
      </w:r>
    </w:p>
    <w:p>
      <w:pPr>
        <w:spacing w:after="0" w:line="216" w:lineRule="exact"/>
        <w:rPr>
          <w:sz w:val="20"/>
          <w:szCs w:val="20"/>
          <w:color w:val="auto"/>
        </w:rPr>
      </w:pPr>
    </w:p>
    <w:p>
      <w:pPr>
        <w:spacing w:after="0"/>
        <w:tabs>
          <w:tab w:leader="none" w:pos="1520" w:val="left"/>
        </w:tabs>
        <w:rPr>
          <w:sz w:val="20"/>
          <w:szCs w:val="20"/>
          <w:color w:val="auto"/>
        </w:rPr>
      </w:pPr>
      <w:r>
        <w:rPr>
          <w:rFonts w:ascii="Arial" w:cs="Arial" w:eastAsia="Arial" w:hAnsi="Arial"/>
          <w:sz w:val="20"/>
          <w:szCs w:val="20"/>
          <w:color w:val="auto"/>
        </w:rPr>
        <w:t>Actual:</w:t>
      </w:r>
      <w:r>
        <w:rPr>
          <w:sz w:val="20"/>
          <w:szCs w:val="20"/>
          <w:color w:val="auto"/>
        </w:rPr>
        <w:tab/>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974725</wp:posOffset>
            </wp:positionH>
            <wp:positionV relativeFrom="paragraph">
              <wp:posOffset>10160</wp:posOffset>
            </wp:positionV>
            <wp:extent cx="325755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2">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20"/>
                <w:szCs w:val="20"/>
                <w:color w:val="auto"/>
              </w:rPr>
              <w:t>A.</w:t>
            </w:r>
          </w:p>
        </w:tc>
        <w:tc>
          <w:tcPr>
            <w:tcW w:w="6080" w:type="dxa"/>
            <w:vAlign w:val="bottom"/>
          </w:tcPr>
          <w:p>
            <w:pPr>
              <w:ind w:left="20"/>
              <w:spacing w:after="0"/>
              <w:rPr>
                <w:sz w:val="20"/>
                <w:szCs w:val="20"/>
                <w:color w:val="auto"/>
              </w:rPr>
            </w:pPr>
            <w:r>
              <w:rPr>
                <w:rFonts w:ascii="Arial" w:cs="Arial" w:eastAsia="Arial" w:hAnsi="Arial"/>
                <w:sz w:val="20"/>
                <w:szCs w:val="20"/>
                <w:color w:val="auto"/>
                <w:w w:val="93"/>
              </w:rPr>
              <w:t>Aggregate value of Borrower’s unrestricted cash maintained at Bank and</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6"/>
        </w:trPr>
        <w:tc>
          <w:tcPr>
            <w:tcW w:w="580" w:type="dxa"/>
            <w:vAlign w:val="bottom"/>
            <w:vMerge w:val="restart"/>
          </w:tcPr>
          <w:p>
            <w:pPr>
              <w:spacing w:after="0"/>
              <w:rPr>
                <w:sz w:val="20"/>
                <w:szCs w:val="20"/>
                <w:color w:val="auto"/>
              </w:rPr>
            </w:pPr>
            <w:r>
              <w:rPr>
                <w:rFonts w:ascii="Arial" w:cs="Arial" w:eastAsia="Arial" w:hAnsi="Arial"/>
                <w:sz w:val="20"/>
                <w:szCs w:val="20"/>
                <w:color w:val="auto"/>
              </w:rPr>
              <w:t>B.</w:t>
            </w:r>
          </w:p>
        </w:tc>
        <w:tc>
          <w:tcPr>
            <w:tcW w:w="608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Bank’s Affiliates</w:t>
            </w:r>
          </w:p>
        </w:tc>
        <w:tc>
          <w:tcPr>
            <w:tcW w:w="34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17"/>
        </w:trPr>
        <w:tc>
          <w:tcPr>
            <w:tcW w:w="580" w:type="dxa"/>
            <w:vAlign w:val="bottom"/>
            <w:vMerge w:val="continue"/>
          </w:tcPr>
          <w:p>
            <w:pPr>
              <w:spacing w:after="0"/>
              <w:rPr>
                <w:sz w:val="18"/>
                <w:szCs w:val="18"/>
                <w:color w:val="auto"/>
              </w:rPr>
            </w:pPr>
          </w:p>
        </w:tc>
        <w:tc>
          <w:tcPr>
            <w:tcW w:w="6080" w:type="dxa"/>
            <w:vAlign w:val="bottom"/>
            <w:tcBorders>
              <w:bottom w:val="single" w:sz="8" w:color="auto"/>
            </w:tcBorders>
          </w:tcPr>
          <w:p>
            <w:pPr>
              <w:ind w:left="20"/>
              <w:spacing w:after="0" w:line="207" w:lineRule="exact"/>
              <w:rPr>
                <w:sz w:val="20"/>
                <w:szCs w:val="20"/>
                <w:color w:val="auto"/>
              </w:rPr>
            </w:pPr>
            <w:r>
              <w:rPr>
                <w:rFonts w:ascii="Arial" w:cs="Arial" w:eastAsia="Arial" w:hAnsi="Arial"/>
                <w:sz w:val="20"/>
                <w:szCs w:val="20"/>
                <w:color w:val="auto"/>
              </w:rPr>
              <w:t>The Revolving Line (</w:t>
            </w:r>
            <w:r>
              <w:rPr>
                <w:rFonts w:ascii="Arial" w:cs="Arial" w:eastAsia="Arial" w:hAnsi="Arial"/>
                <w:sz w:val="20"/>
                <w:szCs w:val="20"/>
                <w:i w:val="1"/>
                <w:iCs w:val="1"/>
                <w:color w:val="auto"/>
              </w:rPr>
              <w:t>i.e</w:t>
            </w:r>
            <w:r>
              <w:rPr>
                <w:rFonts w:ascii="Arial" w:cs="Arial" w:eastAsia="Arial" w:hAnsi="Arial"/>
                <w:sz w:val="20"/>
                <w:szCs w:val="20"/>
                <w:color w:val="auto"/>
              </w:rPr>
              <w:t>., $5,000,000)</w:t>
            </w:r>
          </w:p>
        </w:tc>
        <w:tc>
          <w:tcPr>
            <w:tcW w:w="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line="212" w:lineRule="exact"/>
              <w:rPr>
                <w:sz w:val="20"/>
                <w:szCs w:val="20"/>
                <w:color w:val="auto"/>
              </w:rPr>
            </w:pPr>
            <w:r>
              <w:rPr>
                <w:rFonts w:ascii="Arial" w:cs="Arial" w:eastAsia="Arial" w:hAnsi="Arial"/>
                <w:sz w:val="20"/>
                <w:szCs w:val="20"/>
                <w:color w:val="auto"/>
              </w:rPr>
              <w:t>C.</w:t>
            </w:r>
          </w:p>
        </w:tc>
        <w:tc>
          <w:tcPr>
            <w:tcW w:w="6080" w:type="dxa"/>
            <w:vAlign w:val="bottom"/>
            <w:tcBorders>
              <w:bottom w:val="single" w:sz="8" w:color="auto"/>
            </w:tcBorders>
          </w:tcPr>
          <w:p>
            <w:pPr>
              <w:ind w:left="20"/>
              <w:spacing w:after="0" w:line="212" w:lineRule="exact"/>
              <w:rPr>
                <w:sz w:val="20"/>
                <w:szCs w:val="20"/>
                <w:color w:val="auto"/>
              </w:rPr>
            </w:pPr>
            <w:r>
              <w:rPr>
                <w:rFonts w:ascii="Arial" w:cs="Arial" w:eastAsia="Arial" w:hAnsi="Arial"/>
                <w:sz w:val="20"/>
                <w:szCs w:val="20"/>
                <w:color w:val="auto"/>
              </w:rPr>
              <w:t>The amount available under the Borrowing Base</w:t>
            </w:r>
          </w:p>
        </w:tc>
        <w:tc>
          <w:tcPr>
            <w:tcW w:w="340" w:type="dxa"/>
            <w:vAlign w:val="bottom"/>
          </w:tcPr>
          <w:p>
            <w:pPr>
              <w:jc w:val="right"/>
              <w:spacing w:after="0" w:line="212"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29"/>
        </w:trPr>
        <w:tc>
          <w:tcPr>
            <w:tcW w:w="580" w:type="dxa"/>
            <w:vAlign w:val="bottom"/>
          </w:tcPr>
          <w:p>
            <w:pPr>
              <w:spacing w:after="0" w:line="220" w:lineRule="exact"/>
              <w:rPr>
                <w:sz w:val="20"/>
                <w:szCs w:val="20"/>
                <w:color w:val="auto"/>
              </w:rPr>
            </w:pPr>
            <w:r>
              <w:rPr>
                <w:rFonts w:ascii="Arial" w:cs="Arial" w:eastAsia="Arial" w:hAnsi="Arial"/>
                <w:sz w:val="20"/>
                <w:szCs w:val="20"/>
                <w:color w:val="auto"/>
              </w:rPr>
              <w:t>D.</w:t>
            </w:r>
          </w:p>
        </w:tc>
        <w:tc>
          <w:tcPr>
            <w:tcW w:w="6080" w:type="dxa"/>
            <w:vAlign w:val="bottom"/>
          </w:tcPr>
          <w:p>
            <w:pPr>
              <w:ind w:left="20"/>
              <w:spacing w:after="0" w:line="229" w:lineRule="exact"/>
              <w:rPr>
                <w:sz w:val="20"/>
                <w:szCs w:val="20"/>
                <w:color w:val="auto"/>
              </w:rPr>
            </w:pPr>
            <w:r>
              <w:rPr>
                <w:rFonts w:ascii="Arial" w:cs="Arial" w:eastAsia="Arial" w:hAnsi="Arial"/>
                <w:sz w:val="20"/>
                <w:szCs w:val="20"/>
                <w:color w:val="auto"/>
              </w:rPr>
              <w:t>The outstanding principal balance of any Advances</w:t>
            </w:r>
          </w:p>
        </w:tc>
        <w:tc>
          <w:tcPr>
            <w:tcW w:w="340" w:type="dxa"/>
            <w:vAlign w:val="bottom"/>
          </w:tcPr>
          <w:p>
            <w:pPr>
              <w:jc w:val="right"/>
              <w:spacing w:after="0" w:line="220"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bl>
    <w:p>
      <w:pPr>
        <w:ind w:left="600" w:right="2919" w:hanging="591"/>
        <w:spacing w:after="0" w:line="249" w:lineRule="auto"/>
        <w:tabs>
          <w:tab w:leader="none" w:pos="600" w:val="left"/>
        </w:tabs>
        <w:numPr>
          <w:ilvl w:val="0"/>
          <w:numId w:val="53"/>
        </w:numPr>
        <w:rPr>
          <w:rFonts w:ascii="Arial" w:cs="Arial" w:eastAsia="Arial" w:hAnsi="Arial"/>
          <w:sz w:val="20"/>
          <w:szCs w:val="20"/>
          <w:color w:val="auto"/>
        </w:rPr>
      </w:pPr>
      <w:r>
        <w:rPr>
          <w:rFonts w:ascii="Arial" w:cs="Arial" w:eastAsia="Arial" w:hAnsi="Arial"/>
          <w:sz w:val="20"/>
          <w:szCs w:val="20"/>
          <w:color w:val="auto"/>
        </w:rPr>
        <w:t>Availability Amount (the (a) lesser of (i) line B or (ii) line C, minus (b) line D)</w:t>
      </w:r>
    </w:p>
    <w:p>
      <w:pPr>
        <w:ind w:left="600" w:hanging="591"/>
        <w:spacing w:after="0"/>
        <w:tabs>
          <w:tab w:leader="none" w:pos="600" w:val="left"/>
        </w:tabs>
        <w:numPr>
          <w:ilvl w:val="0"/>
          <w:numId w:val="53"/>
        </w:numPr>
        <w:rPr>
          <w:rFonts w:ascii="Arial" w:cs="Arial" w:eastAsia="Arial" w:hAnsi="Arial"/>
          <w:sz w:val="20"/>
          <w:szCs w:val="20"/>
          <w:color w:val="auto"/>
        </w:rPr>
      </w:pPr>
      <w:r>
        <w:rPr>
          <w:rFonts w:ascii="Arial" w:cs="Arial" w:eastAsia="Arial" w:hAnsi="Arial"/>
          <w:sz w:val="20"/>
          <w:szCs w:val="20"/>
          <w:color w:val="auto"/>
        </w:rPr>
        <w:t>Cash and Availability (line A plus line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5715</wp:posOffset>
            </wp:positionV>
            <wp:extent cx="385762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3">
                      <a:extLst>
                        <a:ext uri="{28A0092B-C50C-407E-A947-70E740481C1C}"/>
                      </a:extLst>
                    </a:blip>
                    <a:srcRect/>
                    <a:stretch>
                      <a:fillRect/>
                    </a:stretch>
                  </pic:blipFill>
                  <pic:spPr bwMode="auto">
                    <a:xfrm>
                      <a:off x="0" y="0"/>
                      <a:ext cx="3857625" cy="8890"/>
                    </a:xfrm>
                    <a:prstGeom prst="rect">
                      <a:avLst/>
                    </a:prstGeom>
                    <a:noFill/>
                  </pic:spPr>
                </pic:pic>
              </a:graphicData>
            </a:graphic>
          </wp:anchor>
        </w:drawing>
        <w:drawing>
          <wp:anchor simplePos="0" relativeHeight="251657728" behindDoc="1" locked="0" layoutInCell="0" allowOverlap="1">
            <wp:simplePos x="0" y="0"/>
            <wp:positionH relativeFrom="column">
              <wp:posOffset>374650</wp:posOffset>
            </wp:positionH>
            <wp:positionV relativeFrom="paragraph">
              <wp:posOffset>-147955</wp:posOffset>
            </wp:positionV>
            <wp:extent cx="385762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4">
                      <a:extLst>
                        <a:ext uri="{28A0092B-C50C-407E-A947-70E740481C1C}"/>
                      </a:extLst>
                    </a:blip>
                    <a:srcRect/>
                    <a:stretch>
                      <a:fillRect/>
                    </a:stretch>
                  </pic:blipFill>
                  <pic:spPr bwMode="auto">
                    <a:xfrm>
                      <a:off x="0" y="0"/>
                      <a:ext cx="3857625" cy="8255"/>
                    </a:xfrm>
                    <a:prstGeom prst="rect">
                      <a:avLst/>
                    </a:prstGeom>
                    <a:noFill/>
                  </pic:spPr>
                </pic:pic>
              </a:graphicData>
            </a:graphic>
          </wp:anchor>
        </w:drawing>
        <w:drawing>
          <wp:anchor simplePos="0" relativeHeight="251657728" behindDoc="1" locked="0" layoutInCell="0" allowOverlap="1">
            <wp:simplePos x="0" y="0"/>
            <wp:positionH relativeFrom="column">
              <wp:posOffset>374650</wp:posOffset>
            </wp:positionH>
            <wp:positionV relativeFrom="paragraph">
              <wp:posOffset>-447675</wp:posOffset>
            </wp:positionV>
            <wp:extent cx="385762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5">
                      <a:extLst>
                        <a:ext uri="{28A0092B-C50C-407E-A947-70E740481C1C}"/>
                      </a:extLst>
                    </a:blip>
                    <a:srcRect/>
                    <a:stretch>
                      <a:fillRect/>
                    </a:stretch>
                  </pic:blipFill>
                  <pic:spPr bwMode="auto">
                    <a:xfrm>
                      <a:off x="0" y="0"/>
                      <a:ext cx="3857625" cy="8255"/>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color w:val="auto"/>
        </w:rPr>
        <w:t>Is line F equal to or greater than the amount required above?</w:t>
      </w:r>
    </w:p>
    <w:p>
      <w:pPr>
        <w:spacing w:after="0" w:line="216" w:lineRule="exact"/>
        <w:rPr>
          <w:sz w:val="20"/>
          <w:szCs w:val="20"/>
          <w:color w:val="auto"/>
        </w:rPr>
      </w:pPr>
    </w:p>
    <w:p>
      <w:pPr>
        <w:spacing w:after="0"/>
        <w:tabs>
          <w:tab w:leader="none" w:pos="6880" w:val="left"/>
        </w:tabs>
        <w:rPr>
          <w:sz w:val="20"/>
          <w:szCs w:val="20"/>
          <w:color w:val="auto"/>
        </w:rPr>
      </w:pPr>
      <w:r>
        <w:rPr>
          <w:rFonts w:ascii="Arial" w:cs="Arial" w:eastAsia="Arial" w:hAnsi="Arial"/>
          <w:sz w:val="20"/>
          <w:szCs w:val="20"/>
          <w:color w:val="auto"/>
        </w:rPr>
        <w:t>No, not in compliance</w:t>
      </w:r>
      <w:r>
        <w:rPr>
          <w:sz w:val="20"/>
          <w:szCs w:val="20"/>
          <w:color w:val="auto"/>
        </w:rPr>
        <w:tab/>
      </w:r>
      <w:r>
        <w:rPr>
          <w:rFonts w:ascii="Arial" w:cs="Arial" w:eastAsia="Arial" w:hAnsi="Arial"/>
          <w:sz w:val="18"/>
          <w:szCs w:val="18"/>
          <w:color w:val="auto"/>
        </w:rPr>
        <w:t>Yes, in compliance</w:t>
      </w:r>
    </w:p>
    <w:p>
      <w:pPr>
        <w:spacing w:after="0" w:line="210" w:lineRule="exact"/>
        <w:rPr>
          <w:sz w:val="20"/>
          <w:szCs w:val="20"/>
          <w:color w:val="auto"/>
        </w:rPr>
      </w:pPr>
    </w:p>
    <w:p>
      <w:pPr>
        <w:ind w:left="600" w:hanging="591"/>
        <w:spacing w:after="0"/>
        <w:tabs>
          <w:tab w:leader="none" w:pos="600" w:val="left"/>
        </w:tabs>
        <w:numPr>
          <w:ilvl w:val="0"/>
          <w:numId w:val="54"/>
        </w:numPr>
        <w:rPr>
          <w:rFonts w:ascii="Arial" w:cs="Arial" w:eastAsia="Arial" w:hAnsi="Arial"/>
          <w:sz w:val="20"/>
          <w:szCs w:val="20"/>
          <w:b w:val="1"/>
          <w:bCs w:val="1"/>
          <w:color w:val="auto"/>
        </w:rPr>
      </w:pPr>
      <w:r>
        <w:rPr>
          <w:rFonts w:ascii="Arial" w:cs="Arial" w:eastAsia="Arial" w:hAnsi="Arial"/>
          <w:sz w:val="20"/>
          <w:szCs w:val="20"/>
          <w:b w:val="1"/>
          <w:bCs w:val="1"/>
          <w:color w:val="auto"/>
        </w:rPr>
        <w:t>Streamline Period</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Required: Is the Minimum Cash and Availability≥ $12,000,000</w:t>
      </w:r>
    </w:p>
    <w:p>
      <w:pPr>
        <w:spacing w:after="0" w:line="216" w:lineRule="exact"/>
        <w:rPr>
          <w:sz w:val="20"/>
          <w:szCs w:val="20"/>
          <w:color w:val="auto"/>
        </w:rPr>
      </w:pPr>
    </w:p>
    <w:p>
      <w:pPr>
        <w:spacing w:after="0"/>
        <w:tabs>
          <w:tab w:leader="none" w:pos="6880" w:val="left"/>
        </w:tabs>
        <w:rPr>
          <w:sz w:val="20"/>
          <w:szCs w:val="20"/>
          <w:color w:val="auto"/>
        </w:rPr>
      </w:pPr>
      <w:r>
        <w:rPr>
          <w:rFonts w:ascii="Arial" w:cs="Arial" w:eastAsia="Arial" w:hAnsi="Arial"/>
          <w:sz w:val="20"/>
          <w:szCs w:val="20"/>
          <w:color w:val="auto"/>
        </w:rPr>
        <w:t>No, not in Streamline Period</w:t>
      </w:r>
      <w:r>
        <w:rPr>
          <w:sz w:val="20"/>
          <w:szCs w:val="20"/>
          <w:color w:val="auto"/>
        </w:rPr>
        <w:tab/>
      </w:r>
      <w:r>
        <w:rPr>
          <w:rFonts w:ascii="Arial" w:cs="Arial" w:eastAsia="Arial" w:hAnsi="Arial"/>
          <w:sz w:val="16"/>
          <w:szCs w:val="16"/>
          <w:color w:val="auto"/>
        </w:rPr>
        <w:t>Yes, in Streamline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490220</wp:posOffset>
            </wp:positionV>
            <wp:extent cx="629221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79"/>
          </w:cols>
          <w:pgMar w:left="980" w:top="118" w:right="1440" w:bottom="1440" w:gutter="0" w:footer="0" w:header="0"/>
        </w:sectPr>
      </w:pPr>
    </w:p>
    <w:bookmarkStart w:id="75" w:name="page76"/>
    <w:bookmarkEnd w:id="75"/>
    <w:p>
      <w:pPr>
        <w:jc w:val="right"/>
        <w:ind w:right="59"/>
        <w:spacing w:after="0"/>
        <w:rPr>
          <w:sz w:val="20"/>
          <w:szCs w:val="20"/>
          <w:color w:val="auto"/>
        </w:rPr>
      </w:pPr>
      <w:r>
        <w:rPr>
          <w:rFonts w:ascii="Arial" w:cs="Arial" w:eastAsia="Arial" w:hAnsi="Arial"/>
          <w:sz w:val="18"/>
          <w:szCs w:val="18"/>
          <w:b w:val="1"/>
          <w:bCs w:val="1"/>
          <w:color w:val="auto"/>
        </w:rPr>
        <w:t>Exhibit 31.1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Kevin Conley, certify that:</w:t>
      </w:r>
    </w:p>
    <w:p>
      <w:pPr>
        <w:spacing w:after="0" w:line="198" w:lineRule="exact"/>
        <w:rPr>
          <w:sz w:val="20"/>
          <w:szCs w:val="20"/>
          <w:color w:val="auto"/>
        </w:rPr>
      </w:pPr>
    </w:p>
    <w:p>
      <w:pPr>
        <w:ind w:left="380" w:hanging="330"/>
        <w:spacing w:after="0"/>
        <w:tabs>
          <w:tab w:leader="none" w:pos="3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 have reviewed this Form 10-Q of Everspin Technologies, Inc.;</w:t>
      </w:r>
    </w:p>
    <w:p>
      <w:pPr>
        <w:spacing w:after="0" w:line="198" w:lineRule="exact"/>
        <w:rPr>
          <w:rFonts w:ascii="Arial" w:cs="Arial" w:eastAsia="Arial" w:hAnsi="Arial"/>
          <w:sz w:val="18"/>
          <w:szCs w:val="18"/>
          <w:color w:val="auto"/>
        </w:rPr>
      </w:pPr>
    </w:p>
    <w:p>
      <w:pPr>
        <w:jc w:val="both"/>
        <w:ind w:left="380" w:right="119" w:hanging="330"/>
        <w:spacing w:after="0" w:line="248" w:lineRule="auto"/>
        <w:tabs>
          <w:tab w:leader="none" w:pos="3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8"/>
          <w:szCs w:val="18"/>
          <w:color w:val="auto"/>
        </w:rPr>
      </w:pPr>
    </w:p>
    <w:p>
      <w:pPr>
        <w:ind w:left="380" w:right="79" w:hanging="330"/>
        <w:spacing w:after="0" w:line="248" w:lineRule="auto"/>
        <w:tabs>
          <w:tab w:leader="none" w:pos="3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Arial" w:cs="Arial" w:eastAsia="Arial" w:hAnsi="Arial"/>
          <w:sz w:val="18"/>
          <w:szCs w:val="18"/>
          <w:color w:val="auto"/>
        </w:rPr>
      </w:pPr>
    </w:p>
    <w:p>
      <w:pPr>
        <w:jc w:val="both"/>
        <w:ind w:left="380" w:right="239" w:hanging="330"/>
        <w:spacing w:after="0" w:line="270" w:lineRule="auto"/>
        <w:tabs>
          <w:tab w:leader="none" w:pos="3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0" w:lineRule="exact"/>
        <w:rPr>
          <w:rFonts w:ascii="Arial" w:cs="Arial" w:eastAsia="Arial" w:hAnsi="Arial"/>
          <w:sz w:val="17"/>
          <w:szCs w:val="17"/>
          <w:color w:val="auto"/>
        </w:rPr>
      </w:pPr>
    </w:p>
    <w:p>
      <w:pPr>
        <w:jc w:val="both"/>
        <w:ind w:left="380" w:right="59" w:hanging="6"/>
        <w:spacing w:after="0" w:line="243" w:lineRule="auto"/>
        <w:tabs>
          <w:tab w:leader="none" w:pos="668"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4" w:lineRule="exact"/>
        <w:rPr>
          <w:rFonts w:ascii="Arial" w:cs="Arial" w:eastAsia="Arial" w:hAnsi="Arial"/>
          <w:sz w:val="18"/>
          <w:szCs w:val="18"/>
          <w:color w:val="auto"/>
        </w:rPr>
      </w:pPr>
    </w:p>
    <w:p>
      <w:pPr>
        <w:jc w:val="both"/>
        <w:ind w:left="380" w:right="59" w:hanging="6"/>
        <w:spacing w:after="0" w:line="243" w:lineRule="auto"/>
        <w:tabs>
          <w:tab w:leader="none" w:pos="644"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4" w:lineRule="exact"/>
        <w:rPr>
          <w:rFonts w:ascii="Arial" w:cs="Arial" w:eastAsia="Arial" w:hAnsi="Arial"/>
          <w:sz w:val="18"/>
          <w:szCs w:val="18"/>
          <w:color w:val="auto"/>
        </w:rPr>
      </w:pPr>
    </w:p>
    <w:p>
      <w:pPr>
        <w:jc w:val="both"/>
        <w:ind w:left="380" w:right="59" w:hanging="6"/>
        <w:spacing w:after="0" w:line="248" w:lineRule="auto"/>
        <w:tabs>
          <w:tab w:leader="none" w:pos="641" w:val="left"/>
        </w:tabs>
        <w:numPr>
          <w:ilvl w:val="1"/>
          <w:numId w:val="5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8"/>
          <w:szCs w:val="18"/>
          <w:color w:val="auto"/>
        </w:rPr>
      </w:pPr>
    </w:p>
    <w:p>
      <w:pPr>
        <w:jc w:val="both"/>
        <w:ind w:left="380" w:right="59" w:hanging="6"/>
        <w:spacing w:after="0" w:line="243" w:lineRule="auto"/>
        <w:tabs>
          <w:tab w:leader="none" w:pos="64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4" w:lineRule="exact"/>
        <w:rPr>
          <w:rFonts w:ascii="Arial" w:cs="Arial" w:eastAsia="Arial" w:hAnsi="Arial"/>
          <w:sz w:val="18"/>
          <w:szCs w:val="18"/>
          <w:color w:val="auto"/>
        </w:rPr>
      </w:pPr>
    </w:p>
    <w:p>
      <w:pPr>
        <w:jc w:val="both"/>
        <w:ind w:left="380" w:right="319" w:hanging="330"/>
        <w:spacing w:after="0" w:line="248" w:lineRule="auto"/>
        <w:tabs>
          <w:tab w:leader="none" w:pos="3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8" w:lineRule="exact"/>
        <w:rPr>
          <w:rFonts w:ascii="Arial" w:cs="Arial" w:eastAsia="Arial" w:hAnsi="Arial"/>
          <w:sz w:val="18"/>
          <w:szCs w:val="18"/>
          <w:color w:val="auto"/>
        </w:rPr>
      </w:pPr>
    </w:p>
    <w:p>
      <w:pPr>
        <w:jc w:val="both"/>
        <w:ind w:left="380" w:right="59" w:hanging="6"/>
        <w:spacing w:after="0" w:line="248" w:lineRule="auto"/>
        <w:tabs>
          <w:tab w:leader="none" w:pos="643" w:val="left"/>
        </w:tabs>
        <w:numPr>
          <w:ilvl w:val="1"/>
          <w:numId w:val="5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8"/>
          <w:szCs w:val="18"/>
          <w:color w:val="auto"/>
        </w:rPr>
      </w:pPr>
    </w:p>
    <w:p>
      <w:pPr>
        <w:ind w:left="380" w:right="79" w:hanging="6"/>
        <w:spacing w:after="0" w:line="261" w:lineRule="auto"/>
        <w:tabs>
          <w:tab w:leader="none" w:pos="648" w:val="left"/>
        </w:tabs>
        <w:numPr>
          <w:ilvl w:val="1"/>
          <w:numId w:val="5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August 6, 2020</w:t>
      </w:r>
    </w:p>
    <w:p>
      <w:pPr>
        <w:spacing w:after="0" w:line="212"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/s/ Kevin Conley</w:t>
      </w:r>
    </w:p>
    <w:p>
      <w:pPr>
        <w:spacing w:after="0" w:line="36"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Kevin Conley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3185795</wp:posOffset>
            </wp:positionH>
            <wp:positionV relativeFrom="paragraph">
              <wp:posOffset>-130175</wp:posOffset>
            </wp:positionV>
            <wp:extent cx="250317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7">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3" w:lineRule="exact"/>
        <w:rPr>
          <w:sz w:val="20"/>
          <w:szCs w:val="20"/>
          <w:color w:val="auto"/>
        </w:rPr>
      </w:pPr>
    </w:p>
    <w:p>
      <w:pPr>
        <w:ind w:left="502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494665</wp:posOffset>
            </wp:positionV>
            <wp:extent cx="565785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76" w:name="page77"/>
    <w:bookmarkEnd w:id="76"/>
    <w:p>
      <w:pPr>
        <w:jc w:val="right"/>
        <w:ind w:right="59"/>
        <w:spacing w:after="0"/>
        <w:rPr>
          <w:sz w:val="20"/>
          <w:szCs w:val="20"/>
          <w:color w:val="auto"/>
        </w:rPr>
      </w:pPr>
      <w:r>
        <w:rPr>
          <w:rFonts w:ascii="Arial" w:cs="Arial" w:eastAsia="Arial" w:hAnsi="Arial"/>
          <w:sz w:val="18"/>
          <w:szCs w:val="18"/>
          <w:b w:val="1"/>
          <w:bCs w:val="1"/>
          <w:color w:val="auto"/>
        </w:rPr>
        <w:t>Exhibit 31.2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Daniel Berenbaum, certify that:</w:t>
      </w:r>
    </w:p>
    <w:p>
      <w:pPr>
        <w:spacing w:after="0" w:line="198" w:lineRule="exact"/>
        <w:rPr>
          <w:sz w:val="20"/>
          <w:szCs w:val="20"/>
          <w:color w:val="auto"/>
        </w:rPr>
      </w:pPr>
    </w:p>
    <w:p>
      <w:pPr>
        <w:ind w:left="700" w:hanging="326"/>
        <w:spacing w:after="0"/>
        <w:tabs>
          <w:tab w:leader="none" w:pos="7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 have reviewed this Form 10-Q of Everspin Technologies, Inc.;</w:t>
      </w:r>
    </w:p>
    <w:p>
      <w:pPr>
        <w:spacing w:after="0" w:line="198" w:lineRule="exact"/>
        <w:rPr>
          <w:rFonts w:ascii="Arial" w:cs="Arial" w:eastAsia="Arial" w:hAnsi="Arial"/>
          <w:sz w:val="18"/>
          <w:szCs w:val="18"/>
          <w:color w:val="auto"/>
        </w:rPr>
      </w:pPr>
    </w:p>
    <w:p>
      <w:pPr>
        <w:ind w:left="700" w:right="299" w:hanging="326"/>
        <w:spacing w:after="0" w:line="248" w:lineRule="auto"/>
        <w:tabs>
          <w:tab w:leader="none" w:pos="7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8"/>
          <w:szCs w:val="18"/>
          <w:color w:val="auto"/>
        </w:rPr>
      </w:pPr>
    </w:p>
    <w:p>
      <w:pPr>
        <w:ind w:left="700" w:right="179" w:hanging="326"/>
        <w:spacing w:after="0" w:line="248" w:lineRule="auto"/>
        <w:tabs>
          <w:tab w:leader="none" w:pos="7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Arial" w:cs="Arial" w:eastAsia="Arial" w:hAnsi="Arial"/>
          <w:sz w:val="18"/>
          <w:szCs w:val="18"/>
          <w:color w:val="auto"/>
        </w:rPr>
      </w:pPr>
    </w:p>
    <w:p>
      <w:pPr>
        <w:ind w:left="700" w:right="219" w:hanging="326"/>
        <w:spacing w:after="0" w:line="294" w:lineRule="auto"/>
        <w:tabs>
          <w:tab w:leader="none" w:pos="7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3" w:lineRule="exact"/>
        <w:rPr>
          <w:rFonts w:ascii="Arial" w:cs="Arial" w:eastAsia="Arial" w:hAnsi="Arial"/>
          <w:sz w:val="16"/>
          <w:szCs w:val="16"/>
          <w:color w:val="auto"/>
        </w:rPr>
      </w:pPr>
    </w:p>
    <w:p>
      <w:pPr>
        <w:jc w:val="both"/>
        <w:ind w:left="1020" w:right="79" w:hanging="322"/>
        <w:spacing w:after="0" w:line="243" w:lineRule="auto"/>
        <w:tabs>
          <w:tab w:leader="none" w:pos="102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4" w:lineRule="exact"/>
        <w:rPr>
          <w:rFonts w:ascii="Arial" w:cs="Arial" w:eastAsia="Arial" w:hAnsi="Arial"/>
          <w:sz w:val="18"/>
          <w:szCs w:val="18"/>
          <w:color w:val="auto"/>
        </w:rPr>
      </w:pPr>
    </w:p>
    <w:p>
      <w:pPr>
        <w:jc w:val="both"/>
        <w:ind w:left="1020" w:right="79" w:hanging="322"/>
        <w:spacing w:after="0" w:line="243" w:lineRule="auto"/>
        <w:tabs>
          <w:tab w:leader="none" w:pos="102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4" w:lineRule="exact"/>
        <w:rPr>
          <w:rFonts w:ascii="Arial" w:cs="Arial" w:eastAsia="Arial" w:hAnsi="Arial"/>
          <w:sz w:val="18"/>
          <w:szCs w:val="18"/>
          <w:color w:val="auto"/>
        </w:rPr>
      </w:pPr>
    </w:p>
    <w:p>
      <w:pPr>
        <w:jc w:val="both"/>
        <w:ind w:left="1020" w:right="79" w:hanging="322"/>
        <w:spacing w:after="0" w:line="248" w:lineRule="auto"/>
        <w:tabs>
          <w:tab w:leader="none" w:pos="1020" w:val="left"/>
        </w:tabs>
        <w:numPr>
          <w:ilvl w:val="1"/>
          <w:numId w:val="5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8"/>
          <w:szCs w:val="18"/>
          <w:color w:val="auto"/>
        </w:rPr>
      </w:pPr>
    </w:p>
    <w:p>
      <w:pPr>
        <w:jc w:val="both"/>
        <w:ind w:left="1020" w:right="79" w:hanging="322"/>
        <w:spacing w:after="0" w:line="243" w:lineRule="auto"/>
        <w:tabs>
          <w:tab w:leader="none" w:pos="102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4" w:lineRule="exact"/>
        <w:rPr>
          <w:rFonts w:ascii="Arial" w:cs="Arial" w:eastAsia="Arial" w:hAnsi="Arial"/>
          <w:sz w:val="18"/>
          <w:szCs w:val="18"/>
          <w:color w:val="auto"/>
        </w:rPr>
      </w:pPr>
    </w:p>
    <w:p>
      <w:pPr>
        <w:ind w:left="700" w:right="399" w:hanging="326"/>
        <w:spacing w:after="0" w:line="248" w:lineRule="auto"/>
        <w:tabs>
          <w:tab w:leader="none" w:pos="7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8" w:lineRule="exact"/>
        <w:rPr>
          <w:rFonts w:ascii="Arial" w:cs="Arial" w:eastAsia="Arial" w:hAnsi="Arial"/>
          <w:sz w:val="18"/>
          <w:szCs w:val="18"/>
          <w:color w:val="auto"/>
        </w:rPr>
      </w:pPr>
    </w:p>
    <w:p>
      <w:pPr>
        <w:jc w:val="both"/>
        <w:ind w:left="1020" w:right="79" w:hanging="322"/>
        <w:spacing w:after="0" w:line="248" w:lineRule="auto"/>
        <w:tabs>
          <w:tab w:leader="none" w:pos="102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8"/>
          <w:szCs w:val="18"/>
          <w:color w:val="auto"/>
        </w:rPr>
      </w:pPr>
    </w:p>
    <w:p>
      <w:pPr>
        <w:ind w:left="1020" w:right="79" w:hanging="322"/>
        <w:spacing w:after="0" w:line="261" w:lineRule="auto"/>
        <w:tabs>
          <w:tab w:leader="none" w:pos="102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August 6, 2020</w:t>
      </w:r>
    </w:p>
    <w:p>
      <w:pPr>
        <w:spacing w:after="0" w:line="21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/s/Daniel Berenbaum</w:t>
      </w:r>
    </w:p>
    <w:p>
      <w:pPr>
        <w:spacing w:after="0" w:line="3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Daniel Berenbaum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3331210</wp:posOffset>
            </wp:positionH>
            <wp:positionV relativeFrom="paragraph">
              <wp:posOffset>-130175</wp:posOffset>
            </wp:positionV>
            <wp:extent cx="235775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9">
                      <a:extLst>
                        <a:ext uri="{28A0092B-C50C-407E-A947-70E740481C1C}"/>
                      </a:extLst>
                    </a:blip>
                    <a:srcRect/>
                    <a:stretch>
                      <a:fillRect/>
                    </a:stretch>
                  </pic:blipFill>
                  <pic:spPr bwMode="auto">
                    <a:xfrm>
                      <a:off x="0" y="0"/>
                      <a:ext cx="2357755" cy="8255"/>
                    </a:xfrm>
                    <a:prstGeom prst="rect">
                      <a:avLst/>
                    </a:prstGeom>
                    <a:noFill/>
                  </pic:spPr>
                </pic:pic>
              </a:graphicData>
            </a:graphic>
          </wp:anchor>
        </w:drawing>
      </w:r>
    </w:p>
    <w:p>
      <w:pPr>
        <w:spacing w:after="0" w:line="3" w:lineRule="exact"/>
        <w:rPr>
          <w:sz w:val="20"/>
          <w:szCs w:val="20"/>
          <w:color w:val="auto"/>
        </w:rPr>
      </w:pPr>
    </w:p>
    <w:p>
      <w:pPr>
        <w:ind w:left="5240"/>
        <w:spacing w:after="0"/>
        <w:rPr>
          <w:sz w:val="20"/>
          <w:szCs w:val="20"/>
          <w:color w:val="auto"/>
        </w:rPr>
      </w:pPr>
      <w:r>
        <w:rPr>
          <w:rFonts w:ascii="Arial" w:cs="Arial" w:eastAsia="Arial" w:hAnsi="Arial"/>
          <w:sz w:val="18"/>
          <w:szCs w:val="18"/>
          <w:i w:val="1"/>
          <w:iCs w:val="1"/>
          <w:color w:val="auto"/>
        </w:rPr>
        <w:t>Chief Financial Officer</w:t>
      </w:r>
    </w:p>
    <w:p>
      <w:pPr>
        <w:spacing w:after="0" w:line="11" w:lineRule="exact"/>
        <w:rPr>
          <w:sz w:val="20"/>
          <w:szCs w:val="20"/>
          <w:color w:val="auto"/>
        </w:rPr>
      </w:pPr>
    </w:p>
    <w:p>
      <w:pPr>
        <w:ind w:left="5240"/>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467360</wp:posOffset>
            </wp:positionV>
            <wp:extent cx="5657850"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77" w:name="page78"/>
    <w:bookmarkEnd w:id="77"/>
    <w:p>
      <w:pPr>
        <w:jc w:val="right"/>
        <w:ind w:right="59"/>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16" w:lineRule="exact"/>
        <w:rPr>
          <w:sz w:val="20"/>
          <w:szCs w:val="20"/>
          <w:color w:val="auto"/>
        </w:rPr>
      </w:pPr>
    </w:p>
    <w:p>
      <w:pPr>
        <w:ind w:left="60" w:right="219"/>
        <w:spacing w:after="0" w:line="262" w:lineRule="auto"/>
        <w:rPr>
          <w:sz w:val="20"/>
          <w:szCs w:val="20"/>
          <w:color w:val="auto"/>
        </w:rPr>
      </w:pPr>
      <w:r>
        <w:rPr>
          <w:rFonts w:ascii="Arial" w:cs="Arial" w:eastAsia="Arial" w:hAnsi="Arial"/>
          <w:sz w:val="17"/>
          <w:szCs w:val="17"/>
          <w:color w:val="auto"/>
        </w:rPr>
        <w:t>Pursuant to the requirement set forth in Rule 13a-14(b) of the Securities Exchange Act of 1934, as amended, (the “Exchange Act”) and Section 1350 of Chapter 63 of Title 18 of the United States Code (18 U.S.C. §1350), Kevin Conley, President and Chief Executive Officer of Everspin Technologies, Inc. (the “Company”), and Daniel Berenbaum, Chief Financial Officer of the Company, each hereby certifies that, to the best of his knowledge:</w:t>
      </w:r>
    </w:p>
    <w:p>
      <w:pPr>
        <w:spacing w:after="0" w:line="172" w:lineRule="exact"/>
        <w:rPr>
          <w:sz w:val="20"/>
          <w:szCs w:val="20"/>
          <w:color w:val="auto"/>
        </w:rPr>
      </w:pPr>
    </w:p>
    <w:p>
      <w:pPr>
        <w:ind w:left="60" w:right="159" w:hanging="10"/>
        <w:spacing w:after="0" w:line="248" w:lineRule="auto"/>
        <w:tabs>
          <w:tab w:leader="none" w:pos="2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period ended June 30, 2020, to which this Certification is attached as Exhibit 32.1 (the “Periodic Report”), fully complies with the requirements of Section 13(a) or Section 15(d) of the Exchange Act; and</w:t>
      </w:r>
    </w:p>
    <w:p>
      <w:pPr>
        <w:spacing w:after="0" w:line="181" w:lineRule="exact"/>
        <w:rPr>
          <w:rFonts w:ascii="Arial" w:cs="Arial" w:eastAsia="Arial" w:hAnsi="Arial"/>
          <w:sz w:val="18"/>
          <w:szCs w:val="18"/>
          <w:color w:val="auto"/>
        </w:rPr>
      </w:pPr>
    </w:p>
    <w:p>
      <w:pPr>
        <w:ind w:left="60" w:right="439" w:hanging="10"/>
        <w:spacing w:after="0" w:line="261" w:lineRule="auto"/>
        <w:tabs>
          <w:tab w:leader="none" w:pos="2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presents, in all material respects, the financial condition and results of operations of the Company.</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August 6, 2020</w:t>
      </w:r>
    </w:p>
    <w:p>
      <w:pPr>
        <w:spacing w:after="0" w:line="212"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/s/ Kevin Conley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-121920</wp:posOffset>
            </wp:positionV>
            <wp:extent cx="5648960" cy="12433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1">
                      <a:extLst>
                        <a:ext uri="{28A0092B-C50C-407E-A947-70E740481C1C}"/>
                      </a:extLst>
                    </a:blip>
                    <a:srcRect/>
                    <a:stretch>
                      <a:fillRect/>
                    </a:stretch>
                  </pic:blipFill>
                  <pic:spPr bwMode="auto">
                    <a:xfrm>
                      <a:off x="0" y="0"/>
                      <a:ext cx="5648960" cy="1243330"/>
                    </a:xfrm>
                    <a:prstGeom prst="rect">
                      <a:avLst/>
                    </a:prstGeom>
                    <a:noFill/>
                  </pic:spPr>
                </pic:pic>
              </a:graphicData>
            </a:graphic>
          </wp:anchor>
        </w:drawing>
      </w:r>
    </w:p>
    <w:p>
      <w:pPr>
        <w:spacing w:after="0" w:line="3"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Kevin Conley</w:t>
      </w:r>
    </w:p>
    <w:p>
      <w:pPr>
        <w:spacing w:after="0" w:line="23" w:lineRule="exact"/>
        <w:rPr>
          <w:sz w:val="20"/>
          <w:szCs w:val="20"/>
          <w:color w:val="auto"/>
        </w:rPr>
      </w:pPr>
    </w:p>
    <w:p>
      <w:pPr>
        <w:ind w:left="540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ind w:left="5400"/>
        <w:spacing w:after="0"/>
        <w:rPr>
          <w:sz w:val="20"/>
          <w:szCs w:val="20"/>
          <w:color w:val="auto"/>
        </w:rPr>
      </w:pPr>
      <w:r>
        <w:rPr>
          <w:rFonts w:ascii="Arial" w:cs="Arial" w:eastAsia="Arial" w:hAnsi="Arial"/>
          <w:sz w:val="18"/>
          <w:szCs w:val="18"/>
          <w:i w:val="1"/>
          <w:iCs w:val="1"/>
          <w:color w:val="auto"/>
        </w:rPr>
        <w:t>(Principal Executive Officer)</w:t>
      </w:r>
    </w:p>
    <w:p>
      <w:pPr>
        <w:spacing w:after="0" w:line="197"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/s/ Daniel Berenbaum</w:t>
      </w:r>
    </w:p>
    <w:p>
      <w:pPr>
        <w:spacing w:after="0" w:line="23"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Daniel Berenbaum</w:t>
      </w:r>
    </w:p>
    <w:p>
      <w:pPr>
        <w:spacing w:after="0" w:line="23" w:lineRule="exact"/>
        <w:rPr>
          <w:sz w:val="20"/>
          <w:szCs w:val="20"/>
          <w:color w:val="auto"/>
        </w:rPr>
      </w:pPr>
    </w:p>
    <w:p>
      <w:pPr>
        <w:ind w:left="540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ind w:left="5400"/>
        <w:spacing w:after="0"/>
        <w:rPr>
          <w:sz w:val="20"/>
          <w:szCs w:val="20"/>
          <w:color w:val="auto"/>
        </w:rPr>
      </w:pPr>
      <w:r>
        <w:rPr>
          <w:rFonts w:ascii="Arial" w:cs="Arial" w:eastAsia="Arial" w:hAnsi="Arial"/>
          <w:sz w:val="18"/>
          <w:szCs w:val="18"/>
          <w:i w:val="1"/>
          <w:iCs w:val="1"/>
          <w:color w:val="auto"/>
        </w:rPr>
        <w:t>(Principal Financial Officer)</w:t>
      </w:r>
    </w:p>
    <w:p>
      <w:pPr>
        <w:spacing w:after="0" w:line="197" w:lineRule="exact"/>
        <w:rPr>
          <w:sz w:val="20"/>
          <w:szCs w:val="20"/>
          <w:color w:val="auto"/>
        </w:rPr>
      </w:pPr>
    </w:p>
    <w:p>
      <w:pPr>
        <w:ind w:left="60" w:right="239"/>
        <w:spacing w:after="0" w:line="284" w:lineRule="auto"/>
        <w:rPr>
          <w:sz w:val="20"/>
          <w:szCs w:val="20"/>
          <w:color w:val="auto"/>
        </w:rPr>
      </w:pPr>
      <w:r>
        <w:rPr>
          <w:rFonts w:ascii="Arial" w:cs="Arial" w:eastAsia="Arial" w:hAnsi="Arial"/>
          <w:sz w:val="16"/>
          <w:szCs w:val="16"/>
          <w:color w:val="auto"/>
        </w:rPr>
        <w:t>This certification accompanies the Form 10-Q to which it relates, is not deemed filed with the Securities and Exchange Commission and is not to be incorporated by reference into any filing of Everspin Technologies, Inc. under the Securities Act of 1933, as amended, or the Securities Exchange Act of 1934, as amended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313055</wp:posOffset>
            </wp:positionV>
            <wp:extent cx="5657850"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sectPr>
      <w:pgSz w:w="11900" w:h="16838" w:orient="portrait"/>
      <w:cols w:equalWidth="0" w:num="1">
        <w:col w:w="9019"/>
      </w:cols>
      <w:pgMar w:left="14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abstractNum>
  <w:abstractNum w:abstractNumId="1">
    <w:nsid w:val="3A95F874"/>
    <w:multiLevelType w:val="hybridMultilevel"/>
    <w:lvl w:ilvl="0">
      <w:lvlJc w:val="left"/>
      <w:lvlText w:val="☐"/>
      <w:numFmt w:val="bullet"/>
      <w:start w:val="1"/>
    </w:lvl>
  </w:abstractNum>
  <w:abstractNum w:abstractNumId="2">
    <w:nsid w:val="8138641"/>
    <w:multiLevelType w:val="hybridMultilevel"/>
    <w:lvl w:ilvl="0">
      <w:lvlJc w:val="left"/>
      <w:lvlText w:val="●"/>
      <w:numFmt w:val="bullet"/>
      <w:start w:val="1"/>
    </w:lvl>
  </w:abstractNum>
  <w:abstractNum w:abstractNumId="3">
    <w:nsid w:val="1E7FF521"/>
    <w:multiLevelType w:val="hybridMultilevel"/>
    <w:lvl w:ilvl="0">
      <w:lvlJc w:val="left"/>
      <w:lvlText w:val="●"/>
      <w:numFmt w:val="bullet"/>
      <w:start w:val="1"/>
    </w:lvl>
  </w:abstractNum>
  <w:abstractNum w:abstractNumId="4">
    <w:nsid w:val="7C3DBD3D"/>
    <w:multiLevelType w:val="hybridMultilevel"/>
    <w:lvl w:ilvl="0">
      <w:lvlJc w:val="left"/>
      <w:lvlText w:val="●"/>
      <w:numFmt w:val="bullet"/>
      <w:start w:val="1"/>
    </w:lvl>
  </w:abstractNum>
  <w:abstractNum w:abstractNumId="5">
    <w:nsid w:val="737B8DDC"/>
    <w:multiLevelType w:val="hybridMultilevel"/>
    <w:lvl w:ilvl="0">
      <w:lvlJc w:val="left"/>
      <w:lvlText w:val="●"/>
      <w:numFmt w:val="bullet"/>
      <w:start w:val="1"/>
    </w:lvl>
  </w:abstractNum>
  <w:abstractNum w:abstractNumId="6">
    <w:nsid w:val="6CEAF087"/>
    <w:multiLevelType w:val="hybridMultilevel"/>
    <w:lvl w:ilvl="0">
      <w:lvlJc w:val="left"/>
      <w:lvlText w:val="●"/>
      <w:numFmt w:val="bullet"/>
      <w:start w:val="1"/>
    </w:lvl>
  </w:abstractNum>
  <w:abstractNum w:abstractNumId="7">
    <w:nsid w:val="22221A70"/>
    <w:multiLevelType w:val="hybridMultilevel"/>
    <w:lvl w:ilvl="0">
      <w:lvlJc w:val="left"/>
      <w:lvlText w:val="●"/>
      <w:numFmt w:val="bullet"/>
      <w:start w:val="1"/>
    </w:lvl>
  </w:abstractNum>
  <w:abstractNum w:abstractNumId="8">
    <w:nsid w:val="4516DDE9"/>
    <w:multiLevelType w:val="hybridMultilevel"/>
    <w:lvl w:ilvl="0">
      <w:lvlJc w:val="left"/>
      <w:lvlText w:val="●"/>
      <w:numFmt w:val="bullet"/>
      <w:start w:val="1"/>
    </w:lvl>
  </w:abstractNum>
  <w:abstractNum w:abstractNumId="9">
    <w:nsid w:val="3006C83E"/>
    <w:multiLevelType w:val="hybridMultilevel"/>
    <w:lvl w:ilvl="0">
      <w:lvlJc w:val="left"/>
      <w:lvlText w:val="●"/>
      <w:numFmt w:val="bullet"/>
      <w:start w:val="1"/>
    </w:lvl>
  </w:abstractNum>
  <w:abstractNum w:abstractNumId="10">
    <w:nsid w:val="614FD4A1"/>
    <w:multiLevelType w:val="hybridMultilevel"/>
    <w:lvl w:ilvl="0">
      <w:lvlJc w:val="left"/>
      <w:lvlText w:val="●"/>
      <w:numFmt w:val="bullet"/>
      <w:start w:val="1"/>
    </w:lvl>
  </w:abstractNum>
  <w:abstractNum w:abstractNumId="11">
    <w:nsid w:val="419AC241"/>
    <w:multiLevelType w:val="hybridMultilevel"/>
    <w:lvl w:ilvl="0">
      <w:lvlJc w:val="left"/>
      <w:lvlText w:val="●"/>
      <w:numFmt w:val="bullet"/>
      <w:start w:val="1"/>
    </w:lvl>
  </w:abstractNum>
  <w:abstractNum w:abstractNumId="12">
    <w:nsid w:val="5577F8E1"/>
    <w:multiLevelType w:val="hybridMultilevel"/>
    <w:lvl w:ilvl="0">
      <w:lvlJc w:val="left"/>
      <w:lvlText w:val="●"/>
      <w:numFmt w:val="bullet"/>
      <w:start w:val="1"/>
    </w:lvl>
  </w:abstractNum>
  <w:abstractNum w:abstractNumId="13">
    <w:nsid w:val="440BADFC"/>
    <w:multiLevelType w:val="hybridMultilevel"/>
    <w:lvl w:ilvl="0">
      <w:lvlJc w:val="left"/>
      <w:lvlText w:val="●"/>
      <w:numFmt w:val="bullet"/>
      <w:start w:val="1"/>
    </w:lvl>
  </w:abstractNum>
  <w:abstractNum w:abstractNumId="14">
    <w:nsid w:val="5072367"/>
    <w:multiLevelType w:val="hybridMultilevel"/>
    <w:lvl w:ilvl="0">
      <w:lvlJc w:val="left"/>
      <w:lvlText w:val="●"/>
      <w:numFmt w:val="bullet"/>
      <w:start w:val="1"/>
    </w:lvl>
  </w:abstractNum>
  <w:abstractNum w:abstractNumId="15">
    <w:nsid w:val="3804823E"/>
    <w:multiLevelType w:val="hybridMultilevel"/>
    <w:lvl w:ilvl="0">
      <w:lvlJc w:val="left"/>
      <w:lvlText w:val="•"/>
      <w:numFmt w:val="bullet"/>
      <w:start w:val="1"/>
    </w:lvl>
  </w:abstractNum>
  <w:abstractNum w:abstractNumId="16">
    <w:nsid w:val="77465F01"/>
    <w:multiLevelType w:val="hybridMultilevel"/>
    <w:lvl w:ilvl="0">
      <w:lvlJc w:val="left"/>
      <w:lvlText w:val="*"/>
      <w:numFmt w:val="bullet"/>
      <w:start w:val="1"/>
    </w:lvl>
    <w:lvl w:ilvl="1">
      <w:lvlJc w:val="left"/>
      <w:lvlText w:val="%2"/>
      <w:numFmt w:val="decimal"/>
      <w:start w:val="104"/>
    </w:lvl>
  </w:abstractNum>
  <w:abstractNum w:abstractNumId="17">
    <w:nsid w:val="7724C67E"/>
    <w:multiLevelType w:val="hybridMultilevel"/>
    <w:lvl w:ilvl="0">
      <w:lvlJc w:val="left"/>
      <w:lvlText w:val="**"/>
      <w:numFmt w:val="bullet"/>
      <w:start w:val="1"/>
    </w:lvl>
    <w:lvl w:ilvl="1">
      <w:lvlJc w:val="left"/>
      <w:lvlText w:val="%2"/>
      <w:numFmt w:val="decimal"/>
      <w:start w:val="1"/>
    </w:lvl>
  </w:abstractNum>
  <w:abstractNum w:abstractNumId="18">
    <w:nsid w:val="5C482A97"/>
    <w:multiLevelType w:val="hybridMultilevel"/>
    <w:lvl w:ilvl="0">
      <w:lvlJc w:val="left"/>
      <w:lvlText w:val="(%1)"/>
      <w:numFmt w:val="lowerLetter"/>
      <w:start w:val="1"/>
    </w:lvl>
  </w:abstractNum>
  <w:abstractNum w:abstractNumId="19">
    <w:nsid w:val="2463B9EA"/>
    <w:multiLevelType w:val="hybridMultilevel"/>
    <w:lvl w:ilvl="0">
      <w:lvlJc w:val="left"/>
      <w:lvlText w:val="(%1)"/>
      <w:numFmt w:val="lowerLetter"/>
      <w:start w:val="2"/>
    </w:lvl>
  </w:abstractNum>
  <w:abstractNum w:abstractNumId="20">
    <w:nsid w:val="5E884ADC"/>
    <w:multiLevelType w:val="hybridMultilevel"/>
    <w:lvl w:ilvl="0">
      <w:lvlJc w:val="left"/>
      <w:lvlText w:val="(%1)"/>
      <w:numFmt w:val="lowerLetter"/>
      <w:start w:val="1"/>
    </w:lvl>
  </w:abstractNum>
  <w:abstractNum w:abstractNumId="21">
    <w:nsid w:val="51EAD36B"/>
    <w:multiLevelType w:val="hybridMultilevel"/>
    <w:lvl w:ilvl="0">
      <w:lvlJc w:val="left"/>
      <w:lvlText w:val="(%1)"/>
      <w:numFmt w:val="lowerLetter"/>
      <w:start w:val="1"/>
    </w:lvl>
    <w:lvl w:ilvl="1">
      <w:lvlJc w:val="left"/>
      <w:lvlText w:val="(%2)"/>
      <w:numFmt w:val="decimal"/>
      <w:start w:val="1"/>
    </w:lvl>
  </w:abstractNum>
  <w:abstractNum w:abstractNumId="22">
    <w:nsid w:val="2D517796"/>
    <w:multiLevelType w:val="hybridMultilevel"/>
    <w:lvl w:ilvl="0">
      <w:lvlJc w:val="left"/>
      <w:lvlText w:val="(%1)"/>
      <w:numFmt w:val="lowerLetter"/>
      <w:start w:val="1"/>
    </w:lvl>
  </w:abstractNum>
  <w:abstractNum w:abstractNumId="23">
    <w:nsid w:val="580BD78F"/>
    <w:multiLevelType w:val="hybridMultilevel"/>
    <w:lvl w:ilvl="0">
      <w:lvlJc w:val="left"/>
      <w:lvlText w:val="%1."/>
      <w:numFmt w:val="decimal"/>
      <w:start w:val="2"/>
    </w:lvl>
  </w:abstractNum>
  <w:abstractNum w:abstractNumId="24">
    <w:nsid w:val="153EA438"/>
    <w:multiLevelType w:val="hybridMultilevel"/>
    <w:lvl w:ilvl="0">
      <w:lvlJc w:val="left"/>
      <w:lvlText w:val="%1."/>
      <w:numFmt w:val="decimal"/>
      <w:start w:val="3"/>
    </w:lvl>
  </w:abstractNum>
  <w:abstractNum w:abstractNumId="25">
    <w:nsid w:val="3855585C"/>
    <w:multiLevelType w:val="hybridMultilevel"/>
    <w:lvl w:ilvl="0">
      <w:lvlJc w:val="left"/>
      <w:lvlText w:val="%1."/>
      <w:numFmt w:val="decimal"/>
      <w:start w:val="1"/>
    </w:lvl>
  </w:abstractNum>
  <w:abstractNum w:abstractNumId="26">
    <w:nsid w:val="70A64E2A"/>
    <w:multiLevelType w:val="hybridMultilevel"/>
    <w:lvl w:ilvl="0">
      <w:lvlJc w:val="left"/>
      <w:lvlText w:val="%1."/>
      <w:numFmt w:val="decimal"/>
      <w:start w:val="3"/>
    </w:lvl>
    <w:lvl w:ilvl="1">
      <w:lvlJc w:val="left"/>
      <w:lvlText w:val="%2."/>
      <w:numFmt w:val="decimal"/>
      <w:start w:val="5"/>
    </w:lvl>
  </w:abstractNum>
  <w:abstractNum w:abstractNumId="27">
    <w:nsid w:val="6A2342EC"/>
    <w:multiLevelType w:val="hybridMultilevel"/>
    <w:lvl w:ilvl="0">
      <w:lvlJc w:val="left"/>
      <w:lvlText w:val="%1."/>
      <w:numFmt w:val="upperLetter"/>
      <w:start w:val="1"/>
    </w:lvl>
  </w:abstractNum>
  <w:abstractNum w:abstractNumId="28">
    <w:nsid w:val="2A487CB0"/>
    <w:multiLevelType w:val="hybridMultilevel"/>
    <w:lvl w:ilvl="0">
      <w:lvlJc w:val="left"/>
      <w:lvlText w:val="%1."/>
      <w:numFmt w:val="decimal"/>
      <w:start w:val="1"/>
    </w:lvl>
  </w:abstractNum>
  <w:abstractNum w:abstractNumId="29">
    <w:nsid w:val="1D4ED43B"/>
    <w:multiLevelType w:val="hybridMultilevel"/>
    <w:lvl w:ilvl="0">
      <w:lvlJc w:val="left"/>
      <w:lvlText w:val="%1."/>
      <w:numFmt w:val="decimal"/>
      <w:start w:val="2"/>
    </w:lvl>
  </w:abstractNum>
  <w:abstractNum w:abstractNumId="30">
    <w:nsid w:val="725A06FB"/>
    <w:multiLevelType w:val="hybridMultilevel"/>
    <w:lvl w:ilvl="0">
      <w:lvlJc w:val="left"/>
      <w:lvlText w:val="%1."/>
      <w:numFmt w:val="decimal"/>
      <w:start w:val="4"/>
    </w:lvl>
  </w:abstractNum>
  <w:abstractNum w:abstractNumId="31">
    <w:nsid w:val="2CD89A32"/>
    <w:multiLevelType w:val="hybridMultilevel"/>
    <w:lvl w:ilvl="0">
      <w:lvlJc w:val="left"/>
      <w:lvlText w:val="%1."/>
      <w:numFmt w:val="decimal"/>
      <w:start w:val="5"/>
    </w:lvl>
  </w:abstractNum>
  <w:abstractNum w:abstractNumId="32">
    <w:nsid w:val="57E4CCAF"/>
    <w:multiLevelType w:val="hybridMultilevel"/>
    <w:lvl w:ilvl="0">
      <w:lvlJc w:val="left"/>
      <w:lvlText w:val="%1."/>
      <w:numFmt w:val="upperLetter"/>
      <w:start w:val="1"/>
    </w:lvl>
  </w:abstractNum>
  <w:abstractNum w:abstractNumId="33">
    <w:nsid w:val="7A6D8D3C"/>
    <w:multiLevelType w:val="hybridMultilevel"/>
    <w:lvl w:ilvl="0">
      <w:lvlJc w:val="left"/>
      <w:lvlText w:val="%1."/>
      <w:numFmt w:val="decimal"/>
      <w:start w:val="1"/>
    </w:lvl>
  </w:abstractNum>
  <w:abstractNum w:abstractNumId="34">
    <w:nsid w:val="4B588F54"/>
    <w:multiLevelType w:val="hybridMultilevel"/>
    <w:lvl w:ilvl="0">
      <w:lvlJc w:val="left"/>
      <w:lvlText w:val="%1."/>
      <w:numFmt w:val="decimal"/>
      <w:start w:val="4"/>
    </w:lvl>
  </w:abstractNum>
  <w:abstractNum w:abstractNumId="35">
    <w:nsid w:val="542289EC"/>
    <w:multiLevelType w:val="hybridMultilevel"/>
    <w:lvl w:ilvl="0">
      <w:lvlJc w:val="left"/>
      <w:lvlText w:val="%1"/>
      <w:numFmt w:val="lowerRoman"/>
      <w:start w:val="1"/>
    </w:lvl>
    <w:lvl w:ilvl="1">
      <w:lvlJc w:val="left"/>
      <w:lvlText w:val="(%2)"/>
      <w:numFmt w:val="lowerLetter"/>
      <w:start w:val="1"/>
    </w:lvl>
    <w:lvl w:ilvl="2">
      <w:lvlJc w:val="left"/>
      <w:lvlText w:val="(%3)"/>
      <w:numFmt w:val="lowerLetter"/>
      <w:start w:val="9"/>
    </w:lvl>
  </w:abstractNum>
  <w:abstractNum w:abstractNumId="36">
    <w:nsid w:val="6DE91B18"/>
    <w:multiLevelType w:val="hybridMultilevel"/>
    <w:lvl w:ilvl="0">
      <w:lvlJc w:val="left"/>
      <w:lvlText w:val="(%1)"/>
      <w:numFmt w:val="lowerRoman"/>
      <w:start w:val="1"/>
    </w:lvl>
    <w:lvl w:ilvl="1">
      <w:lvlJc w:val="left"/>
      <w:lvlText w:val="%2"/>
      <w:numFmt w:val="lowerLetter"/>
      <w:start w:val="1"/>
    </w:lvl>
    <w:lvl w:ilvl="2">
      <w:lvlJc w:val="left"/>
      <w:lvlText w:val="(%3)"/>
      <w:numFmt w:val="lowerLetter"/>
      <w:start w:val="35"/>
    </w:lvl>
  </w:abstractNum>
  <w:abstractNum w:abstractNumId="37">
    <w:nsid w:val="38437FDB"/>
    <w:multiLevelType w:val="hybridMultilevel"/>
    <w:lvl w:ilvl="0">
      <w:lvlJc w:val="left"/>
      <w:lvlText w:val="%1"/>
      <w:numFmt w:val="lowerLetter"/>
      <w:start w:val="1"/>
    </w:lvl>
    <w:lvl w:ilvl="1">
      <w:lvlJc w:val="left"/>
      <w:lvlText w:val="(%2)"/>
      <w:numFmt w:val="lowerLetter"/>
      <w:start w:val="2"/>
    </w:lvl>
  </w:abstractNum>
  <w:abstractNum w:abstractNumId="38">
    <w:nsid w:val="7644A45C"/>
    <w:multiLevelType w:val="hybridMultilevel"/>
    <w:lvl w:ilvl="0">
      <w:lvlJc w:val="left"/>
      <w:lvlText w:val="(%1)"/>
      <w:numFmt w:val="lowerLetter"/>
      <w:start w:val="61"/>
    </w:lvl>
    <w:lvl w:ilvl="1">
      <w:lvlJc w:val="left"/>
      <w:lvlText w:val="%2"/>
      <w:numFmt w:val="lowerLetter"/>
      <w:start w:val="1"/>
    </w:lvl>
  </w:abstractNum>
  <w:abstractNum w:abstractNumId="39">
    <w:nsid w:val="32FFF902"/>
    <w:multiLevelType w:val="hybridMultilevel"/>
    <w:lvl w:ilvl="0">
      <w:lvlJc w:val="left"/>
      <w:lvlText w:val="(%1)"/>
      <w:numFmt w:val="lowerLetter"/>
      <w:start w:val="1"/>
    </w:lvl>
  </w:abstractNum>
  <w:abstractNum w:abstractNumId="40">
    <w:nsid w:val="684A481A"/>
    <w:multiLevelType w:val="hybridMultilevel"/>
    <w:lvl w:ilvl="0">
      <w:lvlJc w:val="left"/>
      <w:lvlText w:val="(%1)"/>
      <w:numFmt w:val="lowerLetter"/>
      <w:start w:val="1"/>
    </w:lvl>
  </w:abstractNum>
  <w:abstractNum w:abstractNumId="41">
    <w:nsid w:val="579478FE"/>
    <w:multiLevelType w:val="hybridMultilevel"/>
    <w:lvl w:ilvl="0">
      <w:lvlJc w:val="left"/>
      <w:lvlText w:val="(%1)"/>
      <w:numFmt w:val="lowerLetter"/>
      <w:start w:val="2"/>
    </w:lvl>
  </w:abstractNum>
  <w:abstractNum w:abstractNumId="42">
    <w:nsid w:val="749ABB43"/>
    <w:multiLevelType w:val="hybridMultilevel"/>
    <w:lvl w:ilvl="0">
      <w:lvlJc w:val="left"/>
      <w:lvlText w:val="(%1)"/>
      <w:numFmt w:val="lowerLetter"/>
      <w:start w:val="3"/>
    </w:lvl>
    <w:lvl w:ilvl="1">
      <w:lvlJc w:val="left"/>
      <w:lvlText w:val="(%2)"/>
      <w:numFmt w:val="lowerLetter"/>
      <w:start w:val="9"/>
    </w:lvl>
  </w:abstractNum>
  <w:abstractNum w:abstractNumId="43">
    <w:nsid w:val="3DC240FB"/>
    <w:multiLevelType w:val="hybridMultilevel"/>
    <w:lvl w:ilvl="0">
      <w:lvlJc w:val="left"/>
      <w:lvlText w:val="(%1)"/>
      <w:numFmt w:val="lowerLetter"/>
      <w:start w:val="2"/>
    </w:lvl>
  </w:abstractNum>
  <w:abstractNum w:abstractNumId="44">
    <w:nsid w:val="1BA026FA"/>
    <w:multiLevelType w:val="hybridMultilevel"/>
    <w:lvl w:ilvl="0">
      <w:lvlJc w:val="left"/>
      <w:lvlText w:val="(%1)"/>
      <w:numFmt w:val="lowerRoman"/>
      <w:start w:val="2"/>
    </w:lvl>
  </w:abstractNum>
  <w:abstractNum w:abstractNumId="45">
    <w:nsid w:val="79A1DEAA"/>
    <w:multiLevelType w:val="hybridMultilevel"/>
    <w:lvl w:ilvl="0">
      <w:lvlJc w:val="left"/>
      <w:lvlText w:val="%1"/>
      <w:numFmt w:val="lowerLetter"/>
      <w:start w:val="1"/>
    </w:lvl>
    <w:lvl w:ilvl="1">
      <w:lvlJc w:val="left"/>
      <w:lvlText w:val="(%2)"/>
      <w:numFmt w:val="lowerLetter"/>
      <w:start w:val="26"/>
    </w:lvl>
  </w:abstractNum>
  <w:abstractNum w:abstractNumId="46">
    <w:nsid w:val="75C6C33A"/>
    <w:multiLevelType w:val="hybridMultilevel"/>
    <w:lvl w:ilvl="0">
      <w:lvlJc w:val="left"/>
      <w:lvlText w:val="(%1)"/>
      <w:numFmt w:val="lowerLetter"/>
      <w:start w:val="4"/>
    </w:lvl>
    <w:lvl w:ilvl="1">
      <w:lvlJc w:val="left"/>
      <w:lvlText w:val="%2"/>
      <w:numFmt w:val="lowerLetter"/>
      <w:start w:val="1"/>
    </w:lvl>
  </w:abstractNum>
  <w:abstractNum w:abstractNumId="47">
    <w:nsid w:val="12E685FB"/>
    <w:multiLevelType w:val="hybridMultilevel"/>
    <w:lvl w:ilvl="0">
      <w:lvlJc w:val="left"/>
      <w:lvlText w:val="%1."/>
      <w:numFmt w:val="decimal"/>
      <w:start w:val="5"/>
    </w:lvl>
  </w:abstractNum>
  <w:abstractNum w:abstractNumId="48">
    <w:nsid w:val="70C6A529"/>
    <w:multiLevelType w:val="hybridMultilevel"/>
    <w:lvl w:ilvl="0">
      <w:lvlJc w:val="left"/>
      <w:lvlText w:val="%1."/>
      <w:numFmt w:val="decimal"/>
      <w:start w:val="6"/>
    </w:lvl>
  </w:abstractNum>
  <w:abstractNum w:abstractNumId="49">
    <w:nsid w:val="520EEDD1"/>
    <w:multiLevelType w:val="hybridMultilevel"/>
    <w:lvl w:ilvl="0">
      <w:lvlJc w:val="left"/>
      <w:lvlText w:val="%1."/>
      <w:numFmt w:val="decimal"/>
      <w:start w:val="7"/>
    </w:lvl>
  </w:abstractNum>
  <w:abstractNum w:abstractNumId="50">
    <w:nsid w:val="374A3FE6"/>
    <w:multiLevelType w:val="hybridMultilevel"/>
    <w:lvl w:ilvl="0">
      <w:lvlJc w:val="left"/>
      <w:lvlText w:val="(%1)"/>
      <w:numFmt w:val="decimal"/>
      <w:start w:val="4"/>
    </w:lvl>
  </w:abstractNum>
  <w:abstractNum w:abstractNumId="51">
    <w:nsid w:val="4F4EF005"/>
    <w:multiLevelType w:val="hybridMultilevel"/>
    <w:lvl w:ilvl="0">
      <w:lvlJc w:val="left"/>
      <w:lvlText w:val="%1."/>
      <w:numFmt w:val="upperLetter"/>
      <w:start w:val="9"/>
    </w:lvl>
  </w:abstractNum>
  <w:abstractNum w:abstractNumId="52">
    <w:nsid w:val="23F9C13C"/>
    <w:multiLevelType w:val="hybridMultilevel"/>
    <w:lvl w:ilvl="0">
      <w:lvlJc w:val="left"/>
      <w:lvlText w:val="%1."/>
      <w:numFmt w:val="upperLetter"/>
      <w:start w:val="5"/>
    </w:lvl>
  </w:abstractNum>
  <w:abstractNum w:abstractNumId="53">
    <w:nsid w:val="649BB77C"/>
    <w:multiLevelType w:val="hybridMultilevel"/>
    <w:lvl w:ilvl="0">
      <w:lvlJc w:val="left"/>
      <w:lvlText w:val="%1."/>
      <w:numFmt w:val="upperLetter"/>
      <w:start w:val="35"/>
    </w:lvl>
  </w:abstractNum>
  <w:abstractNum w:abstractNumId="54">
    <w:nsid w:val="275AC794"/>
    <w:multiLevelType w:val="hybridMultilevel"/>
    <w:lvl w:ilvl="0">
      <w:lvlJc w:val="left"/>
      <w:lvlText w:val="%1."/>
      <w:numFmt w:val="decimal"/>
      <w:start w:val="1"/>
    </w:lvl>
    <w:lvl w:ilvl="1">
      <w:lvlJc w:val="left"/>
      <w:lvlText w:val="(%2)"/>
      <w:numFmt w:val="lowerLetter"/>
      <w:start w:val="1"/>
    </w:lvl>
  </w:abstractNum>
  <w:abstractNum w:abstractNumId="55">
    <w:nsid w:val="39386575"/>
    <w:multiLevelType w:val="hybridMultilevel"/>
    <w:lvl w:ilvl="0">
      <w:lvlJc w:val="left"/>
      <w:lvlText w:val="%1."/>
      <w:numFmt w:val="decimal"/>
      <w:start w:val="1"/>
    </w:lvl>
    <w:lvl w:ilvl="1">
      <w:lvlJc w:val="left"/>
      <w:lvlText w:val="(%2)"/>
      <w:numFmt w:val="lowerLetter"/>
      <w:start w:val="1"/>
    </w:lvl>
  </w:abstractNum>
  <w:abstractNum w:abstractNumId="56">
    <w:nsid w:val="1CF10FD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71" Type="http://schemas.openxmlformats.org/officeDocument/2006/relationships/image" Target="media/image57.png"/><Relationship Id="rId72" Type="http://schemas.openxmlformats.org/officeDocument/2006/relationships/image" Target="media/image58.png"/><Relationship Id="rId73" Type="http://schemas.openxmlformats.org/officeDocument/2006/relationships/image" Target="media/image59.png"/><Relationship Id="rId74" Type="http://schemas.openxmlformats.org/officeDocument/2006/relationships/image" Target="media/image60.png"/><Relationship Id="rId75" Type="http://schemas.openxmlformats.org/officeDocument/2006/relationships/image" Target="media/image61.png"/><Relationship Id="rId76" Type="http://schemas.openxmlformats.org/officeDocument/2006/relationships/image" Target="media/image62.png"/><Relationship Id="rId77" Type="http://schemas.openxmlformats.org/officeDocument/2006/relationships/image" Target="media/image63.png"/><Relationship Id="rId78" Type="http://schemas.openxmlformats.org/officeDocument/2006/relationships/image" Target="media/image64.png"/><Relationship Id="rId79" Type="http://schemas.openxmlformats.org/officeDocument/2006/relationships/image" Target="media/image65.png"/><Relationship Id="rId80" Type="http://schemas.openxmlformats.org/officeDocument/2006/relationships/image" Target="media/image66.png"/><Relationship Id="rId81" Type="http://schemas.openxmlformats.org/officeDocument/2006/relationships/image" Target="media/image67.png"/><Relationship Id="rId82" Type="http://schemas.openxmlformats.org/officeDocument/2006/relationships/image" Target="media/image68.png"/><Relationship Id="rId83" Type="http://schemas.openxmlformats.org/officeDocument/2006/relationships/image" Target="media/image69.png"/><Relationship Id="rId84" Type="http://schemas.openxmlformats.org/officeDocument/2006/relationships/image" Target="media/image70.png"/><Relationship Id="rId85" Type="http://schemas.openxmlformats.org/officeDocument/2006/relationships/image" Target="media/image71.png"/><Relationship Id="rId86" Type="http://schemas.openxmlformats.org/officeDocument/2006/relationships/image" Target="media/image72.png"/><Relationship Id="rId87" Type="http://schemas.openxmlformats.org/officeDocument/2006/relationships/image" Target="media/image73.png"/><Relationship Id="rId88" Type="http://schemas.openxmlformats.org/officeDocument/2006/relationships/image" Target="media/image74.png"/><Relationship Id="rId89" Type="http://schemas.openxmlformats.org/officeDocument/2006/relationships/image" Target="media/image75.png"/><Relationship Id="rId90" Type="http://schemas.openxmlformats.org/officeDocument/2006/relationships/image" Target="media/image76.png"/><Relationship Id="rId91" Type="http://schemas.openxmlformats.org/officeDocument/2006/relationships/image" Target="media/image77.png"/><Relationship Id="rId92" Type="http://schemas.openxmlformats.org/officeDocument/2006/relationships/image" Target="media/image78.png"/><Relationship Id="rId93" Type="http://schemas.openxmlformats.org/officeDocument/2006/relationships/image" Target="media/image79.png"/><Relationship Id="rId94" Type="http://schemas.openxmlformats.org/officeDocument/2006/relationships/image" Target="media/image80.png"/><Relationship Id="rId95" Type="http://schemas.openxmlformats.org/officeDocument/2006/relationships/image" Target="media/image81.png"/><Relationship Id="rId96" Type="http://schemas.openxmlformats.org/officeDocument/2006/relationships/image" Target="media/image82.png"/><Relationship Id="rId97" Type="http://schemas.openxmlformats.org/officeDocument/2006/relationships/image" Target="media/image83.png"/><Relationship Id="rId98" Type="http://schemas.openxmlformats.org/officeDocument/2006/relationships/image" Target="media/image84.png"/><Relationship Id="rId99" Type="http://schemas.openxmlformats.org/officeDocument/2006/relationships/image" Target="media/image85.png"/><Relationship Id="rId100" Type="http://schemas.openxmlformats.org/officeDocument/2006/relationships/image" Target="media/image86.png"/><Relationship Id="rId101" Type="http://schemas.openxmlformats.org/officeDocument/2006/relationships/image" Target="media/image87.png"/><Relationship Id="rId102" Type="http://schemas.openxmlformats.org/officeDocument/2006/relationships/image" Target="media/image88.png"/><Relationship Id="rId103" Type="http://schemas.openxmlformats.org/officeDocument/2006/relationships/image" Target="media/image89.png"/><Relationship Id="rId104" Type="http://schemas.openxmlformats.org/officeDocument/2006/relationships/image" Target="media/image90.png"/><Relationship Id="rId105" Type="http://schemas.openxmlformats.org/officeDocument/2006/relationships/image" Target="media/image91.png"/><Relationship Id="rId106" Type="http://schemas.openxmlformats.org/officeDocument/2006/relationships/image" Target="media/image92.png"/><Relationship Id="rId107" Type="http://schemas.openxmlformats.org/officeDocument/2006/relationships/image" Target="media/image93.png"/><Relationship Id="rId108" Type="http://schemas.openxmlformats.org/officeDocument/2006/relationships/image" Target="media/image94.png"/><Relationship Id="rId109" Type="http://schemas.openxmlformats.org/officeDocument/2006/relationships/image" Target="media/image95.png"/><Relationship Id="rId110" Type="http://schemas.openxmlformats.org/officeDocument/2006/relationships/image" Target="media/image96.png"/><Relationship Id="rId111" Type="http://schemas.openxmlformats.org/officeDocument/2006/relationships/image" Target="media/image97.png"/><Relationship Id="rId112" Type="http://schemas.openxmlformats.org/officeDocument/2006/relationships/image" Target="media/image98.png"/><Relationship Id="rId113" Type="http://schemas.openxmlformats.org/officeDocument/2006/relationships/image" Target="media/image99.png"/><Relationship Id="rId114" Type="http://schemas.openxmlformats.org/officeDocument/2006/relationships/image" Target="media/image100.png"/><Relationship Id="rId115" Type="http://schemas.openxmlformats.org/officeDocument/2006/relationships/image" Target="media/image101.png"/><Relationship Id="rId116" Type="http://schemas.openxmlformats.org/officeDocument/2006/relationships/image" Target="media/image102.png"/><Relationship Id="rId117" Type="http://schemas.openxmlformats.org/officeDocument/2006/relationships/image" Target="media/image103.png"/><Relationship Id="rId118" Type="http://schemas.openxmlformats.org/officeDocument/2006/relationships/image" Target="media/image104.png"/><Relationship Id="rId119" Type="http://schemas.openxmlformats.org/officeDocument/2006/relationships/image" Target="media/image105.png"/><Relationship Id="rId120" Type="http://schemas.openxmlformats.org/officeDocument/2006/relationships/image" Target="media/image106.png"/><Relationship Id="rId121" Type="http://schemas.openxmlformats.org/officeDocument/2006/relationships/image" Target="media/image107.png"/><Relationship Id="rId122" Type="http://schemas.openxmlformats.org/officeDocument/2006/relationships/image" Target="media/image108.png"/><Relationship Id="rId64" Type="http://schemas.openxmlformats.org/officeDocument/2006/relationships/hyperlink" Target="http://www.sec.gov/Archives/edgar/data/1438423/000119312516737688/d271840dex31.htm" TargetMode="External"/><Relationship Id="rId65" Type="http://schemas.openxmlformats.org/officeDocument/2006/relationships/hyperlink" Target="http://www.sec.gov/Archives/edgar/data/1438423/000119312519154165/d752899dex31.htm" TargetMode="External"/><Relationship Id="rId66" Type="http://schemas.openxmlformats.org/officeDocument/2006/relationships/hyperlink" Target="https://www.sec.gov/Archives/edgar/data/1438423/000119312520153247/d936625dex31.htm" TargetMode="External"/><Relationship Id="rId67" Type="http://schemas.openxmlformats.org/officeDocument/2006/relationships/hyperlink" Target="https://www.sec.gov/Archives/edgar/data/1438423/000119312519154165/d752899dex32.htm" TargetMode="External"/><Relationship Id="rId68" Type="http://schemas.openxmlformats.org/officeDocument/2006/relationships/hyperlink" Target="http://www.sec.gov/Archives/edgar/data/1438423/000119312516706479/d180963dex41.htm" TargetMode="External"/><Relationship Id="rId69" Type="http://schemas.openxmlformats.org/officeDocument/2006/relationships/hyperlink" Target="http://www.sec.gov/Archives/edgar/data/1438423/000155837019010452/mram-20190930ex424b334ff.htm" TargetMode="External"/><Relationship Id="rId70" Type="http://schemas.openxmlformats.org/officeDocument/2006/relationships/hyperlink" Target="https://www.sec.gov/Archives/edgar/data/1438423/000119312520042575/d885996d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2020-08-06T16:40:37Z</dcterms:created>
  <dcterms:modified xsi:type="dcterms:W3CDTF">2020-08-06T16:40:37Z</dcterms:modified>
</cp:coreProperties>
</file>