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w:t>
      </w:r>
    </w:p>
    <w:p>
      <w:pPr>
        <w:spacing w:after="0" w:line="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0"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0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ind w:left="460" w:hanging="434"/>
        <w:spacing w:after="0" w:line="201" w:lineRule="auto"/>
        <w:tabs>
          <w:tab w:leader="none" w:pos="460" w:val="left"/>
        </w:tabs>
        <w:numPr>
          <w:ilvl w:val="0"/>
          <w:numId w:val="2"/>
        </w:numPr>
        <w:rPr>
          <w:rFonts w:ascii="MS PGothic" w:cs="MS PGothic" w:eastAsia="MS PGothic" w:hAnsi="MS PGothic"/>
          <w:sz w:val="6"/>
          <w:szCs w:val="6"/>
          <w:color w:val="auto"/>
        </w:rPr>
      </w:pPr>
      <w:r>
        <w:rPr>
          <w:rFonts w:ascii="Times New Roman" w:cs="Times New Roman" w:eastAsia="Times New Roman" w:hAnsi="Times New Roman"/>
          <w:sz w:val="6"/>
          <w:szCs w:val="6"/>
          <w:b w:val="1"/>
          <w:bCs w:val="1"/>
          <w:color w:val="auto"/>
        </w:rPr>
        <w:t>TRANSITION REPORT PURSUANT TO SECTION 13 OR 15(d) OF THE SECURITIES EXCHANGE ACT OF 1934 FOR THE</w:t>
      </w:r>
    </w:p>
    <w:p>
      <w:pPr>
        <w:spacing w:after="0" w:line="199" w:lineRule="exact"/>
        <w:rPr>
          <w:sz w:val="24"/>
          <w:szCs w:val="24"/>
          <w:color w:val="auto"/>
        </w:rPr>
      </w:pPr>
    </w:p>
    <w:p>
      <w:pPr>
        <w:ind w:left="460"/>
        <w:spacing w:after="0"/>
        <w:tabs>
          <w:tab w:leader="none" w:pos="376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0" w:lineRule="exact"/>
        <w:rPr>
          <w:sz w:val="24"/>
          <w:szCs w:val="24"/>
          <w:color w:val="auto"/>
        </w:rPr>
      </w:pPr>
    </w:p>
    <w:p>
      <w:pPr>
        <w:spacing w:after="0" w:line="2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001-37900</w:t>
      </w:r>
    </w:p>
    <w:p>
      <w:pPr>
        <w:spacing w:after="0" w:line="28"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w:t>
      </w:r>
    </w:p>
    <w:p>
      <w:pPr>
        <w:spacing w:after="0" w:line="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6"/>
          <w:szCs w:val="36"/>
          <w:b w:val="1"/>
          <w:bCs w:val="1"/>
          <w:color w:val="auto"/>
        </w:rPr>
        <w:t>Everspin Technologies, Inc.</w:t>
      </w:r>
    </w:p>
    <w:p>
      <w:pPr>
        <w:spacing w:after="0" w:line="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w:t>
      </w:r>
    </w:p>
    <w:p>
      <w:pPr>
        <w:sectPr>
          <w:pgSz w:w="11900" w:h="16838" w:orient="portrait"/>
          <w:cols w:equalWidth="0" w:num="1">
            <w:col w:w="11260"/>
          </w:cols>
          <w:pgMar w:left="320" w:top="229" w:right="319" w:bottom="1440" w:gutter="0" w:footer="0" w:header="0"/>
        </w:sectPr>
      </w:pPr>
    </w:p>
    <w:p>
      <w:pPr>
        <w:spacing w:after="0" w:line="100"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26-2640654</w:t>
      </w:r>
    </w:p>
    <w:p>
      <w:pPr>
        <w:spacing w:after="0" w:line="50" w:lineRule="exact"/>
        <w:rPr>
          <w:sz w:val="24"/>
          <w:szCs w:val="24"/>
          <w:color w:val="auto"/>
        </w:rPr>
      </w:pPr>
    </w:p>
    <w:p>
      <w:pPr>
        <w:sectPr>
          <w:pgSz w:w="11900" w:h="16838" w:orient="portrait"/>
          <w:cols w:equalWidth="0" w:num="2">
            <w:col w:w="7320" w:space="720"/>
            <w:col w:w="3220"/>
          </w:cols>
          <w:pgMar w:left="320" w:top="229" w:right="319" w:bottom="1440" w:gutter="0" w:footer="0" w:header="0"/>
          <w:type w:val="continuous"/>
        </w:sectPr>
      </w:pPr>
    </w:p>
    <w:p>
      <w:pPr>
        <w:jc w:val="center"/>
        <w:ind w:right="15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0" w:lineRule="exact"/>
        <w:rPr>
          <w:sz w:val="24"/>
          <w:szCs w:val="24"/>
          <w:color w:val="auto"/>
        </w:rPr>
      </w:pPr>
    </w:p>
    <w:p>
      <w:pPr>
        <w:sectPr>
          <w:pgSz w:w="11900" w:h="16838" w:orient="portrait"/>
          <w:cols w:equalWidth="0" w:num="2">
            <w:col w:w="7140" w:space="720"/>
            <w:col w:w="3400"/>
          </w:cols>
          <w:pgMar w:left="320" w:top="229" w:right="31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5670 W. Chandler Boulevard, Suite 130</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Chandler, Arizona 85226</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(480) 347-1111</w:t>
      </w:r>
    </w:p>
    <w:p>
      <w:pPr>
        <w:spacing w:after="0" w:line="23"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41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Title of each class</w:t>
            </w:r>
          </w:p>
        </w:tc>
        <w:tc>
          <w:tcPr>
            <w:tcW w:w="22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Trading Symbol(s)</w:t>
            </w:r>
          </w:p>
        </w:tc>
        <w:tc>
          <w:tcPr>
            <w:tcW w:w="49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Name of the exchange on which registered</w:t>
            </w:r>
          </w:p>
        </w:tc>
      </w:tr>
      <w:tr>
        <w:trPr>
          <w:trHeight w:val="37"/>
        </w:trPr>
        <w:tc>
          <w:tcPr>
            <w:tcW w:w="4100" w:type="dxa"/>
            <w:vAlign w:val="bottom"/>
            <w:tcBorders>
              <w:left w:val="single" w:sz="8" w:color="auto"/>
              <w:bottom w:val="single" w:sz="8" w:color="auto"/>
              <w:right w:val="single" w:sz="8" w:color="auto"/>
            </w:tcBorders>
          </w:tcPr>
          <w:p>
            <w:pPr>
              <w:spacing w:after="0"/>
              <w:rPr>
                <w:sz w:val="3"/>
                <w:szCs w:val="3"/>
                <w:color w:val="auto"/>
              </w:rPr>
            </w:pPr>
          </w:p>
        </w:tc>
        <w:tc>
          <w:tcPr>
            <w:tcW w:w="220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186"/>
        </w:trPr>
        <w:tc>
          <w:tcPr>
            <w:tcW w:w="4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Common Stock, par value $0.0001</w:t>
            </w: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MRAM</w:t>
            </w:r>
          </w:p>
        </w:tc>
        <w:tc>
          <w:tcPr>
            <w:tcW w:w="4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37"/>
        </w:trPr>
        <w:tc>
          <w:tcPr>
            <w:tcW w:w="4100" w:type="dxa"/>
            <w:vAlign w:val="bottom"/>
            <w:tcBorders>
              <w:left w:val="single" w:sz="8" w:color="auto"/>
              <w:bottom w:val="single" w:sz="8" w:color="auto"/>
              <w:right w:val="single" w:sz="8" w:color="auto"/>
            </w:tcBorders>
          </w:tcPr>
          <w:p>
            <w:pPr>
              <w:spacing w:after="0"/>
              <w:rPr>
                <w:sz w:val="3"/>
                <w:szCs w:val="3"/>
                <w:color w:val="auto"/>
              </w:rPr>
            </w:pPr>
          </w:p>
        </w:tc>
        <w:tc>
          <w:tcPr>
            <w:tcW w:w="220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bl>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p>
      <w:pPr>
        <w:spacing w:after="0" w:line="53" w:lineRule="exact"/>
        <w:rPr>
          <w:sz w:val="24"/>
          <w:szCs w:val="24"/>
          <w:color w:val="auto"/>
        </w:rPr>
      </w:pPr>
    </w:p>
    <w:p>
      <w:pPr>
        <w:ind w:right="4500"/>
        <w:spacing w:after="0" w:line="325" w:lineRule="auto"/>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ind w:right="120"/>
        <w:spacing w:after="0" w:line="262"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38" w:lineRule="exact"/>
        <w:rPr>
          <w:sz w:val="24"/>
          <w:szCs w:val="24"/>
          <w:color w:val="auto"/>
        </w:rPr>
      </w:pPr>
    </w:p>
    <w:p>
      <w:pPr>
        <w:ind w:right="220"/>
        <w:spacing w:after="0" w:line="262"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25" w:lineRule="exact"/>
        <w:rPr>
          <w:sz w:val="24"/>
          <w:szCs w:val="24"/>
          <w:color w:val="auto"/>
        </w:rPr>
      </w:pPr>
    </w:p>
    <w:p>
      <w:pPr>
        <w:ind w:right="120"/>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3" w:lineRule="exact"/>
        <w:rPr>
          <w:sz w:val="24"/>
          <w:szCs w:val="24"/>
          <w:color w:val="auto"/>
        </w:rPr>
      </w:pPr>
    </w:p>
    <w:tbl>
      <w:tblPr>
        <w:tblLayout w:type="fixed"/>
        <w:tblInd w:w="20" w:type="dxa"/>
        <w:tblCellMar>
          <w:top w:w="0" w:type="dxa"/>
          <w:left w:w="0" w:type="dxa"/>
          <w:bottom w:w="0" w:type="dxa"/>
          <w:right w:w="0" w:type="dxa"/>
        </w:tblCellMar>
      </w:tblPr>
      <w:tr>
        <w:trPr>
          <w:trHeight w:val="164"/>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180" w:type="dxa"/>
            <w:vAlign w:val="bottom"/>
          </w:tcPr>
          <w:p>
            <w:pPr>
              <w:ind w:left="380"/>
              <w:spacing w:after="0"/>
              <w:rPr>
                <w:sz w:val="20"/>
                <w:szCs w:val="20"/>
                <w:color w:val="auto"/>
              </w:rPr>
            </w:pPr>
            <w:r>
              <w:rPr>
                <w:rFonts w:ascii="Wingdings" w:cs="Wingdings" w:eastAsia="Wingdings" w:hAnsi="Wingdings"/>
                <w:sz w:val="13"/>
                <w:szCs w:val="13"/>
                <w:b w:val="1"/>
                <w:bCs w:val="1"/>
                <w:color w:val="auto"/>
              </w:rPr>
              <w:t>o</w:t>
            </w:r>
          </w:p>
        </w:tc>
        <w:tc>
          <w:tcPr>
            <w:tcW w:w="5040" w:type="dxa"/>
            <w:vAlign w:val="bottom"/>
          </w:tcPr>
          <w:p>
            <w:pPr>
              <w:ind w:left="2660"/>
              <w:spacing w:after="0"/>
              <w:rPr>
                <w:sz w:val="20"/>
                <w:szCs w:val="20"/>
                <w:color w:val="auto"/>
              </w:rPr>
            </w:pPr>
            <w:r>
              <w:rPr>
                <w:rFonts w:ascii="Times New Roman" w:cs="Times New Roman" w:eastAsia="Times New Roman" w:hAnsi="Times New Roman"/>
                <w:sz w:val="13"/>
                <w:szCs w:val="13"/>
                <w:color w:val="auto"/>
              </w:rPr>
              <w:t>Accelerated filer</w:t>
            </w:r>
          </w:p>
        </w:tc>
        <w:tc>
          <w:tcPr>
            <w:tcW w:w="1140" w:type="dxa"/>
            <w:vAlign w:val="bottom"/>
          </w:tcPr>
          <w:p>
            <w:pPr>
              <w:ind w:left="1000"/>
              <w:spacing w:after="0"/>
              <w:rPr>
                <w:sz w:val="20"/>
                <w:szCs w:val="20"/>
                <w:color w:val="auto"/>
              </w:rPr>
            </w:pPr>
            <w:r>
              <w:rPr>
                <w:rFonts w:ascii="Wingdings" w:cs="Wingdings" w:eastAsia="Wingdings" w:hAnsi="Wingdings"/>
                <w:sz w:val="13"/>
                <w:szCs w:val="13"/>
                <w:b w:val="1"/>
                <w:bCs w:val="1"/>
                <w:color w:val="auto"/>
              </w:rPr>
              <w:t>o</w:t>
            </w:r>
          </w:p>
        </w:tc>
      </w:tr>
      <w:tr>
        <w:trPr>
          <w:trHeight w:val="297"/>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180" w:type="dxa"/>
            <w:vAlign w:val="bottom"/>
          </w:tcPr>
          <w:p>
            <w:pPr>
              <w:ind w:left="380"/>
              <w:spacing w:after="0"/>
              <w:rPr>
                <w:sz w:val="20"/>
                <w:szCs w:val="20"/>
                <w:color w:val="auto"/>
              </w:rPr>
            </w:pPr>
            <w:r>
              <w:rPr>
                <w:rFonts w:ascii="Wingdings" w:cs="Wingdings" w:eastAsia="Wingdings" w:hAnsi="Wingdings"/>
                <w:sz w:val="13"/>
                <w:szCs w:val="13"/>
                <w:b w:val="1"/>
                <w:bCs w:val="1"/>
                <w:color w:val="auto"/>
              </w:rPr>
              <w:t>x</w:t>
            </w:r>
          </w:p>
        </w:tc>
        <w:tc>
          <w:tcPr>
            <w:tcW w:w="5040" w:type="dxa"/>
            <w:vAlign w:val="bottom"/>
          </w:tcPr>
          <w:p>
            <w:pPr>
              <w:ind w:left="26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140" w:type="dxa"/>
            <w:vAlign w:val="bottom"/>
          </w:tcPr>
          <w:p>
            <w:pPr>
              <w:ind w:left="1000"/>
              <w:spacing w:after="0"/>
              <w:rPr>
                <w:sz w:val="20"/>
                <w:szCs w:val="20"/>
                <w:color w:val="auto"/>
              </w:rPr>
            </w:pPr>
            <w:r>
              <w:rPr>
                <w:rFonts w:ascii="Wingdings" w:cs="Wingdings" w:eastAsia="Wingdings" w:hAnsi="Wingdings"/>
                <w:sz w:val="13"/>
                <w:szCs w:val="13"/>
                <w:b w:val="1"/>
                <w:bCs w:val="1"/>
                <w:color w:val="auto"/>
                <w:w w:val="86"/>
              </w:rPr>
              <w:t>x</w:t>
            </w:r>
          </w:p>
        </w:tc>
      </w:tr>
      <w:tr>
        <w:trPr>
          <w:trHeight w:val="203"/>
        </w:trPr>
        <w:tc>
          <w:tcPr>
            <w:tcW w:w="15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5040" w:type="dxa"/>
            <w:vAlign w:val="bottom"/>
          </w:tcPr>
          <w:p>
            <w:pPr>
              <w:ind w:left="2660"/>
              <w:spacing w:after="0"/>
              <w:rPr>
                <w:sz w:val="20"/>
                <w:szCs w:val="20"/>
                <w:color w:val="auto"/>
              </w:rPr>
            </w:pPr>
            <w:r>
              <w:rPr>
                <w:rFonts w:ascii="Times New Roman" w:cs="Times New Roman" w:eastAsia="Times New Roman" w:hAnsi="Times New Roman"/>
                <w:sz w:val="13"/>
                <w:szCs w:val="13"/>
                <w:color w:val="auto"/>
              </w:rPr>
              <w:t>Emerging growth company</w:t>
            </w:r>
          </w:p>
        </w:tc>
        <w:tc>
          <w:tcPr>
            <w:tcW w:w="1140" w:type="dxa"/>
            <w:vAlign w:val="bottom"/>
          </w:tcPr>
          <w:p>
            <w:pPr>
              <w:ind w:left="1000"/>
              <w:spacing w:after="0"/>
              <w:rPr>
                <w:sz w:val="20"/>
                <w:szCs w:val="20"/>
                <w:color w:val="auto"/>
              </w:rPr>
            </w:pPr>
            <w:r>
              <w:rPr>
                <w:rFonts w:ascii="Wingdings" w:cs="Wingdings" w:eastAsia="Wingdings" w:hAnsi="Wingdings"/>
                <w:sz w:val="13"/>
                <w:szCs w:val="13"/>
                <w:b w:val="1"/>
                <w:bCs w:val="1"/>
                <w:color w:val="auto"/>
              </w:rPr>
              <w:t>o</w:t>
            </w:r>
          </w:p>
        </w:tc>
      </w:tr>
    </w:tbl>
    <w:p>
      <w:pPr>
        <w:spacing w:after="0" w:line="106" w:lineRule="exact"/>
        <w:rPr>
          <w:sz w:val="24"/>
          <w:szCs w:val="24"/>
          <w:color w:val="auto"/>
        </w:rPr>
      </w:pPr>
    </w:p>
    <w:p>
      <w:pPr>
        <w:ind w:right="340"/>
        <w:spacing w:after="0" w:line="262"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119" w:lineRule="exact"/>
        <w:rPr>
          <w:sz w:val="24"/>
          <w:szCs w:val="24"/>
          <w:color w:val="auto"/>
        </w:rPr>
      </w:pPr>
    </w:p>
    <w:p>
      <w:pPr>
        <w:ind w:right="200"/>
        <w:spacing w:after="0" w:line="262"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3"/>
          <w:szCs w:val="13"/>
          <w:b w:val="1"/>
          <w:bCs w:val="1"/>
          <w:color w:val="auto"/>
        </w:rPr>
        <w:t>o</w:t>
      </w:r>
    </w:p>
    <w:p>
      <w:pPr>
        <w:spacing w:after="0" w:line="25" w:lineRule="exact"/>
        <w:rPr>
          <w:sz w:val="24"/>
          <w:szCs w:val="24"/>
          <w:color w:val="auto"/>
        </w:rPr>
      </w:pPr>
    </w:p>
    <w:p>
      <w:pPr>
        <w:ind w:right="140"/>
        <w:spacing w:after="0" w:line="262" w:lineRule="auto"/>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3"/>
          <w:szCs w:val="13"/>
          <w:b w:val="1"/>
          <w:bCs w:val="1"/>
          <w:color w:val="auto"/>
        </w:rPr>
        <w:t>o</w:t>
      </w:r>
    </w:p>
    <w:p>
      <w:pPr>
        <w:spacing w:after="0" w:line="25" w:lineRule="exact"/>
        <w:rPr>
          <w:sz w:val="24"/>
          <w:szCs w:val="24"/>
          <w:color w:val="auto"/>
        </w:rPr>
      </w:pPr>
    </w:p>
    <w:p>
      <w:pPr>
        <w:ind w:right="260"/>
        <w:spacing w:after="0" w:line="283" w:lineRule="auto"/>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3"/>
          <w:szCs w:val="13"/>
          <w:b w:val="1"/>
          <w:bCs w:val="1"/>
          <w:color w:val="auto"/>
        </w:rPr>
        <w:t>o</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53" w:lineRule="exact"/>
        <w:rPr>
          <w:sz w:val="24"/>
          <w:szCs w:val="24"/>
          <w:color w:val="auto"/>
        </w:rPr>
      </w:pPr>
    </w:p>
    <w:p>
      <w:pPr>
        <w:ind w:right="140"/>
        <w:spacing w:after="0" w:line="253" w:lineRule="auto"/>
        <w:rPr>
          <w:sz w:val="20"/>
          <w:szCs w:val="20"/>
          <w:color w:val="auto"/>
        </w:rPr>
      </w:pPr>
      <w:r>
        <w:rPr>
          <w:rFonts w:ascii="Times New Roman" w:cs="Times New Roman" w:eastAsia="Times New Roman" w:hAnsi="Times New Roman"/>
          <w:sz w:val="13"/>
          <w:szCs w:val="13"/>
          <w:color w:val="auto"/>
        </w:rPr>
        <w:t>As of June 30, 2025, the last business day of the Registrant’s most recently completed second fiscal quarter, the aggregate market value of the common stock of the Registrant held by non-affiliates, based upon the closing sales price for the Registrant’s common stock for such date, as quoted on the Nasdaq Global Market, was approximately $134.2 million. Shares of common stock held by each officer, director and entities affiliated with directors have been excluded because such persons may be deemed to be “affiliates” as that term is defined under the rules and regulations of the Exchange Act. This determination of affiliate status is not necessarily a conclusive determination for any other purpose.</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February 26, 2026, was 23,120,289.</w:t>
      </w:r>
    </w:p>
    <w:p>
      <w:pPr>
        <w:spacing w:after="0" w:line="53"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53" w:lineRule="exact"/>
        <w:rPr>
          <w:sz w:val="24"/>
          <w:szCs w:val="24"/>
          <w:color w:val="auto"/>
        </w:rPr>
      </w:pPr>
    </w:p>
    <w:p>
      <w:pPr>
        <w:ind w:right="560"/>
        <w:spacing w:after="0" w:line="262"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the 2026 Annual Meeting of Stockholders, which will be filed with the Securities and Exchange Commission within 120 days after the end of the Registrant’s fiscal year ended December 31, 2025,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734695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80" w:type="dxa"/>
            <w:vAlign w:val="bottom"/>
            <w:gridSpan w:val="9"/>
          </w:tcPr>
          <w:p>
            <w:pPr>
              <w:ind w:left="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2"/>
              </w:rPr>
              <w:t>PART I</w:t>
            </w:r>
          </w:p>
        </w:tc>
        <w:tc>
          <w:tcPr>
            <w:tcW w:w="500" w:type="dxa"/>
            <w:vAlign w:val="bottom"/>
            <w:gridSpan w:val="5"/>
            <w:vMerge w:val="restart"/>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600" w:type="dxa"/>
            <w:vAlign w:val="bottom"/>
            <w:tcBorders>
              <w:bottom w:val="single" w:sz="8" w:color="0000FF"/>
            </w:tcBorders>
            <w:gridSpan w:val="2"/>
            <w:vMerge w:val="continue"/>
          </w:tcPr>
          <w:p>
            <w:pPr>
              <w:spacing w:after="0"/>
              <w:rPr>
                <w:sz w:val="15"/>
                <w:szCs w:val="15"/>
                <w:color w:val="auto"/>
              </w:rPr>
            </w:pPr>
          </w:p>
        </w:tc>
        <w:tc>
          <w:tcPr>
            <w:tcW w:w="500" w:type="dxa"/>
            <w:vAlign w:val="bottom"/>
            <w:gridSpan w:val="5"/>
            <w:vMerge w:val="continue"/>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560" w:type="dxa"/>
            <w:vAlign w:val="bottom"/>
            <w:gridSpan w:val="6"/>
          </w:tcPr>
          <w:p>
            <w:pPr>
              <w:spacing w:after="0"/>
              <w:rPr>
                <w:sz w:val="24"/>
                <w:szCs w:val="24"/>
                <w:color w:val="auto"/>
              </w:rPr>
            </w:pPr>
          </w:p>
        </w:tc>
        <w:tc>
          <w:tcPr>
            <w:tcW w:w="9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Business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Item 1A.</w:t>
            </w:r>
          </w:p>
        </w:tc>
        <w:tc>
          <w:tcPr>
            <w:tcW w:w="440" w:type="dxa"/>
            <w:vAlign w:val="bottom"/>
            <w:gridSpan w:val="4"/>
          </w:tcPr>
          <w:p>
            <w:pPr>
              <w:spacing w:after="0"/>
              <w:rPr>
                <w:sz w:val="21"/>
                <w:szCs w:val="21"/>
                <w:color w:val="auto"/>
              </w:rPr>
            </w:pP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400" w:type="dxa"/>
            <w:vAlign w:val="bottom"/>
            <w:gridSpan w:val="19"/>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0"/>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Item 1B.</w:t>
            </w:r>
          </w:p>
        </w:tc>
        <w:tc>
          <w:tcPr>
            <w:tcW w:w="500" w:type="dxa"/>
            <w:vAlign w:val="bottom"/>
            <w:gridSpan w:val="5"/>
          </w:tcPr>
          <w:p>
            <w:pPr>
              <w:spacing w:after="0"/>
              <w:rPr>
                <w:sz w:val="21"/>
                <w:szCs w:val="21"/>
                <w:color w:val="auto"/>
              </w:rPr>
            </w:pPr>
          </w:p>
        </w:tc>
        <w:tc>
          <w:tcPr>
            <w:tcW w:w="20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260" w:type="dxa"/>
            <w:vAlign w:val="bottom"/>
            <w:gridSpan w:val="12"/>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0"/>
        </w:trPr>
        <w:tc>
          <w:tcPr>
            <w:tcW w:w="1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1C</w:t>
            </w:r>
            <w:r>
              <w:rPr>
                <w:rFonts w:ascii="Times New Roman" w:cs="Times New Roman" w:eastAsia="Times New Roman" w:hAnsi="Times New Roman"/>
                <w:sz w:val="18"/>
                <w:szCs w:val="18"/>
                <w:color w:val="000000"/>
              </w:rPr>
              <w:t>.</w:t>
            </w:r>
          </w:p>
        </w:tc>
        <w:tc>
          <w:tcPr>
            <w:tcW w:w="9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0"/>
        </w:trPr>
        <w:tc>
          <w:tcPr>
            <w:tcW w:w="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60" w:type="dxa"/>
            <w:vAlign w:val="bottom"/>
            <w:tcBorders>
              <w:top w:val="single" w:sz="8" w:color="0000FF"/>
            </w:tcBorders>
          </w:tcPr>
          <w:p>
            <w:pPr>
              <w:spacing w:after="0"/>
              <w:rPr>
                <w:sz w:val="21"/>
                <w:szCs w:val="21"/>
                <w:color w:val="auto"/>
              </w:rPr>
            </w:pPr>
          </w:p>
        </w:tc>
        <w:tc>
          <w:tcPr>
            <w:tcW w:w="500" w:type="dxa"/>
            <w:vAlign w:val="bottom"/>
            <w:gridSpan w:val="5"/>
          </w:tcPr>
          <w:p>
            <w:pPr>
              <w:spacing w:after="0"/>
              <w:rPr>
                <w:sz w:val="21"/>
                <w:szCs w:val="21"/>
                <w:color w:val="auto"/>
              </w:rPr>
            </w:pPr>
          </w:p>
        </w:tc>
        <w:tc>
          <w:tcPr>
            <w:tcW w:w="7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Properties</w:t>
            </w:r>
          </w:p>
        </w:tc>
        <w:tc>
          <w:tcPr>
            <w:tcW w:w="280" w:type="dxa"/>
            <w:vAlign w:val="bottom"/>
            <w:tcBorders>
              <w:top w:val="single" w:sz="8" w:color="0000FF"/>
            </w:tcBorders>
            <w:gridSpan w:val="3"/>
          </w:tcPr>
          <w:p>
            <w:pPr>
              <w:spacing w:after="0"/>
              <w:rPr>
                <w:sz w:val="21"/>
                <w:szCs w:val="21"/>
                <w:color w:val="auto"/>
              </w:rPr>
            </w:pPr>
          </w:p>
        </w:tc>
        <w:tc>
          <w:tcPr>
            <w:tcW w:w="8300" w:type="dxa"/>
            <w:vAlign w:val="bottom"/>
            <w:gridSpan w:val="18"/>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0"/>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560" w:type="dxa"/>
            <w:vAlign w:val="bottom"/>
            <w:gridSpan w:val="6"/>
          </w:tcPr>
          <w:p>
            <w:pPr>
              <w:spacing w:after="0"/>
              <w:rPr>
                <w:sz w:val="21"/>
                <w:szCs w:val="21"/>
                <w:color w:val="auto"/>
              </w:rPr>
            </w:pPr>
          </w:p>
        </w:tc>
        <w:tc>
          <w:tcPr>
            <w:tcW w:w="1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7980" w:type="dxa"/>
            <w:vAlign w:val="bottom"/>
            <w:gridSpan w:val="16"/>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0"/>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560" w:type="dxa"/>
            <w:vAlign w:val="bottom"/>
            <w:gridSpan w:val="6"/>
          </w:tcPr>
          <w:p>
            <w:pPr>
              <w:spacing w:after="0"/>
              <w:rPr>
                <w:sz w:val="21"/>
                <w:szCs w:val="21"/>
                <w:color w:val="auto"/>
              </w:rPr>
            </w:pPr>
          </w:p>
        </w:tc>
        <w:tc>
          <w:tcPr>
            <w:tcW w:w="17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7540" w:type="dxa"/>
            <w:vAlign w:val="bottom"/>
            <w:gridSpan w:val="14"/>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66"/>
        </w:trPr>
        <w:tc>
          <w:tcPr>
            <w:tcW w:w="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420" w:type="dxa"/>
            <w:vAlign w:val="bottom"/>
            <w:gridSpan w:val="3"/>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560" w:type="dxa"/>
            <w:vAlign w:val="bottom"/>
            <w:gridSpan w:val="6"/>
          </w:tcPr>
          <w:p>
            <w:pPr>
              <w:spacing w:after="0"/>
              <w:rPr>
                <w:sz w:val="24"/>
                <w:szCs w:val="24"/>
                <w:color w:val="auto"/>
              </w:rPr>
            </w:pPr>
          </w:p>
        </w:tc>
        <w:tc>
          <w:tcPr>
            <w:tcW w:w="80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0"/>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560" w:type="dxa"/>
            <w:vAlign w:val="bottom"/>
            <w:gridSpan w:val="6"/>
          </w:tcPr>
          <w:p>
            <w:pPr>
              <w:spacing w:after="0"/>
              <w:rPr>
                <w:sz w:val="21"/>
                <w:szCs w:val="21"/>
                <w:color w:val="auto"/>
              </w:rPr>
            </w:pPr>
          </w:p>
        </w:tc>
        <w:tc>
          <w:tcPr>
            <w:tcW w:w="7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[Reserved]</w:t>
            </w:r>
          </w:p>
        </w:tc>
        <w:tc>
          <w:tcPr>
            <w:tcW w:w="8520" w:type="dxa"/>
            <w:vAlign w:val="bottom"/>
            <w:gridSpan w:val="20"/>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560" w:type="dxa"/>
            <w:vAlign w:val="bottom"/>
            <w:gridSpan w:val="6"/>
          </w:tcPr>
          <w:p>
            <w:pPr>
              <w:spacing w:after="0"/>
              <w:rPr>
                <w:sz w:val="21"/>
                <w:szCs w:val="21"/>
                <w:color w:val="auto"/>
              </w:rPr>
            </w:pPr>
          </w:p>
        </w:tc>
        <w:tc>
          <w:tcPr>
            <w:tcW w:w="9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Item 7A.</w:t>
            </w:r>
          </w:p>
        </w:tc>
        <w:tc>
          <w:tcPr>
            <w:tcW w:w="440" w:type="dxa"/>
            <w:vAlign w:val="bottom"/>
            <w:gridSpan w:val="4"/>
          </w:tcPr>
          <w:p>
            <w:pPr>
              <w:spacing w:after="0"/>
              <w:rPr>
                <w:sz w:val="21"/>
                <w:szCs w:val="21"/>
                <w:color w:val="auto"/>
              </w:rPr>
            </w:pPr>
          </w:p>
        </w:tc>
        <w:tc>
          <w:tcPr>
            <w:tcW w:w="9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0"/>
        </w:trPr>
        <w:tc>
          <w:tcPr>
            <w:tcW w:w="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8.</w:t>
            </w:r>
          </w:p>
        </w:tc>
        <w:tc>
          <w:tcPr>
            <w:tcW w:w="120" w:type="dxa"/>
            <w:vAlign w:val="bottom"/>
            <w:tcBorders>
              <w:top w:val="single" w:sz="8" w:color="0000FF"/>
            </w:tcBorders>
            <w:gridSpan w:val="2"/>
          </w:tcPr>
          <w:p>
            <w:pPr>
              <w:spacing w:after="0"/>
              <w:rPr>
                <w:sz w:val="21"/>
                <w:szCs w:val="21"/>
                <w:color w:val="auto"/>
              </w:rPr>
            </w:pPr>
          </w:p>
        </w:tc>
        <w:tc>
          <w:tcPr>
            <w:tcW w:w="440" w:type="dxa"/>
            <w:vAlign w:val="bottom"/>
            <w:gridSpan w:val="4"/>
          </w:tcPr>
          <w:p>
            <w:pPr>
              <w:spacing w:after="0"/>
              <w:rPr>
                <w:sz w:val="21"/>
                <w:szCs w:val="21"/>
                <w:color w:val="auto"/>
              </w:rPr>
            </w:pPr>
          </w:p>
        </w:tc>
        <w:tc>
          <w:tcPr>
            <w:tcW w:w="332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2"/>
          </w:tcPr>
          <w:p>
            <w:pPr>
              <w:spacing w:after="0"/>
              <w:rPr>
                <w:sz w:val="21"/>
                <w:szCs w:val="21"/>
                <w:color w:val="auto"/>
              </w:rPr>
            </w:pPr>
          </w:p>
        </w:tc>
        <w:tc>
          <w:tcPr>
            <w:tcW w:w="4960" w:type="dxa"/>
            <w:vAlign w:val="bottom"/>
            <w:gridSpan w:val="7"/>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0"/>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560" w:type="dxa"/>
            <w:vAlign w:val="bottom"/>
            <w:gridSpan w:val="6"/>
          </w:tcPr>
          <w:p>
            <w:pPr>
              <w:spacing w:after="0"/>
              <w:rPr>
                <w:sz w:val="21"/>
                <w:szCs w:val="21"/>
                <w:color w:val="auto"/>
              </w:rPr>
            </w:pPr>
          </w:p>
        </w:tc>
        <w:tc>
          <w:tcPr>
            <w:tcW w:w="65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800" w:type="dxa"/>
            <w:vAlign w:val="bottom"/>
            <w:gridSpan w:val="3"/>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50"/>
        </w:trPr>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Item 9A.</w:t>
            </w:r>
          </w:p>
        </w:tc>
        <w:tc>
          <w:tcPr>
            <w:tcW w:w="440" w:type="dxa"/>
            <w:vAlign w:val="bottom"/>
            <w:gridSpan w:val="4"/>
          </w:tcPr>
          <w:p>
            <w:pPr>
              <w:spacing w:after="0"/>
              <w:rPr>
                <w:sz w:val="21"/>
                <w:szCs w:val="21"/>
                <w:color w:val="auto"/>
              </w:rPr>
            </w:pPr>
          </w:p>
        </w:tc>
        <w:tc>
          <w:tcPr>
            <w:tcW w:w="17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7540" w:type="dxa"/>
            <w:vAlign w:val="bottom"/>
            <w:gridSpan w:val="14"/>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50"/>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500" w:type="dxa"/>
            <w:vAlign w:val="bottom"/>
            <w:gridSpan w:val="5"/>
          </w:tcPr>
          <w:p>
            <w:pPr>
              <w:spacing w:after="0"/>
              <w:rPr>
                <w:sz w:val="21"/>
                <w:szCs w:val="21"/>
                <w:color w:val="auto"/>
              </w:rPr>
            </w:pPr>
          </w:p>
        </w:tc>
        <w:tc>
          <w:tcPr>
            <w:tcW w:w="13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8000" w:type="dxa"/>
            <w:vAlign w:val="bottom"/>
            <w:gridSpan w:val="17"/>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50"/>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9C.</w:t>
            </w:r>
          </w:p>
        </w:tc>
        <w:tc>
          <w:tcPr>
            <w:tcW w:w="500" w:type="dxa"/>
            <w:vAlign w:val="bottom"/>
            <w:gridSpan w:val="5"/>
          </w:tcPr>
          <w:p>
            <w:pPr>
              <w:spacing w:after="0"/>
              <w:rPr>
                <w:sz w:val="21"/>
                <w:szCs w:val="21"/>
                <w:color w:val="auto"/>
              </w:rPr>
            </w:pPr>
          </w:p>
        </w:tc>
        <w:tc>
          <w:tcPr>
            <w:tcW w:w="9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6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8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76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10.</w:t>
            </w:r>
          </w:p>
        </w:tc>
        <w:tc>
          <w:tcPr>
            <w:tcW w:w="9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50"/>
        </w:trPr>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500" w:type="dxa"/>
            <w:vAlign w:val="bottom"/>
            <w:gridSpan w:val="5"/>
          </w:tcPr>
          <w:p>
            <w:pPr>
              <w:spacing w:after="0"/>
              <w:rPr>
                <w:sz w:val="21"/>
                <w:szCs w:val="21"/>
                <w:color w:val="auto"/>
              </w:rPr>
            </w:pPr>
          </w:p>
        </w:tc>
        <w:tc>
          <w:tcPr>
            <w:tcW w:w="40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220" w:type="dxa"/>
            <w:vAlign w:val="bottom"/>
            <w:gridSpan w:val="8"/>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12.</w:t>
            </w:r>
          </w:p>
        </w:tc>
        <w:tc>
          <w:tcPr>
            <w:tcW w:w="9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13.</w:t>
            </w:r>
          </w:p>
        </w:tc>
        <w:tc>
          <w:tcPr>
            <w:tcW w:w="9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14.</w:t>
            </w:r>
          </w:p>
        </w:tc>
        <w:tc>
          <w:tcPr>
            <w:tcW w:w="9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7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15.</w:t>
            </w:r>
          </w:p>
        </w:tc>
        <w:tc>
          <w:tcPr>
            <w:tcW w:w="380" w:type="dxa"/>
            <w:vAlign w:val="bottom"/>
            <w:gridSpan w:val="2"/>
          </w:tcPr>
          <w:p>
            <w:pPr>
              <w:spacing w:after="0"/>
              <w:rPr>
                <w:sz w:val="24"/>
                <w:szCs w:val="24"/>
                <w:color w:val="auto"/>
              </w:rPr>
            </w:pPr>
          </w:p>
        </w:tc>
        <w:tc>
          <w:tcPr>
            <w:tcW w:w="9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5"/>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16.</w:t>
            </w:r>
          </w:p>
        </w:tc>
        <w:tc>
          <w:tcPr>
            <w:tcW w:w="9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5"/>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7760" w:type="dxa"/>
            <w:vAlign w:val="bottom"/>
            <w:gridSpan w:val="1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this Annual Report on Form 10-K, “we,” “our,” “us,” “Everspin Technologies,” “Everspin,”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concerning our business, operations and financial performance and condition, as well as our plans, objectives and expectations for our business operations and financial performance and condition. Any statements contained herein that are statements of events or results that may occur in the future are deemed to be forward-looking statements. In some cases, forward-looking statements can be identified by terminology such as “aim,” “anticipate,” “assume,” “believe,” “continue,” “could,” “due,” “estimate,” “expect,” “goal,” “intend,” “may,” “objective,” “plan,” “predict,” “potential,” “positioned,” “seek,” “should,” “will,” “would,” and other similar expressions that are predictions of or indicate future events and future trends, or the negative of these terms or other comparable terminology, although not all forward-looking statements contain these words. These forward-looking statements include, but are not limited to, statements about:</w:t>
      </w:r>
    </w:p>
    <w:p>
      <w:pPr>
        <w:spacing w:after="0" w:line="189" w:lineRule="exact"/>
        <w:rPr>
          <w:sz w:val="20"/>
          <w:szCs w:val="20"/>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revenue, expenses,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products, technologies and businesses;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current supply constraints;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and technologies and our industry;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by expanding our sales to existing customers or introducing our products to new customers;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(IP) protection for our products or avoid claims of infringement;</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MRAM market opportunity;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share price.</w:t>
      </w:r>
    </w:p>
    <w:p>
      <w:pPr>
        <w:spacing w:after="0" w:line="225"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these statements should not be regarded as a representation or warranty by us or any other person that we will achieve our objectives and plans in any specified time frame, or at all. Factors that may cause actual results to differ materially from current expectations include, among other things, those listed under “Risk Factors” and elsewhere in this report. These statements, like all statements in this report, speak only as of their date, and we undertake no obligation to update or revise these statements in light of future developments. Additionally, there may be other risks that are otherwise described from time to time in the reports that we file with the Securities and Exchange Commission (SEC).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w:t>
      </w:r>
    </w:p>
    <w:p>
      <w:pPr>
        <w:spacing w:after="0" w:line="192"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a pioneer in the successful commercialization of Magnetoresistive Random Access Memory (MRAM) technology. Our portfolio of MRAM technologies, including Toggle MRAM, Tunnel Magneto Resistance (TMR) Sensors, and Spin-transfer Torque MRAM (STT-MRAM), is delivering superior performance, persistence and reliability in non-volatile memories that transform how mission-critical data is protected against power loss. With over 20 years of MRAM technology and manufacturing leadership, our memory solutions deliver significant value to our customers in key markets such as industrial, medical, automotive/transportation, aerospace and defense, and data center. We are the leading supplier of discrete MRAM components and a successful licensor of our broad portfolio of related technology and intellectual property.</w:t>
      </w:r>
    </w:p>
    <w:p>
      <w:pPr>
        <w:spacing w:after="0" w:line="22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sell our products directly and through our established distribution channels to industry-leading original equipment manufacturers (OEMs) and original design manufacturers (ODMs).</w:t>
      </w:r>
    </w:p>
    <w:p>
      <w:pPr>
        <w:spacing w:after="0" w:line="20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We manufacture our MRAM products using both captive and third-party manufacturing capabilities. We purchase industry-standard complementary metal-oxide semiconductor (CMOS) wafers from semiconductor foundries and perform back end of line (BEOL) processing that includes our magnetic-bit technology at our leased 200mm fabrication facility in Chandler, Arizona. We also manufacture full-flow 300mm CMOS wafers with our STT-MRAM magnetic-bit technology integrated in BEOL as part of our strategic relationship with GLOBALFOUNDRIES Inc. (GLOBALFOUNDRIES).</w:t>
      </w:r>
    </w:p>
    <w:p>
      <w:pPr>
        <w:spacing w:after="0" w:line="180"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we recorded revenue of $55.2 million and $50.4 million, gross margin of 51.2% and 51.8%, and net loss of $0.6 million and net income of $0.8 million, respectively. Our headquarters is located in Chandler, Arizona. Our principal design center is in Austin, Texas, and we have additional sales operations in the Americas, Europe, and Asia-Pacific regions.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Overview</w:t>
      </w:r>
    </w:p>
    <w:p>
      <w:pPr>
        <w:spacing w:after="0" w:line="229"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We have a strong track record of innovation in MRAM technology, as demonstrated by our successive introduction of MRAM products that address an increasingly broad spectrum of applications. Our MRAM discrete solutions as well as other offerings are described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Toggle MRAM</w:t>
      </w:r>
    </w:p>
    <w:p>
      <w:pPr>
        <w:spacing w:after="0" w:line="22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Toggle MRAM products have been in production since 2008 and are currently shipping in 128kb to 32Mb densities. These high performance, non-volatile memories are designed primarily to address applications in the industrial, medical, automotive/transportation, and data center markets. We offer these products with industry standard interfaces, including Parallel, Serial Peripheral Interface (SPI) and Quad SPI (QSPI) interfaces, enabling our customers to easily replace legacy memory components like Static Random Access Memory (SRAM), Battery Backed Random Access Memory (BBRAM), and Ferroelectric Random Access Memory (FRAM) with Toggle MRAM. Everspin enables our customers to design products incorporating our technology with the assurance that it will be available for many years to 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Spin-Transfer Torque MRAM</w:t>
      </w:r>
    </w:p>
    <w:p>
      <w:pPr>
        <w:spacing w:after="0" w:line="229"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STT-MRAM technology can be tuned to deliver products in Dynamic Random Access Memory (DRAM), SRAM and NOR Flash applications. Our STT-MRAM products targeting DRAM replacement started production in 2017 and are currently shipping in 1Gb density. These high density, high performance persistent memories are delivering significant value to SSD, Persistent Memory Cards, Fabric Accelerator, and other applications in the data center market. We offer these products with DDR3 and DDR4 derivative interfaces, facilitating the replacement of battery-backed DRAM with STT-MRAM.</w:t>
      </w:r>
    </w:p>
    <w:p>
      <w:pPr>
        <w:spacing w:after="0" w:line="183"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STT-MRAM enabled scaling of our Toggle MRAM products to higher densities on advanced CMOS nodes. In 2022, we started production of 4Mb to 128Mb STT-MRAM products on 28nm CMOS node. These products are enabling our customers to simplify their system architecture and easily replace legacy memory components like SRAM, FRAM and</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NOR Flash. They are ideal for use in electronic systems where data persistence and integrity, low power, low latency, and security are paramount, such as industrial IoT, artificial intelligence (AI), network/enterprise infrastructure, process automation and control, aeronautics/avionics, and medical and gaming applications.</w:t>
      </w:r>
    </w:p>
    <w:p>
      <w:pPr>
        <w:spacing w:after="0" w:line="17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Due to the limitations of NOR scaling past 45nm and availability of STT-MRAM on 28nm and 22nm technology nodes, we believe there is potential for STT-MRAM to enter multiple non-volatile memory (NVM) markets where fast reads/writes, high cycle counts, and extended data retention are required. We introduced the first STT-MRAM product addressing this segment of the market in 2022 and are currently shipping in 16Mb to 256Mb densities with standardized SPI, xSPI, QSPI, and Octal SPI (OSPI) interfaces. STT-MRAM is uniquely positioned to deliver even higher density (&gt; 256Mb to 2Gb) monolithic parts for NOR replacement. These products are ideal for Field Programmable Gate Array (FPGA) systems, micro controllers and automotive applications, etc. to store configuration memory while simultaneously enabling 100x faster Over The Air (OTA) updates.</w:t>
      </w:r>
    </w:p>
    <w:p>
      <w:pPr>
        <w:spacing w:after="0" w:line="187"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Typically, on power up of a FPGA, the configuration memory that is stored off- or on- chip in a NOR chip is downloaded to the SRAM cells that execute the Look Up Tables (LUTs). This sequence of events creates a time lag between the power up and the execution of the LUTs. In addition, there is a security concern with the download of the configuration bit stream from the NOR to the SRAM. We have developed our STT-MRAM technology to act as the "configuration memory” in a FPGA addressing the security concern and enabling instant-on characteristics. Furthermore, the STT-MRAM based configuration memory can be programmed multiple times with OTA updates or can be hard coded depending on the application. Since STT-MRAM can be scaled to advanced nodes and is already available on 22nm, monolithic embedded solutions are possible and we believe this solution is ideal for next generation FPGAs.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TMR Sensors</w:t>
      </w:r>
    </w:p>
    <w:p>
      <w:pPr>
        <w:spacing w:after="0" w:line="229"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Our 3D Tunnel Magneto Resistance (TMR) sensors provide extremely high magnetic sensitivity in a single component that performs 3D magnetic field measurements in a monolithic solution. We offer these die-level devices to be integrated into consumer electronic applications that utilize a high sensitivity 3D compass function.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Licensing, Royalty, and Patent Overview</w:t>
      </w:r>
    </w:p>
    <w:p>
      <w:pPr>
        <w:spacing w:after="0" w:line="229"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We leverage our broad IP portfolio to enable licensing, royalty revenue streams, and patent sales from non-core applications that can derive valuable differentiation through the use of Everspin MRAM and TMR sensor IP. For example, this includes the following:</w:t>
      </w:r>
    </w:p>
    <w:p>
      <w:pPr>
        <w:spacing w:after="0" w:line="162" w:lineRule="exact"/>
        <w:rPr>
          <w:sz w:val="20"/>
          <w:szCs w:val="20"/>
          <w:color w:val="auto"/>
        </w:rPr>
      </w:pPr>
    </w:p>
    <w:p>
      <w:pPr>
        <w:ind w:left="820" w:right="34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licensed GLOBALFOUNDRIES to offer embedded MRAM in the solutions they manufacture for their customers providing high-performance non-volatile embedded memory.</w:t>
      </w:r>
    </w:p>
    <w:p>
      <w:pPr>
        <w:spacing w:after="0" w:line="53" w:lineRule="exact"/>
        <w:rPr>
          <w:rFonts w:ascii="Times New Roman" w:cs="Times New Roman" w:eastAsia="Times New Roman" w:hAnsi="Times New Roman"/>
          <w:sz w:val="18"/>
          <w:szCs w:val="18"/>
          <w:color w:val="auto"/>
        </w:rPr>
      </w:pPr>
    </w:p>
    <w:p>
      <w:pPr>
        <w:ind w:left="820" w:right="24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licensed base MRAM design technology (EAR99) for use in radiation tolerant aerospace applications to customers for their custom designs.</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licensed TMR sensor IP in 3D magnetic field sensing.</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completed patent sales by transferring, assigning, and delivering patents to customers.</w:t>
      </w:r>
    </w:p>
    <w:p>
      <w:pPr>
        <w:spacing w:after="0" w:line="117" w:lineRule="exact"/>
        <w:rPr>
          <w:rFonts w:ascii="Times New Roman" w:cs="Times New Roman" w:eastAsia="Times New Roman" w:hAnsi="Times New Roman"/>
          <w:sz w:val="18"/>
          <w:szCs w:val="18"/>
          <w:color w:val="auto"/>
        </w:rPr>
      </w:pPr>
    </w:p>
    <w:p>
      <w:pPr>
        <w:ind w:left="820" w:right="500" w:hanging="326"/>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executed agreements for the development of a strategic radiation hardened (RAD-Hard) field programmable gate array product, consisting of technology and design licenses.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Foundry Services Overview</w:t>
      </w:r>
    </w:p>
    <w:p>
      <w:pPr>
        <w:spacing w:after="0" w:line="229"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In our Chandler facility, we perform BEOL manufacturing services for customers who want to add MRAM and TMR sensor functionality to their base CMOS wafers. These services allow aerospace and satellite electronic system manufacturers to integrate our EAR99 technology that is able to withstand exposure to the levels of radiation encountered in avionics and space applications by virtue of such technology being magnetic rather than electrical charge based which would be susceptible to alpha particles.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We sell our products through a direct sales channel and a network of representatives and distributors. The majority of our customers, and their associated contract manufacturers, buy our products through our distributors. We maintain sales, support, supply chain and logistics operations and have distributors in Asia to service the production needs of contract</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manufacturers. We also maintain direct selling relationships with several strategic customers. Our direct sales representatives are located in North America, Germany, Italy, Japan, Hong Kong, and Taiwan.</w:t>
      </w:r>
    </w:p>
    <w:p>
      <w:pPr>
        <w:spacing w:after="0" w:line="16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Our typical sales cycle consists of a sales and development process in which our field engineers and sales personnel work closely with our customers’ design engineers. This process can take from three to 18 months to complete, and a successful sales cycle culminates in a design win. Note that some customers of our STT-MRAM products may need to modify their controllers to integrate our technology, adding additional time to the cycle. Once we establish a relationship with a customer, we continue a sales process to maintain our position and to secure subsequent new design wins at the customer. Each customer lead, whether new or existing, is tracked through our CRM tool and followed in stages of prospect, design in, design win and production. This tracking results in a design win pipeline that provides a measure of the future business potential of the opportunities.</w:t>
      </w:r>
    </w:p>
    <w:p>
      <w:pPr>
        <w:spacing w:after="0" w:line="187"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We have established relationships with several storage controller and FPGA companies, including Phison Electronics, Sage Micro, and Xilinx as well as IP core companies, including Cadence and Northwest Logic, to facilitate the integration of our MRAM solutions into our customers’ end products.</w:t>
      </w:r>
    </w:p>
    <w:p>
      <w:pPr>
        <w:spacing w:after="0" w:line="162"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Our technical support personnel have expertise in hardware and software and have access to our development team to ensure proper service and support for our OEM customers. Our field application and engineering team provides technical training and design support to our customers.</w:t>
      </w:r>
    </w:p>
    <w:p>
      <w:pPr>
        <w:spacing w:after="0" w:line="162" w:lineRule="exact"/>
        <w:rPr>
          <w:sz w:val="20"/>
          <w:szCs w:val="20"/>
          <w:color w:val="auto"/>
        </w:rPr>
      </w:pPr>
    </w:p>
    <w:p>
      <w:pPr>
        <w:jc w:val="both"/>
        <w:ind w:right="220" w:firstLine="405"/>
        <w:spacing w:after="0" w:line="261" w:lineRule="auto"/>
        <w:rPr>
          <w:sz w:val="20"/>
          <w:szCs w:val="20"/>
          <w:color w:val="auto"/>
        </w:rPr>
      </w:pPr>
      <w:r>
        <w:rPr>
          <w:rFonts w:ascii="Times New Roman" w:cs="Times New Roman" w:eastAsia="Times New Roman" w:hAnsi="Times New Roman"/>
          <w:sz w:val="18"/>
          <w:szCs w:val="18"/>
          <w:color w:val="auto"/>
        </w:rPr>
        <w:t>We consider our customer to be an end customer purchasing either directly from a distributor or a contract manufacturer, or a customer purchasing directly from us. An end customer purchasing through a contract manufacturer typically instructs the contract manufacturer to obtain our products and to incorporate our products with other components for sale by the contract manufacturer to the end customer. Although we actually sell the products to, and are paid by, the distributors and contract manufacturers, we refer to the end customer as our customer.</w:t>
      </w:r>
    </w:p>
    <w:p>
      <w:pPr>
        <w:spacing w:after="0" w:line="18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more than 1,405 end customers purchased our products. Our two largest end customers together accounted for 33% of our total revenue for the year ended December 31, 2025 and one of these customers accounted for more than 10% of our revenue during that period. Our two largest end customers together accounted for 37% of our total revenue for the year ended December 31, 2024 and one of these customers accounted for more than 10% of our total revenue during that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rely on third-party suppliers for most phases of the manufacturing process, including initial fabrication, final test, and assembly.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Wafer Manufacturing</w:t>
      </w:r>
    </w:p>
    <w:p>
      <w:pPr>
        <w:spacing w:after="0" w:line="229"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We perform BEOL manufacturing for our Toggle MRAM products and provide foundry services for licensed MRAM products and Magnetic Tunnel Junction (MTJ)-based sensors in our leased 200mm manufacturing facility. Our facility is in an ISO-4 clean room and our manufacturing line is ISO 9001:2015 certified. We actively manage inventory, including automated process flows, process controls and recipe management, and we use standard equipment to manufacture our products.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STT-MRAM products are produced in 300mm fabrication facilities operated by GLOBALFOUNDRIES.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“Risk Factors” for further discussion of our reliance on third parties.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Assembly and Test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product and test engineering teams develop and implement wafer-level and final test programs for the manufacture of our MRAM devices.</w:t>
      </w:r>
    </w:p>
    <w:p>
      <w:pPr>
        <w:spacing w:after="0" w:line="225"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We utilize third-party industry-leading assembly and test sub-contractors, including Amkor, OSE, GTC, ChipMos and Sigurd UTC. We have successfully qualified our MRAM devices in various packages at temperatures ranging from commercial to automotive grade. As part of our commitment to quality, our quality management system has been certified</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ISO 9001:2015 and ISO 14001:2015 standards. Our foundry vendors and sub-contractors are also ISO 9001 and ISO 14001 certified.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with GLOBALFOUNDRIES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Development Agreement</w:t>
      </w:r>
    </w:p>
    <w:p>
      <w:pPr>
        <w:spacing w:after="0" w:line="22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Since October 17, 2014, we have participated in a joint development agreement with GLOBALFOUNDRIES, a semiconductor foundry, for the joint development of STT-MRAM technology to produce a family of discrete and embedded MRAM technologies. The term of the agreement is until the completion, termination, or expiration of the last statement of work entered into pursuant to the joint development agreement. The agreement was extended on December 31, 2019 to include a new phase of support for 12nm MRAM development.</w:t>
      </w:r>
    </w:p>
    <w:p>
      <w:pPr>
        <w:spacing w:after="0" w:line="180"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joint development agreement also states that the specific terms and conditions for the production and supply of the developed MRAM technology would be pursuant to a separate manufacturing agreement entered into between the parties. See “Manufacturing Agreement” below.</w:t>
      </w:r>
    </w:p>
    <w:p>
      <w:pPr>
        <w:spacing w:after="0" w:line="162"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Under the joint development agreement, each party granted licenses to its relevant intellectual property to the other party. For certain jointly developed works, the parties have agreed to follow an invention allocation procedure to determine ownership. In addition, GLOBALFOUNDRIES possesses the exclusive right to manufacture our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GLOBALFOUNDRIES agreed not to license intellectual property developed in connection with the agreement to our named competitors.</w:t>
      </w:r>
    </w:p>
    <w:p>
      <w:pPr>
        <w:spacing w:after="0" w:line="187"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If GLOBALFOUNDRIES manufactures, sells, or transfers wafers containing production qualified MRAM devices that utilize certain Everspin design information to its customers, GLOBALFOUNDRIES will pay royalties to us for each such wafer transferred or sold to a customer.</w:t>
      </w:r>
    </w:p>
    <w:p>
      <w:pPr>
        <w:spacing w:after="0" w:line="16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Except for breaches of confidentiality provisions and each party’s indemnification obligations to one another under the agreement, liability under the agreement is capped at a range depending on project costs and royalty amounts. Either party may terminate the agreement if the other party materially breaches a term of the agreement and fails to remedy the breach after receiving notice from the non-breaching party. If a party terminates the manufacturing agreement for material breach in accordance with its terms, that party may also terminate the joint development agreement.</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“Risk Factors” for further discussion of our agreements with GLOBALFOUNDRIES.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Agreement</w:t>
      </w:r>
    </w:p>
    <w:p>
      <w:pPr>
        <w:spacing w:after="0" w:line="22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On October 23, 2014, we entered into a manufacturing agreement with GLOBALFOUNDRIES Singapore Pte. Ltd. that sets forth the specific terms and conditions for the production and supply of wafers manufactured using our STT-MRAM technology developed under the joint development agreement with GLOBALFOUNDRIES. Pursuant to that joint development agreement, GLOBALFOUNDRIES possesses certain exclusive rights to manufacture such wafers for our discrete and embedded STT-MRAM devices. 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GLOBALFOUNDRIES also has the ability to discontinue its manufacture of any of our wafers upon due notice and completion of the notice period. The initial term of the manufacturing agreement is for three years, which automatically renews for successive one-year periods thereafter unless either party provides sufficient advance notice of non-renewal.</w:t>
      </w:r>
    </w:p>
    <w:p>
      <w:pPr>
        <w:spacing w:after="0" w:line="19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Except for breaches of confidentiality provisions and each party’s indemnification obligations to one another under the agreement, liability under the agreement is capped at the lesser of a set amount or the total purchase price received by GLOBALFOUNDRIES from us in the 12 months immediately preceding the claim for the specific product that caused the damages. Either party may terminate the agreement if the other party materially breaches a term of the agreement and fails to remedy the breach after receiving notice from the non-breaching party. GLOBALFOUNDRIES may terminate the agreement if we fail to pay any undisputed sum which has been outstanding for sixty or more days from the date of invoice.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Warranty</w:t>
      </w:r>
    </w:p>
    <w:p>
      <w:pPr>
        <w:spacing w:after="0" w:line="229"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Because the design and manufacturing process for semiconductor products is highly complex, it is possible that we may produce products that do not comply with applicable specifications, contain defects, or are otherwise incompatible with end uses. In accordance with industry practice, we generally provide a limited warranty that our products are in compliance with applicable specifications existing at the time of delivery and will operate to those specifications during a stated warranty period. Under our standard terms and conditions of sale, liability for certain failures of product during a stated warranty period is usually limited to repair or replacement of defective items or return of, or a credit with respect to, amounts paid for such items. Under certain circumstances, we provide more extensive limited warranty coverage than that provided under our standard terms and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an emerging specialty memory product supplier, we face intense competition from a wide variety of other memory technology manufacturers.</w:t>
      </w:r>
    </w:p>
    <w:p>
      <w:pPr>
        <w:spacing w:after="0" w:line="22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principal competitors to our Toggle MRAM products include companies that offer nonvolatile SRAM (NVSRAM), SRAM, and FRAM products, such as Infineon, Fujitsu, Integrated Silicon Solution (ISSI), Macronix, Microchip, Micron, Renesas, Samsung and Toshiba. Our STT-MRAM products replace discrete NOR, DRAM and NVSRAM where persistence is required and thus compete with DRAM and NVSRAM suppliers such as Hynix, Micron, Winbond, Samsung, and several other smaller companies. In the future we may also face competition from companies developing MRAM technologies, such as Avalanche, Samsung and other larger and smaller semiconductor companies. We may also face indirect competition from resistive random-access memory (RRAM), NOR and NAND Flash manufacturers in some market applications.</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ability to compete successfully in the market for our products is based on a number of factors, including:</w:t>
      </w:r>
    </w:p>
    <w:p>
      <w:pPr>
        <w:spacing w:after="0" w:line="225" w:lineRule="exact"/>
        <w:rPr>
          <w:sz w:val="20"/>
          <w:szCs w:val="20"/>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attributes and specifications;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adoption of MRAM technology despite the price per bit premium of our products versus competing technologies;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controller supplier and customer engagements throughout the product life cycle;</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quality and reliability as measured by our customers;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of implementation of our products by customers;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supplier status at numerous customers and ODMs;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expertise and strength;</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manufacturing yield analysis and testing;</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capacity and allocation;</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and strength of customer relationships;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 in the market against the competition while maintaining our gross margin profile;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meeting the needs of future customer requirements through continued development of new products.</w:t>
      </w:r>
    </w:p>
    <w:p>
      <w:pPr>
        <w:spacing w:after="0" w:line="225"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protect our products and technologies from unauthorized third-party copying and use. To accomplish this, we rely on a combination of intellectual property rights, including patents, trade secrets, copyrights, and trademarks, as well as customary contractual protections. As of December 31, 2025, we held 596 issued patents that expire at various times over approximately the next 18 years and had 141 patent applications pending.</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Included in our issued patents and pending applications are patents/applications in the United States, China, Europe, France, Germany, Ireland, Italy, Japan, the Netherlands, the Republic of Korea, Singapore, Taiwan, and the United Kingdom.</w:t>
      </w:r>
    </w:p>
    <w:p>
      <w:pPr>
        <w:spacing w:after="0" w:line="16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seek to file for patents that have broad application in the semiconductor industry and that would be helpful in the magnetoresistive memory and sensor markets. However, there can be no assurance that our pending patent applications or any future applications will be approved, that any issued patents will provide us with competitive advantages or will not be challenged by third parties, or that the patents or applications of others will not have an adverse effect on our ability to do business. In addition, there can be no assurance that others will not independently develop substantially equivalent intellectual property or otherwise gain access to our trade secrets or intellectual property, or disclose such intellectual property or trade secrets, or that we can effectively protect our intellectual property.</w:t>
      </w:r>
    </w:p>
    <w:p>
      <w:pPr>
        <w:spacing w:after="0" w:line="187"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We seek to enforce our IP and to monetize our patent portfolio through licensing of third parties and patent sales in return for cash remuneration, patent cross licenses or both. See “Licensing, Royalty, and Patent Overview” for additional information.</w:t>
      </w:r>
    </w:p>
    <w:p>
      <w:pPr>
        <w:spacing w:after="0" w:line="162" w:lineRule="exact"/>
        <w:rPr>
          <w:sz w:val="20"/>
          <w:szCs w:val="20"/>
          <w:color w:val="auto"/>
        </w:rPr>
      </w:pPr>
    </w:p>
    <w:p>
      <w:pPr>
        <w:ind w:right="140" w:firstLine="405"/>
        <w:spacing w:after="0" w:line="281" w:lineRule="auto"/>
        <w:rPr>
          <w:sz w:val="20"/>
          <w:szCs w:val="20"/>
          <w:color w:val="auto"/>
        </w:rPr>
      </w:pPr>
      <w:r>
        <w:rPr>
          <w:rFonts w:ascii="Times New Roman" w:cs="Times New Roman" w:eastAsia="Times New Roman" w:hAnsi="Times New Roman"/>
          <w:sz w:val="17"/>
          <w:szCs w:val="17"/>
          <w:color w:val="auto"/>
        </w:rPr>
        <w:t>We generally control access to and use of our confidential information through employing internal and external controls, including contractual protections with employees, contractors, and customers. We rely in part on U.S. and international copyright laws to protect our intellectual property.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spacing w:after="0" w:line="164"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See “Risk Factors” for further discussion of Intellectual Property as third parties may assert patent and other intellectual property rights claims against us and our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w:t>
      </w:r>
    </w:p>
    <w:p>
      <w:pPr>
        <w:spacing w:after="0" w:line="229"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We must comply with many different federal, state, local and foreign governmental regulations related to the use, storage, discharge and disposal of certain chemicals and gases used in our manufacturing processes. Our facilities have been designed to comply with these regulations and we believe that our activities are conducted in material compliance with such regulations. Any changes in such regulations or in their enforcement could require us to acquire costly equipment or to incur other significant expenses to comply with environmental regulations. Any failure by us to adequately control the storage, use, discharge, and disposal of regulated substances could result in significant future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2025, we had 85 total employees in the United States, of which all were full-time employees. None of our employees are either represented by a labor union or subject to a collective bargaining agreement. We have not experienced any work stoppages, and we consider our relations with our employees and contractors to be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 xml:space="preserve">We were incorporated in Delaware in May 2008. In June 2008, Freescale Semiconductor, Inc. (now a wholly-owned subsidiary of NXP Semiconductors N.V.), spun-out its MRAM business as Everspin. Our offices are located at 5670 W. Chandler Boulevard, Suite 130, Chandler, Arizona 85226. Our telephone number is (480) 347-1111. Our corporate website is at </w:t>
      </w:r>
      <w:r>
        <w:rPr>
          <w:rFonts w:ascii="Times New Roman" w:cs="Times New Roman" w:eastAsia="Times New Roman" w:hAnsi="Times New Roman"/>
          <w:sz w:val="18"/>
          <w:szCs w:val="18"/>
          <w:i w:val="1"/>
          <w:iCs w:val="1"/>
          <w:color w:val="auto"/>
        </w:rPr>
        <w:t>www.Everspin.com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Our annual report on Form 10-K, quarterly reports on Form 10-Q, current reports on Form 8-K, and amendments to those reports filed or furnished pursuant to Section 13(a) or 15(d) of the Securities Exchange Act of 1934, as amended (Exchange Act), are available free of charge on our website, as soon as reasonably practicable after we electronically file them with, or furnish them to, the SEC. The information contained on or that can be accessed through our website is not incorporated by reference into this report, and information on our website should not be considered to be part of this report.</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 financial condition, results of operations and cash flows could be harmed.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Business and Our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cyclical nature of the semiconductor industry.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long sales cycles, rapid product obsolescence, price erosion, evolving standards, short product life cycles, and wide fluctuations in product supply and demand. From time to time, these factors, together with changes in macroeconomic conditions, can cause significant upturns and downturns in the semiconductor industry, and in our business. Downturns in the semiconductor industry have been characterized by diminished product demand, production overcapacity, high inventory levels for us and our customers, and erosion of average selling prices. Any downturns in the semiconductor industry could harm our business, financial condition, and results of operations. Any significant upturn in the semiconductor industry could result in increased competition for access to third-party foundry and assembly capacity. We are dependent on the availability of this capacity to manufacture and assemble our products and we can provide no assurance that adequate capacity will be available to us in the future. We cannot predict the duration or timing of any downturn or upturn in the semiconductor industry.</w:t>
      </w:r>
    </w:p>
    <w:p>
      <w:pPr>
        <w:spacing w:after="0" w:line="269"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to distribute, manufacture, package, assemble and test our products, which exposes us to a number of risks, including reduced control over manufacturing and delivery timing and potential price fluctuations, which could result in a loss of revenue or reduced profitability.</w:t>
      </w:r>
    </w:p>
    <w:p>
      <w:pPr>
        <w:spacing w:after="0" w:line="20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Relying on third-party distribution, manufacturing, assembly, packaging, and testing presents a number of risks, including but not limited to:</w:t>
      </w:r>
    </w:p>
    <w:p>
      <w:pPr>
        <w:spacing w:after="0" w:line="27" w:lineRule="exact"/>
        <w:rPr>
          <w:sz w:val="20"/>
          <w:szCs w:val="20"/>
          <w:color w:val="auto"/>
        </w:rPr>
      </w:pPr>
    </w:p>
    <w:p>
      <w:pPr>
        <w:ind w:left="740" w:right="180" w:hanging="327"/>
        <w:spacing w:after="0" w:line="260" w:lineRule="auto"/>
        <w:tabs>
          <w:tab w:leader="none" w:pos="7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7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and materials shortages during periods of high demand or supply constraints;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delivery schedules, inventories and quality;</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of, or potential delays in obtaining access to, key process technologies;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achieve required production or test capacity and acceptable yields on a timely basis;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intellectual property;</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party’s ability to perform its obligations due to bankruptcy or other financial constraints;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representatives for certain customer engagements;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warranties on wafers or products supplied to us; and</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increases in prices including due to tariffs and/or inflation.</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manufacturing agreement with GLOBALFOUNDRIES includes a forecast and ordering mechanism for the supply of certain of our wafers, and we are obligated to order and pay for, and GLOBALFOUNDRIES is obligated to supply, wafers consistent with the binding portion of our forecast. Our manufacturing arrangement is also subject to both a minimum and maximum order quantity, which we believe currently addresses our projected foundry capacity needs, but</w:t>
      </w: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may not address our maximum foundry capacity requirements in the future. We may also be obligated to pay for unused capacity if our demand decreases in the future, or if our estimates prove inaccurate. We do not currently source these wafers from anyone other than GLOBALFOUNDRIES, which has the ability to discontinue its manufacture of any of our wafers upon due notice and completion of the notice period. This would cause us to have to find another foundry to manufacture those wafers or redesign our core technology and would mean that we may not have products to sell until such time. Any time spent engaging a new manufacturer or redesigning our core technology could be costly and time-consuming and allow potential competitors to take opportunities in the marketplace. Moreover, if we are unable to find another foundry to manufacture our products or if we have to redesign our core technology, this could cause material harm to our business and operating results.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 time needed to establish a relationship with a new third-party supplier could be several quarters, there may not be any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If any of our current or future foundries or packaging, assembly and testing subcontractors significantly increases the costs of wafers or other materials or services, interrupts or reduces our supply, including for reasons outside of their control, such as health-related events or outbreaks, or if any of our relationships with our suppliers is terminated, our operating results could be adversely affected. Such occurrences could also damage our customer relationships, result in lost revenue, cause a loss in market share, or damage our reputation.</w:t>
      </w:r>
    </w:p>
    <w:p>
      <w:pPr>
        <w:spacing w:after="0" w:line="1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in our supply chain and increased cost of components used in our products may adversely impact our business, results of operations and financial condition, including our ability to fulfill customer demand.</w:t>
      </w:r>
    </w:p>
    <w:p>
      <w:pPr>
        <w:spacing w:after="0" w:line="15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we fail to procure sufficient components used in our products, we may be unable to deliver our products to our customers on a timely basis, which could lead to customer dissatisfaction and could harm our reputation and ability to compete. We would likely experience significant delays or cessation in producing some of our products if a labor strike, natural disaster, public health crisis, geopolitical event, or other supply disruption were to occur, including health-related events or outbreaks at any of our main suppliers.</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Further, the upturn in the semiconductor industry has stretched the supply chain, and we are subject to supply shortages, as well as higher costs as suppliers opportunistically raise prices. For example, there is currently a worldwide shortage of semiconductor, memory and other electronic components affecting many industries. Our products are dependent on some of these electronic components. A continued shortage of electronic components may impact us and could cause us to experience extended lead times and increased prices from our suppliers, which could be significant. Extended lead times and decreased availability of key components could result in a significant disruption to our production schedule, all of which would have an adverse effect on our business, results of operations and financial condition.</w:t>
      </w:r>
    </w:p>
    <w:p>
      <w:pPr>
        <w:spacing w:after="0" w:line="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do not have any guarantees of supply from our third-party suppliers, other than GLOBALFOUNDRIES, and in certain cases we have limited contractual arrangements or are relying on standard purchase orders or on component parts available on the open market, which may further result in increased costs combined with reduced availability. A continued delay in our ability to produce and deliver our products could also cause our customers to purchase alternative products from our competitors and/or harm our reputation.</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match production with customer demand for a variety of reasons including our inability to accurately forecast customer demand, supply chain constraints, or the capacity constraints of our suppliers, which could adversely affect our operating results.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penalties.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may purchase products that we may not be able to sell, which could result in decreases in our prices or write-downs of unsold inventory. Conversely, we could lose sales opportunities and market share or damage our customer relationships if, for example, we underestimate customer demand, we are affected by supply chain constraints, or sufficient manufacturing is unavailable. We manufacture MRAM products at our leased 200mm facility in Chandler, Arizona and use a single foundry, GLOBALFOUNDRIES,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5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We expect that our new and future MRAM products will be applicable to markets in which we are not currently operating. The markets in which we operate and may operate in the future are extremely competitive and are characterized by rapid technological change, continuously evolving customer requirements and declining average selling prices. We may not be able to compete successfully against current or potential competitors, which include our current and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some of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joint development agreement and strategic relationships involve numerous risks.</w:t>
      </w:r>
    </w:p>
    <w:p>
      <w:pPr>
        <w:spacing w:after="0" w:line="229"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We have entered into strategic relationships to manufacture products and develop new manufacturing process technologies and products. These relationships include our joint development agreement with GLOBALFOUNDRIES to develop advanced MTJ technology and STT-MRAM. These relationships are subject to various risks that could adversely affect the value of our investments and our results of operations. These risks include the following:</w:t>
      </w:r>
    </w:p>
    <w:p>
      <w:pPr>
        <w:spacing w:after="0" w:line="180" w:lineRule="exact"/>
        <w:rPr>
          <w:sz w:val="20"/>
          <w:szCs w:val="20"/>
          <w:color w:val="auto"/>
        </w:rPr>
      </w:pPr>
    </w:p>
    <w:p>
      <w:pPr>
        <w:ind w:left="740" w:right="200" w:hanging="327"/>
        <w:spacing w:after="0" w:line="282"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5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transferring technology to a foundry;</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and delays in getting to and/or ramping production at foundries;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control over the operations of foundries;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joint development collaborators may be unable to meet their commitments to us;</w:t>
      </w:r>
    </w:p>
    <w:p>
      <w:pPr>
        <w:spacing w:after="0" w:line="117" w:lineRule="exact"/>
        <w:rPr>
          <w:rFonts w:ascii="Times New Roman" w:cs="Times New Roman" w:eastAsia="Times New Roman" w:hAnsi="Times New Roman"/>
          <w:sz w:val="18"/>
          <w:szCs w:val="18"/>
          <w:color w:val="auto"/>
        </w:rPr>
      </w:pPr>
    </w:p>
    <w:p>
      <w:pPr>
        <w:ind w:left="740" w:right="280" w:hanging="327"/>
        <w:spacing w:after="0" w:line="282"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differing business models or long-term business goals, our collaborators may decide not to join us in funding capital investment, which may result in higher levels of cash expenditures by us;</w:t>
      </w:r>
    </w:p>
    <w:p>
      <w:pPr>
        <w:spacing w:after="0" w:line="5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may be inadequate to fund increased capital requirements;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or delays in collecting amounts due to us from our collaborators;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arrangements may turn out to be unfavorable;</w:t>
      </w:r>
    </w:p>
    <w:p>
      <w:pPr>
        <w:spacing w:after="0" w:line="117" w:lineRule="exact"/>
        <w:rPr>
          <w:rFonts w:ascii="Times New Roman" w:cs="Times New Roman" w:eastAsia="Times New Roman" w:hAnsi="Times New Roman"/>
          <w:sz w:val="18"/>
          <w:szCs w:val="18"/>
          <w:color w:val="auto"/>
        </w:rPr>
      </w:pPr>
    </w:p>
    <w:p>
      <w:pPr>
        <w:ind w:left="740" w:right="140" w:hanging="327"/>
        <w:spacing w:after="0" w:line="282" w:lineRule="auto"/>
        <w:tabs>
          <w:tab w:leader="none" w:pos="7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migrating toward a fabless model as 300mm production becomes required and this increases risks related to less control over our critical production processes; and</w:t>
      </w:r>
    </w:p>
    <w:p>
      <w:pPr>
        <w:spacing w:after="0" w:line="5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legal, or regulatory requirements may necessitate changes in our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our strategic relationships are unsuccessful, our business, results of operations, or financial condition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must continuously develop new and enhanced products and face intense competition in a market characterized by rapid technological change, if we are unable to successfully timely develop products, and market and secure design wins for our new and enhanced products for which we incur significant expenses to develop, our results of operations and financial condition will be materially and adversely affected.</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compete effectively in our markets, we must continually design, develop, and introduce new and improved technology and products with improved features in a cost-effective manner in response to changing technologies and market demand. This requires us to devote substantial financial and other resources to research and development. We are developing new technology and products, which we expect to be one of the drivers of our revenue growth in the future. We also face the risk that customers may not elect to incorporate our new and enhanced products into their products. For example, if we are unable to generate more customer adoption of our 1Gb MRAM product and address new growth opportunities with subsequent STT-MRAM products,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sell to customers, including OEMs and ODMs, that incorporate MRAM into their products. A design win occurs after a customer has tested our product, verified that it meets the customer’s requirements and qualified our solutions for their products. The adoption of our 256Mb and 1Gb MRAM products by our customers is critical for us to secure design wins.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w:t>
      </w:r>
    </w:p>
    <w:p>
      <w:pPr>
        <w:spacing w:after="0" w:line="1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markets in which we operate and may operate in the future are extremely competitive and are characterized by rapid technological change, continuous evolving customer requirements and declining average selling prices. Some of our current and potential customers with their own internally developed solutions may choose not to purchase products from third-party suppliers like us.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a current or prospective customer incorporates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pacing w:after="0" w:line="183"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derived and expect to continue to derive a significant portion of our revenues from a small group of customers during any particular period due in part to the concentration of market share in the semiconductor industry.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7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costs may increase substantially if we or our third-party manufacturing contractors do not achieve satisfactory product yields or quality. The complexity of our products may lead to defect, which could negatively impact our reputation with customers and result in liability.</w:t>
      </w:r>
    </w:p>
    <w:p>
      <w:pPr>
        <w:spacing w:after="0" w:line="15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fabrication process is extremely complicated and small changes in design, specifications or materials can result in material decreases in product yields or even the suspension of production. From time to time, we and/or the third-party foundries with which we contract to manufacture our products may experience manufacturing defects and reduced manufacturing yields. In some cases, we and/or our third-party foundries may not be able to detect these defects early in the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fabrication process or determine the cause of such defects in a timely manner. There may be a higher risk of product yield issues in newer STT-MRAM products.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Minimum acceptable yields for our new products are generally lower at first and gradually improve as we achieve full production, but yield issues can occur even in mature processes due to breakdowns in mechanical systems, equipment failures or calibration errors. Unacceptably low product yields or other product manufacturing problems could substantially increase overall production time and costs and adversely impact our operating results. Product yield losses may also increase our costs and reduce our gross margin. In addition to significantly harming our results of operations and cash flow, poor yields may delay shipment of our products and harm our relationships with existing and potential customers.</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Products as complex as ours may contain defects, particularly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capital and resource expenditures to resolve such problems. For example, any such problems could result in:</w:t>
      </w:r>
    </w:p>
    <w:p>
      <w:pPr>
        <w:spacing w:after="0" w:line="183" w:lineRule="exact"/>
        <w:rPr>
          <w:sz w:val="20"/>
          <w:szCs w:val="20"/>
          <w:color w:val="auto"/>
        </w:rPr>
      </w:pPr>
    </w:p>
    <w:p>
      <w:pPr>
        <w:ind w:left="740" w:hanging="327"/>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development, manufacture and roll-out of new products;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development costs;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delays in, market acceptance;</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technical and other resources from our other development efforts;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damages by our customers or others against us; and</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credibility with our current and prospective customers.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event could have a material adverse effect on our business, financial condition, and results of operations.</w:t>
      </w:r>
    </w:p>
    <w:p>
      <w:pPr>
        <w:spacing w:after="0" w:line="11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59"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example, as smaller line width geometry manufacturing processes become more prevalent, we intend to move our future products to increasingly smaller geometries to integrate greater levels of memory capacity and/or functionality into our products. This transition will require us and our third-party foundries to migrate to new designs and manufacturing processes for smaller geometry products.</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may face difficulties, delays, and increased expenses as we transition our products to new processes, and potentially to new foundries. We will depend on our third-party foundries as we transition to new processes. Our third-party foundries may not be able to effectively manage such transitions and/or we may not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ability to compete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data storage, and other markets. As a result, we could be required to invest significant time and effort and incur significant expenses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w:t>
      </w:r>
    </w:p>
    <w:p>
      <w:pPr>
        <w:spacing w:after="0" w:line="18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our key employees are at-will. If we lose the services of any key senior management member or employee, we may not be able to attract suitable or qualified replacements, and may incur additional expenses to recruit and train new 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also working to promote our talent management efforts through the implementation of initiatives designed to build and maintain a diverse and inclusive environment throughout our organization. However, there has been increasing scrutiny on corporate diversity, equity and inclusion (DEI) initiatives, including from activists and policymakers challenging how such initiatives comply with civil rights protections. Such anti-DEI initiatives and scrutiny could expose us to the risk of litigation or investigations, resulting in injunctions, penalties, or reputational harm. In addition, if we become unable to (or are perceived not to) successfully implement certain of our workforce initiatives, including in keeping with current or potential future laws or interpretations thereof, our ability to recruit, attract and retain talent may be adversely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maintain and are seeking to expand operations outside of the United States which exposes us to significant risks.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The success and profitability, as well as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expansion, of our international operations are subject to numerous risks and uncertainties, many of which are outside of our control, such as the following:</w:t>
      </w:r>
    </w:p>
    <w:p>
      <w:pPr>
        <w:spacing w:after="0" w:line="225" w:lineRule="exact"/>
        <w:rPr>
          <w:sz w:val="20"/>
          <w:szCs w:val="20"/>
          <w:color w:val="auto"/>
        </w:rPr>
      </w:pPr>
    </w:p>
    <w:p>
      <w:pPr>
        <w:ind w:left="740" w:right="320" w:hanging="327"/>
        <w:spacing w:after="0" w:line="282"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health-related events or outbreaks, which can result in varying impacts to our business, employees, partners, customers, distributors or suppliers internationally as discussed elsewhere in this “Risk Factors” section;</w:t>
      </w:r>
    </w:p>
    <w:p>
      <w:pPr>
        <w:spacing w:after="0" w:line="5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inefficiencies and costs associated with staffing and managing foreign operations;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and more difficult customer qualification and credit checks;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various local approvals to operate in some countries;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entering some foreign markets without larger-scale local operations;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import/export laws, trade restrictions, regulations and customs and duties and tariffs (foreign and domestic);</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including the elimination of tax holidays;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as a result of repatriating cash generated from foreign operations to the United States;</w:t>
      </w:r>
    </w:p>
    <w:p>
      <w:pPr>
        <w:spacing w:after="0" w:line="117" w:lineRule="exact"/>
        <w:rPr>
          <w:rFonts w:ascii="Times New Roman" w:cs="Times New Roman" w:eastAsia="Times New Roman" w:hAnsi="Times New Roman"/>
          <w:sz w:val="18"/>
          <w:szCs w:val="18"/>
          <w:color w:val="auto"/>
        </w:rPr>
      </w:pPr>
    </w:p>
    <w:p>
      <w:pPr>
        <w:ind w:left="740" w:right="60" w:hanging="327"/>
        <w:spacing w:after="0" w:line="282"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including potential additional tax exposure if we are deemed to have established a permanent establishment outside of the United States;</w:t>
      </w:r>
    </w:p>
    <w:p>
      <w:pPr>
        <w:spacing w:after="0" w:line="53" w:lineRule="exact"/>
        <w:rPr>
          <w:rFonts w:ascii="Times New Roman" w:cs="Times New Roman" w:eastAsia="Times New Roman" w:hAnsi="Times New Roman"/>
          <w:sz w:val="18"/>
          <w:szCs w:val="18"/>
          <w:color w:val="auto"/>
        </w:rPr>
      </w:pPr>
    </w:p>
    <w:p>
      <w:pPr>
        <w:ind w:left="740" w:right="460" w:hanging="327"/>
        <w:spacing w:after="0" w:line="282"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policies and procedures designed to ensure compliance with the Foreign Corrupt Practices Act of 1977 (FCPA) and similar regulations;</w:t>
      </w:r>
    </w:p>
    <w:p>
      <w:pPr>
        <w:spacing w:after="0" w:line="53" w:lineRule="exact"/>
        <w:rPr>
          <w:rFonts w:ascii="Times New Roman" w:cs="Times New Roman" w:eastAsia="Times New Roman" w:hAnsi="Times New Roman"/>
          <w:sz w:val="18"/>
          <w:szCs w:val="18"/>
          <w:color w:val="auto"/>
        </w:rPr>
      </w:pPr>
    </w:p>
    <w:p>
      <w:pPr>
        <w:ind w:left="740" w:hanging="327"/>
        <w:spacing w:after="0" w:line="266"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6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instability;</w:t>
      </w:r>
    </w:p>
    <w:p>
      <w:pPr>
        <w:spacing w:after="0" w:line="117" w:lineRule="exact"/>
        <w:rPr>
          <w:rFonts w:ascii="Times New Roman" w:cs="Times New Roman" w:eastAsia="Times New Roman" w:hAnsi="Times New Roman"/>
          <w:sz w:val="18"/>
          <w:szCs w:val="18"/>
          <w:color w:val="auto"/>
        </w:rPr>
      </w:pPr>
    </w:p>
    <w:p>
      <w:pPr>
        <w:ind w:left="740" w:right="80" w:hanging="327"/>
        <w:spacing w:after="0" w:line="282"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terrorism and acts of war, such as the military conflict between Russia and Ukraine, which could have a negative impact on the operations of our business or our customers’ businesses; and</w:t>
      </w:r>
    </w:p>
    <w:p>
      <w:pPr>
        <w:spacing w:after="0" w:line="5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Department of Commerce regulations or restrictions on exports of certain semiconductor technologies and equipment to China.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failure to manage any of these risks successfully could harm our operations and reduce our revenue.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need additional funding and may be unable to raise capital when needed, which could force us to delay, reduce, or eliminate planned activities.</w:t>
      </w:r>
    </w:p>
    <w:p>
      <w:pPr>
        <w:spacing w:after="0" w:line="24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total revenue was approximately $55.2 million for the year ended December 31, 2025, and $50.4 million for the year ended December 31, 2024. As of December 31, 2025, we had cash and cash equivalents of approximately $44.5 million. Based on our current operating plan, we believe our existing cash and cash equivalents, coupled with our anticipated growth and sales levels, will be sufficient to meet our anticipated cash requirements for at least the next 12 months. We have no committed sources of funding and there are no assurances that additional funding will be available to us in the future or on acceptable terms. If adequate funding is not available when needed, we may be forced to curtail operations, including our commercial activities and research and development programs, or cease operations altogether, file for bankruptcy, or undertake any combination of the foregoing.</w:t>
      </w:r>
    </w:p>
    <w:p>
      <w:pPr>
        <w:spacing w:after="0" w:line="1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Further, we may need to raise additional funds through financings or borrowings in order to accomplish our long-term planned objectives. If we raise additional funds through issuances of equity, convertible debt securities or other securities convertible into equity, our existing stockholders could suffer significant dilution in their percentage ownership of our</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any new equity securities we issue could have rights, preferences, and privileges senior to those of holders of our common stock.</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if we do not meet our payment obligations to third parties as they become due, we may be subject to litigation claims and our creditworthiness would be adversely affected. Stockholders should not rely on our balance sheet as an indication of the amount of proceeds that would be available to satisfy claims of creditors, and potentially be available for distribution to stockholders, in the event of liquidation.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be certain that we will sustain profitability.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While our products offer unique benefits over other industry memory technologies, the rate of adoption of our products and our ability to capture market share from legacy technologies is uncertain. Our revenue may also be adversely impacted by a number of other possible reasons, many of which are outside our control, including business conditions that adversely affect the semiconductor memory industry resulting in a decline in end market demand for our products, adverse impacts resulting from health-related events or outbreaks, increased competition, ongoing supply chain constraints, or our failure to capitalize on growth opportunities. We also rely on achieving specific cost reduction targets that have uncertainty in their timing and magnitude. We may also incur unforeseen expenses in the ongoing operation of our business that cause us to exceed our operational spending plan. As a result, our ability to generate sufficient revenue growth and/or control expenses to transition to profitability and generate consistent positive cash flows is uncertain.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Intellectual Property and Technology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could substantially harm our business.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8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to patents, we also rely on contractual protections with our customers, suppliers, distributors, employees, and consultants, and we implement security measures designed to protect our trade secrets and know-how. However, we cannot ensure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183"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semiconductor memory industry is characterized by companies that hold patents and other intellectual property rights and that vigorously pursue, protect, and enforce intellectual property rights. These companies include patent-holding companies or other adverse patent owners who have no relevant product revenue and against whom our own patents may provide little or no deterrence. From time to time, third parties may assert patent and other intellectual property rights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claims against us and our customers. We have in the past, and may in the future, face such claims. On January 28, 2026, we received notice that Avalanche Technology, Inc. filed a lawsuit against us in the United States District Court for the District Court of Delaware and a patent infringement complaint with the U.S. International Trade Commission. We believe we have valid arguments against the underlying claims, which could be time-consuming and costly to defend and involve significant uncertainty.</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83" w:lineRule="exact"/>
        <w:rPr>
          <w:sz w:val="20"/>
          <w:szCs w:val="20"/>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the manufacture, use or sale of the infringing products, processes or technology;</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infringement;</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develop non-infringing products, processes or technology, which may not be successful;</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technology from the third-party claiming infringement, which license may not be available on commercially reasonable terms, or at all;</w:t>
      </w:r>
    </w:p>
    <w:p>
      <w:pPr>
        <w:spacing w:after="0" w:line="117" w:lineRule="exact"/>
        <w:rPr>
          <w:rFonts w:ascii="Times New Roman" w:cs="Times New Roman" w:eastAsia="Times New Roman" w:hAnsi="Times New Roman"/>
          <w:sz w:val="18"/>
          <w:szCs w:val="18"/>
          <w:color w:val="auto"/>
        </w:rPr>
      </w:pPr>
    </w:p>
    <w:p>
      <w:pPr>
        <w:ind w:left="740" w:right="160" w:hanging="327"/>
        <w:spacing w:after="0" w:line="282"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cross-license our technology to a competitor to resolve an infringement claim, which could weaken our ability to compete with that competitor; or</w:t>
      </w:r>
    </w:p>
    <w:p>
      <w:pPr>
        <w:spacing w:after="0" w:line="53" w:lineRule="exact"/>
        <w:rPr>
          <w:rFonts w:ascii="Times New Roman" w:cs="Times New Roman" w:eastAsia="Times New Roman" w:hAnsi="Times New Roman"/>
          <w:sz w:val="18"/>
          <w:szCs w:val="18"/>
          <w:color w:val="auto"/>
        </w:rPr>
      </w:pPr>
    </w:p>
    <w:p>
      <w:pPr>
        <w:ind w:left="740" w:right="640" w:hanging="327"/>
        <w:spacing w:after="0" w:line="282"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our customers to discontinue their use of or to replace infringing technology sold to them with non-infringing technology, if available.</w:t>
      </w:r>
    </w:p>
    <w:p>
      <w:pPr>
        <w:spacing w:after="0" w:line="27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in or other compromises of our information technology systems or data or that of third parties upon whom we rely could adversely affect our business.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rely on the efficient, uninterrupted and uncompromised operation of complex information technology systems and networks (and those of third parties) to operate our business. Any significant disruption to or other compromise of our systems, networks or data (or those of third parties upon whom we rely), including, but not limited to, due to new system implementations, computer viruses, social-engineering attacks, personnel (including former personnel) misconduct or error, supply-chain attacks, ransomware attacks, software bugs, software or hardware failure, security breaches, facility issues, natural disasters, terrorism, war, telecommunication failures, energy blackouts, loss, theft or similar threats, could have a material adverse impact on our operations, sales, and financial results. Such disruption or other compromise could result in a loss of our intellectual property or the release of sensitive competitive information or supplier, customer, personnel or other relevant stakeholder’s personal data.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Any loss of such information could harm our competitive position, result in a loss of customer confidence, result in breaches of applicable obligations (such as laws and contracts) and cause us to incur significant costs to remedy the damages caused by any such disruptions or security breaches. Additionally, any failure to manage the collection, handling, transfer, or disposal of personal data of employees and customers may result in regulatory penalties, bans on processing personal data or orders not to use or destroy data, enforcement actions, remediation obligations, litigation, fines, and other actions.</w:t>
      </w:r>
    </w:p>
    <w:p>
      <w:pPr>
        <w:spacing w:after="0" w:line="19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may experience attacks on our data and/or information systems, attempts to breach our security and attempts to introduce malicious software into our IT systems. Such threats are prevalent and continue to rise, are increasingly difficult</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 detect, and come from a variety of sources, including traditional computer “hackers,” threat actors and “hacktivists,” organized criminal threat actors, personnel (such as through theft or misuse), sophisticated nation states, and nation-state-supported actors. During times of war and other major conflicts, we and the third parties upon which we rely may be vulnerable to a heightened risk of these attacks.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 Attempts to gain unauthorized access to our IT systems or other attacks have in the past, in certain instances and to certain degrees, been successful (but have not caused significant harm), and may in the future be successful, and in some cases, we might be unaware of an incident or its magnitude and effects.</w:t>
      </w:r>
    </w:p>
    <w:p>
      <w:pPr>
        <w:spacing w:after="0" w:line="1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Third-party service providers, such as wafer foundries, assembly and test contractors, distributors and other vendors have access to certain portions of our and our customers’ sensitive data. Our ability to monitor these third parties’ information security practices is limited, and these third parties may not have adequate information security measures in place. In the event that these service providers do not adequately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and effective basis. Further, we may experience delays in developing and deploying remedial measures and patches designed to address identified vulnerabilities. Vulnerabilities could be exploited and result in a security incident.</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Regulatory Matters and Compliance</w:t>
      </w:r>
    </w:p>
    <w:p>
      <w:pPr>
        <w:spacing w:after="0" w:line="22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59" w:lineRule="exact"/>
        <w:rPr>
          <w:sz w:val="20"/>
          <w:szCs w:val="20"/>
          <w:color w:val="auto"/>
        </w:rPr>
      </w:pPr>
    </w:p>
    <w:p>
      <w:pPr>
        <w:jc w:val="both"/>
        <w:ind w:right="400"/>
        <w:spacing w:after="0" w:line="272" w:lineRule="auto"/>
        <w:rPr>
          <w:sz w:val="20"/>
          <w:szCs w:val="20"/>
          <w:color w:val="auto"/>
        </w:rPr>
      </w:pPr>
      <w:r>
        <w:rPr>
          <w:rFonts w:ascii="Times New Roman" w:cs="Times New Roman" w:eastAsia="Times New Roman" w:hAnsi="Times New Roman"/>
          <w:sz w:val="17"/>
          <w:szCs w:val="17"/>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w:t>
      </w:r>
    </w:p>
    <w:p>
      <w:pPr>
        <w:spacing w:after="0" w:line="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(EU)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9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Increasing public attention has been focused on the environmental impact of electronic manufacturing operations. While we have not experienced any materially adverse effects on our operations from recently adopted environmental</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regulations, our business and results of operations could suffer if for any reason we fail to control the storage or use of, or to adequately restrict the discharge or disposal of, hazardous substances under present or future environmental regulations.</w:t>
      </w:r>
    </w:p>
    <w:p>
      <w:pPr>
        <w:spacing w:after="0" w:line="15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the Dodd-Frank Wall Street Reform and Consumer Protection Act, the SEC has adopted requirements for companies that use certain minerals and metals, known as conflict minerals, in their products, whether or not these products are manufactured by third parties. These requirements require companies to perform diligence and disclose and report whether or not such minerals originate from the Democratic Republic of Congo and adjoining countries.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incur additional costs in complying with the disclosure requirements, including costs related to determining the source of any of the relevant minerals and metals used in our products. Since our supply chain is complex, we have not been able to sufficiently verify the origins of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As of December 31, 2025, we had gross federal net operating loss carryforwards of approximately $95.2 million, of which $53.2 million will expire in 2030 through 2037 if not utilized, and $42.0 million that will carryover indefinitely. The Company experienced an ownership change in October 2016 and as a result, $43.8 million of the federal NOLs are expected to expire unutilized due to limitation under IRC Section 382. Consistent with prior years, the NOLs expected to expire unutilized are included in the NOL carryforward amounts disclosed, subject to a valuation allowance. As of December 31, 2025, we had state net operating loss carryforwards of approximately $48.4 million, of which $45.4 million will expire in 2030 through 2045 if not utilized, and $3.0 million that will carry over indefinitely. The federal NOLs generated prior to 2018 will continue to be governed by the NOL tax rules as they existed prior to the adoption of the 2017 Tax Act, which means that generally they will expire 20 years after they were generated if not used prior thereto. The 2017 Tax Act repealed the 20-year carryforward and two-year carryback of NOLs originating after December 31, 2017 and also limits the NOL deduction to 80% of taxable income for tax years beginning after December 31, 2017. Any NOLs generated in 2018 and forward will be carried forward and will not expire. Future changes in our stock ownership, many of which are outside of our control, could result in additional ownership changes under IRC Section 382 of the Code. The ability to utilize our net operating losses and tax credits could also be impaired under state law. As a result, we might not be able to utilize a material portion of our state NOLs and tax credits.</w:t>
      </w:r>
    </w:p>
    <w:p>
      <w:pPr>
        <w:spacing w:after="0" w:line="22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15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New tax laws, statutes, rules, regulations, or ordinances could be enacted at any time. For example, the Tax Cuts and Jobs Act, the Coronavirus Aid, Relief, and Economic Security Act, the Inflation Reduction Act, or the IRA, and the One Big Beautiful Bill Act (OBBBA) made many significant changes to U.S. tax laws, including the imposition by the IRA of, among other rules, a 15% minimum tax on the book income of certain large corporations and a 1% excise tax on certain corporate stock repurchases. Further, existing tax laws, statutes, rules, regulations, or ordinances could be interpreted differently, changed, repealed, or modified at any time. Any such enactment, interpretation, change, repeal, or modification could adversely affect us, possibly with retroactive effect. In particular, changes in corporate tax rates, the realization of net deferred tax assets, the taxation of foreign earnings, and the deductibility of expenses could have a material impact on the value of our deferred tax assets, result in significant one-time charges, and increase our future tax expenses.</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that the price of our common stock will fluctuate substantially.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is likely to be highly volatile and may fluctuate substantially due to many factors, including:</w:t>
      </w:r>
    </w:p>
    <w:p>
      <w:pPr>
        <w:spacing w:after="0" w:line="225" w:lineRule="exact"/>
        <w:rPr>
          <w:sz w:val="20"/>
          <w:szCs w:val="20"/>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product enhancements by us or others in our industry;</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capital commitments or restructurings;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with respect to our or others’ intellectual property rights;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other litigation;</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results of operations or those of others in our industry;</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and directors;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 and</w:t>
      </w:r>
    </w:p>
    <w:p>
      <w:pPr>
        <w:spacing w:after="0" w:line="117" w:lineRule="exact"/>
        <w:rPr>
          <w:rFonts w:ascii="Times New Roman" w:cs="Times New Roman" w:eastAsia="Times New Roman" w:hAnsi="Times New Roman"/>
          <w:sz w:val="18"/>
          <w:szCs w:val="18"/>
          <w:color w:val="auto"/>
        </w:rPr>
      </w:pPr>
    </w:p>
    <w:p>
      <w:pPr>
        <w:ind w:left="740" w:right="600" w:hanging="327"/>
        <w:spacing w:after="0" w:line="282"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 including the effects of health-related events or outbreaks and the military conflict between Russia and Ukraine.</w:t>
      </w:r>
    </w:p>
    <w:p>
      <w:pPr>
        <w:spacing w:after="0" w:line="270"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Stock markets generally have experienced extreme price and volume fluctuations that have often been unrelated or disproportionate to the operating performance of those companies. Further, the semiconductor memory industry is highly cyclical, and our markets may experience significant cyclical fluctuations in demand as a result of changing economic conditions, budgeting and buying patterns of customers and other factors. Fluctuations in our revenue and operating results could also cause our stock price to decline.</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in the past, class action litigation has often been instituted against companies whose securities have experienced periods of volatility in market price, or for other reasons. Securities litigation brought against us following volatility in our stock price or otherwise, regardless of the merit or ultimate results of such litigation, could result in substantial costs, which would hurt our financial condition and operating results and divert management’s attention and resources from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and other factors may make the price of our stock volatile and subject to unexpected fluctuation.</w:t>
      </w:r>
    </w:p>
    <w:p>
      <w:pPr>
        <w:spacing w:after="0" w:line="22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89" w:lineRule="exact"/>
        <w:rPr>
          <w:sz w:val="20"/>
          <w:szCs w:val="20"/>
          <w:color w:val="auto"/>
        </w:rPr>
      </w:pPr>
    </w:p>
    <w:p>
      <w:pPr>
        <w:ind w:left="740" w:right="100" w:hanging="327"/>
        <w:spacing w:after="0" w:line="266" w:lineRule="auto"/>
        <w:tabs>
          <w:tab w:leader="none" w:pos="7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67" w:lineRule="exact"/>
        <w:rPr>
          <w:rFonts w:ascii="Times New Roman" w:cs="Times New Roman" w:eastAsia="Times New Roman" w:hAnsi="Times New Roman"/>
          <w:sz w:val="18"/>
          <w:szCs w:val="18"/>
          <w:color w:val="auto"/>
        </w:rPr>
      </w:pPr>
    </w:p>
    <w:p>
      <w:pPr>
        <w:ind w:left="740" w:right="40" w:hanging="327"/>
        <w:spacing w:after="0" w:line="266" w:lineRule="auto"/>
        <w:tabs>
          <w:tab w:leader="none" w:pos="7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pursuant to a resolution</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adopted by a majority of the total number of authorized directors, the chairman of the board or the chief executive officer;</w:t>
      </w:r>
    </w:p>
    <w:p>
      <w:pPr>
        <w:spacing w:after="0" w:line="117" w:lineRule="exact"/>
        <w:rPr>
          <w:sz w:val="20"/>
          <w:szCs w:val="20"/>
          <w:color w:val="auto"/>
        </w:rPr>
      </w:pPr>
    </w:p>
    <w:p>
      <w:pPr>
        <w:ind w:left="740" w:right="80" w:hanging="327"/>
        <w:spacing w:after="0" w:line="282" w:lineRule="auto"/>
        <w:tabs>
          <w:tab w:leader="none" w:pos="7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prohibits cumulative voting in the election of directors, which limits the ability of minority stockholders to elect director candidates;</w:t>
      </w:r>
    </w:p>
    <w:p>
      <w:pPr>
        <w:spacing w:after="0" w:line="53" w:lineRule="exact"/>
        <w:rPr>
          <w:rFonts w:ascii="Times New Roman" w:cs="Times New Roman" w:eastAsia="Times New Roman" w:hAnsi="Times New Roman"/>
          <w:sz w:val="18"/>
          <w:szCs w:val="18"/>
          <w:color w:val="auto"/>
        </w:rPr>
      </w:pPr>
    </w:p>
    <w:p>
      <w:pPr>
        <w:ind w:left="740" w:right="180" w:hanging="327"/>
        <w:spacing w:after="0" w:line="261" w:lineRule="auto"/>
        <w:tabs>
          <w:tab w:leader="none" w:pos="7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special meetings, actions by written consent and cumulative voting and (b) to amend or repeal our amended and restated bylaws, although such bylaws may be amended by a simple majority vote of our board of directors;</w:t>
      </w:r>
    </w:p>
    <w:p>
      <w:pPr>
        <w:spacing w:after="0" w:line="71" w:lineRule="exact"/>
        <w:rPr>
          <w:rFonts w:ascii="Times New Roman" w:cs="Times New Roman" w:eastAsia="Times New Roman" w:hAnsi="Times New Roman"/>
          <w:sz w:val="18"/>
          <w:szCs w:val="18"/>
          <w:color w:val="auto"/>
        </w:rPr>
      </w:pPr>
    </w:p>
    <w:p>
      <w:pPr>
        <w:jc w:val="both"/>
        <w:ind w:left="740" w:right="180" w:hanging="327"/>
        <w:spacing w:after="0" w:line="266" w:lineRule="auto"/>
        <w:tabs>
          <w:tab w:leader="none" w:pos="7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67"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2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76"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ind w:left="740" w:hanging="32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98"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director, officer or other employee to us or our stockholders;</w:t>
      </w:r>
    </w:p>
    <w:p>
      <w:pPr>
        <w:spacing w:after="0" w:line="117" w:lineRule="exact"/>
        <w:rPr>
          <w:rFonts w:ascii="Times New Roman" w:cs="Times New Roman" w:eastAsia="Times New Roman" w:hAnsi="Times New Roman"/>
          <w:sz w:val="18"/>
          <w:szCs w:val="18"/>
          <w:color w:val="auto"/>
        </w:rPr>
      </w:pPr>
    </w:p>
    <w:p>
      <w:pPr>
        <w:ind w:left="740" w:right="960" w:hanging="327"/>
        <w:spacing w:after="0" w:line="282"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 and</w:t>
      </w:r>
    </w:p>
    <w:p>
      <w:pPr>
        <w:spacing w:after="0" w:line="5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33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unless we consent in writing to the selection of an alternative forum,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94"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1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These laws and regulations impose restrictions or prohibitions on the sale or supply of products and services to sanctioned countries, governments, persons and entities, and to persons engaged in restricted or prohibited end-uses.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Although we have taken precautions to protect against our products being exported or used in violation of law, we have inadvertently provided products and services to some customers in apparent violation of U.S. export control laws. In October 2024, we submitted to the U.S. Department of Commerce’s Bureau of Industry and Security (BIS) an initial notification of voluntary self-disclosure concerning apparent violations. A final voluntary self-disclosure was submitted to BIS on April 30, 2025. If we are found to be in violation of U.S. sanctions or export control regulations, it can result in significant fines or penalties, as well as reputational harm and loss of business. While we are working to implement additional controls designed to prevent similar occurrences in the future, these controls may not be fully effective.</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Changes to our products, export control or import regulations, economic sanctions or related laws, shifts in the enforcement or scope of existing regulations or changes in the countries, governments, persons or technologies targeted by such regulations could decrease our ability to export or sell our products to existing or potential customers. Any of the foregoing could adversely affect our business, financial condition, results of operations and cash flows.</w:t>
      </w:r>
    </w:p>
    <w:p>
      <w:pPr>
        <w:spacing w:after="0" w:line="1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trade policies, including tariffs, sanctions and trade barriers may adversely affect our business, financial condition, results of operations and prospects.</w:t>
      </w:r>
    </w:p>
    <w:p>
      <w:pPr>
        <w:spacing w:after="0" w:line="15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Substantial new tariffs and other restrictive trade policies have created a dynamic and unpredictable trade landscape, which may adversely impact our business.</w:t>
      </w:r>
    </w:p>
    <w:p>
      <w:pPr>
        <w:spacing w:after="0" w:line="162"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Current or future tariffs or other restrictive trade measures may significantly raise the costs of raw materials, components or finished goods, which may adversely impact both our product offerings and our operational expenses. Such cost increases may reduce our margins and require us to increase prices, which could harm our competitive position, reduce customer demand and damage customer relationships. Our manufacturers, suppliers and distribution channels are also affected by the current trade environment, and we may experience supply chain disruptions as a result of increased costs and uncertainty, as well as risks to the long-term viability of key vendors, which may impact our ability to meet customer demand or manage inventory efficiently. Tariff and other trade-related cost pressures and supply chain disruptions may lead to reputational harm if we are unable to deliver products or services on expected timelines or if any price increases are poorly received by customers or business partners. In addition, many of our customers operate businesses that may be impacted by trade policies, which may result in decreased demand for our products or extended sales cycles as customers assess the impact of evolving trade policies on their operations and face increased costs or decreased revenue due to tariffs and trade restrictions.</w:t>
      </w:r>
    </w:p>
    <w:p>
      <w:pPr>
        <w:spacing w:after="0" w:line="18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Trade disputes, trade restrictions, tariffs and other geopolitical tensions between the U.S. and other countries may also exacerbate unfavorable macroeconomic conditions including inflationary pressures, foreign exchange volatility, financial market instability, and economic recessions or downturns, which may also negatively impact customer demand for our products or services, delay purchases or renewals, limit expansion opportunities with customers, limit our access to capital, or otherwise negatively impact our business and operations. Ongoing tariff, trade restrictions and macroeconomic uncertainty has and may continue to contribute to volatility in the price of our common stock.</w:t>
      </w:r>
    </w:p>
    <w:p>
      <w:pPr>
        <w:spacing w:after="0" w:line="183" w:lineRule="exact"/>
        <w:rPr>
          <w:sz w:val="20"/>
          <w:szCs w:val="20"/>
          <w:color w:val="auto"/>
        </w:rPr>
      </w:pPr>
    </w:p>
    <w:p>
      <w:pPr>
        <w:ind w:right="400" w:firstLine="405"/>
        <w:spacing w:after="0" w:line="256" w:lineRule="auto"/>
        <w:rPr>
          <w:sz w:val="20"/>
          <w:szCs w:val="20"/>
          <w:color w:val="auto"/>
        </w:rPr>
      </w:pPr>
      <w:r>
        <w:rPr>
          <w:rFonts w:ascii="Times New Roman" w:cs="Times New Roman" w:eastAsia="Times New Roman" w:hAnsi="Times New Roman"/>
          <w:sz w:val="18"/>
          <w:szCs w:val="18"/>
          <w:color w:val="auto"/>
        </w:rPr>
        <w:t>The complexity of announced or future tariffs may also increase the risk that we or our customers or suppliers may be subject to civil or criminal enforcement actions in the U.S. or foreign jurisdictions related to compliance with trade regulations. In addition, retaliatory trade policies or anti-U.S. sentiment in certain regions whether driven by trade tensions, political disagreements, or regulatory concerns may make customers, governments and investors more hesitant to engage with, purchase from or invest in U.S. firms. This may lead to increased preference for local competitors, changes to government procurement policies, heightened regulatory scrutiny, decreased intellectual property protections, delays in regulatory approvals or other retaliatory regulatory non-tariff policies, which may result in heightened international legal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operational risks and difficulties in attracting and retaining non-U.S. customers, suppliers, employees, partners and investors.</w:t>
      </w:r>
    </w:p>
    <w:p>
      <w:pPr>
        <w:spacing w:after="0" w:line="225"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Ongoing uncertainty regarding trade policies may also further complicate our short- and long-term strategic planning, and that of our partners and customers, including decisions regarding hiring, product strategy, capital investment, supply chain design and geographic expansion.</w:t>
      </w:r>
    </w:p>
    <w:p>
      <w:pPr>
        <w:spacing w:after="0" w:line="16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 In addition, tariffs and other trade developments have and may continue to heighten the risks related to the other risk factors described elsewhere in this report.</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anti-corruption laws and regulations. We could face liability and other serious consequences for violations which can harm our business.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subject to anti-corruption laws and regulations, including the FCPA, the U.S. domestic bribery statute contained in 18 U.S.C. § 201, the U.S. Travel Act and other state and national anti-bribery laws in the countries in which we conduct activities. Anti-corruption laws are interpreted broadly and generally prohibit companies and their employees, agents, contractors and other third-party collaborators from offering, promising, giving, or authorizing others to give anything of value, either directly or indirectly through third parties, to any person in the public or private sector to obtain or retain business.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w:t>
      </w:r>
    </w:p>
    <w:p>
      <w:pPr>
        <w:spacing w:after="0" w:line="189"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There is no certainty that all of our employees, agents, suppliers, manufacturers, contractors or collaborators, or those of our affiliates, will comply with all applicable anti-corruption laws and regulations. Any violation of such laws and regulations may result in substantial civil and criminal fines and penalties against us, our officers, or our employees, imprisonment, the loss of export or import privileges, debarment, tax reassessments, breach of contract and fraud litigation, reputational harm, and other consequences. In addition,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impacted by natural disasters and other catastrophic events.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operations and business, and those of our manufacturing partners, customers, distributors, or suppliers, can be disrupted by natural disasters; industrial accidents; public health-related events or outbreaks; cybersecurity incidents; interruptions of service from utilities, transportation, telecommunications, or IT systems providers; manufacturing equipment failures; or other catastrophic events. For example, 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natural disasters or other catastrophic events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ind w:right="120" w:firstLine="162"/>
        <w:spacing w:after="0" w:line="266" w:lineRule="auto"/>
        <w:rPr>
          <w:sz w:val="20"/>
          <w:szCs w:val="20"/>
          <w:color w:val="auto"/>
        </w:rPr>
      </w:pPr>
      <w:r>
        <w:rPr>
          <w:rFonts w:ascii="Times New Roman" w:cs="Times New Roman" w:eastAsia="Times New Roman" w:hAnsi="Times New Roman"/>
          <w:sz w:val="18"/>
          <w:szCs w:val="18"/>
          <w:color w:val="auto"/>
        </w:rPr>
        <w:t>We implement and maintain various information security processes designed to identify, assess and manage material risks from cybersecurity threats to our critical computer networks, third-party hosted services, communications systems, hardware and software, products and our critical data, including intellectual property, confidential information that is proprietary, strategic or competitive in nature (collectively, Information Systems and Data).</w:t>
      </w:r>
    </w:p>
    <w:p>
      <w:pPr>
        <w:spacing w:after="0" w:line="68" w:lineRule="exact"/>
        <w:rPr>
          <w:sz w:val="20"/>
          <w:szCs w:val="20"/>
          <w:color w:val="auto"/>
        </w:rPr>
      </w:pPr>
    </w:p>
    <w:p>
      <w:pPr>
        <w:ind w:firstLine="162"/>
        <w:spacing w:after="0" w:line="255" w:lineRule="auto"/>
        <w:rPr>
          <w:sz w:val="20"/>
          <w:szCs w:val="20"/>
          <w:color w:val="auto"/>
        </w:rPr>
      </w:pPr>
      <w:r>
        <w:rPr>
          <w:rFonts w:ascii="Times New Roman" w:cs="Times New Roman" w:eastAsia="Times New Roman" w:hAnsi="Times New Roman"/>
          <w:sz w:val="18"/>
          <w:szCs w:val="18"/>
          <w:color w:val="auto"/>
        </w:rPr>
        <w:t>Our Senior Director of Information Technology (IT), internal IT, information security and legal functions, and third-party service providers (collectively, Cybersecurity Team) help identify, assess and manage our cybersecurity threats and risks. Our Cybersecurity Team identifies and assesses risks from cybersecurity threats by monitoring and evaluating our threat environment. The Cybersecurity Team uses various methods designed to accomplish this task including, for example: manual tools, automated tools, subscribing to reports and services that identify cybersecurity threats, analyzing reports of threats and threat actors, scanning the threat environment, evaluating our and our industry’s risk profile, maintaining policies designed to coordinate our efforts with law enforcement to respond to threats, internal and external audits, conducting threat assessments, conducting third party threat assessments, and conducting vulnerability assessments.</w:t>
      </w:r>
    </w:p>
    <w:p>
      <w:pPr>
        <w:spacing w:after="0" w:line="81" w:lineRule="exact"/>
        <w:rPr>
          <w:sz w:val="20"/>
          <w:szCs w:val="20"/>
          <w:color w:val="auto"/>
        </w:rPr>
      </w:pPr>
    </w:p>
    <w:p>
      <w:pPr>
        <w:ind w:right="120" w:firstLine="162"/>
        <w:spacing w:after="0" w:line="256" w:lineRule="auto"/>
        <w:rPr>
          <w:sz w:val="20"/>
          <w:szCs w:val="20"/>
          <w:color w:val="auto"/>
        </w:rPr>
      </w:pPr>
      <w:r>
        <w:rPr>
          <w:rFonts w:ascii="Times New Roman" w:cs="Times New Roman" w:eastAsia="Times New Roman" w:hAnsi="Times New Roman"/>
          <w:sz w:val="18"/>
          <w:szCs w:val="18"/>
          <w:color w:val="auto"/>
        </w:rPr>
        <w:t>Depending on the relevant information systems environment, we implement and maintain various technical, physical, and organizational measures, processes, standards and policies designed to manage and mitigate material risks from cybersecurity threats to our Information Systems and Data, including, for example: an incident response strategy, incident detection and response measures, a vulnerability management policy, risk assessments, encryption of certain data, network security controls, data segregation, access controls, physical security controls, systems monitoring controls, personnel training, penetration testing, cybersecurity insurance, dedicated cybersecurity personnel, background checks for certain personnel, vendor management strategies, and asset management strategy (such as tracking and disposal of Company information systems).</w:t>
      </w:r>
    </w:p>
    <w:p>
      <w:pPr>
        <w:spacing w:after="0" w:line="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our overall risk management processes. For example, the Senior Director of IT works with management to prioritize our risk management processes and mitigate cybersecurity threats that are more likely to lead to a material impact to our business.</w:t>
      </w:r>
    </w:p>
    <w:p>
      <w:pPr>
        <w:spacing w:after="0" w:line="6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use service providers in an effort to identify, assess, and manage material risks from cybersecurity threats, including for example: threat intelligence service providers, cybersecurity consultants, penetration testing firms, cybersecurity software providers, managed cybersecurity service providers, and professional services firms (including legal counsel).</w:t>
      </w:r>
    </w:p>
    <w:p>
      <w:pPr>
        <w:spacing w:after="0" w:line="6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use service providers to perform a variety of functions throughout our business, such as application providers, hosting companies, and contract manufacturing organizations. We maintain a vendor management strategy designed to manage cybersecurity risks associated with our use of these providers. The strategy includes vendor risk assessments, security assessment reviews, and imposing information security contractual obligations on a vendor as appropriate. Depending on the nature of the services provided, the sensitivity of the Information Systems and Data at issue, and the identity of the provider, our vendor management strategy may involve different levels of assessment designed to help identify, mitigating and manage cybersecurity risks associated with a particular provider.</w:t>
      </w:r>
    </w:p>
    <w:p>
      <w:pPr>
        <w:spacing w:after="0" w:line="7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us and how they may do so, see our risk factors under Part 1. Item 1A. Risk Factors in this Annual Report on Form 10-K, including “Interruptions in or other compromises of our information technology systems or data or that of third parties upon whom we rely could adversely affect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21" w:lineRule="exact"/>
        <w:rPr>
          <w:sz w:val="20"/>
          <w:szCs w:val="20"/>
          <w:color w:val="auto"/>
        </w:rPr>
      </w:pPr>
    </w:p>
    <w:p>
      <w:pPr>
        <w:ind w:right="260" w:firstLine="162"/>
        <w:spacing w:after="0" w:line="282" w:lineRule="auto"/>
        <w:rPr>
          <w:sz w:val="20"/>
          <w:szCs w:val="20"/>
          <w:color w:val="auto"/>
        </w:rPr>
      </w:pPr>
      <w:r>
        <w:rPr>
          <w:rFonts w:ascii="Times New Roman" w:cs="Times New Roman" w:eastAsia="Times New Roman" w:hAnsi="Times New Roman"/>
          <w:sz w:val="18"/>
          <w:szCs w:val="18"/>
          <w:color w:val="auto"/>
        </w:rPr>
        <w:t>Our board of directors addresses our cybersecurity risk management as part of its general oversight function. The board of directors is responsible for overseeing our cybersecurity risk management processes, including oversight and mitigation of risks from cybersecurity threats.</w:t>
      </w:r>
    </w:p>
    <w:p>
      <w:pPr>
        <w:spacing w:after="0" w:line="54" w:lineRule="exact"/>
        <w:rPr>
          <w:sz w:val="20"/>
          <w:szCs w:val="20"/>
          <w:color w:val="auto"/>
        </w:rPr>
      </w:pPr>
    </w:p>
    <w:p>
      <w:pPr>
        <w:jc w:val="both"/>
        <w:ind w:right="100" w:firstLine="162"/>
        <w:spacing w:after="0" w:line="266"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members of our management, including our Senior Director of IT, the Chief Executive Officer, and the Chief Financial Officer. Our Senior Director of IT has approximately 25 years of experience in IT and cybersecurity.</w:t>
      </w: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firstLine="162"/>
        <w:spacing w:after="0" w:line="261" w:lineRule="auto"/>
        <w:rPr>
          <w:sz w:val="20"/>
          <w:szCs w:val="20"/>
          <w:color w:val="auto"/>
        </w:rPr>
      </w:pPr>
      <w:r>
        <w:rPr>
          <w:rFonts w:ascii="Times New Roman" w:cs="Times New Roman" w:eastAsia="Times New Roman" w:hAnsi="Times New Roman"/>
          <w:sz w:val="18"/>
          <w:szCs w:val="18"/>
          <w:color w:val="auto"/>
        </w:rPr>
        <w:t>Our cybersecurity incident response and vulnerability management policies are designed to escalate certain cybersecurity incidents and threats to management members depending on the circumstances, including the Chief Executive Officer and Chief Financial Officer. The Chief Executive Officer and Chief Financial Officer work with our incident response team in an effort to help us mitigate and remediate cybersecurity incidents of which they are notified. In addition, our management and its designees report to the board of directors for certain cybersecurity incidents.</w:t>
      </w:r>
    </w:p>
    <w:p>
      <w:pPr>
        <w:spacing w:after="0" w:line="72" w:lineRule="exact"/>
        <w:rPr>
          <w:sz w:val="20"/>
          <w:szCs w:val="20"/>
          <w:color w:val="auto"/>
        </w:rPr>
      </w:pPr>
    </w:p>
    <w:p>
      <w:pPr>
        <w:ind w:firstLine="162"/>
        <w:spacing w:after="0" w:line="266" w:lineRule="auto"/>
        <w:rPr>
          <w:sz w:val="20"/>
          <w:szCs w:val="20"/>
          <w:color w:val="auto"/>
        </w:rPr>
      </w:pPr>
      <w:r>
        <w:rPr>
          <w:rFonts w:ascii="Times New Roman" w:cs="Times New Roman" w:eastAsia="Times New Roman" w:hAnsi="Times New Roman"/>
          <w:sz w:val="18"/>
          <w:szCs w:val="18"/>
          <w:color w:val="auto"/>
        </w:rPr>
        <w:t>The board of directors receives periodic reports from management and its designees concerning our significant cybersecurity threats and risks, and the processes we have implemented in an effort to address them. The board of directors also has access to various reports, summaries or presentations related to cybersecurity threats, risk, and mitigation.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We lease office space for our corporate headquarters located in Chandler, Arizona and for our design facility located in Austin, Texas. We also lease fabrication, lab, and office space for our manufacturing operations in Chandler, Arizona.</w:t>
      </w:r>
    </w:p>
    <w:p>
      <w:pPr>
        <w:spacing w:after="0" w:line="162" w:lineRule="exact"/>
        <w:rPr>
          <w:sz w:val="20"/>
          <w:szCs w:val="20"/>
          <w:color w:val="auto"/>
        </w:rPr>
      </w:pPr>
    </w:p>
    <w:p>
      <w:pPr>
        <w:jc w:val="both"/>
        <w:ind w:right="60" w:firstLine="405"/>
        <w:spacing w:after="0" w:line="261" w:lineRule="auto"/>
        <w:rPr>
          <w:sz w:val="20"/>
          <w:szCs w:val="20"/>
          <w:color w:val="auto"/>
        </w:rPr>
      </w:pPr>
      <w:r>
        <w:rPr>
          <w:rFonts w:ascii="Times New Roman" w:cs="Times New Roman" w:eastAsia="Times New Roman" w:hAnsi="Times New Roman"/>
          <w:sz w:val="18"/>
          <w:szCs w:val="18"/>
          <w:color w:val="auto"/>
        </w:rPr>
        <w:t>The Chandler, Arizona corporate headquarters lease is for 18,815 square feet of office and laboratory space, with an initial term that ends on January 31, 2029, and an option to renew the lease through January 31, 2034. The Austin, Texas lease is for 6,171 square feet of space for our design facility, with an initial term that ends on April 15, 2027, and an option to renew the lease through April 15, 2030. The Chandler, Arizona manufacturing operations lease is for 11,496 square feet of fabrication, lab, and office space and expires in January 2028.</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believe our existing facilities are well maintained and in good operating condition and they are adequate for our foreseeable business needs.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from the ordinary course of our business. Management is currently not aware of any matters that will have a material adverse effect on our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Market for our Common Stock</w:t>
      </w:r>
    </w:p>
    <w:p>
      <w:pPr>
        <w:spacing w:after="0" w:line="229"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Market under the symbol “MRAM” since October 7, 2016. Prior to that date, there was no public trading market for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As of February 26, 2026, we had 16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our capital stock may also be limited by the terms of any future debt or preferred securities or future credit facility.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audited financial statements and related notes included elsewhere in this report. This discussion and other parts of this report contain forward-looking statements that involve risk and uncertainties, such as statements of our plans, objectives, expectations, and intentions. As a result of many factors, including those factors set forth in the “Risk Factors” section of this report, our actual results could differ materially from the results described in or implied by the forward-looking statements contained in the following discussion and analysis.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 overview of our business, see “Part I – Item 1.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generally accepted accounting principles in the United States (GAAP). Additionally, we monitor and project cash flow to determine our sources and uses for working capital to fund our operations. We also monitor Adjusted net income, a non-GAAP financial measure, and design wins. We define Adjusted net income as net income adjusted for stock-based compensation expense.</w:t>
      </w:r>
    </w:p>
    <w:p>
      <w:pPr>
        <w:spacing w:after="0" w:line="18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Adjusted net income</w:t>
      </w:r>
      <w:r>
        <w:rPr>
          <w:rFonts w:ascii="Times New Roman" w:cs="Times New Roman" w:eastAsia="Times New Roman" w:hAnsi="Times New Roman"/>
          <w:sz w:val="18"/>
          <w:szCs w:val="18"/>
          <w:color w:val="auto"/>
        </w:rPr>
        <w:t>. Our management and board of directors use Adjusted net income to assess and evaluate our overall performance and financial trends,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 the annual budgeting process, and guide both short-term and long-term operational and strategic planning. As such, we believe Adjusted net income provides meaningful insight for investors into our financial performance, consistent with how our management team and board view and analyze our results. Adjusted net income is a non-GAAP financial measure and should be considered alongside, but not as a replacement for or superior to, net income as reported in accordance with GAAP. The following table provides a reconciliation of net income, the most directly comparable GAAP measure, to Adjusted net income for the periods presented:</w:t>
      </w:r>
    </w:p>
    <w:p>
      <w:pPr>
        <w:spacing w:after="0" w:line="200" w:lineRule="exact"/>
        <w:rPr>
          <w:sz w:val="20"/>
          <w:szCs w:val="20"/>
          <w:color w:val="auto"/>
        </w:rPr>
      </w:pPr>
    </w:p>
    <w:p>
      <w:pPr>
        <w:spacing w:after="0" w:line="275" w:lineRule="exact"/>
        <w:rPr>
          <w:sz w:val="20"/>
          <w:szCs w:val="20"/>
          <w:color w:val="auto"/>
        </w:rPr>
      </w:pPr>
    </w:p>
    <w:tbl>
      <w:tblPr>
        <w:tblLayout w:type="fixed"/>
        <w:tblInd w:w="100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00" w:type="dxa"/>
            <w:vAlign w:val="bottom"/>
          </w:tcPr>
          <w:p>
            <w:pPr>
              <w:spacing w:after="0"/>
              <w:rPr>
                <w:sz w:val="16"/>
                <w:szCs w:val="16"/>
                <w:color w:val="auto"/>
              </w:rPr>
            </w:pPr>
          </w:p>
        </w:tc>
      </w:tr>
      <w:tr>
        <w:trPr>
          <w:trHeight w:val="37"/>
        </w:trPr>
        <w:tc>
          <w:tcPr>
            <w:tcW w:w="524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5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24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67"/>
        </w:trPr>
        <w:tc>
          <w:tcPr>
            <w:tcW w:w="5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72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23"/>
                <w:szCs w:val="23"/>
                <w:color w:val="auto"/>
              </w:rPr>
            </w:pPr>
          </w:p>
        </w:tc>
      </w:tr>
      <w:tr>
        <w:trPr>
          <w:trHeight w:val="37"/>
        </w:trPr>
        <w:tc>
          <w:tcPr>
            <w:tcW w:w="5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(Loss) Income reconciliation:</w:t>
            </w:r>
          </w:p>
        </w:tc>
        <w:tc>
          <w:tcPr>
            <w:tcW w:w="1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18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(586)</w:t>
            </w:r>
          </w:p>
        </w:tc>
        <w:tc>
          <w:tcPr>
            <w:tcW w:w="240" w:type="dxa"/>
            <w:vAlign w:val="bottom"/>
          </w:tcPr>
          <w:p>
            <w:pPr>
              <w:spacing w:after="0"/>
              <w:rPr>
                <w:sz w:val="21"/>
                <w:szCs w:val="21"/>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7"/>
        </w:trPr>
        <w:tc>
          <w:tcPr>
            <w:tcW w:w="5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8"/>
              </w:rPr>
              <w:t>5,776</w:t>
            </w: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r>
      <w:tr>
        <w:trPr>
          <w:trHeight w:val="263"/>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Net (Loss) Income</w:t>
            </w:r>
          </w:p>
        </w:tc>
        <w:tc>
          <w:tcPr>
            <w:tcW w:w="1180" w:type="dxa"/>
            <w:vAlign w:val="bottom"/>
            <w:tcBorders>
              <w:top w:val="single" w:sz="8" w:color="auto"/>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5,190</w:t>
            </w:r>
          </w:p>
        </w:tc>
        <w:tc>
          <w:tcPr>
            <w:tcW w:w="24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7,494</w:t>
            </w:r>
          </w:p>
        </w:tc>
      </w:tr>
      <w:tr>
        <w:trPr>
          <w:trHeight w:val="21"/>
        </w:trPr>
        <w:tc>
          <w:tcPr>
            <w:tcW w:w="5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Design wins</w:t>
      </w:r>
      <w:r>
        <w:rPr>
          <w:rFonts w:ascii="Times New Roman" w:cs="Times New Roman" w:eastAsia="Times New Roman" w:hAnsi="Times New Roman"/>
          <w:sz w:val="18"/>
          <w:szCs w:val="18"/>
          <w:color w:val="auto"/>
        </w:rPr>
        <w:t>. To continue to grow our revenue, we must continue to achieve design wins for our MRAM products. We consider a design win to occur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an OEM or contract manufacturer notifies us that it has qualified one of our products as a component in a product or system for production. Because the life cycles for our customers’ products can last for many years, if these products have successful commercial introductions, we expect to continue to generate revenues over an extended period of time for each successful design win. New design wins in each successive quarter of 2025 were 44, 53, 55, and 85, respectively, compared to 31, 44, 50, and 53 in each successive quarter of 2024,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Below are factors we want to highlight for understanding our 2025 annual results and year-over-year comparison with proper historical perspective:</w:t>
      </w:r>
    </w:p>
    <w:p>
      <w:pPr>
        <w:spacing w:after="0" w:line="225" w:lineRule="exact"/>
        <w:rPr>
          <w:sz w:val="20"/>
          <w:szCs w:val="20"/>
          <w:color w:val="auto"/>
        </w:rPr>
      </w:pPr>
    </w:p>
    <w:p>
      <w:pPr>
        <w:ind w:left="740" w:right="180" w:hanging="327"/>
        <w:spacing w:after="0" w:line="282" w:lineRule="auto"/>
        <w:tabs>
          <w:tab w:leader="none" w:pos="7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commitment to improving our manufacturing excellence enabled us to drive yield improvements within our internal and external foundries network to sustain existing product margins.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indicated:</w:t>
      </w:r>
    </w:p>
    <w:p>
      <w:pPr>
        <w:spacing w:after="0" w:line="273" w:lineRule="exact"/>
        <w:rPr>
          <w:sz w:val="20"/>
          <w:szCs w:val="20"/>
          <w:color w:val="auto"/>
        </w:rPr>
      </w:pPr>
    </w:p>
    <w:tbl>
      <w:tblPr>
        <w:tblLayout w:type="fixed"/>
        <w:tblInd w:w="42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40" w:type="dxa"/>
            <w:vAlign w:val="bottom"/>
          </w:tcPr>
          <w:p>
            <w:pPr>
              <w:spacing w:after="0"/>
              <w:rPr>
                <w:sz w:val="16"/>
                <w:szCs w:val="16"/>
                <w:color w:val="auto"/>
              </w:rPr>
            </w:pPr>
          </w:p>
        </w:tc>
      </w:tr>
      <w:tr>
        <w:trPr>
          <w:trHeight w:val="37"/>
        </w:trPr>
        <w:tc>
          <w:tcPr>
            <w:tcW w:w="46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6"/>
        </w:trPr>
        <w:tc>
          <w:tcPr>
            <w:tcW w:w="4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2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6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67"/>
        </w:trPr>
        <w:tc>
          <w:tcPr>
            <w:tcW w:w="4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3"/>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(As a percentage of revenue)</w:t>
            </w:r>
          </w:p>
        </w:tc>
      </w:tr>
      <w:tr>
        <w:trPr>
          <w:trHeight w:val="37"/>
        </w:trPr>
        <w:tc>
          <w:tcPr>
            <w:tcW w:w="4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25"/>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royalty, patent, engineering services and other</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10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4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22,812</w:t>
            </w:r>
          </w:p>
        </w:tc>
        <w:tc>
          <w:tcPr>
            <w:tcW w:w="100" w:type="dxa"/>
            <w:vAlign w:val="bottom"/>
          </w:tcPr>
          <w:p>
            <w:pPr>
              <w:spacing w:after="0"/>
              <w:rPr>
                <w:sz w:val="21"/>
                <w:szCs w:val="21"/>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Cost of licensing, royalty, patent, engineering services and other</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61"/>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cost of sales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24,276</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4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w:t>
            </w: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14,141</w:t>
            </w:r>
          </w:p>
        </w:tc>
        <w:tc>
          <w:tcPr>
            <w:tcW w:w="100" w:type="dxa"/>
            <w:vAlign w:val="bottom"/>
          </w:tcPr>
          <w:p>
            <w:pPr>
              <w:spacing w:after="0"/>
              <w:rPr>
                <w:sz w:val="21"/>
                <w:szCs w:val="21"/>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r>
      <w:tr>
        <w:trPr>
          <w:trHeight w:val="237"/>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33,217</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tcPr>
          <w:p>
            <w:pPr>
              <w:spacing w:after="0"/>
              <w:rPr>
                <w:sz w:val="21"/>
                <w:szCs w:val="21"/>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before income taxes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and comprehensive (loss)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2025 and 2024</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generated 75% and 79% of our revenue from products sold through distributors for the years ended December 31, 2025 and 2024, respectively.</w:t>
      </w:r>
    </w:p>
    <w:p>
      <w:pPr>
        <w:spacing w:after="0" w:line="22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maintain a direct selling relationship, for strategic purposes, with several key customer accounts. We have organized our sales team and representatives into three primary regions: Asia-Pacific (APAC); North America; and Europe, Middle East and Africa (EMEA). We recognize revenue by geography based on the region in which our products are sold, and not to where the end products in which they are assembled are shipped. Our revenue by region for the periods indicated was as follows (in thousands):</w:t>
      </w:r>
    </w:p>
    <w:p>
      <w:pPr>
        <w:spacing w:after="0" w:line="214" w:lineRule="exact"/>
        <w:rPr>
          <w:sz w:val="20"/>
          <w:szCs w:val="20"/>
          <w:color w:val="auto"/>
        </w:rPr>
      </w:pPr>
    </w:p>
    <w:tbl>
      <w:tblPr>
        <w:tblLayout w:type="fixed"/>
        <w:tblInd w:w="128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52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6"/>
                <w:szCs w:val="16"/>
                <w:color w:val="auto"/>
              </w:rPr>
            </w:pPr>
          </w:p>
        </w:tc>
      </w:tr>
      <w:tr>
        <w:trPr>
          <w:trHeight w:val="23"/>
        </w:trPr>
        <w:tc>
          <w:tcPr>
            <w:tcW w:w="55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55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r>
      <w:tr>
        <w:trPr>
          <w:trHeight w:val="25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34,527</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28,688</w:t>
            </w:r>
          </w:p>
        </w:tc>
      </w:tr>
      <w:tr>
        <w:trPr>
          <w:trHeight w:val="27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9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10,890</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10,710</w:t>
            </w:r>
          </w:p>
        </w:tc>
      </w:tr>
      <w:tr>
        <w:trPr>
          <w:trHeight w:val="27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10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11,004</w:t>
            </w:r>
          </w:p>
        </w:tc>
      </w:tr>
      <w:tr>
        <w:trPr>
          <w:trHeight w:val="223"/>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92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55,202</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50,402</w:t>
            </w:r>
          </w:p>
        </w:tc>
      </w:tr>
      <w:tr>
        <w:trPr>
          <w:trHeight w:val="20"/>
        </w:trPr>
        <w:tc>
          <w:tcPr>
            <w:tcW w:w="5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152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r>
      <w:tr>
        <w:trPr>
          <w:trHeight w:val="37"/>
        </w:trPr>
        <w:tc>
          <w:tcPr>
            <w:tcW w:w="35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3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5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27"/>
        </w:trPr>
        <w:tc>
          <w:tcPr>
            <w:tcW w:w="3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40" w:type="dxa"/>
            <w:vAlign w:val="bottom"/>
          </w:tcPr>
          <w:p>
            <w:pPr>
              <w:spacing w:after="0"/>
              <w:rPr>
                <w:sz w:val="19"/>
                <w:szCs w:val="19"/>
                <w:color w:val="auto"/>
              </w:rPr>
            </w:pPr>
          </w:p>
        </w:tc>
      </w:tr>
      <w:tr>
        <w:trPr>
          <w:trHeight w:val="37"/>
        </w:trPr>
        <w:tc>
          <w:tcPr>
            <w:tcW w:w="3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w w:val="98"/>
              </w:rPr>
              <w:t>6,089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r>
      <w:tr>
        <w:trPr>
          <w:trHeight w:val="225"/>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royalty, patent, engineering services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other revenue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center"/>
              <w:ind w:left="337"/>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7"/>
        </w:trPr>
        <w:tc>
          <w:tcPr>
            <w:tcW w:w="3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88"/>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w w:val="98"/>
              </w:rPr>
              <w:t>4,800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jc w:val="both"/>
        <w:ind w:right="240" w:firstLine="405"/>
        <w:spacing w:after="0" w:line="266" w:lineRule="auto"/>
        <w:rPr>
          <w:sz w:val="20"/>
          <w:szCs w:val="20"/>
          <w:color w:val="auto"/>
        </w:rPr>
      </w:pPr>
      <w:r>
        <w:rPr>
          <w:rFonts w:ascii="Times New Roman" w:cs="Times New Roman" w:eastAsia="Times New Roman" w:hAnsi="Times New Roman"/>
          <w:sz w:val="18"/>
          <w:szCs w:val="18"/>
          <w:color w:val="auto"/>
        </w:rPr>
        <w:t>Total revenue increased by $4.8 million, or 9.5%, from $50.4 million during the year ended December 31, 2024, to $55.2 million during the year ended December 31, 2025. The increase was due to an increase in product sales revenue of $6.1 million, and partially offset by a decrease in licensing, royalty, patent, engineering services and other revenue of $1.3 million.</w:t>
      </w:r>
    </w:p>
    <w:p>
      <w:pPr>
        <w:spacing w:after="0" w:line="176"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Licensing, royalty, patent, engineering services and other revenue is a highly variable revenue item characterized by a small number of transactions annually with revenue based on size and terms of each transaction. We estimate royalty revenue earned throughout the year, with an annual adjustment recognized for actual sales in the first quarter of each fiscal year. Licensing, royalty, patent, engineering services and other revenue decreased by $1.3 million, from $8.2 million during the year ended December 31, 2024, to $6.9 million during the year ended December 31, 2025. The decrease was primarily due to the conclusion of a contractual arrangement with a customer for the development of reliability models for strategic radiation hardened toggle MRAM.</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Cost of Sales and Gross Margin</w:t>
      </w:r>
    </w:p>
    <w:p>
      <w:pPr>
        <w:spacing w:after="0" w:line="275"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148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6"/>
                <w:szCs w:val="16"/>
                <w:color w:val="auto"/>
              </w:rPr>
            </w:pPr>
          </w:p>
        </w:tc>
      </w:tr>
      <w:tr>
        <w:trPr>
          <w:trHeight w:val="37"/>
        </w:trPr>
        <w:tc>
          <w:tcPr>
            <w:tcW w:w="3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3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27"/>
        </w:trPr>
        <w:tc>
          <w:tcPr>
            <w:tcW w:w="3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00" w:type="dxa"/>
            <w:vAlign w:val="bottom"/>
          </w:tcPr>
          <w:p>
            <w:pPr>
              <w:spacing w:after="0"/>
              <w:rPr>
                <w:sz w:val="19"/>
                <w:szCs w:val="19"/>
                <w:color w:val="auto"/>
              </w:rPr>
            </w:pPr>
          </w:p>
        </w:tc>
      </w:tr>
      <w:tr>
        <w:trPr>
          <w:trHeight w:val="37"/>
        </w:trPr>
        <w:tc>
          <w:tcPr>
            <w:tcW w:w="3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25,938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22,812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r>
      <w:tr>
        <w:trPr>
          <w:trHeight w:val="225"/>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licensing, royalty, patent,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engineering services and other revenue</w:t>
            </w:r>
          </w:p>
        </w:tc>
        <w:tc>
          <w:tcPr>
            <w:tcW w:w="300" w:type="dxa"/>
            <w:vAlign w:val="bottom"/>
          </w:tcPr>
          <w:p>
            <w:pPr>
              <w:spacing w:after="0"/>
              <w:rPr>
                <w:sz w:val="20"/>
                <w:szCs w:val="20"/>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1,464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7"/>
        </w:trPr>
        <w:tc>
          <w:tcPr>
            <w:tcW w:w="3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89"/>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26,960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24,276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r>
        <w:trPr>
          <w:trHeight w:val="217"/>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7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Cost of product sales increased by $3.1 million, or 13.7%, from $22.8 million during the year ended December 31, 2024, to $25.9 million during the year ended December 31, 2025. Cost of product sales relate primarily to costs of our Toggle and STT products and have increased consistently and proportionately with the increase in revenues.</w:t>
      </w:r>
    </w:p>
    <w:p>
      <w:pPr>
        <w:spacing w:after="0" w:line="176" w:lineRule="exact"/>
        <w:rPr>
          <w:sz w:val="20"/>
          <w:szCs w:val="20"/>
          <w:color w:val="auto"/>
        </w:rPr>
      </w:pPr>
    </w:p>
    <w:p>
      <w:pPr>
        <w:jc w:val="both"/>
        <w:ind w:right="300" w:firstLine="405"/>
        <w:spacing w:after="0" w:line="266" w:lineRule="auto"/>
        <w:rPr>
          <w:sz w:val="20"/>
          <w:szCs w:val="20"/>
          <w:color w:val="auto"/>
        </w:rPr>
      </w:pPr>
      <w:r>
        <w:rPr>
          <w:rFonts w:ascii="Times New Roman" w:cs="Times New Roman" w:eastAsia="Times New Roman" w:hAnsi="Times New Roman"/>
          <w:sz w:val="18"/>
          <w:szCs w:val="18"/>
          <w:color w:val="auto"/>
        </w:rPr>
        <w:t>Cost of licensing, royalty, patent, engineering services and other revenue decreased by $0.4 million, or 30.2%, from $1.5 million during the year ended December 31, 2024, to $1.0 million during the year ended December 31, 2025. The decrease was primarily due to a decrease in licensing costs related to labor and materials associated with the progression of our RAD-Hard projects.</w:t>
      </w:r>
    </w:p>
    <w:p>
      <w:pPr>
        <w:spacing w:after="0" w:line="176"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Gross margin decreased from 51.8% during the year ended December 31, 2024, to 51.2% during the year ended December 31, 2025. Gross margin slightly decreased as a result of the different revenue mix.</w:t>
      </w:r>
    </w:p>
    <w:p>
      <w:pPr>
        <w:spacing w:after="0" w:line="200" w:lineRule="exact"/>
        <w:rPr>
          <w:sz w:val="20"/>
          <w:szCs w:val="20"/>
          <w:color w:val="auto"/>
        </w:rPr>
      </w:pPr>
    </w:p>
    <w:p>
      <w:pPr>
        <w:spacing w:after="0" w:line="3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spacing w:after="0" w:line="223"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Pr>
          <w:p>
            <w:pPr>
              <w:spacing w:after="0"/>
              <w:rPr>
                <w:sz w:val="16"/>
                <w:szCs w:val="16"/>
                <w:color w:val="auto"/>
              </w:rPr>
            </w:pPr>
          </w:p>
        </w:tc>
        <w:tc>
          <w:tcPr>
            <w:tcW w:w="8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6"/>
                <w:szCs w:val="16"/>
                <w:color w:val="auto"/>
              </w:rPr>
            </w:pPr>
          </w:p>
        </w:tc>
      </w:tr>
      <w:tr>
        <w:trPr>
          <w:trHeight w:val="37"/>
        </w:trPr>
        <w:tc>
          <w:tcPr>
            <w:tcW w:w="3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3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27"/>
        </w:trPr>
        <w:tc>
          <w:tcPr>
            <w:tcW w:w="3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
        </w:trPr>
        <w:tc>
          <w:tcPr>
            <w:tcW w:w="3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14,085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13,686</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25"/>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as a % of</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277"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Research and development expenses increased by $0.4 million, or 2.9%, from $13.7 million during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2024, to $14.1 million during the year ended December 31, 2025. Research and development expenses relate primarily to the development and enhancement of our new Extended Serial Peripheral Interface (xSPI) family of STT-MRAM products, which offer high-performance, multiple I/O, SPI-compatibility and feature a high-speed, low pin count SPI compatible interface.</w:t>
      </w:r>
    </w:p>
    <w:p>
      <w:pPr>
        <w:spacing w:after="0" w:line="378"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Pr>
          <w:p>
            <w:pPr>
              <w:spacing w:after="0"/>
              <w:rPr>
                <w:sz w:val="16"/>
                <w:szCs w:val="16"/>
                <w:color w:val="auto"/>
              </w:rPr>
            </w:pPr>
          </w:p>
        </w:tc>
        <w:tc>
          <w:tcPr>
            <w:tcW w:w="8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6"/>
                <w:szCs w:val="16"/>
                <w:color w:val="auto"/>
              </w:rPr>
            </w:pPr>
          </w:p>
        </w:tc>
      </w:tr>
      <w:tr>
        <w:trPr>
          <w:trHeight w:val="37"/>
        </w:trPr>
        <w:tc>
          <w:tcPr>
            <w:tcW w:w="3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3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27"/>
        </w:trPr>
        <w:tc>
          <w:tcPr>
            <w:tcW w:w="3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
        </w:trPr>
        <w:tc>
          <w:tcPr>
            <w:tcW w:w="3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14,552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14,141</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25"/>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as a % of</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277" w:lineRule="exact"/>
        <w:rPr>
          <w:sz w:val="20"/>
          <w:szCs w:val="20"/>
          <w:color w:val="auto"/>
        </w:rPr>
      </w:pPr>
    </w:p>
    <w:p>
      <w:pPr>
        <w:ind w:right="60" w:firstLine="405"/>
        <w:spacing w:after="0" w:line="315" w:lineRule="auto"/>
        <w:rPr>
          <w:sz w:val="20"/>
          <w:szCs w:val="20"/>
          <w:color w:val="auto"/>
        </w:rPr>
      </w:pPr>
      <w:r>
        <w:rPr>
          <w:rFonts w:ascii="Times New Roman" w:cs="Times New Roman" w:eastAsia="Times New Roman" w:hAnsi="Times New Roman"/>
          <w:sz w:val="17"/>
          <w:szCs w:val="17"/>
          <w:i w:val="1"/>
          <w:iCs w:val="1"/>
          <w:color w:val="auto"/>
        </w:rPr>
        <w:t>General and Administrative Expenses</w:t>
      </w:r>
      <w:r>
        <w:rPr>
          <w:rFonts w:ascii="Times New Roman" w:cs="Times New Roman" w:eastAsia="Times New Roman" w:hAnsi="Times New Roman"/>
          <w:sz w:val="17"/>
          <w:szCs w:val="17"/>
          <w:color w:val="auto"/>
        </w:rPr>
        <w:t>. General and administrative expenses increased by $0.4 million, or 2.9%, from $14.1 million during the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December 31, 2024, to $14.6 million during the year ended December 31, 2025. The increase is primarily due to one-time professional service fees.</w:t>
      </w:r>
    </w:p>
    <w:p>
      <w:pPr>
        <w:spacing w:after="0" w:line="184"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c>
          <w:tcPr>
            <w:tcW w:w="8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6"/>
                <w:szCs w:val="16"/>
                <w:color w:val="auto"/>
              </w:rPr>
            </w:pPr>
          </w:p>
        </w:tc>
      </w:tr>
      <w:tr>
        <w:trPr>
          <w:trHeight w:val="37"/>
        </w:trPr>
        <w:tc>
          <w:tcPr>
            <w:tcW w:w="3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3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27"/>
        </w:trPr>
        <w:tc>
          <w:tcPr>
            <w:tcW w:w="3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
        </w:trPr>
        <w:tc>
          <w:tcPr>
            <w:tcW w:w="3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6,113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5,390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723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as a % of revenue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spacing w:after="0" w:line="317" w:lineRule="exact"/>
        <w:rPr>
          <w:sz w:val="20"/>
          <w:szCs w:val="20"/>
          <w:color w:val="auto"/>
        </w:rPr>
      </w:pPr>
    </w:p>
    <w:p>
      <w:pPr>
        <w:ind w:right="28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Sales and Marketing Expenses</w:t>
      </w:r>
      <w:r>
        <w:rPr>
          <w:rFonts w:ascii="Times New Roman" w:cs="Times New Roman" w:eastAsia="Times New Roman" w:hAnsi="Times New Roman"/>
          <w:sz w:val="18"/>
          <w:szCs w:val="18"/>
          <w:color w:val="auto"/>
        </w:rPr>
        <w:t>. Sales and marketing expenses increased by $0.7 million, or 13.4%, from $5.4 million during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to $6.1 million during the year ended December 31, 2025. The increase is sales and marketing expenses relates primarily to higher compensation costs and contract labor.</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75"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152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r>
      <w:tr>
        <w:trPr>
          <w:trHeight w:val="37"/>
        </w:trPr>
        <w:tc>
          <w:tcPr>
            <w:tcW w:w="33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3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3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27"/>
        </w:trPr>
        <w:tc>
          <w:tcPr>
            <w:tcW w:w="3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40" w:type="dxa"/>
            <w:vAlign w:val="bottom"/>
          </w:tcPr>
          <w:p>
            <w:pPr>
              <w:spacing w:after="0"/>
              <w:rPr>
                <w:sz w:val="19"/>
                <w:szCs w:val="19"/>
                <w:color w:val="auto"/>
              </w:rPr>
            </w:pPr>
          </w:p>
        </w:tc>
      </w:tr>
      <w:tr>
        <w:trPr>
          <w:trHeight w:val="37"/>
        </w:trPr>
        <w:tc>
          <w:tcPr>
            <w:tcW w:w="3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4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1,646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3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Interest income decreased by $0.1 million, or 6.8%, from $1.8 million during the year ended December 31, 2024, to $1.6 million during the year ended December 31, 2025. The decrease is primarily due to the decrease in interest rates.</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75"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152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r>
      <w:tr>
        <w:trPr>
          <w:trHeight w:val="37"/>
        </w:trPr>
        <w:tc>
          <w:tcPr>
            <w:tcW w:w="33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3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3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27"/>
        </w:trPr>
        <w:tc>
          <w:tcPr>
            <w:tcW w:w="3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40" w:type="dxa"/>
            <w:vAlign w:val="bottom"/>
          </w:tcPr>
          <w:p>
            <w:pPr>
              <w:spacing w:after="0"/>
              <w:rPr>
                <w:sz w:val="19"/>
                <w:szCs w:val="19"/>
                <w:color w:val="auto"/>
              </w:rPr>
            </w:pPr>
          </w:p>
        </w:tc>
      </w:tr>
      <w:tr>
        <w:trPr>
          <w:trHeight w:val="37"/>
        </w:trPr>
        <w:tc>
          <w:tcPr>
            <w:tcW w:w="3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4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4,405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6,066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7"/>
        </w:trPr>
        <w:tc>
          <w:tcPr>
            <w:tcW w:w="3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Other income, net decreased by $1.7 million, from $6.1 million during the year ended December 31, 2024, to $4.4 million during the year ended December 31, 2025. Other income relates primarily to other income recognized from a strategic award we received to develop a long-term plan to provide manufacturing services for aerospace and defense segments.</w:t>
      </w:r>
    </w:p>
    <w:p>
      <w:pPr>
        <w:spacing w:after="0" w:line="176"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On July 4, 2025, the OBBBA was enacted. The OBBBA maintains the 21 percent corporate tax rate and makes permanent many of the beneficial expired and expiring tax provisions originally enacted in the Tax Cuts and Jobs Act of 2017, including the immediate expensing of domestic research and development expenditures, more favorable interest deductibility and 100 percent bonus depreciation with effective dates in 2025. Revisions to the international tax framework are effective in 2026. In the fourth quarter of 2025, the Company elected to immediately expense new domestic research and development expenditures, but continue amortizing the existing capitalized and unamortized expenditures as of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2025, we had $44.5 million of cash and cash equivalents, compared to $42.1 million as of December 31, 2024. We believe our cash and cash equivalents are sufficient to meet our anticipated capital requirements in the next 12 months. Our long-term capital requirements will depend on many factors, including, among other things, our growth rate, the timing and extent of our spending to support our current and future manufacturing requirements, research and development activities, the timing and cost of establishing additional sales and marketing capabilities, and the introduction of new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p>
      <w:pPr>
        <w:spacing w:after="0" w:line="273" w:lineRule="exact"/>
        <w:rPr>
          <w:sz w:val="20"/>
          <w:szCs w:val="20"/>
          <w:color w:val="auto"/>
        </w:rPr>
      </w:pPr>
    </w:p>
    <w:tbl>
      <w:tblPr>
        <w:tblLayout w:type="fixed"/>
        <w:tblInd w:w="134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2400" w:type="dxa"/>
            <w:vAlign w:val="bottom"/>
            <w:gridSpan w:val="4"/>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r>
      <w:tr>
        <w:trPr>
          <w:trHeight w:val="37"/>
        </w:trPr>
        <w:tc>
          <w:tcPr>
            <w:tcW w:w="56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86"/>
        </w:trPr>
        <w:tc>
          <w:tcPr>
            <w:tcW w:w="56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r>
      <w:tr>
        <w:trPr>
          <w:trHeight w:val="37"/>
        </w:trPr>
        <w:tc>
          <w:tcPr>
            <w:tcW w:w="56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27"/>
        </w:trPr>
        <w:tc>
          <w:tcPr>
            <w:tcW w:w="5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40" w:type="dxa"/>
            <w:vAlign w:val="bottom"/>
            <w:gridSpan w:val="3"/>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9"/>
                <w:szCs w:val="19"/>
                <w:color w:val="auto"/>
              </w:rPr>
            </w:pPr>
          </w:p>
        </w:tc>
      </w:tr>
      <w:tr>
        <w:trPr>
          <w:trHeight w:val="37"/>
        </w:trPr>
        <w:tc>
          <w:tcPr>
            <w:tcW w:w="5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860" w:type="dxa"/>
            <w:vAlign w:val="bottom"/>
            <w:tcBorders>
              <w:bottom w:val="single" w:sz="8" w:color="CCEEFF"/>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9,960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7,099</w:t>
            </w: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86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(8,674)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(3,060)</w:t>
            </w:r>
          </w:p>
        </w:tc>
      </w:tr>
      <w:tr>
        <w:trPr>
          <w:trHeight w:val="27"/>
        </w:trPr>
        <w:tc>
          <w:tcPr>
            <w:tcW w:w="5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86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1,112</w:t>
            </w:r>
          </w:p>
        </w:tc>
      </w:tr>
      <w:tr>
        <w:trPr>
          <w:trHeight w:val="27"/>
        </w:trPr>
        <w:tc>
          <w:tcPr>
            <w:tcW w:w="56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2025, cash provided by operating activities was $10.0 million, which consisted of net loss of $0.6 million, non-cash charges of $9.0 million and changes in net operating assets and liabilities of $1.6 million. The non-cash charges primarily consisted of stock-based compensation of $5.8 million and depreciation and amortization of $3.2 million. The change in our net operating assets and liabilities was primarily due to a decrease in accounts receivable of $3.6 million due to timing of cash receipts for outstanding balances, an increase in accrued liabilities of $0.8 million, a decrease in other assets of $0.4 million, an increase in long-term income tax liability of $0.1 million, offset by an increase in inventory of $1.6 million to meet anticipated production volumes, a decrease in accounts payable of $0.5 million, a decrease in contract obligations of $0.6 million, and an increase in prepaid and other current assets of $0.6 million.</w:t>
      </w:r>
    </w:p>
    <w:p>
      <w:pPr>
        <w:spacing w:after="0" w:line="18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cash provided by operating activities was $7.1 million, which consisted of net income of $0.8 million, non-cash charges of $8.4 million and changes in net operating assets and liabilities of $2.1 million. The non-cash charges primarily consisted of stock-based compensation of $6.7 million and depreciation and amortization of $1.7 million. The change in our net operating assets and liabilities was primarily due to an increase in</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contract obligations of $2.0 million due to contracts the Company entered into in the third quarter of 2024, an increase in accounts receivable of $0.2 million due to timing of cash receipts for outstanding balances, an increase in inventory of $0.7 million to meet anticipated production volumes, an increase in prepaid and other current assets of $0.3 million, an increase in other assets of $0.5 million, a decrease in accounts payable of $0.4 million, a decrease in accrued liabilities of $1.9 million, and a decrease in deferred revenue of $0.3 million.</w:t>
      </w:r>
    </w:p>
    <w:p>
      <w:pPr>
        <w:spacing w:after="0" w:line="3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cash used in investing activities was $8.7 million, which consisted of capital expenditures primarily for the purchase of manufacturing equipment and purchased software.</w:t>
      </w:r>
    </w:p>
    <w:p>
      <w:pPr>
        <w:spacing w:after="0" w:line="162"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cash used in investing activities was $3.1 million, which consisted of capital expenditures primarily for the purchase of manufacturing equipment and purchased software.</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cash provided by financing activities was $1.1 million, which consisted of proceeds from stock option exercises and purchases of shares under our employee stock purchase plan.</w:t>
      </w:r>
    </w:p>
    <w:p>
      <w:pPr>
        <w:spacing w:after="0" w:line="162" w:lineRule="exact"/>
        <w:rPr>
          <w:sz w:val="20"/>
          <w:szCs w:val="20"/>
          <w:color w:val="auto"/>
        </w:rPr>
      </w:pPr>
    </w:p>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cash used in financing activities was $1.1 million, which consisted of proceeds from stock option exercises and purchases of shares under our employee stock purchase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3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We recognize revenue when a customer obtains control of the promised products or services, in an amount that reflects the consideration we expect to receive in exchange for those products or services. We recognize revenue net of allowances for returns and price concessions, and any taxes imposed on revenue transactions, which are subsequently remitted to governmental authorities.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Products and Services</w:t>
      </w:r>
    </w:p>
    <w:p>
      <w:pPr>
        <w:spacing w:after="0" w:line="227"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derive our revenue from the sale of MRAM-based products in discrete unit form, licenses of and royalties on our MRAM and magnetic sensor technology, the sale of backend foundry services, and design services to third parties. We recognize sales of products in discrete unit form at a point in time, revenue related to licensing agreements when we have delivered control of the technology, revenue related to royalty agreements in the period in which sales generated from products sold using our technology occurs, sales of backend foundry services over time, and design services to third parties either at a point in time or over time, depending on the nature of the services.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For products sold in their discrete form, we either sell our products directly to OEMs, ODMs, contract manufacturers (CMs), or through a network of distributors, who in turn sell to those customers. For sales directly to OEMs, ODMs and CMs, we recognize revenue when the OEM, ODM or CM obtains control of the product, which occurs at a point in time, generally upon shipment to the customer.</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From time to time, we may provide distributors with price adjustments subsequent to the delivery of product to them and such amounts are dependent on the end customer and product sales price. Price adjustments can be based on a variety of factors, including customer, product, quantity, geography, and competitive differentiation. Price protection rights grant distributors the right to a credit in the event of declines in the price of our products. Under these circumstances, we remit back to the distributor a portion of their original purchase price after the resale transaction is completed in the form of a credit against the distributors’ outstanding accounts receivable balance. The credits are on a per unit basis and are not given to the distributor until the distributor provides information regarding the sale to their end customer. We estimate these credits and record such estimates in the same period the related revenue is recognized, resulting in a reduction of product revenue and the establishment of an allowance for price adjustments for amounts due to distributors. We estimate credits to distributors based on the historical rate of credits provided to distributors relative to sales and evaluation of current market conditions. Revenue on shipments to distributors is recorded when control of the products has been transferred to the distributor.</w:t>
      </w:r>
    </w:p>
    <w:p>
      <w:pPr>
        <w:spacing w:after="0" w:line="18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We estimate the amount of our product sales that may be returned by our customers and record this estimate as a reduction of revenue in the period the related product revenue is recognized. We estimate our product return liability by analyzing our historical returns, current economic trends and changes in customer demand and acceptance of products. We have received insignificant returns to date and believe that returns of our products will continue to be minimal.</w:t>
      </w:r>
    </w:p>
    <w:p>
      <w:pPr>
        <w:spacing w:after="0" w:line="180"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Upon the transfer of control, generally at shipment, we record a trade receivable for the selling price as there is a legally enforceable obligation of the distributor to pay for the product delivered, an allowance is recorded for the estimated discount that will be provided to the distributor, and the net of these amounts is recorded as revenue on the statements of operations and comprehensive (loss)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licenses of technology, recognition of revenue is dependent upon whether we have delivered rights to the technology, and whether there are future performance obligations under the contract. In some instances, the license agreements call for future events or activities to occur in order for milestone amounts to become due from the customer. The terms of such agreements include payment to us of one or more of the following: non-refundable upfront fees; and royalties on net sales of licensed products. Historically, these license agreements have not included other future performance obligations once the license has been transferred to the customer.</w:t>
      </w:r>
    </w:p>
    <w:p>
      <w:pPr>
        <w:spacing w:after="0" w:line="183"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We recognize revenue from non-refundable upfront payments when the license is transferred to the customer and we have no other performance obligations.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also have entered into multiple contractual agreements with customers for the development of a RAD-Hard product, consisting of a technology license, a design license agreement and development contract and for the development of a strategic radiation hardened field programmable gate array product, consisting of a technology license to provide design and development services under the contractual agreements. We applied a five-step approach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performance obligation is satisfied.</w:t>
      </w:r>
    </w:p>
    <w:p>
      <w:pPr>
        <w:spacing w:after="0" w:line="18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concluded these contractual arrangements represent one arrangement and evaluated our promises to the customer and whether the performance obligations granted under the arrangement were distinct. The licenses provided to the customer are not transferable, are of limited value without the promised development services, and the customer cannot benefit from the license agreements without the specific obligated services in the development subcontract, as there is strong interdependence between the licenses and the development subcontract. Accordingly, we determined the licenses were not distinct within the context of the contract and combined the license with other performance obligations.</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a result, we are recognizing revenue related to the performance obligations over time using the input method based on costs incurred to date relative to the total expected costs of the contract over the performance obligation period.</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We record inventories at the lower of cost, determined on a first-in, first-out basis or net realizable value. We write down inventory for estimated excess or obsolete inventory equal to the difference between cost and estimated net realizable value. Inventory write downs establish a new cost basis for inventory and charges are not subsequently reversed even if</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circumstances subsequently indicate that increased carrying amounts are recoverable. In estimating these reserves, our evaluation takes into consideration historical and expected future demand considering current market conditions and trends, the effect new products may have on the sale of existing products, technological obsolescence, and other factors. We record inventory write-downs for the valuation of inventory when required based on our analyses and any write-downs result in a new cost basis for the affected item.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See Note 2 in the accompanying Notes to Financial Statements in Part II, Item 8 of this Annual Report on Form 10-K for more information about recent accounting pronouncements, the timing of their adoption, and our assessment, to the extent we have made one yet, of their potential impact on our financial condition of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required for a smaller reporting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4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506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80" w:type="dxa"/>
            <w:vAlign w:val="bottom"/>
            <w:gridSpan w:val="8"/>
            <w:vMerge w:val="continue"/>
          </w:tcPr>
          <w:p>
            <w:pPr>
              <w:spacing w:after="0"/>
              <w:rPr>
                <w:sz w:val="15"/>
                <w:szCs w:val="15"/>
                <w:color w:val="auto"/>
              </w:rPr>
            </w:pPr>
          </w:p>
        </w:tc>
        <w:tc>
          <w:tcPr>
            <w:tcW w:w="57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220" w:type="dxa"/>
            <w:vAlign w:val="bottom"/>
            <w:tcBorders>
              <w:top w:val="single" w:sz="8" w:color="0000FF"/>
            </w:tcBorders>
            <w:gridSpan w:val="6"/>
          </w:tcPr>
          <w:p>
            <w:pPr>
              <w:ind w:left="220"/>
              <w:spacing w:after="0"/>
              <w:rPr>
                <w:sz w:val="20"/>
                <w:szCs w:val="20"/>
                <w:color w:val="auto"/>
              </w:rPr>
            </w:pPr>
            <w:r>
              <w:rPr>
                <w:rFonts w:ascii="Times New Roman" w:cs="Times New Roman" w:eastAsia="Times New Roman" w:hAnsi="Times New Roman"/>
                <w:sz w:val="18"/>
                <w:szCs w:val="18"/>
                <w:color w:val="auto"/>
              </w:rPr>
              <w:t>Financial Statements:</w:t>
            </w:r>
          </w:p>
        </w:tc>
        <w:tc>
          <w:tcPr>
            <w:tcW w:w="1260" w:type="dxa"/>
            <w:vAlign w:val="bottom"/>
            <w:gridSpan w:val="2"/>
          </w:tcPr>
          <w:p>
            <w:pPr>
              <w:spacing w:after="0"/>
              <w:rPr>
                <w:sz w:val="24"/>
                <w:szCs w:val="24"/>
                <w:color w:val="auto"/>
              </w:rPr>
            </w:pPr>
          </w:p>
        </w:tc>
        <w:tc>
          <w:tcPr>
            <w:tcW w:w="5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Balance Sheets</w:t>
            </w:r>
          </w:p>
        </w:tc>
        <w:tc>
          <w:tcPr>
            <w:tcW w:w="3920" w:type="dxa"/>
            <w:vAlign w:val="bottom"/>
            <w:gridSpan w:val="6"/>
          </w:tcPr>
          <w:p>
            <w:pPr>
              <w:spacing w:after="0"/>
              <w:rPr>
                <w:sz w:val="19"/>
                <w:szCs w:val="19"/>
                <w:color w:val="auto"/>
              </w:rPr>
            </w:pPr>
          </w:p>
        </w:tc>
        <w:tc>
          <w:tcPr>
            <w:tcW w:w="5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Statements of Operations and Comprehensive (Loss) Income</w:t>
            </w:r>
          </w:p>
        </w:tc>
        <w:tc>
          <w:tcPr>
            <w:tcW w:w="5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5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Statements of Stockholders’ Equity</w:t>
            </w:r>
          </w:p>
        </w:tc>
        <w:tc>
          <w:tcPr>
            <w:tcW w:w="1820" w:type="dxa"/>
            <w:vAlign w:val="bottom"/>
            <w:tcBorders>
              <w:top w:val="single" w:sz="8" w:color="0000FF"/>
            </w:tcBorders>
            <w:gridSpan w:val="2"/>
          </w:tcPr>
          <w:p>
            <w:pPr>
              <w:spacing w:after="0"/>
              <w:rPr>
                <w:sz w:val="21"/>
                <w:szCs w:val="21"/>
                <w:color w:val="auto"/>
              </w:rPr>
            </w:pPr>
          </w:p>
        </w:tc>
        <w:tc>
          <w:tcPr>
            <w:tcW w:w="640" w:type="dxa"/>
            <w:vAlign w:val="bottom"/>
          </w:tcPr>
          <w:p>
            <w:pPr>
              <w:spacing w:after="0"/>
              <w:rPr>
                <w:sz w:val="21"/>
                <w:szCs w:val="21"/>
                <w:color w:val="auto"/>
              </w:rPr>
            </w:pPr>
          </w:p>
        </w:tc>
        <w:tc>
          <w:tcPr>
            <w:tcW w:w="5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Statements of Cash Flows</w:t>
            </w:r>
          </w:p>
        </w:tc>
        <w:tc>
          <w:tcPr>
            <w:tcW w:w="3140" w:type="dxa"/>
            <w:vAlign w:val="bottom"/>
            <w:gridSpan w:val="5"/>
          </w:tcPr>
          <w:p>
            <w:pPr>
              <w:spacing w:after="0"/>
              <w:rPr>
                <w:sz w:val="21"/>
                <w:szCs w:val="21"/>
                <w:color w:val="auto"/>
              </w:rPr>
            </w:pPr>
          </w:p>
        </w:tc>
        <w:tc>
          <w:tcPr>
            <w:tcW w:w="5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5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777"/>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60" w:type="dxa"/>
            <w:vAlign w:val="bottom"/>
          </w:tcPr>
          <w:p>
            <w:pPr>
              <w:jc w:val="right"/>
              <w:ind w:right="4750"/>
              <w:spacing w:after="0"/>
              <w:rPr>
                <w:sz w:val="20"/>
                <w:szCs w:val="20"/>
                <w:color w:val="auto"/>
              </w:rPr>
            </w:pPr>
            <w:r>
              <w:rPr>
                <w:rFonts w:ascii="Times New Roman" w:cs="Times New Roman" w:eastAsia="Times New Roman" w:hAnsi="Times New Roman"/>
                <w:sz w:val="18"/>
                <w:szCs w:val="18"/>
                <w:color w:val="auto"/>
              </w:rPr>
              <w:t>36</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Everspin Technologies,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Everspin Technologies, Inc. (the Company) as of December 31, 2025 and 2024, the related statements of operations and comprehensive (loss) income, stockholders'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Inventory</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w:t>
            </w:r>
          </w:p>
        </w:tc>
        <w:tc>
          <w:tcPr>
            <w:tcW w:w="9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discussed in Note 2 to the financial statements, Inventory is valued at the lower of cost or net realizable value. At December</w:t>
            </w:r>
          </w:p>
        </w:tc>
      </w:tr>
      <w:tr>
        <w:trPr>
          <w:trHeight w:val="236"/>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9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 2025, the Company’s inventory balance was $10.7 million.</w:t>
            </w:r>
          </w:p>
        </w:tc>
      </w:tr>
      <w:tr>
        <w:trPr>
          <w:trHeight w:val="387"/>
        </w:trPr>
        <w:tc>
          <w:tcPr>
            <w:tcW w:w="1760" w:type="dxa"/>
            <w:vAlign w:val="bottom"/>
          </w:tcPr>
          <w:p>
            <w:pPr>
              <w:spacing w:after="0"/>
              <w:rPr>
                <w:sz w:val="24"/>
                <w:szCs w:val="24"/>
                <w:color w:val="auto"/>
              </w:rPr>
            </w:pPr>
          </w:p>
        </w:tc>
        <w:tc>
          <w:tcPr>
            <w:tcW w:w="9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Auditing the Company's accounting for inventory was challenging and complex primarily due to the high volume of transactions</w:t>
            </w:r>
          </w:p>
        </w:tc>
      </w:tr>
      <w:tr>
        <w:trPr>
          <w:trHeight w:val="216"/>
        </w:trPr>
        <w:tc>
          <w:tcPr>
            <w:tcW w:w="1760" w:type="dxa"/>
            <w:vAlign w:val="bottom"/>
          </w:tcPr>
          <w:p>
            <w:pPr>
              <w:spacing w:after="0"/>
              <w:rPr>
                <w:sz w:val="18"/>
                <w:szCs w:val="18"/>
                <w:color w:val="auto"/>
              </w:rPr>
            </w:pPr>
          </w:p>
        </w:tc>
        <w:tc>
          <w:tcPr>
            <w:tcW w:w="9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multiple data sources involved in the initiation, processing, and recording of inventory transactions. The data sources include</w:t>
            </w:r>
          </w:p>
        </w:tc>
      </w:tr>
      <w:tr>
        <w:trPr>
          <w:trHeight w:val="234"/>
        </w:trPr>
        <w:tc>
          <w:tcPr>
            <w:tcW w:w="1760" w:type="dxa"/>
            <w:vAlign w:val="bottom"/>
          </w:tcPr>
          <w:p>
            <w:pPr>
              <w:spacing w:after="0"/>
              <w:rPr>
                <w:sz w:val="20"/>
                <w:szCs w:val="20"/>
                <w:color w:val="auto"/>
              </w:rPr>
            </w:pPr>
          </w:p>
        </w:tc>
        <w:tc>
          <w:tcPr>
            <w:tcW w:w="9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information received from the Company’s third-party suppliers involved in the manufacturing process.</w:t>
            </w:r>
          </w:p>
        </w:tc>
      </w:tr>
      <w:tr>
        <w:trPr>
          <w:trHeight w:val="398"/>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How We Addressed the</w:t>
            </w:r>
          </w:p>
        </w:tc>
        <w:tc>
          <w:tcPr>
            <w:tcW w:w="9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 test the Company’s accounting for inventory, we performed audit procedures that included, among others, performing direct</w:t>
            </w:r>
          </w:p>
        </w:tc>
      </w:tr>
      <w:tr>
        <w:trPr>
          <w:trHeight w:val="218"/>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Matter in Our Audit</w:t>
            </w:r>
          </w:p>
        </w:tc>
        <w:tc>
          <w:tcPr>
            <w:tcW w:w="9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confirmations of inventory held at third-party suppliers, and testing a sample of inventory transactions and manufacturing costs</w:t>
            </w:r>
          </w:p>
        </w:tc>
      </w:tr>
      <w:tr>
        <w:trPr>
          <w:trHeight w:val="234"/>
        </w:trPr>
        <w:tc>
          <w:tcPr>
            <w:tcW w:w="1760" w:type="dxa"/>
            <w:vAlign w:val="bottom"/>
          </w:tcPr>
          <w:p>
            <w:pPr>
              <w:spacing w:after="0"/>
              <w:rPr>
                <w:sz w:val="20"/>
                <w:szCs w:val="20"/>
                <w:color w:val="auto"/>
              </w:rPr>
            </w:pPr>
          </w:p>
        </w:tc>
        <w:tc>
          <w:tcPr>
            <w:tcW w:w="9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incurred during the year to evaluate the cost of inventory.</w:t>
            </w:r>
          </w:p>
        </w:tc>
      </w:tr>
      <w:tr>
        <w:trPr>
          <w:trHeight w:val="338"/>
        </w:trPr>
        <w:tc>
          <w:tcPr>
            <w:tcW w:w="1760" w:type="dxa"/>
            <w:vAlign w:val="bottom"/>
          </w:tcPr>
          <w:p>
            <w:pPr>
              <w:spacing w:after="0"/>
              <w:rPr>
                <w:sz w:val="24"/>
                <w:szCs w:val="24"/>
                <w:color w:val="auto"/>
              </w:rPr>
            </w:pPr>
          </w:p>
        </w:tc>
        <w:tc>
          <w:tcPr>
            <w:tcW w:w="9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 Ernst &amp; Young LLP</w:t>
            </w:r>
          </w:p>
        </w:tc>
      </w:tr>
      <w:tr>
        <w:trPr>
          <w:trHeight w:val="850"/>
        </w:trPr>
        <w:tc>
          <w:tcPr>
            <w:tcW w:w="1760" w:type="dxa"/>
            <w:vAlign w:val="bottom"/>
          </w:tcPr>
          <w:p>
            <w:pPr>
              <w:spacing w:after="0"/>
              <w:rPr>
                <w:sz w:val="24"/>
                <w:szCs w:val="24"/>
                <w:color w:val="auto"/>
              </w:rPr>
            </w:pPr>
          </w:p>
        </w:tc>
        <w:tc>
          <w:tcPr>
            <w:tcW w:w="948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37</w:t>
            </w:r>
          </w:p>
        </w:tc>
      </w:tr>
      <w:tr>
        <w:trPr>
          <w:trHeight w:val="290"/>
        </w:trPr>
        <w:tc>
          <w:tcPr>
            <w:tcW w:w="1760" w:type="dxa"/>
            <w:vAlign w:val="bottom"/>
            <w:tcBorders>
              <w:bottom w:val="single" w:sz="8" w:color="9A9A9A"/>
            </w:tcBorders>
          </w:tcPr>
          <w:p>
            <w:pPr>
              <w:spacing w:after="0"/>
              <w:rPr>
                <w:sz w:val="24"/>
                <w:szCs w:val="24"/>
                <w:color w:val="auto"/>
              </w:rPr>
            </w:pPr>
          </w:p>
        </w:tc>
        <w:tc>
          <w:tcPr>
            <w:tcW w:w="9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Arizona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2026</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41" w:lineRule="exact"/>
        <w:rPr>
          <w:sz w:val="20"/>
          <w:szCs w:val="20"/>
          <w:color w:val="auto"/>
        </w:rPr>
      </w:pPr>
    </w:p>
    <w:p>
      <w:pPr>
        <w:jc w:val="right"/>
        <w:ind w:right="32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December 31,</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6" w:lineRule="exact"/>
        <w:rPr>
          <w:sz w:val="20"/>
          <w:szCs w:val="20"/>
          <w:color w:val="auto"/>
        </w:rPr>
      </w:pPr>
    </w:p>
    <w:p>
      <w:pPr>
        <w:ind w:left="878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20" w:type="dxa"/>
            <w:vAlign w:val="bottom"/>
          </w:tcPr>
          <w:p>
            <w:pPr>
              <w:spacing w:after="0"/>
              <w:rPr>
                <w:sz w:val="21"/>
                <w:szCs w:val="21"/>
                <w:color w:val="auto"/>
              </w:rPr>
            </w:pPr>
          </w:p>
        </w:tc>
      </w:tr>
      <w:tr>
        <w:trPr>
          <w:trHeight w:val="270"/>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2620" w:type="dxa"/>
            <w:vAlign w:val="bottom"/>
          </w:tcPr>
          <w:p>
            <w:pPr>
              <w:spacing w:after="0"/>
              <w:rPr>
                <w:sz w:val="23"/>
                <w:szCs w:val="23"/>
                <w:color w:val="auto"/>
              </w:rPr>
            </w:pPr>
          </w:p>
        </w:tc>
      </w:tr>
      <w:tr>
        <w:trPr>
          <w:trHeight w:val="270"/>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20" w:type="dxa"/>
            <w:vAlign w:val="bottom"/>
          </w:tcPr>
          <w:p>
            <w:pPr>
              <w:spacing w:after="0"/>
              <w:rPr>
                <w:sz w:val="23"/>
                <w:szCs w:val="23"/>
                <w:color w:val="auto"/>
              </w:rPr>
            </w:pPr>
          </w:p>
        </w:tc>
      </w:tr>
      <w:tr>
        <w:trPr>
          <w:trHeight w:val="270"/>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620" w:type="dxa"/>
            <w:vAlign w:val="bottom"/>
          </w:tcPr>
          <w:p>
            <w:pPr>
              <w:spacing w:after="0"/>
              <w:rPr>
                <w:sz w:val="23"/>
                <w:szCs w:val="23"/>
                <w:color w:val="auto"/>
              </w:rPr>
            </w:pPr>
          </w:p>
        </w:tc>
      </w:tr>
      <w:tr>
        <w:trPr>
          <w:trHeight w:val="27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20" w:type="dxa"/>
            <w:vAlign w:val="bottom"/>
          </w:tcPr>
          <w:p>
            <w:pPr>
              <w:spacing w:after="0"/>
              <w:rPr>
                <w:sz w:val="23"/>
                <w:szCs w:val="23"/>
                <w:color w:val="auto"/>
              </w:rPr>
            </w:pPr>
          </w:p>
        </w:tc>
      </w:tr>
      <w:tr>
        <w:trPr>
          <w:trHeight w:val="27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620" w:type="dxa"/>
            <w:vAlign w:val="bottom"/>
          </w:tcPr>
          <w:p>
            <w:pPr>
              <w:spacing w:after="0"/>
              <w:rPr>
                <w:sz w:val="23"/>
                <w:szCs w:val="23"/>
                <w:color w:val="auto"/>
              </w:rPr>
            </w:pPr>
          </w:p>
        </w:tc>
      </w:tr>
      <w:tr>
        <w:trPr>
          <w:trHeight w:val="27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620" w:type="dxa"/>
            <w:vAlign w:val="bottom"/>
          </w:tcPr>
          <w:p>
            <w:pPr>
              <w:spacing w:after="0"/>
              <w:rPr>
                <w:sz w:val="23"/>
                <w:szCs w:val="23"/>
                <w:color w:val="auto"/>
              </w:rPr>
            </w:pPr>
          </w:p>
        </w:tc>
      </w:tr>
      <w:tr>
        <w:trPr>
          <w:trHeight w:val="27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20" w:type="dxa"/>
            <w:vAlign w:val="bottom"/>
          </w:tcPr>
          <w:p>
            <w:pPr>
              <w:spacing w:after="0"/>
              <w:rPr>
                <w:sz w:val="23"/>
                <w:szCs w:val="23"/>
                <w:color w:val="auto"/>
              </w:rPr>
            </w:pPr>
          </w:p>
        </w:tc>
      </w:tr>
      <w:tr>
        <w:trPr>
          <w:trHeight w:val="270"/>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0"/>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20" w:type="dxa"/>
            <w:vAlign w:val="bottom"/>
          </w:tcPr>
          <w:p>
            <w:pPr>
              <w:spacing w:after="0"/>
              <w:rPr>
                <w:sz w:val="24"/>
                <w:szCs w:val="24"/>
                <w:color w:val="auto"/>
              </w:rPr>
            </w:pPr>
          </w:p>
        </w:tc>
      </w:tr>
      <w:tr>
        <w:trPr>
          <w:trHeight w:val="27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20" w:type="dxa"/>
            <w:vAlign w:val="bottom"/>
          </w:tcPr>
          <w:p>
            <w:pPr>
              <w:spacing w:after="0"/>
              <w:rPr>
                <w:sz w:val="23"/>
                <w:szCs w:val="23"/>
                <w:color w:val="auto"/>
              </w:rPr>
            </w:pPr>
          </w:p>
        </w:tc>
      </w:tr>
      <w:tr>
        <w:trPr>
          <w:trHeight w:val="297"/>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2620" w:type="dxa"/>
            <w:vAlign w:val="bottom"/>
          </w:tcPr>
          <w:p>
            <w:pPr>
              <w:spacing w:after="0"/>
              <w:rPr>
                <w:sz w:val="21"/>
                <w:szCs w:val="21"/>
                <w:color w:val="auto"/>
              </w:rPr>
            </w:pPr>
          </w:p>
        </w:tc>
      </w:tr>
      <w:tr>
        <w:trPr>
          <w:trHeight w:val="270"/>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2620" w:type="dxa"/>
            <w:vAlign w:val="bottom"/>
          </w:tcPr>
          <w:p>
            <w:pPr>
              <w:spacing w:after="0"/>
              <w:rPr>
                <w:sz w:val="23"/>
                <w:szCs w:val="23"/>
                <w:color w:val="auto"/>
              </w:rPr>
            </w:pPr>
          </w:p>
        </w:tc>
      </w:tr>
      <w:tr>
        <w:trPr>
          <w:trHeight w:val="270"/>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2620" w:type="dxa"/>
            <w:vAlign w:val="bottom"/>
          </w:tcPr>
          <w:p>
            <w:pPr>
              <w:spacing w:after="0"/>
              <w:rPr>
                <w:sz w:val="23"/>
                <w:szCs w:val="23"/>
                <w:color w:val="auto"/>
              </w:rPr>
            </w:pPr>
          </w:p>
        </w:tc>
      </w:tr>
      <w:tr>
        <w:trPr>
          <w:trHeight w:val="270"/>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 obligations</w:t>
            </w:r>
          </w:p>
        </w:tc>
        <w:tc>
          <w:tcPr>
            <w:tcW w:w="2620" w:type="dxa"/>
            <w:vAlign w:val="bottom"/>
          </w:tcPr>
          <w:p>
            <w:pPr>
              <w:spacing w:after="0"/>
              <w:rPr>
                <w:sz w:val="23"/>
                <w:szCs w:val="23"/>
                <w:color w:val="auto"/>
              </w:rPr>
            </w:pPr>
          </w:p>
        </w:tc>
      </w:tr>
      <w:tr>
        <w:trPr>
          <w:trHeight w:val="270"/>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Software liabilities, current portion</w:t>
            </w:r>
          </w:p>
        </w:tc>
        <w:tc>
          <w:tcPr>
            <w:tcW w:w="2620" w:type="dxa"/>
            <w:vAlign w:val="bottom"/>
          </w:tcPr>
          <w:p>
            <w:pPr>
              <w:spacing w:after="0"/>
              <w:rPr>
                <w:sz w:val="23"/>
                <w:szCs w:val="23"/>
                <w:color w:val="auto"/>
              </w:rPr>
            </w:pPr>
          </w:p>
        </w:tc>
      </w:tr>
      <w:tr>
        <w:trPr>
          <w:trHeight w:val="270"/>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20" w:type="dxa"/>
            <w:vAlign w:val="bottom"/>
          </w:tcPr>
          <w:p>
            <w:pPr>
              <w:spacing w:after="0"/>
              <w:rPr>
                <w:sz w:val="23"/>
                <w:szCs w:val="23"/>
                <w:color w:val="auto"/>
              </w:rPr>
            </w:pPr>
          </w:p>
        </w:tc>
      </w:tr>
      <w:tr>
        <w:trPr>
          <w:trHeight w:val="27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620" w:type="dxa"/>
            <w:vAlign w:val="bottom"/>
          </w:tcPr>
          <w:p>
            <w:pPr>
              <w:spacing w:after="0"/>
              <w:rPr>
                <w:sz w:val="23"/>
                <w:szCs w:val="23"/>
                <w:color w:val="auto"/>
              </w:rPr>
            </w:pPr>
          </w:p>
        </w:tc>
      </w:tr>
      <w:tr>
        <w:trPr>
          <w:trHeight w:val="27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Software liabilities, net of current portion</w:t>
            </w:r>
          </w:p>
        </w:tc>
        <w:tc>
          <w:tcPr>
            <w:tcW w:w="2620" w:type="dxa"/>
            <w:vAlign w:val="bottom"/>
          </w:tcPr>
          <w:p>
            <w:pPr>
              <w:spacing w:after="0"/>
              <w:rPr>
                <w:sz w:val="23"/>
                <w:szCs w:val="23"/>
                <w:color w:val="auto"/>
              </w:rPr>
            </w:pPr>
          </w:p>
        </w:tc>
      </w:tr>
      <w:tr>
        <w:trPr>
          <w:trHeight w:val="27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Long-term income tax liability</w:t>
            </w:r>
          </w:p>
        </w:tc>
        <w:tc>
          <w:tcPr>
            <w:tcW w:w="2620" w:type="dxa"/>
            <w:vAlign w:val="bottom"/>
          </w:tcPr>
          <w:p>
            <w:pPr>
              <w:spacing w:after="0"/>
              <w:rPr>
                <w:sz w:val="23"/>
                <w:szCs w:val="23"/>
                <w:color w:val="auto"/>
              </w:rPr>
            </w:pPr>
          </w:p>
        </w:tc>
      </w:tr>
      <w:tr>
        <w:trPr>
          <w:trHeight w:val="297"/>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620" w:type="dxa"/>
            <w:vAlign w:val="bottom"/>
          </w:tcPr>
          <w:p>
            <w:pPr>
              <w:spacing w:after="0"/>
              <w:rPr>
                <w:sz w:val="21"/>
                <w:szCs w:val="21"/>
                <w:color w:val="auto"/>
              </w:rPr>
            </w:pPr>
          </w:p>
        </w:tc>
      </w:tr>
      <w:tr>
        <w:trPr>
          <w:trHeight w:val="27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-4097020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-3068320</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-2382520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-2039620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-1696720</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-1010920</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-2725420</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-3754120</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120" w:right="220"/>
        <w:spacing w:after="0" w:line="281" w:lineRule="auto"/>
        <w:rPr>
          <w:sz w:val="20"/>
          <w:szCs w:val="20"/>
          <w:color w:val="auto"/>
        </w:rPr>
      </w:pPr>
      <w:r>
        <w:rPr>
          <w:rFonts w:ascii="Times New Roman" w:cs="Times New Roman" w:eastAsia="Times New Roman" w:hAnsi="Times New Roman"/>
          <w:sz w:val="18"/>
          <w:szCs w:val="18"/>
          <w:color w:val="auto"/>
        </w:rPr>
        <w:t>Preferred stock, $0.0001 par value per share; 5,000,000 shares authorized; no shares issued and outstanding as of December 31, 2025 and 2024, respectively</w:t>
      </w:r>
    </w:p>
    <w:p>
      <w:pPr>
        <w:spacing w:after="0" w:line="1" w:lineRule="exact"/>
        <w:rPr>
          <w:sz w:val="20"/>
          <w:szCs w:val="20"/>
          <w:color w:val="auto"/>
        </w:rPr>
      </w:pPr>
    </w:p>
    <w:p>
      <w:pPr>
        <w:ind w:left="120" w:right="620"/>
        <w:spacing w:after="0" w:line="281" w:lineRule="auto"/>
        <w:rPr>
          <w:sz w:val="20"/>
          <w:szCs w:val="20"/>
          <w:color w:val="auto"/>
        </w:rPr>
      </w:pPr>
      <w:r>
        <w:rPr>
          <w:rFonts w:ascii="Times New Roman" w:cs="Times New Roman" w:eastAsia="Times New Roman" w:hAnsi="Times New Roman"/>
          <w:sz w:val="18"/>
          <w:szCs w:val="18"/>
          <w:color w:val="auto"/>
        </w:rPr>
        <w:t>Common stock, $0.0001 par value per share; 100,000,000 shares authorized; 22,977,797 and 22,059,697 shares issued and outstanding as of December 31, 2025 and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spacing w:after="0" w:line="1" w:lineRule="exact"/>
        <w:rPr>
          <w:sz w:val="1"/>
          <w:szCs w:val="1"/>
          <w:color w:val="auto"/>
        </w:rPr>
      </w:pPr>
    </w:p>
    <w:tbl>
      <w:tblPr>
        <w:tblLayout w:type="fixed"/>
        <w:tblInd w:w="180" w:type="dxa"/>
        <w:tblCellMar>
          <w:top w:w="0" w:type="dxa"/>
          <w:left w:w="0" w:type="dxa"/>
          <w:bottom w:w="0" w:type="dxa"/>
          <w:right w:w="0" w:type="dxa"/>
        </w:tblCellMar>
      </w:tblPr>
      <w:tr>
        <w:trPr>
          <w:trHeight w:val="234"/>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2"/>
              </w:rPr>
              <w:t>44,450</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42,097</w:t>
            </w:r>
          </w:p>
        </w:tc>
      </w:tr>
      <w:tr>
        <w:trPr>
          <w:trHeight w:val="27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8,101</w:t>
            </w: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11,722</w:t>
            </w:r>
          </w:p>
        </w:tc>
      </w:tr>
      <w:tr>
        <w:trPr>
          <w:trHeight w:val="27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2"/>
              </w:rPr>
              <w:t>10,734</w:t>
            </w: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9,110</w:t>
            </w:r>
          </w:p>
        </w:tc>
      </w:tr>
      <w:tr>
        <w:trPr>
          <w:trHeight w:val="27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1,877</w:t>
            </w: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r>
      <w:tr>
        <w:trPr>
          <w:trHeight w:val="25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2"/>
              </w:rPr>
              <w:t>65,162</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64,201</w:t>
            </w:r>
          </w:p>
        </w:tc>
      </w:tr>
      <w:tr>
        <w:trPr>
          <w:trHeight w:val="27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2"/>
              </w:rPr>
              <w:t>14,140</w:t>
            </w: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r>
      <w:tr>
        <w:trPr>
          <w:trHeight w:val="27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1,714</w:t>
            </w: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r>
      <w:tr>
        <w:trPr>
          <w:trHeight w:val="27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3,251</w:t>
            </w: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w:t>
            </w:r>
          </w:p>
        </w:tc>
      </w:tr>
      <w:tr>
        <w:trPr>
          <w:trHeight w:val="270"/>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342</w:t>
            </w: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w:t>
            </w:r>
          </w:p>
        </w:tc>
      </w:tr>
      <w:tr>
        <w:trPr>
          <w:trHeight w:val="223"/>
        </w:trPr>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2"/>
              </w:rPr>
              <w:t>84,609</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77,789</w:t>
            </w:r>
          </w:p>
        </w:tc>
      </w:tr>
      <w:tr>
        <w:trPr>
          <w:trHeight w:val="21"/>
        </w:trPr>
        <w:tc>
          <w:tcPr>
            <w:tcW w:w="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-33655</wp:posOffset>
            </wp:positionV>
            <wp:extent cx="9429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-472440</wp:posOffset>
            </wp:positionH>
            <wp:positionV relativeFrom="paragraph">
              <wp:posOffset>-187960</wp:posOffset>
            </wp:positionV>
            <wp:extent cx="9429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60"/>
        <w:spacing w:after="0"/>
        <w:tabs>
          <w:tab w:leader="none" w:pos="840" w:val="left"/>
          <w:tab w:leader="none" w:pos="1820" w:val="left"/>
        </w:tabs>
        <w:rPr>
          <w:sz w:val="20"/>
          <w:szCs w:val="20"/>
          <w:color w:val="auto"/>
        </w:rPr>
      </w:pPr>
      <w:r>
        <w:rPr>
          <w:rFonts w:ascii="Times New Roman" w:cs="Times New Roman" w:eastAsia="Times New Roman" w:hAnsi="Times New Roman"/>
          <w:sz w:val="18"/>
          <w:szCs w:val="18"/>
          <w:color w:val="auto"/>
        </w:rPr>
        <w:t>5,180</w:t>
        <w:tab/>
        <w:t>$</w:t>
      </w:r>
      <w:r>
        <w:rPr>
          <w:sz w:val="20"/>
          <w:szCs w:val="20"/>
          <w:color w:val="auto"/>
        </w:rPr>
        <w:tab/>
      </w:r>
      <w:r>
        <w:rPr>
          <w:rFonts w:ascii="Times New Roman" w:cs="Times New Roman" w:eastAsia="Times New Roman" w:hAnsi="Times New Roman"/>
          <w:sz w:val="17"/>
          <w:szCs w:val="17"/>
          <w:color w:val="auto"/>
        </w:rPr>
        <w:t>2,278</w:t>
      </w:r>
    </w:p>
    <w:p>
      <w:pPr>
        <w:spacing w:after="0" w:line="63" w:lineRule="exact"/>
        <w:rPr>
          <w:sz w:val="20"/>
          <w:szCs w:val="20"/>
          <w:color w:val="auto"/>
        </w:rPr>
      </w:pPr>
    </w:p>
    <w:p>
      <w:pPr>
        <w:ind w:left="260"/>
        <w:spacing w:after="0"/>
        <w:tabs>
          <w:tab w:leader="none" w:pos="1820" w:val="left"/>
        </w:tabs>
        <w:rPr>
          <w:sz w:val="20"/>
          <w:szCs w:val="20"/>
          <w:color w:val="auto"/>
        </w:rPr>
      </w:pPr>
      <w:r>
        <w:rPr>
          <w:rFonts w:ascii="Times New Roman" w:cs="Times New Roman" w:eastAsia="Times New Roman" w:hAnsi="Times New Roman"/>
          <w:sz w:val="18"/>
          <w:szCs w:val="18"/>
          <w:color w:val="auto"/>
        </w:rPr>
        <w:t>3,651</w:t>
      </w:r>
      <w:r>
        <w:rPr>
          <w:sz w:val="20"/>
          <w:szCs w:val="20"/>
          <w:color w:val="auto"/>
        </w:rPr>
        <w:tab/>
      </w:r>
      <w:r>
        <w:rPr>
          <w:rFonts w:ascii="Times New Roman" w:cs="Times New Roman" w:eastAsia="Times New Roman" w:hAnsi="Times New Roman"/>
          <w:sz w:val="18"/>
          <w:szCs w:val="18"/>
          <w:color w:val="auto"/>
        </w:rPr>
        <w:t>2,449</w:t>
      </w:r>
    </w:p>
    <w:p>
      <w:pPr>
        <w:spacing w:after="0" w:line="63" w:lineRule="exact"/>
        <w:rPr>
          <w:sz w:val="20"/>
          <w:szCs w:val="20"/>
          <w:color w:val="auto"/>
        </w:rPr>
      </w:pPr>
    </w:p>
    <w:p>
      <w:pPr>
        <w:ind w:left="480"/>
        <w:spacing w:after="0"/>
        <w:tabs>
          <w:tab w:leader="none" w:pos="20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78</w:t>
      </w:r>
    </w:p>
    <w:p>
      <w:pPr>
        <w:spacing w:after="0" w:line="63" w:lineRule="exact"/>
        <w:rPr>
          <w:sz w:val="20"/>
          <w:szCs w:val="20"/>
          <w:color w:val="auto"/>
        </w:rPr>
      </w:pPr>
    </w:p>
    <w:p>
      <w:pPr>
        <w:ind w:left="260"/>
        <w:spacing w:after="0"/>
        <w:tabs>
          <w:tab w:leader="none" w:pos="1820" w:val="left"/>
        </w:tabs>
        <w:rPr>
          <w:sz w:val="20"/>
          <w:szCs w:val="20"/>
          <w:color w:val="auto"/>
        </w:rPr>
      </w:pPr>
      <w:r>
        <w:rPr>
          <w:rFonts w:ascii="Times New Roman" w:cs="Times New Roman" w:eastAsia="Times New Roman" w:hAnsi="Times New Roman"/>
          <w:sz w:val="18"/>
          <w:szCs w:val="18"/>
          <w:color w:val="auto"/>
        </w:rPr>
        <w:t>1,381</w:t>
      </w:r>
      <w:r>
        <w:rPr>
          <w:sz w:val="20"/>
          <w:szCs w:val="20"/>
          <w:color w:val="auto"/>
        </w:rPr>
        <w:tab/>
      </w:r>
      <w:r>
        <w:rPr>
          <w:rFonts w:ascii="Times New Roman" w:cs="Times New Roman" w:eastAsia="Times New Roman" w:hAnsi="Times New Roman"/>
          <w:sz w:val="18"/>
          <w:szCs w:val="18"/>
          <w:color w:val="auto"/>
        </w:rPr>
        <w:t>1,306</w:t>
      </w:r>
    </w:p>
    <w:p>
      <w:pPr>
        <w:spacing w:after="0" w:line="63" w:lineRule="exact"/>
        <w:rPr>
          <w:sz w:val="20"/>
          <w:szCs w:val="20"/>
          <w:color w:val="auto"/>
        </w:rPr>
      </w:pPr>
    </w:p>
    <w:p>
      <w:pPr>
        <w:ind w:left="260"/>
        <w:spacing w:after="0"/>
        <w:tabs>
          <w:tab w:leader="none" w:pos="1820" w:val="left"/>
        </w:tabs>
        <w:rPr>
          <w:sz w:val="20"/>
          <w:szCs w:val="20"/>
          <w:color w:val="auto"/>
        </w:rPr>
      </w:pPr>
      <w:r>
        <w:rPr>
          <w:rFonts w:ascii="Times New Roman" w:cs="Times New Roman" w:eastAsia="Times New Roman" w:hAnsi="Times New Roman"/>
          <w:sz w:val="18"/>
          <w:szCs w:val="18"/>
          <w:color w:val="auto"/>
        </w:rPr>
        <w:t>1,472</w:t>
      </w:r>
      <w:r>
        <w:rPr>
          <w:sz w:val="20"/>
          <w:szCs w:val="20"/>
          <w:color w:val="auto"/>
        </w:rPr>
        <w:tab/>
      </w:r>
      <w:r>
        <w:rPr>
          <w:rFonts w:ascii="Times New Roman" w:cs="Times New Roman" w:eastAsia="Times New Roman" w:hAnsi="Times New Roman"/>
          <w:sz w:val="18"/>
          <w:szCs w:val="18"/>
          <w:color w:val="auto"/>
        </w:rPr>
        <w:t>2,034</w:t>
      </w:r>
    </w:p>
    <w:p>
      <w:pPr>
        <w:spacing w:after="0" w:line="63" w:lineRule="exact"/>
        <w:rPr>
          <w:sz w:val="20"/>
          <w:szCs w:val="20"/>
          <w:color w:val="auto"/>
        </w:rPr>
      </w:pPr>
    </w:p>
    <w:p>
      <w:pPr>
        <w:ind w:left="260"/>
        <w:spacing w:after="0"/>
        <w:tabs>
          <w:tab w:leader="none" w:pos="1820" w:val="left"/>
        </w:tabs>
        <w:rPr>
          <w:sz w:val="20"/>
          <w:szCs w:val="20"/>
          <w:color w:val="auto"/>
        </w:rPr>
      </w:pPr>
      <w:r>
        <w:rPr>
          <w:rFonts w:ascii="Times New Roman" w:cs="Times New Roman" w:eastAsia="Times New Roman" w:hAnsi="Times New Roman"/>
          <w:sz w:val="18"/>
          <w:szCs w:val="18"/>
          <w:color w:val="auto"/>
        </w:rPr>
        <w:t>1,769</w:t>
      </w:r>
      <w:r>
        <w:rPr>
          <w:sz w:val="20"/>
          <w:szCs w:val="20"/>
          <w:color w:val="auto"/>
        </w:rPr>
        <w:tab/>
      </w:r>
      <w:r>
        <w:rPr>
          <w:rFonts w:ascii="Times New Roman" w:cs="Times New Roman" w:eastAsia="Times New Roman" w:hAnsi="Times New Roman"/>
          <w:sz w:val="18"/>
          <w:szCs w:val="18"/>
          <w:color w:val="auto"/>
        </w:rPr>
        <w:t>1,769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17145</wp:posOffset>
            </wp:positionV>
            <wp:extent cx="19456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3" w:lineRule="exact"/>
        <w:rPr>
          <w:sz w:val="20"/>
          <w:szCs w:val="20"/>
          <w:color w:val="auto"/>
        </w:rPr>
      </w:pPr>
    </w:p>
    <w:p>
      <w:pPr>
        <w:ind w:left="180"/>
        <w:spacing w:after="0"/>
        <w:tabs>
          <w:tab w:leader="none" w:pos="1820" w:val="left"/>
        </w:tabs>
        <w:rPr>
          <w:sz w:val="20"/>
          <w:szCs w:val="20"/>
          <w:color w:val="auto"/>
        </w:rPr>
      </w:pPr>
      <w:r>
        <w:rPr>
          <w:rFonts w:ascii="Times New Roman" w:cs="Times New Roman" w:eastAsia="Times New Roman" w:hAnsi="Times New Roman"/>
          <w:sz w:val="18"/>
          <w:szCs w:val="18"/>
          <w:color w:val="auto"/>
        </w:rPr>
        <w:t>13,453</w:t>
      </w:r>
      <w:r>
        <w:rPr>
          <w:sz w:val="20"/>
          <w:szCs w:val="20"/>
          <w:color w:val="auto"/>
        </w:rPr>
        <w:tab/>
      </w:r>
      <w:r>
        <w:rPr>
          <w:rFonts w:ascii="Times New Roman" w:cs="Times New Roman" w:eastAsia="Times New Roman" w:hAnsi="Times New Roman"/>
          <w:sz w:val="18"/>
          <w:szCs w:val="18"/>
          <w:color w:val="auto"/>
        </w:rPr>
        <w:t>9,914</w:t>
      </w:r>
    </w:p>
    <w:p>
      <w:pPr>
        <w:spacing w:after="0" w:line="63" w:lineRule="exact"/>
        <w:rPr>
          <w:sz w:val="20"/>
          <w:szCs w:val="20"/>
          <w:color w:val="auto"/>
        </w:rPr>
      </w:pPr>
    </w:p>
    <w:p>
      <w:pPr>
        <w:ind w:left="260"/>
        <w:spacing w:after="0"/>
        <w:tabs>
          <w:tab w:leader="none" w:pos="1820" w:val="left"/>
        </w:tabs>
        <w:rPr>
          <w:sz w:val="20"/>
          <w:szCs w:val="20"/>
          <w:color w:val="auto"/>
        </w:rPr>
      </w:pPr>
      <w:r>
        <w:rPr>
          <w:rFonts w:ascii="Times New Roman" w:cs="Times New Roman" w:eastAsia="Times New Roman" w:hAnsi="Times New Roman"/>
          <w:sz w:val="18"/>
          <w:szCs w:val="18"/>
          <w:color w:val="auto"/>
        </w:rPr>
        <w:t>1,956</w:t>
      </w:r>
      <w:r>
        <w:rPr>
          <w:sz w:val="20"/>
          <w:szCs w:val="20"/>
          <w:color w:val="auto"/>
        </w:rPr>
        <w:tab/>
      </w:r>
      <w:r>
        <w:rPr>
          <w:rFonts w:ascii="Times New Roman" w:cs="Times New Roman" w:eastAsia="Times New Roman" w:hAnsi="Times New Roman"/>
          <w:sz w:val="18"/>
          <w:szCs w:val="18"/>
          <w:color w:val="auto"/>
        </w:rPr>
        <w:t>3,336</w:t>
      </w:r>
    </w:p>
    <w:p>
      <w:pPr>
        <w:spacing w:after="0" w:line="63" w:lineRule="exact"/>
        <w:rPr>
          <w:sz w:val="20"/>
          <w:szCs w:val="20"/>
          <w:color w:val="auto"/>
        </w:rPr>
      </w:pPr>
    </w:p>
    <w:p>
      <w:pPr>
        <w:ind w:left="480"/>
        <w:spacing w:after="0"/>
        <w:tabs>
          <w:tab w:leader="none" w:pos="18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1,784</w:t>
      </w:r>
    </w:p>
    <w:p>
      <w:pPr>
        <w:spacing w:after="0" w:line="63" w:lineRule="exact"/>
        <w:rPr>
          <w:sz w:val="20"/>
          <w:szCs w:val="20"/>
          <w:color w:val="auto"/>
        </w:rPr>
      </w:pPr>
    </w:p>
    <w:p>
      <w:pPr>
        <w:ind w:left="400"/>
        <w:spacing w:after="0"/>
        <w:tabs>
          <w:tab w:leader="none" w:pos="1960" w:val="left"/>
        </w:tabs>
        <w:rPr>
          <w:sz w:val="20"/>
          <w:szCs w:val="20"/>
          <w:color w:val="auto"/>
        </w:rPr>
      </w:pPr>
      <w:r>
        <w:rPr>
          <w:rFonts w:ascii="Times New Roman" w:cs="Times New Roman" w:eastAsia="Times New Roman" w:hAnsi="Times New Roman"/>
          <w:sz w:val="18"/>
          <w:szCs w:val="18"/>
          <w:color w:val="auto"/>
        </w:rPr>
        <w:t>268</w:t>
      </w:r>
      <w:r>
        <w:rPr>
          <w:sz w:val="20"/>
          <w:szCs w:val="20"/>
          <w:color w:val="auto"/>
        </w:rPr>
        <w:tab/>
      </w: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17145</wp:posOffset>
            </wp:positionV>
            <wp:extent cx="19456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3" w:lineRule="exact"/>
        <w:rPr>
          <w:sz w:val="20"/>
          <w:szCs w:val="20"/>
          <w:color w:val="auto"/>
        </w:rPr>
      </w:pPr>
    </w:p>
    <w:p>
      <w:pPr>
        <w:ind w:left="180"/>
        <w:spacing w:after="0"/>
        <w:tabs>
          <w:tab w:leader="none" w:pos="840" w:val="left"/>
          <w:tab w:leader="none" w:pos="1740" w:val="left"/>
        </w:tabs>
        <w:rPr>
          <w:sz w:val="20"/>
          <w:szCs w:val="20"/>
          <w:color w:val="auto"/>
        </w:rPr>
      </w:pPr>
      <w:r>
        <w:rPr>
          <w:rFonts w:ascii="Times New Roman" w:cs="Times New Roman" w:eastAsia="Times New Roman" w:hAnsi="Times New Roman"/>
          <w:sz w:val="18"/>
          <w:szCs w:val="18"/>
          <w:color w:val="auto"/>
        </w:rPr>
        <w:t>15,692</w:t>
        <w:tab/>
        <w:t>$</w:t>
      </w:r>
      <w:r>
        <w:rPr>
          <w:sz w:val="20"/>
          <w:szCs w:val="20"/>
          <w:color w:val="auto"/>
        </w:rPr>
        <w:tab/>
      </w:r>
      <w:r>
        <w:rPr>
          <w:rFonts w:ascii="Times New Roman" w:cs="Times New Roman" w:eastAsia="Times New Roman" w:hAnsi="Times New Roman"/>
          <w:sz w:val="17"/>
          <w:szCs w:val="17"/>
          <w:color w:val="auto"/>
        </w:rPr>
        <w:t>15,196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0"/>
        <w:spacing w:after="0"/>
        <w:tabs>
          <w:tab w:leader="none" w:pos="20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580"/>
        <w:spacing w:after="0"/>
        <w:tabs>
          <w:tab w:leader="none" w:pos="214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2</w:t>
      </w:r>
    </w:p>
    <w:p>
      <w:pPr>
        <w:spacing w:after="0" w:line="63"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18"/>
          <w:szCs w:val="18"/>
          <w:color w:val="auto"/>
        </w:rPr>
        <w:t>206,370</w:t>
      </w:r>
      <w:r>
        <w:rPr>
          <w:sz w:val="20"/>
          <w:szCs w:val="20"/>
          <w:color w:val="auto"/>
        </w:rPr>
        <w:tab/>
      </w:r>
      <w:r>
        <w:rPr>
          <w:rFonts w:ascii="Times New Roman" w:cs="Times New Roman" w:eastAsia="Times New Roman" w:hAnsi="Times New Roman"/>
          <w:sz w:val="18"/>
          <w:szCs w:val="18"/>
          <w:color w:val="auto"/>
        </w:rPr>
        <w:t>199,460</w:t>
      </w:r>
    </w:p>
    <w:p>
      <w:pPr>
        <w:spacing w:after="0" w:line="63"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color w:val="auto"/>
        </w:rPr>
        <w:t>(137,455)</w:t>
      </w:r>
      <w:r>
        <w:rPr>
          <w:sz w:val="20"/>
          <w:szCs w:val="20"/>
          <w:color w:val="auto"/>
        </w:rPr>
        <w:tab/>
      </w:r>
      <w:r>
        <w:rPr>
          <w:rFonts w:ascii="Times New Roman" w:cs="Times New Roman" w:eastAsia="Times New Roman" w:hAnsi="Times New Roman"/>
          <w:sz w:val="18"/>
          <w:szCs w:val="18"/>
          <w:color w:val="auto"/>
        </w:rPr>
        <w:t>(136,869)</w:t>
      </w:r>
    </w:p>
    <w:p>
      <w:pPr>
        <w:spacing w:after="0" w:line="25" w:lineRule="exact"/>
        <w:rPr>
          <w:sz w:val="20"/>
          <w:szCs w:val="20"/>
          <w:color w:val="auto"/>
        </w:rPr>
      </w:pPr>
    </w:p>
    <w:p>
      <w:pPr>
        <w:sectPr>
          <w:pgSz w:w="11900" w:h="16838" w:orient="portrait"/>
          <w:cols w:equalWidth="0" w:num="2">
            <w:col w:w="8280" w:space="640"/>
            <w:col w:w="23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81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68,917</w:t>
            </w:r>
          </w:p>
        </w:tc>
        <w:tc>
          <w:tcPr>
            <w:tcW w:w="10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62,593</w:t>
            </w:r>
          </w:p>
        </w:tc>
      </w:tr>
      <w:tr>
        <w:trPr>
          <w:trHeight w:val="22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84,609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77,789</w:t>
            </w:r>
          </w:p>
        </w:tc>
      </w:tr>
      <w:tr>
        <w:trPr>
          <w:trHeight w:val="20"/>
        </w:trPr>
        <w:tc>
          <w:tcPr>
            <w:tcW w:w="8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42,203</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royalty, patent, engineering services and other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50,402</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licensing, royalty, patent, engineering services and other revenue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237"/>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cost of sales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24,276</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26,126</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0" w:type="dxa"/>
            <w:vAlign w:val="bottom"/>
          </w:tcPr>
          <w:p>
            <w:pPr>
              <w:spacing w:after="0"/>
              <w:rPr>
                <w:sz w:val="1"/>
                <w:szCs w:val="1"/>
                <w:color w:val="auto"/>
              </w:rPr>
            </w:pPr>
          </w:p>
        </w:tc>
      </w:tr>
      <w:tr>
        <w:trPr>
          <w:trHeight w:val="243"/>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0" w:type="dxa"/>
            <w:vAlign w:val="bottom"/>
          </w:tcPr>
          <w:p>
            <w:pPr>
              <w:spacing w:after="0"/>
              <w:rPr>
                <w:sz w:val="1"/>
                <w:szCs w:val="1"/>
                <w:color w:val="auto"/>
              </w:rPr>
            </w:pPr>
          </w:p>
        </w:tc>
      </w:tr>
      <w:tr>
        <w:trPr>
          <w:trHeight w:val="237"/>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33,217</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0" w:type="dxa"/>
            <w:vAlign w:val="bottom"/>
          </w:tcPr>
          <w:p>
            <w:pPr>
              <w:spacing w:after="0"/>
              <w:rPr>
                <w:sz w:val="1"/>
                <w:szCs w:val="1"/>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before income taxes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and comprehensive (loss) income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common share:</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22,568,253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21,642,793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22,568,253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22,156,420</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2500" w:type="dxa"/>
            <w:vAlign w:val="bottom"/>
            <w:gridSpan w:val="3"/>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5"/>
                <w:szCs w:val="15"/>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11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08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gridSpan w:val="2"/>
            <w:vMerge w:val="restart"/>
          </w:tcPr>
          <w:p>
            <w:pPr>
              <w:jc w:val="center"/>
              <w:ind w:right="3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vMerge w:val="restart"/>
          </w:tcPr>
          <w:p>
            <w:pPr>
              <w:jc w:val="center"/>
              <w:ind w:right="108"/>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4080" w:type="dxa"/>
            <w:vAlign w:val="bottom"/>
          </w:tcPr>
          <w:p>
            <w:pPr>
              <w:spacing w:after="0"/>
              <w:rPr>
                <w:sz w:val="17"/>
                <w:szCs w:val="17"/>
                <w:color w:val="auto"/>
              </w:rPr>
            </w:pPr>
          </w:p>
        </w:tc>
        <w:tc>
          <w:tcPr>
            <w:tcW w:w="14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7"/>
                <w:szCs w:val="17"/>
                <w:color w:val="auto"/>
              </w:rPr>
            </w:pPr>
          </w:p>
        </w:tc>
        <w:tc>
          <w:tcPr>
            <w:tcW w:w="11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
        </w:trPr>
        <w:tc>
          <w:tcPr>
            <w:tcW w:w="40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21,080,472</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191,569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(137,650)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53,921</w:t>
            </w:r>
          </w:p>
        </w:tc>
        <w:tc>
          <w:tcPr>
            <w:tcW w:w="0" w:type="dxa"/>
            <w:vAlign w:val="bottom"/>
          </w:tcPr>
          <w:p>
            <w:pPr>
              <w:spacing w:after="0"/>
              <w:rPr>
                <w:sz w:val="1"/>
                <w:szCs w:val="1"/>
                <w:color w:val="auto"/>
              </w:rPr>
            </w:pPr>
          </w:p>
        </w:tc>
      </w:tr>
      <w:tr>
        <w:trPr>
          <w:trHeight w:val="180"/>
        </w:trPr>
        <w:tc>
          <w:tcPr>
            <w:tcW w:w="4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 under stock incentive plans and</w:t>
            </w: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979,225</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6,713</w:t>
            </w:r>
          </w:p>
        </w:tc>
        <w:tc>
          <w:tcPr>
            <w:tcW w:w="0" w:type="dxa"/>
            <w:vAlign w:val="bottom"/>
          </w:tcPr>
          <w:p>
            <w:pPr>
              <w:spacing w:after="0"/>
              <w:rPr>
                <w:sz w:val="1"/>
                <w:szCs w:val="1"/>
                <w:color w:val="auto"/>
              </w:rPr>
            </w:pPr>
          </w:p>
        </w:tc>
      </w:tr>
      <w:tr>
        <w:trPr>
          <w:trHeight w:val="193"/>
        </w:trPr>
        <w:tc>
          <w:tcPr>
            <w:tcW w:w="4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6"/>
                <w:szCs w:val="16"/>
                <w:color w:val="auto"/>
              </w:rPr>
            </w:pP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0" w:type="dxa"/>
            <w:vAlign w:val="bottom"/>
          </w:tcPr>
          <w:p>
            <w:pPr>
              <w:spacing w:after="0"/>
              <w:rPr>
                <w:sz w:val="1"/>
                <w:szCs w:val="1"/>
                <w:color w:val="auto"/>
              </w:rPr>
            </w:pPr>
          </w:p>
        </w:tc>
      </w:tr>
      <w:tr>
        <w:trPr>
          <w:trHeight w:val="37"/>
        </w:trPr>
        <w:tc>
          <w:tcPr>
            <w:tcW w:w="40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22,059,697</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(136,869)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62,593</w:t>
            </w:r>
          </w:p>
        </w:tc>
        <w:tc>
          <w:tcPr>
            <w:tcW w:w="0" w:type="dxa"/>
            <w:vAlign w:val="bottom"/>
          </w:tcPr>
          <w:p>
            <w:pPr>
              <w:spacing w:after="0"/>
              <w:rPr>
                <w:sz w:val="1"/>
                <w:szCs w:val="1"/>
                <w:color w:val="auto"/>
              </w:rPr>
            </w:pPr>
          </w:p>
        </w:tc>
      </w:tr>
      <w:tr>
        <w:trPr>
          <w:trHeight w:val="180"/>
        </w:trPr>
        <w:tc>
          <w:tcPr>
            <w:tcW w:w="4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 under stock incentive plans and</w:t>
            </w: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918,100</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5,776</w:t>
            </w:r>
          </w:p>
        </w:tc>
        <w:tc>
          <w:tcPr>
            <w:tcW w:w="0" w:type="dxa"/>
            <w:vAlign w:val="bottom"/>
          </w:tcPr>
          <w:p>
            <w:pPr>
              <w:spacing w:after="0"/>
              <w:rPr>
                <w:sz w:val="1"/>
                <w:szCs w:val="1"/>
                <w:color w:val="auto"/>
              </w:rPr>
            </w:pPr>
          </w:p>
        </w:tc>
      </w:tr>
      <w:tr>
        <w:trPr>
          <w:trHeight w:val="193"/>
        </w:trPr>
        <w:tc>
          <w:tcPr>
            <w:tcW w:w="4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6"/>
                <w:szCs w:val="16"/>
                <w:color w:val="auto"/>
              </w:rPr>
            </w:pP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0" w:type="dxa"/>
            <w:vAlign w:val="bottom"/>
          </w:tcPr>
          <w:p>
            <w:pPr>
              <w:spacing w:after="0"/>
              <w:rPr>
                <w:sz w:val="1"/>
                <w:szCs w:val="1"/>
                <w:color w:val="auto"/>
              </w:rPr>
            </w:pPr>
          </w:p>
        </w:tc>
      </w:tr>
      <w:tr>
        <w:trPr>
          <w:trHeight w:val="37"/>
        </w:trPr>
        <w:tc>
          <w:tcPr>
            <w:tcW w:w="40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22,977,797</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68,917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20" w:type="dxa"/>
            <w:vAlign w:val="bottom"/>
            <w:gridSpan w:val="4"/>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818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81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 income</w:t>
            </w:r>
          </w:p>
        </w:tc>
        <w:tc>
          <w:tcPr>
            <w:tcW w:w="940" w:type="dxa"/>
            <w:vAlign w:val="bottom"/>
            <w:tcBorders>
              <w:bottom w:val="single" w:sz="8" w:color="CCEEFF"/>
            </w:tcBorders>
            <w:shd w:val="clear" w:color="auto" w:fill="CCEEFF"/>
          </w:tcPr>
          <w:p>
            <w:pPr>
              <w:jc w:val="right"/>
              <w:ind w:right="76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(586)</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78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781</w:t>
            </w:r>
          </w:p>
        </w:tc>
        <w:tc>
          <w:tcPr>
            <w:tcW w:w="0" w:type="dxa"/>
            <w:vAlign w:val="bottom"/>
          </w:tcPr>
          <w:p>
            <w:pPr>
              <w:spacing w:after="0"/>
              <w:rPr>
                <w:sz w:val="1"/>
                <w:szCs w:val="1"/>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3,212</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1,731</w:t>
            </w:r>
          </w:p>
        </w:tc>
        <w:tc>
          <w:tcPr>
            <w:tcW w:w="0" w:type="dxa"/>
            <w:vAlign w:val="bottom"/>
          </w:tcPr>
          <w:p>
            <w:pPr>
              <w:spacing w:after="0"/>
              <w:rPr>
                <w:sz w:val="1"/>
                <w:szCs w:val="1"/>
                <w:color w:val="auto"/>
              </w:rPr>
            </w:pPr>
          </w:p>
        </w:tc>
      </w:tr>
      <w:tr>
        <w:trPr>
          <w:trHeight w:val="208"/>
        </w:trPr>
        <w:tc>
          <w:tcPr>
            <w:tcW w:w="81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Gain on sale of property and equipment</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Stock-based compensation</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5,776</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6,713</w:t>
            </w:r>
          </w:p>
        </w:tc>
        <w:tc>
          <w:tcPr>
            <w:tcW w:w="0" w:type="dxa"/>
            <w:vAlign w:val="bottom"/>
          </w:tcPr>
          <w:p>
            <w:pPr>
              <w:spacing w:after="0"/>
              <w:rPr>
                <w:sz w:val="1"/>
                <w:szCs w:val="1"/>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Accounts receivable</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3,621</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0" w:type="dxa"/>
            <w:vAlign w:val="bottom"/>
          </w:tcPr>
          <w:p>
            <w:pPr>
              <w:spacing w:after="0"/>
              <w:rPr>
                <w:sz w:val="1"/>
                <w:szCs w:val="1"/>
                <w:color w:val="auto"/>
              </w:rPr>
            </w:pPr>
          </w:p>
        </w:tc>
      </w:tr>
      <w:tr>
        <w:trPr>
          <w:trHeight w:val="208"/>
        </w:trPr>
        <w:tc>
          <w:tcPr>
            <w:tcW w:w="81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Inventory</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(719)</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(605)</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w:t>
            </w:r>
          </w:p>
        </w:tc>
        <w:tc>
          <w:tcPr>
            <w:tcW w:w="0" w:type="dxa"/>
            <w:vAlign w:val="bottom"/>
          </w:tcPr>
          <w:p>
            <w:pPr>
              <w:spacing w:after="0"/>
              <w:rPr>
                <w:sz w:val="1"/>
                <w:szCs w:val="1"/>
                <w:color w:val="auto"/>
              </w:rPr>
            </w:pPr>
          </w:p>
        </w:tc>
      </w:tr>
      <w:tr>
        <w:trPr>
          <w:trHeight w:val="208"/>
        </w:trPr>
        <w:tc>
          <w:tcPr>
            <w:tcW w:w="81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Other assets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(492)</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Accounts payable</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(374)</w:t>
            </w:r>
          </w:p>
        </w:tc>
        <w:tc>
          <w:tcPr>
            <w:tcW w:w="0" w:type="dxa"/>
            <w:vAlign w:val="bottom"/>
          </w:tcPr>
          <w:p>
            <w:pPr>
              <w:spacing w:after="0"/>
              <w:rPr>
                <w:sz w:val="1"/>
                <w:szCs w:val="1"/>
                <w:color w:val="auto"/>
              </w:rPr>
            </w:pPr>
          </w:p>
        </w:tc>
      </w:tr>
      <w:tr>
        <w:trPr>
          <w:trHeight w:val="208"/>
        </w:trPr>
        <w:tc>
          <w:tcPr>
            <w:tcW w:w="81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Accrued liabilities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(1,939)</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Deferred revenue</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w:t>
            </w:r>
          </w:p>
        </w:tc>
        <w:tc>
          <w:tcPr>
            <w:tcW w:w="0" w:type="dxa"/>
            <w:vAlign w:val="bottom"/>
          </w:tcPr>
          <w:p>
            <w:pPr>
              <w:spacing w:after="0"/>
              <w:rPr>
                <w:sz w:val="1"/>
                <w:szCs w:val="1"/>
                <w:color w:val="auto"/>
              </w:rPr>
            </w:pPr>
          </w:p>
        </w:tc>
      </w:tr>
      <w:tr>
        <w:trPr>
          <w:trHeight w:val="208"/>
        </w:trPr>
        <w:tc>
          <w:tcPr>
            <w:tcW w:w="81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Contract obligations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2,034</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Lease liabilities, net</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0" w:type="dxa"/>
            <w:vAlign w:val="bottom"/>
          </w:tcPr>
          <w:p>
            <w:pPr>
              <w:spacing w:after="0"/>
              <w:rPr>
                <w:sz w:val="1"/>
                <w:szCs w:val="1"/>
                <w:color w:val="auto"/>
              </w:rPr>
            </w:pPr>
          </w:p>
        </w:tc>
      </w:tr>
      <w:tr>
        <w:trPr>
          <w:trHeight w:val="208"/>
        </w:trPr>
        <w:tc>
          <w:tcPr>
            <w:tcW w:w="81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Long-term income tax liability</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5"/>
        </w:trPr>
        <w:tc>
          <w:tcPr>
            <w:tcW w:w="81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9,960</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7,099</w:t>
            </w:r>
          </w:p>
        </w:tc>
        <w:tc>
          <w:tcPr>
            <w:tcW w:w="0" w:type="dxa"/>
            <w:vAlign w:val="bottom"/>
          </w:tcPr>
          <w:p>
            <w:pPr>
              <w:spacing w:after="0"/>
              <w:rPr>
                <w:sz w:val="1"/>
                <w:szCs w:val="1"/>
                <w:color w:val="auto"/>
              </w:rPr>
            </w:pPr>
          </w:p>
        </w:tc>
      </w:tr>
      <w:tr>
        <w:trPr>
          <w:trHeight w:val="18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9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(6,838)</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(3,049)</w:t>
            </w:r>
          </w:p>
        </w:tc>
        <w:tc>
          <w:tcPr>
            <w:tcW w:w="0" w:type="dxa"/>
            <w:vAlign w:val="bottom"/>
          </w:tcPr>
          <w:p>
            <w:pPr>
              <w:spacing w:after="0"/>
              <w:rPr>
                <w:sz w:val="1"/>
                <w:szCs w:val="1"/>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Purchases of intangible assets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35"/>
        </w:trPr>
        <w:tc>
          <w:tcPr>
            <w:tcW w:w="81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(8,674)</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(3,060)</w:t>
            </w:r>
          </w:p>
        </w:tc>
        <w:tc>
          <w:tcPr>
            <w:tcW w:w="0" w:type="dxa"/>
            <w:vAlign w:val="bottom"/>
          </w:tcPr>
          <w:p>
            <w:pPr>
              <w:spacing w:after="0"/>
              <w:rPr>
                <w:sz w:val="1"/>
                <w:szCs w:val="1"/>
                <w:color w:val="auto"/>
              </w:rPr>
            </w:pPr>
          </w:p>
        </w:tc>
      </w:tr>
      <w:tr>
        <w:trPr>
          <w:trHeight w:val="18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9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Proceeds from exercise of stock options and purchase of shares in employee stock purchase plan</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1,134</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1,178</w:t>
            </w:r>
          </w:p>
        </w:tc>
        <w:tc>
          <w:tcPr>
            <w:tcW w:w="0" w:type="dxa"/>
            <w:vAlign w:val="bottom"/>
          </w:tcPr>
          <w:p>
            <w:pPr>
              <w:spacing w:after="0"/>
              <w:rPr>
                <w:sz w:val="1"/>
                <w:szCs w:val="1"/>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Payments on finance leases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0" w:type="dxa"/>
            <w:vAlign w:val="bottom"/>
          </w:tcPr>
          <w:p>
            <w:pPr>
              <w:spacing w:after="0"/>
              <w:rPr>
                <w:sz w:val="1"/>
                <w:szCs w:val="1"/>
                <w:color w:val="auto"/>
              </w:rPr>
            </w:pPr>
          </w:p>
        </w:tc>
      </w:tr>
      <w:tr>
        <w:trPr>
          <w:trHeight w:val="35"/>
        </w:trPr>
        <w:tc>
          <w:tcPr>
            <w:tcW w:w="81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1,067</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1,112</w:t>
            </w:r>
          </w:p>
        </w:tc>
        <w:tc>
          <w:tcPr>
            <w:tcW w:w="0" w:type="dxa"/>
            <w:vAlign w:val="bottom"/>
          </w:tcPr>
          <w:p>
            <w:pPr>
              <w:spacing w:after="0"/>
              <w:rPr>
                <w:sz w:val="1"/>
                <w:szCs w:val="1"/>
                <w:color w:val="auto"/>
              </w:rPr>
            </w:pPr>
          </w:p>
        </w:tc>
      </w:tr>
      <w:tr>
        <w:trPr>
          <w:trHeight w:val="201"/>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increase in cash and cash equivalents</w:t>
            </w: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2,353</w:t>
            </w: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5,151</w:t>
            </w:r>
          </w:p>
        </w:tc>
        <w:tc>
          <w:tcPr>
            <w:tcW w:w="0" w:type="dxa"/>
            <w:vAlign w:val="bottom"/>
          </w:tcPr>
          <w:p>
            <w:pPr>
              <w:spacing w:after="0"/>
              <w:rPr>
                <w:sz w:val="1"/>
                <w:szCs w:val="1"/>
                <w:color w:val="auto"/>
              </w:rPr>
            </w:pPr>
          </w:p>
        </w:tc>
      </w:tr>
      <w:tr>
        <w:trPr>
          <w:trHeight w:val="35"/>
        </w:trPr>
        <w:tc>
          <w:tcPr>
            <w:tcW w:w="8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at beginning of period</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42,097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36,946</w:t>
            </w:r>
          </w:p>
        </w:tc>
        <w:tc>
          <w:tcPr>
            <w:tcW w:w="0" w:type="dxa"/>
            <w:vAlign w:val="bottom"/>
          </w:tcPr>
          <w:p>
            <w:pPr>
              <w:spacing w:after="0"/>
              <w:rPr>
                <w:sz w:val="1"/>
                <w:szCs w:val="1"/>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at end of period</w:t>
            </w:r>
          </w:p>
        </w:tc>
        <w:tc>
          <w:tcPr>
            <w:tcW w:w="940" w:type="dxa"/>
            <w:vAlign w:val="bottom"/>
            <w:tcBorders>
              <w:top w:val="single" w:sz="8" w:color="auto"/>
              <w:bottom w:val="single" w:sz="8" w:color="auto"/>
            </w:tcBorders>
          </w:tcPr>
          <w:p>
            <w:pPr>
              <w:jc w:val="right"/>
              <w:ind w:right="76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44,450</w:t>
            </w:r>
          </w:p>
        </w:tc>
        <w:tc>
          <w:tcPr>
            <w:tcW w:w="10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ind w:right="78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42,097</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Supplementary cash flow information:</w:t>
            </w:r>
          </w:p>
        </w:tc>
        <w:tc>
          <w:tcPr>
            <w:tcW w:w="9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paid for taxes</w:t>
            </w:r>
          </w:p>
        </w:tc>
        <w:tc>
          <w:tcPr>
            <w:tcW w:w="94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right"/>
              <w:ind w:right="78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cash flows paid for operating leases</w:t>
            </w:r>
          </w:p>
        </w:tc>
        <w:tc>
          <w:tcPr>
            <w:tcW w:w="940" w:type="dxa"/>
            <w:vAlign w:val="bottom"/>
            <w:tcBorders>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1,415</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8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Financing cash flows paid for finance leases</w:t>
            </w:r>
          </w:p>
        </w:tc>
        <w:tc>
          <w:tcPr>
            <w:tcW w:w="94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8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9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Internal-use software asset obtained in exchange for software liabilities</w:t>
            </w:r>
          </w:p>
        </w:tc>
        <w:tc>
          <w:tcPr>
            <w:tcW w:w="940" w:type="dxa"/>
            <w:vAlign w:val="bottom"/>
          </w:tcPr>
          <w:p>
            <w:pPr>
              <w:jc w:val="right"/>
              <w:ind w:right="76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78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3,564</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Right-of-use assets obtained in exchange for finance lease liabilities</w:t>
            </w:r>
          </w:p>
        </w:tc>
        <w:tc>
          <w:tcPr>
            <w:tcW w:w="94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Purchases of property and equipment in accounts payable and accrued liabilities</w:t>
            </w:r>
          </w:p>
        </w:tc>
        <w:tc>
          <w:tcPr>
            <w:tcW w:w="94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3,982</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8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22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Everspin Technologies, Inc. (“we”, “our”, “us”, “Everspin Technologies”, “Everspin”, or the “Company”) was incorporated in Delaware on May 16, 2008. The Company’s magnetoresistive random access memory (MRAM) solutions offer the persistence of non-volatile memory with the speed and endurance of random access memory (RAM) and enable the protection of mission critical data particularly in the event of power interruption or failure. The Company’s MRAM solutions allow its customers in key markets, such as industrial, medical, automotive/transportation, aerospace, and data center, to design high performance, power-efficient and reliable systems without the need for bulky batteries or capacitors.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management evaluates its estimates, including those related to revenue recognition, fair value of assets and liabilities, inventory net realizable value, deferred tax assets and related valuation allowances, and stock-based compensation. The Company believes its estimates and assumptions are reasonable; however, actual results may differ from the Company’s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29"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Certain reclassifications of previously reported amounts have been made to conform to the current period presentation. Specifically, interest income was previously presented within other income, net for the year ended December 31, 2024 in the Annual Report on Form 10-K filed with the SEC on February 27, 2025. Interest income is presented separately in the statement of operations and comprehensive (loss) income within these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Company’s MRAM technology solutions are sold as products and services through MRAM-based products, licenses and royalties of MRAM and magnetic sensor technology and backend foundry and design services. The Company identifies and manages the business activities in one reportable segment. The Company’s Chief Executive Officer is the Chief Operating Decision Maker (CODM). The CODM utilizes the Company’s long-range plan, which includes product development roadmaps and long-range financial models, as a key input to resource allocation. The CODM makes decisions on resource allocation, assesses performance of the business, and monitors budget versus actual results using net income.</w:t>
      </w:r>
    </w:p>
    <w:p>
      <w:pPr>
        <w:spacing w:after="0" w:line="183"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Significant segment expenses within net income are those separately presented on the Company’s statements of operations and comprehensive (loss) income, which include cost of sales, research and development, general and administrative, and sales and marketing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considers all highly liquid, short-term investments with maturity dates of 90 days or less at the date of purchase to be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cash equivalents consist solely of money market funds.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Accounts receivable are recorded at the invoiced amount and do not bear interest. The Company generally does not require collateral or other security in support of accounts receivable. Allowances would be provided for individual accounts receivable when the Company becomes aware of a customer’s inability to meet its financial obligations, such as in the case of bankruptcy, deterioration in the customer’s operating results or change in financial position. If circumstances related to customers change, estimates of the recoverability of receivables would be further adjusted. The Company also considers a number of factors in evaluating the sufficiency of its allowance for doubtful accounts, including the length of time receivables are past due, significant one-time events, creditworthiness of customers and historical experience. Account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would be charged off against the allowance after all means of collection have been exhausted and the potential for recovery is considered remote.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evaluation determined that no material allowance for doubtful accounts was necessary at December 31, 2025 and 2024.</w:t>
      </w:r>
    </w:p>
    <w:p>
      <w:pPr>
        <w:spacing w:after="0" w:line="207"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unbilled accounts receivable is an estimate of the unconditional consideration to which the Company expects to be entitled for uses of the Company’s intellectual property. The Company’s right is unconditional because nothing other than the passage of time is required before payment of the amounts are due. Certain customers report on a lagged basis and actual information is not available timely. The estimates recorded are based on historical trends in the customer’s usage and current market conditions. At December 31, 2025 and 2024, the unbilled accounts receivable balance was $0.2 million in each year. The Company’s unbilled conditional consideration is recorded to a contract asset account included in Prepaid Expenses and Other Current Assets. The conditions to the Company’s right to the consideration can include a contractual requirement to satisfy a performance obligation that has not yet begun or for which performance is in process as of the balance sheet date. At December 31, 2025 and 2024, the unbilled contract asset balance was $0.4 million and $0.5 million, respectively.</w:t>
      </w:r>
    </w:p>
    <w:p>
      <w:pPr>
        <w:spacing w:after="0" w:line="192"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The Company establishes an allowance for product returns. The Company analyzes historical returns, current economic trends and changes in customer demand and acceptance of products when evaluating the adequacy of sales returns. Returns are processed as credits on future purchases and, as a result, the allowance is recorded against the balance of trade accounts receivable. In addition, the Company from time to time may establish an allowance for estimated price adjustments related to its distributor agreements. The Company estimates credits to distributors based on the historical rate of credits provided to distributors relative to sales and evaluation of current market conditions. At December 31, 2025 and 2024, the allowance for product returns and price adjustments was $0.3 million and $0.4 million, respectively.</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p>
      <w:pPr>
        <w:spacing w:after="0" w:line="273" w:lineRule="exact"/>
        <w:rPr>
          <w:sz w:val="20"/>
          <w:szCs w:val="20"/>
          <w:color w:val="auto"/>
        </w:rPr>
      </w:pPr>
    </w:p>
    <w:tbl>
      <w:tblPr>
        <w:tblLayout w:type="fixed"/>
        <w:tblInd w:w="900" w:type="dxa"/>
        <w:tblCellMar>
          <w:top w:w="0" w:type="dxa"/>
          <w:left w:w="0" w:type="dxa"/>
          <w:bottom w:w="0" w:type="dxa"/>
          <w:right w:w="0" w:type="dxa"/>
        </w:tblCellMar>
      </w:tblPr>
      <w:tr>
        <w:trPr>
          <w:trHeight w:val="176"/>
        </w:trPr>
        <w:tc>
          <w:tcPr>
            <w:tcW w:w="6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12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3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w:t>
            </w: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product returns and price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64"/>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11,722</w:t>
            </w: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w:t>
      </w:r>
    </w:p>
    <w:p>
      <w:pPr>
        <w:spacing w:after="0" w:line="176" w:lineRule="exact"/>
        <w:rPr>
          <w:sz w:val="20"/>
          <w:szCs w:val="20"/>
          <w:color w:val="auto"/>
        </w:rPr>
      </w:pPr>
    </w:p>
    <w:p>
      <w:pPr>
        <w:ind w:right="80" w:firstLine="405"/>
        <w:spacing w:after="0" w:line="281" w:lineRule="auto"/>
        <w:rPr>
          <w:sz w:val="20"/>
          <w:szCs w:val="20"/>
          <w:color w:val="auto"/>
        </w:rPr>
      </w:pPr>
      <w:r>
        <w:rPr>
          <w:rFonts w:ascii="Times New Roman" w:cs="Times New Roman" w:eastAsia="Times New Roman" w:hAnsi="Times New Roman"/>
          <w:sz w:val="17"/>
          <w:szCs w:val="17"/>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212" w:lineRule="exact"/>
        <w:rPr>
          <w:sz w:val="20"/>
          <w:szCs w:val="20"/>
          <w:color w:val="auto"/>
        </w:rPr>
      </w:pPr>
    </w:p>
    <w:tbl>
      <w:tblPr>
        <w:tblLayout w:type="fixed"/>
        <w:tblInd w:w="88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0" w:type="dxa"/>
            <w:vAlign w:val="bottom"/>
          </w:tcPr>
          <w:p>
            <w:pPr>
              <w:spacing w:after="0"/>
              <w:rPr>
                <w:sz w:val="1"/>
                <w:szCs w:val="1"/>
                <w:color w:val="auto"/>
              </w:rPr>
            </w:pPr>
          </w:p>
        </w:tc>
      </w:tr>
      <w:tr>
        <w:trPr>
          <w:trHeight w:val="37"/>
        </w:trPr>
        <w:tc>
          <w:tcPr>
            <w:tcW w:w="3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8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8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3"/>
          </w:tcPr>
          <w:p>
            <w:pPr>
              <w:jc w:val="center"/>
              <w:ind w:left="82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3"/>
          </w:tcPr>
          <w:p>
            <w:pPr>
              <w:jc w:val="center"/>
              <w:ind w:left="90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520" w:type="dxa"/>
            <w:vAlign w:val="bottom"/>
            <w:gridSpan w:val="2"/>
            <w:vMerge w:val="continue"/>
          </w:tcPr>
          <w:p>
            <w:pPr>
              <w:spacing w:after="0"/>
              <w:rPr>
                <w:sz w:val="16"/>
                <w:szCs w:val="16"/>
                <w:color w:val="auto"/>
              </w:rPr>
            </w:pPr>
          </w:p>
        </w:tc>
        <w:tc>
          <w:tcPr>
            <w:tcW w:w="14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2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3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77" w:lineRule="exact"/>
        <w:rPr>
          <w:sz w:val="20"/>
          <w:szCs w:val="20"/>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Inventory is valued at the lower of cost, using the first-in, first-out or specific identification method, or net realizable value. The carrying value of inventory is adjusted for excess and obsolescence based on the Company’s evaluation which takes into consideration historical and expected future demand, the effect new products may have on the sale of existing products, technological obsolescence, and other factors including inventory age and shipment. At the point of loss recognition, a new lower cost basis for that inventory is established and subsequent changes in facts and circumstances do not result in the restoration or increase in that new cost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 Observable inputs such as quoted prices for identical assets or liabilities in active markets;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 Inputs, other than quoted prices for identical assets or liabilities in active markets, which are observable either directly or indirectly; and</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Unobservable inputs in which there is little or no market data requiring the reporting entity to develop its own assumptions.</w:t>
      </w:r>
    </w:p>
    <w:p>
      <w:pPr>
        <w:spacing w:after="0" w:line="227"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carrying value of accounts receivable, accounts payable, and other accruals readily convertible into cash approximate fair value because of the short-term nature of the instruments. The Company’s financial instruments consist of Level 1 assets. Where quoted prices are available in an active market, securities are classified as Level 1. Level 1 assets consist of highly liquid money market funds that are included in cash equivalents.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tables set forth the fair value of the Company’s financial assets and liabilities measured at fair value on a recurring basis (in thousands):</w:t>
      </w:r>
    </w:p>
    <w:p>
      <w:pPr>
        <w:spacing w:after="0" w:line="284"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7"/>
        </w:trPr>
        <w:tc>
          <w:tcPr>
            <w:tcW w:w="4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6"/>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1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33,617</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33,617</w:t>
            </w: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33,617</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33,617</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right="480" w:firstLine="405"/>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begins at the time the asset is placed in service. Maintenance and repairs are charged to operations as incurred. Depreciation is computed using the straight-line method over the following estimated useful lives of the assets:</w:t>
      </w:r>
    </w:p>
    <w:p>
      <w:pPr>
        <w:spacing w:after="0" w:line="223" w:lineRule="exact"/>
        <w:rPr>
          <w:sz w:val="20"/>
          <w:szCs w:val="20"/>
          <w:color w:val="auto"/>
        </w:rPr>
      </w:pPr>
    </w:p>
    <w:tbl>
      <w:tblPr>
        <w:tblLayout w:type="fixed"/>
        <w:tblInd w:w="112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5560" w:type="dxa"/>
            <w:vAlign w:val="bottom"/>
          </w:tcPr>
          <w:p>
            <w:pPr>
              <w:jc w:val="right"/>
              <w:ind w:right="2314"/>
              <w:spacing w:after="0"/>
              <w:rPr>
                <w:sz w:val="20"/>
                <w:szCs w:val="20"/>
                <w:color w:val="auto"/>
              </w:rPr>
            </w:pPr>
            <w:r>
              <w:rPr>
                <w:rFonts w:ascii="Times New Roman" w:cs="Times New Roman" w:eastAsia="Times New Roman" w:hAnsi="Times New Roman"/>
                <w:sz w:val="14"/>
                <w:szCs w:val="14"/>
                <w:b w:val="1"/>
                <w:bCs w:val="1"/>
                <w:color w:val="auto"/>
              </w:rPr>
              <w:t>Useful Lives</w:t>
            </w:r>
          </w:p>
        </w:tc>
      </w:tr>
      <w:tr>
        <w:trPr>
          <w:trHeight w:val="37"/>
        </w:trPr>
        <w:tc>
          <w:tcPr>
            <w:tcW w:w="3440" w:type="dxa"/>
            <w:vAlign w:val="bottom"/>
            <w:tcBorders>
              <w:bottom w:val="single" w:sz="8" w:color="CCEEFF"/>
            </w:tcBorders>
          </w:tcPr>
          <w:p>
            <w:pPr>
              <w:spacing w:after="0"/>
              <w:rPr>
                <w:sz w:val="3"/>
                <w:szCs w:val="3"/>
                <w:color w:val="auto"/>
              </w:rPr>
            </w:pPr>
          </w:p>
        </w:tc>
        <w:tc>
          <w:tcPr>
            <w:tcW w:w="5560" w:type="dxa"/>
            <w:vAlign w:val="bottom"/>
            <w:tcBorders>
              <w:bottom w:val="single" w:sz="8" w:color="auto"/>
            </w:tcBorders>
          </w:tcPr>
          <w:p>
            <w:pPr>
              <w:spacing w:after="0"/>
              <w:rPr>
                <w:sz w:val="3"/>
                <w:szCs w:val="3"/>
                <w:color w:val="auto"/>
              </w:rPr>
            </w:pPr>
          </w:p>
        </w:tc>
      </w:tr>
      <w:tr>
        <w:trPr>
          <w:trHeight w:val="25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network equipment</w:t>
            </w:r>
          </w:p>
        </w:tc>
        <w:tc>
          <w:tcPr>
            <w:tcW w:w="5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years</w:t>
            </w:r>
          </w:p>
        </w:tc>
      </w:tr>
      <w:tr>
        <w:trPr>
          <w:trHeight w:val="27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equipment</w:t>
            </w: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 7 years</w:t>
            </w:r>
          </w:p>
        </w:tc>
      </w:tr>
      <w:tr>
        <w:trPr>
          <w:trHeight w:val="27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Lesser of useful life of the asset or the remaining lease term</w:t>
            </w:r>
          </w:p>
        </w:tc>
      </w:tr>
    </w:tbl>
    <w:p>
      <w:pPr>
        <w:spacing w:after="0" w:line="27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Upon sale or retirement of assets, the cost and related accumulated depreciation are removed from the balance sheet and any resulting gain or loss is reflected in operations. Amortization expense of assets acquired through finance leases is included in the statements of operations and comprehensive (loss) income.</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Company’s intangible assets are comprised of internally developed software and licensed software from third parties to be used in research and development activities that have alternative future use. Costs incurred to develop software for internal use during the application development phase are capitalized and amortized over such software’s estimated useful life. Costs related to the design or maintenance of internal-use software are included in operating expenses as incurred. Licensed software is initially recorded at fair value based on the present value of the license fees to be paid over the term of the license, with a corresponding liability. The licensed software intangible asset is amortized on a straight-line basis over the shorter of the license term or the economic life of the asset, beginning when the asset is substantially ready for use. The licensed software liability is accreted to its settlement amount using the effective interest method.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Company leases office, lab, manufacturing space and equipment in various locations with initial lease terms of up to seven years. These leases require monthly lease payments that may be subject to annual increases throughout the lease term. The terms of these leases also include renewal options at the election of the Company to renew or extend the lease for a range of an additional two to five years. These optional periods have not been considered in the determination of the right-of-use (“ROU”) assets or lease liabilities associated with these leases as the Company did not consider it reasonably certain it would exercise the options.</w:t>
      </w:r>
    </w:p>
    <w:p>
      <w:pPr>
        <w:spacing w:after="0" w:line="183"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ROU assets represent the Company’s right to use an underlying asset for the lease term and lease liabilities represent the Company’s obligation to make lease payments arising from the lease. The classification of the Company’s leases as operating or finance leases along with the initial measurement and recognition of the associated ROU assets and lease liabilities is performed at the lease commencement date. The measurement of lease liabilities is based on the present value of future lease payments over the lease term. The Company uses its incremental borrowing rate, based on the information available at commencement date, to determine the present value of lease payments when its leases do not provide an implicit rate. The Company uses the implicit rate when readily determinable. The ROU asset is based on the measurement of the lease liability, includes any lease payments made prior to or on lease commencement and excludes lease incentives and initial direct costs incurred, as applicable. Lease expense for the Company’s operating leases is recognized on a straight-line basis over the lease term. Amortization expense for ROU assets associated with finance leases is recognized on a straight-line basis over the shorter of the useful life of the asset or the lease term and interest expense associated with finance leases is recognized on the balance of the lease liability using the effective interest method based on the estimated incremental borrowing rate.</w:t>
      </w:r>
    </w:p>
    <w:p>
      <w:pPr>
        <w:spacing w:after="0" w:line="19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The Company has elected to not separate lease and non-lease components for any leases involving real estate and office equipment classes of assets and, as a result, accounts for the lease and non-lease components as a single lease component. The Company has elected to separate lease and non-lease components for any leases involving manufacturing facility classes of assets. Further, the Company elected the short-term lease exception policy, permitting it to not apply the recognition requirements of this standard to leases with terms of 12 months or less (short-term leases) for all classes of assets. As of December 31, 2025, the Company did not have any short-term leases.</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Operating leases are included in right-of-use assets, lease liabilities, and lease liabilities, net of current portion in the Company’s balance sheet.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leases are immaterial.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Company evaluates its long-lived assets, including property and equipment, leases, and intangible assets, at the asset group level, for impairment whenever events or changes in circumstances indicate that the carrying value of these assets may not be recoverable. If such events or changes in circumstances occur, for purposes of this assessment, long-lived assets are grouped with other assets and liabilities at the lowest level for which identifiable cash flows are largely independent of the cash flows of other assets and liabilities. Recoverability of these assets is measured by comparison of the carrying amount of each asset group to the future undiscounted cash flows the asset group is expected to generate over its remaining life. If the asset group is considered to be impaired, the amount of any impairment is measured as the difference between the carrying value and the fair value of the impaired asset. There have been no impairments of the Company’s long-lived assets during either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Tax Credits, Incentives and Grants</w:t>
      </w:r>
    </w:p>
    <w:p>
      <w:pPr>
        <w:spacing w:after="0" w:line="229"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receive government funding in the form of tax credits, operating-related grants, capital-related grants, or other incentives to support various business activities, including capital development, research and development, and other activities as defined by the relevant government agency awarding the tax credit, incentive, or grant. The amount received is typically based on the amount of qualifying costs incurred. The Company typically has to meet certain requirements to retain the government funding. The Company records operating-related grants and non-income related tax credits as other income in the statements of operations and comprehensive (loss) income when there is reasonable assurance that the grant will be received, and the Company will comply with the conditions specified in the grant agreement.</w:t>
      </w:r>
    </w:p>
    <w:p>
      <w:pPr>
        <w:spacing w:after="0" w:line="187"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 received Employee Retention Tax Credit (“ERTC”) refunds from the United States Treasury totaling $2.0 million, relating to the payroll periods from October 1, 2020 through September 30, 2021. These amounts were recognized as other income during the year ended December 31, 2023 when the amounts were reasonably assured to be retained by the Company. The Company’s compliance with the program’s qualifications may be subject to audit. In July of 2025, the OBBBA was signed into law, and it included provisions to extend the statute of limitations for the ERTC to be audited. Amounts received by the Company under this program are subject to audit through the year ended December 31, 2029.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The Company recognizes revenue when a customer obtains control of the promised products or services, in an amount that reflects the consideration the Company expects to receive in exchange for those products or services. Revenue is recognized net of allowances for returns and price adjustments, and any taxes imposed on specific revenue-producing transactions, which are subsequently remitted to governmental authorities.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Products and Services</w:t>
      </w:r>
    </w:p>
    <w:p>
      <w:pPr>
        <w:spacing w:after="0" w:line="227"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Company’s revenue is derived from the sale of MRAM-based products in discrete unit form, licenses of and royalties on its MRAM and magnetic sensor technology, the sale of backend foundry services and design services to third parties. Sales of products in discrete unit form are recognized at a point in time, revenue related to licensing agreements is recognized when the Company has delivered control of the technology, revenue related to royalty agreements is recognized in the period in which sales generated from products sold using the Company’s technology occurs, sales of backend foundry services are recognized over time, and design services to third parties are recognized either at a point in time or over time, depending on the nature of the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For products sold in their discrete form, the Company either sells its products directly to OEMs, ODMs and CMs, or through a network of distributors, who in turn sell to those customers. For sales directly to OEMs, ODMs and CMs, revenue is recognized when the OEM, ODM or CM obtains control of the product, which occurs at a point in time, generally upon shipment to the customer. Contracts for sales of products are generally less than one year.</w:t>
      </w:r>
    </w:p>
    <w:p>
      <w:pPr>
        <w:spacing w:after="0" w:line="180"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From time to time, the Company may provide distributors with price adjustments subsequent to the delivery of product to them and such amounts are dependent on the end customer and product sales price. Price adjustments can be based on a variety of factors, including customer, product, quantity, geography, and competitive differentiation. Price protection rights grant distributors the right to a credit in the event of declines in the price of the Company’s products. Under these circumstances, the Company remits back to the distributor a portion of their original purchase price after the resale transaction is completed in the form of a credit against the distributors’ outstanding accounts receivable balance. The credits are on a per unit basis and are not given to the distributor until the distributor provides information regarding the sale to their end customer. The Company estimates these credits and record such estimates in the same period the related revenue is recognized, resulting in a reduction of product revenue and the establishment of an allowance for price adjustments for amounts due to distributors. The Company estimates credits to distributors based on the historical rate of credits provided to distributors relative to sales and evaluation of current market conditions. Revenue on shipments to distributors is recorded when control of the products has been transferred to the distributor.</w:t>
      </w:r>
    </w:p>
    <w:p>
      <w:pPr>
        <w:spacing w:after="0" w:line="194"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Company estimates the amount of our product sales that may be returned by its customers and records this estimate as a reduction of revenue in the period the related product revenue is recognized. The Company estimates its</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product return liability by analyzing its historical returns, current economic trends and changes in customer demand and acceptance of products. The Company has received insignificant returns to date and believes that returns of its products will continue to not be material.</w:t>
      </w:r>
    </w:p>
    <w:p>
      <w:pPr>
        <w:spacing w:after="0" w:line="16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Upon the transfer of control, generally at shipment, the Company records a trade receivable for the selling price as there is a legally enforceable obligation of the distributor to pay for the product delivered, an allowance is recorded for the estimated discount that will be provided to the distributor, and the net of these amounts is recorded as revenue on the statements of operations and comprehensive (loss)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227"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For licenses of technology, recognition of revenue is dependent upon whether the Company has delivered rights to the technology, and whether there are future performance obligations under the contract. In some instances, the license agreements call for future events or activities to occur in order for milestones amounts to become due from the customer. The terms of such agreements include payment to the Company of one or more of the following: non-refundable upfront fees; and royalties on net sales of licensed products. Historically, these license agreements have not included other future performance obligations for the Company once the license has been transferred to the customer.</w:t>
      </w:r>
    </w:p>
    <w:p>
      <w:pPr>
        <w:spacing w:after="0" w:line="183" w:lineRule="exact"/>
        <w:rPr>
          <w:sz w:val="20"/>
          <w:szCs w:val="20"/>
          <w:color w:val="auto"/>
        </w:rPr>
      </w:pPr>
    </w:p>
    <w:p>
      <w:pPr>
        <w:ind w:right="700" w:firstLine="405"/>
        <w:spacing w:after="0" w:line="282" w:lineRule="auto"/>
        <w:rPr>
          <w:sz w:val="20"/>
          <w:szCs w:val="20"/>
          <w:color w:val="auto"/>
        </w:rPr>
      </w:pPr>
      <w:r>
        <w:rPr>
          <w:rFonts w:ascii="Times New Roman" w:cs="Times New Roman" w:eastAsia="Times New Roman" w:hAnsi="Times New Roman"/>
          <w:sz w:val="18"/>
          <w:szCs w:val="18"/>
          <w:color w:val="auto"/>
        </w:rPr>
        <w:t>Revenue from non-refundable upfront payments is recognized when the license is transferred to the customer and the Company has no other performance obligations.</w:t>
      </w:r>
    </w:p>
    <w:p>
      <w:pPr>
        <w:spacing w:after="0" w:line="162"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Company entered into a contractual agreement with a customer in 2021 for the development of a RAD-Hard product, consisting of a technology license, a design license agreement and development contract, and separate contractual agreements with a customer in 2024 and 2025 for the development of a strategic radiation hardened field programmable gate array product, consisting of a technology license to provide design and development services under the contractual agreement. The Company applies a five-step approach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performance obligation is satisfied.</w:t>
      </w:r>
    </w:p>
    <w:p>
      <w:pPr>
        <w:spacing w:after="0" w:line="187"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Company concluded these contractual arrangements represent one arrangement and evaluated its promises to the customer and whether the performance obligations granted under the arrangement were distinct. The licenses provided to the customer are not transferable, are of limited value without the promised development services, and the customer cannot benefit from the license agreements without the specific obligated services in the development subcontract, as there is strong interdependence between the licenses and the development subcontract. Accordingly, the Company determined the licenses were not distinct within the context of the contract and combined the license with other performance obligations.</w:t>
      </w:r>
    </w:p>
    <w:p>
      <w:pPr>
        <w:spacing w:after="0" w:line="183"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As a result, the Company is recognizing revenue related to the performance obligations over the duration of the contract using the input method based on costs incurred to date relative to the total expected costs of the contract over the contract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Royalties</w:t>
      </w:r>
    </w:p>
    <w:p>
      <w:pPr>
        <w:spacing w:after="0" w:line="227"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Revenue from sales-based royalties from licenses of the Company’s technology are recognized at the later of when (1) the sale occurs or (2) the performance obligation to which some or all of the sales-based royalty has been allocated is satisfied (in whole or in part). The Company will record an unbilled receivable (within accounts receivable, net) for the portion of sales-based royalties that have been earned but not invoiced at the end of each reporting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Engineering services and other Revenue</w:t>
      </w:r>
    </w:p>
    <w:p>
      <w:pPr>
        <w:spacing w:after="0" w:line="227"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For certain revenue streams, the Company recognizes revenue based on the pattern of transfer of the services. The Company uses the input method of measuring costs incurred to date compared to total estimated costs to be incurred under the contract as this method most faithfully depicts its performance. The Company will record an unbilled receivable (within accounts receivable, net) for the portion of the work that has been completed but not invoiced at the end of each reporting period.</w:t>
      </w:r>
    </w:p>
    <w:p>
      <w:pPr>
        <w:spacing w:after="0" w:line="180"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At the inception of each agreement that includes milestone payments, the Company evaluates whether the milestones are considered probable of being reached and estimates the amount to be included in the transaction price by using the most</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likely amount method. If it is probable that a significant reversal of cumulative revenue would not occur, the associated milestone value is included in the transaction price. At the end of each subsequent reporting period, the Company re-evaluates the probability or achievement of each such milestone and any related constraint, and if necessary, adjusts its estimate of the overall transaction price. Any such adjustments are recorded on a cumulative catch-up basis, which would affect revenues and earnings in the period of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Other income, net primarily consists of a strategic award, realized gains and losses on sale of assets, and gains and losses on foreign currency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Warranty</w:t>
      </w:r>
    </w:p>
    <w:p>
      <w:pPr>
        <w:spacing w:after="0" w:line="229" w:lineRule="exact"/>
        <w:rPr>
          <w:sz w:val="20"/>
          <w:szCs w:val="20"/>
          <w:color w:val="auto"/>
        </w:rPr>
      </w:pPr>
    </w:p>
    <w:p>
      <w:pPr>
        <w:ind w:right="20" w:firstLine="405"/>
        <w:spacing w:after="0" w:line="281" w:lineRule="auto"/>
        <w:rPr>
          <w:sz w:val="20"/>
          <w:szCs w:val="20"/>
          <w:color w:val="auto"/>
        </w:rPr>
      </w:pPr>
      <w:r>
        <w:rPr>
          <w:rFonts w:ascii="Times New Roman" w:cs="Times New Roman" w:eastAsia="Times New Roman" w:hAnsi="Times New Roman"/>
          <w:sz w:val="17"/>
          <w:szCs w:val="17"/>
          <w:color w:val="auto"/>
        </w:rPr>
        <w:t>The Company generally sells products with a limited warranty of product quality and a limited indemnification of customers against intellectual property infringement claims related to the Company’s products. The Company accrues for known warranty and indemnification issues if a loss is probable and can be reasonably estimated and accrues for estimated losses incurred for unidentified issues based on historical experience. A warranty liability was not recorded at December 31, 2025 and 2024, as the estimated future warranty costs were not material based on the Company’s historical experience.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are incurred in support of internal development programs or as part of the Company’s joint development agreement with GLOBALFOUNDRIES (see Note 9). Research and development expenses include personnel-related costs (including stock-based compensation), circuit design costs, purchases of materials and laboratory supplies, fabrication and packaging of experimental integrated circuit products, amortization of certain intangible assets, depreciation of research and development related capital equipment and overhead and are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Stock-based compensation arrangements include stock option grants and restricted stock unit (RSU) awards under the Company’s equity incentive plans, as well as shares issued under the Company’s Employee Stock Purchase Plan (ESPP), through which employees may purchase the Company’s common stock at a discount to the market price.</w:t>
      </w:r>
    </w:p>
    <w:p>
      <w:pPr>
        <w:spacing w:after="0" w:line="176"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 uses RSUs with a service condition as its primary equity incentive compensation instrument for employees. Share-based compensation expense for RSUs is measured on the grant date based on the fair market value of the Company’s common stock and is recognized over the requisite service period using the straight-line method. The Company accounts for forfeitures as they occur.</w:t>
      </w:r>
    </w:p>
    <w:p>
      <w:pPr>
        <w:spacing w:after="0" w:line="176" w:lineRule="exact"/>
        <w:rPr>
          <w:sz w:val="20"/>
          <w:szCs w:val="20"/>
          <w:color w:val="auto"/>
        </w:rPr>
      </w:pPr>
    </w:p>
    <w:p>
      <w:pPr>
        <w:jc w:val="both"/>
        <w:ind w:right="240" w:firstLine="405"/>
        <w:spacing w:after="0" w:line="289" w:lineRule="auto"/>
        <w:rPr>
          <w:sz w:val="20"/>
          <w:szCs w:val="20"/>
          <w:color w:val="auto"/>
        </w:rPr>
      </w:pPr>
      <w:r>
        <w:rPr>
          <w:rFonts w:ascii="Times New Roman" w:cs="Times New Roman" w:eastAsia="Times New Roman" w:hAnsi="Times New Roman"/>
          <w:sz w:val="17"/>
          <w:szCs w:val="17"/>
          <w:color w:val="auto"/>
        </w:rPr>
        <w:t>The Company measures its stock option grants based on the estimated fair value of the options as of the grant date using the Black-Scholes option-pricing model. Stock-based compensation expense for stock option grants is recognized over the requisite service period using the straight-line method. The Company accounts for forfeitures as they occur. The Black-Scholes option-pricing model requires the input of subjective assumptions including:</w:t>
      </w:r>
    </w:p>
    <w:p>
      <w:pPr>
        <w:spacing w:after="0" w:line="156"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Company determines the expected stock price volatility based on the historical volatility of its common stock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of industry peers for the expected term of the option. Industry peers consist of several public companies in the technology industry similar in size, stage of life cycle and financial leverage. If circumstances change such that the identified companies are no longer similar, the Company will revise its peer group to substitute more suitable companies in this calculation.</w:t>
      </w:r>
    </w:p>
    <w:p>
      <w:pPr>
        <w:spacing w:after="0" w:line="180" w:lineRule="exact"/>
        <w:rPr>
          <w:sz w:val="20"/>
          <w:szCs w:val="20"/>
          <w:color w:val="auto"/>
        </w:rPr>
      </w:pPr>
    </w:p>
    <w:p>
      <w:pPr>
        <w:ind w:right="1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U.S. Treasury yield with a maturity equal to the expected term of the option in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time of grant.</w:t>
      </w:r>
    </w:p>
    <w:p>
      <w:pPr>
        <w:spacing w:after="0" w:line="158" w:lineRule="exact"/>
        <w:rPr>
          <w:sz w:val="20"/>
          <w:szCs w:val="20"/>
          <w:color w:val="auto"/>
        </w:rPr>
      </w:pPr>
    </w:p>
    <w:p>
      <w:pPr>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the stock-based awards are expected to be outstanding. The Company used the simplified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to determine the expected term, which is calculated as the average of the time to vesting and the contractual life of the options.</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The Company has never paid dividends on its common stock and is prohibited from paying dividends on its common stock.</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the Company used an expected dividend yield of zero.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Company uses the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The Company must then assess the likelihood that the resulting deferred tax assets will be realized. A valuation allowance is provided when it is more likely than not that some portion or all of a deferred tax asset will not be realized.</w:t>
      </w:r>
    </w:p>
    <w:p>
      <w:pPr>
        <w:spacing w:after="0" w:line="180"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Common Share</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Basic net (loss) income per common share is calculated by dividing the net (loss) income by the weighted-average number of shares of common stock outstanding for the period less shares subject to repurchase, without consideration of potentially dilutive securities. Diluted earnings per share is calculated using the treasury stock method by dividing net (loss) income by the total weighted average shares of common stock outstanding in addition to the potential impact of dilutive securities including restricted stock units, warrants, and options. In periods with a net loss, diluted net loss per common share is the same as basic net loss per common share since the effect of potentially dilutive securities is anti-dilutive.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jc w:val="both"/>
        <w:ind w:right="280"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Company adopted Accounting Standards Update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improves income tax disclosure requirements, primarily through disaggregated information about effective income tax rate reconciliation and additional disclosures regarding income taxes paid. The guidance is effective for fiscal years beginning after December 15, 2024, and interim periods within fiscal years beginning after December 15, 2024.</w:t>
      </w:r>
    </w:p>
    <w:p>
      <w:pPr>
        <w:spacing w:after="0" w:line="182"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The Company adopted ASU 2023-09 effective January 1, 2025, on a prospective basis. The adoption of ASU 2023-09 did not have a significant impact to the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Pronouncements</w:t>
      </w:r>
    </w:p>
    <w:p>
      <w:pPr>
        <w:spacing w:after="0" w:line="227" w:lineRule="exact"/>
        <w:rPr>
          <w:sz w:val="20"/>
          <w:szCs w:val="20"/>
          <w:color w:val="auto"/>
        </w:rPr>
      </w:pPr>
    </w:p>
    <w:p>
      <w:pPr>
        <w:ind w:right="40"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ASU 2024-03, </w:t>
      </w:r>
      <w:r>
        <w:rPr>
          <w:rFonts w:ascii="Times New Roman" w:cs="Times New Roman" w:eastAsia="Times New Roman" w:hAnsi="Times New Roman"/>
          <w:sz w:val="18"/>
          <w:szCs w:val="18"/>
          <w:i w:val="1"/>
          <w:iCs w:val="1"/>
          <w:color w:val="auto"/>
        </w:rPr>
        <w:t>Income Statement – Reporting Comprehensive Income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 Disaggregation Disclosures (Topic 220): Disaggregation of Income Statement Expenses</w:t>
      </w:r>
      <w:r>
        <w:rPr>
          <w:rFonts w:ascii="Times New Roman" w:cs="Times New Roman" w:eastAsia="Times New Roman" w:hAnsi="Times New Roman"/>
          <w:sz w:val="18"/>
          <w:szCs w:val="18"/>
          <w:color w:val="auto"/>
        </w:rPr>
        <w:t>, which requires additional disclosure of certain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the expense captions presented on the statement of operations, as well as disclosures about selling expenses. ASU 2024-03 is effective for the Company’s annual reporting periods beginning after December 15, 2026 and interim reporting periods beginning after December 15, 2027, on a prospective basis, with the option for retrospective application. Early adoption is permitted for annual financial statements that have not yet been issued. The Company is currently evaluating the impact that the standard will have on its financial statements.</w:t>
      </w:r>
    </w:p>
    <w:p>
      <w:pPr>
        <w:spacing w:after="0" w:line="182"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 – 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which provides a practical expedient that all entities can use when estimating expected credit losses for current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and current contract assets arising from transactions accounted for under Accounting Standards Codification (ASC) Topic 606. Under this practical expedient, an entity is allowed to assume that the current conditions it has applied in determining credit loss allowances for current accounts receivable and current contract assets remain unchanged for the remaining life of those assets. ASU 2025-05 is effective for the Company’s annual reporting periods beginning after December 15, 2025, and interim reporting periods in those fiscal years. Entities that elect the practical expedient and, if applicable, make the accounting policy election are required to apply the amendments prospectively. The Company is currently evaluating the impact that the standard will have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 – Goodwill and Other – Internal-Use Software (Topic 350):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which updates guidance for recognizing software development costs to better align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with how software is developed. The update removes references to development stages, introduces a probable completion threshold, and incorporates website development costs into the internal-use software framework under ASC Topic 350. ASU 2025-06 is effective for annual reporting periods beginning after December 15, 2027, and interim reporting periods within those fiscal years, on a prospective basis, with the option for retrospective application. Early adoption is permitted for annual financial statements that have not yet been issued. The Company is currently evaluating the impact that the standard will have on its financial statements.</w:t>
      </w:r>
    </w:p>
    <w:p>
      <w:pPr>
        <w:spacing w:after="0" w:line="183" w:lineRule="exact"/>
        <w:rPr>
          <w:sz w:val="20"/>
          <w:szCs w:val="20"/>
          <w:color w:val="auto"/>
        </w:rPr>
      </w:pPr>
    </w:p>
    <w:p>
      <w:pPr>
        <w:ind w:firstLine="405"/>
        <w:spacing w:after="0" w:line="271" w:lineRule="auto"/>
        <w:rPr>
          <w:sz w:val="20"/>
          <w:szCs w:val="20"/>
          <w:color w:val="auto"/>
        </w:rPr>
      </w:pPr>
      <w:r>
        <w:rPr>
          <w:rFonts w:ascii="Times New Roman" w:cs="Times New Roman" w:eastAsia="Times New Roman" w:hAnsi="Times New Roman"/>
          <w:sz w:val="17"/>
          <w:szCs w:val="17"/>
          <w:color w:val="auto"/>
        </w:rPr>
        <w:t xml:space="preserve">In December 2025, the FASB issued ASU No.2025-11, </w:t>
      </w:r>
      <w:r>
        <w:rPr>
          <w:rFonts w:ascii="Times New Roman" w:cs="Times New Roman" w:eastAsia="Times New Roman" w:hAnsi="Times New Roman"/>
          <w:sz w:val="17"/>
          <w:szCs w:val="17"/>
          <w:i w:val="1"/>
          <w:iCs w:val="1"/>
          <w:color w:val="auto"/>
        </w:rPr>
        <w:t>Interim Reporting (Topic 270) Narrow-Scope Improvements</w:t>
      </w:r>
      <w:r>
        <w:rPr>
          <w:rFonts w:ascii="Times New Roman" w:cs="Times New Roman" w:eastAsia="Times New Roman" w:hAnsi="Times New Roman"/>
          <w:sz w:val="17"/>
          <w:szCs w:val="17"/>
          <w:color w:val="auto"/>
        </w:rPr>
        <w:t>, which clarifies interim disclosure requirements and the applicability of Topic 270. The objective of the update is to provide clarity about current interim requirements. The amendments in this update also include a disclosure principle that requires entities to disclose events since the end of the last annual reporting period that have a material impact on the entity. The amendments in ASU 2025-11 are effective for interim periods within annual reporting periods beginning after December 15,</w:t>
      </w:r>
    </w:p>
    <w:p>
      <w:pPr>
        <w:spacing w:after="0" w:line="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2027. Early adoption is permitted for annual financial statements that have not yet been issued. The Company is currently evaluating the impact that the standard will have on its financial statements.</w:t>
      </w:r>
    </w:p>
    <w:p>
      <w:pPr>
        <w:spacing w:after="0" w:line="179"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No.2025-12,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which addresses suggestions received from stakeholders regarding the Accounting Standards Codification and makes other incremental improvements to GAAP. The update represents changes to the Codification that clarify, correct errors in or make other improvements to a variety of topics that are intended to make it easier to understand and apply. ASU 2025-12 is effective for fiscal years beginning after December 15, 2026 and interim periods within those fiscal years. The amendments to ASC 260 must be applied retrospectively, while all other amendments may be applied prospectively or retrospectively. Early adoption is permitted for annual financial statements that have not yet been issued. The Company is currently evaluating the impact that the standard will have on its financial statements.</w:t>
      </w:r>
    </w:p>
    <w:p>
      <w:pPr>
        <w:spacing w:after="0" w:line="184"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The Company reviewed all other recently issued accounting pronouncements and concluded that they were either not applicable or not expected to have a significant impact to the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Statements of Operations and Comprehensive (Loss) Income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Company sells products to its distributors, OEMs, ODMs and CMs. The Company also recognizes revenue under licensing, patent, and royalty agreements with some customers. The following table presents the Company’s revenues disaggregated by sales channel (in thousands):</w:t>
      </w:r>
    </w:p>
    <w:p>
      <w:pPr>
        <w:spacing w:after="0" w:line="209" w:lineRule="exact"/>
        <w:rPr>
          <w:sz w:val="20"/>
          <w:szCs w:val="20"/>
          <w:color w:val="auto"/>
        </w:rPr>
      </w:pPr>
    </w:p>
    <w:tbl>
      <w:tblPr>
        <w:tblLayout w:type="fixed"/>
        <w:tblInd w:w="112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254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r>
      <w:tr>
        <w:trPr>
          <w:trHeight w:val="37"/>
        </w:trPr>
        <w:tc>
          <w:tcPr>
            <w:tcW w:w="59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86"/>
        </w:trPr>
        <w:tc>
          <w:tcPr>
            <w:tcW w:w="59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r>
      <w:tr>
        <w:trPr>
          <w:trHeight w:val="37"/>
        </w:trPr>
        <w:tc>
          <w:tcPr>
            <w:tcW w:w="59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44"/>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39,943</w:t>
            </w:r>
          </w:p>
        </w:tc>
      </w:tr>
      <w:tr>
        <w:trPr>
          <w:trHeight w:val="24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Non-distributor</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10,459</w:t>
            </w:r>
          </w:p>
        </w:tc>
      </w:tr>
      <w:tr>
        <w:trPr>
          <w:trHeight w:val="27"/>
        </w:trPr>
        <w:tc>
          <w:tcPr>
            <w:tcW w:w="59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88"/>
        </w:trPr>
        <w:tc>
          <w:tcPr>
            <w:tcW w:w="59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55,202</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50,402</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timing of recognition (in thousands):</w:t>
      </w:r>
    </w:p>
    <w:p>
      <w:pPr>
        <w:spacing w:after="0" w:line="273" w:lineRule="exact"/>
        <w:rPr>
          <w:sz w:val="20"/>
          <w:szCs w:val="20"/>
          <w:color w:val="auto"/>
        </w:rPr>
      </w:pPr>
    </w:p>
    <w:tbl>
      <w:tblPr>
        <w:tblLayout w:type="fixed"/>
        <w:tblInd w:w="112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254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r>
      <w:tr>
        <w:trPr>
          <w:trHeight w:val="37"/>
        </w:trPr>
        <w:tc>
          <w:tcPr>
            <w:tcW w:w="59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86"/>
        </w:trPr>
        <w:tc>
          <w:tcPr>
            <w:tcW w:w="59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r>
      <w:tr>
        <w:trPr>
          <w:trHeight w:val="37"/>
        </w:trPr>
        <w:tc>
          <w:tcPr>
            <w:tcW w:w="59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43"/>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42,903</w:t>
            </w:r>
          </w:p>
        </w:tc>
      </w:tr>
      <w:tr>
        <w:trPr>
          <w:trHeight w:val="24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Over time</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w:t>
            </w:r>
          </w:p>
        </w:tc>
      </w:tr>
      <w:tr>
        <w:trPr>
          <w:trHeight w:val="27"/>
        </w:trPr>
        <w:tc>
          <w:tcPr>
            <w:tcW w:w="59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89"/>
        </w:trPr>
        <w:tc>
          <w:tcPr>
            <w:tcW w:w="59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55,202</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50,402</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type (in thousands):</w:t>
      </w:r>
    </w:p>
    <w:p>
      <w:pPr>
        <w:spacing w:after="0" w:line="273" w:lineRule="exact"/>
        <w:rPr>
          <w:sz w:val="20"/>
          <w:szCs w:val="20"/>
          <w:color w:val="auto"/>
        </w:rPr>
      </w:pPr>
    </w:p>
    <w:tbl>
      <w:tblPr>
        <w:tblLayout w:type="fixed"/>
        <w:tblInd w:w="112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254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r>
      <w:tr>
        <w:trPr>
          <w:trHeight w:val="37"/>
        </w:trPr>
        <w:tc>
          <w:tcPr>
            <w:tcW w:w="59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86"/>
        </w:trPr>
        <w:tc>
          <w:tcPr>
            <w:tcW w:w="59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r>
      <w:tr>
        <w:trPr>
          <w:trHeight w:val="37"/>
        </w:trPr>
        <w:tc>
          <w:tcPr>
            <w:tcW w:w="59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43"/>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42,203</w:t>
            </w:r>
          </w:p>
        </w:tc>
      </w:tr>
      <w:tr>
        <w:trPr>
          <w:trHeight w:val="24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Licensing</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w:t>
            </w:r>
          </w:p>
        </w:tc>
      </w:tr>
      <w:tr>
        <w:trPr>
          <w:trHeight w:val="27"/>
        </w:trPr>
        <w:tc>
          <w:tcPr>
            <w:tcW w:w="5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4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Engineering services and other revenue</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r>
      <w:tr>
        <w:trPr>
          <w:trHeight w:val="27"/>
        </w:trPr>
        <w:tc>
          <w:tcPr>
            <w:tcW w:w="59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88"/>
        </w:trPr>
        <w:tc>
          <w:tcPr>
            <w:tcW w:w="59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55,202</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50,402</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Company licenses its intellectual property and is entitled to consideration based on the customer’s sales. The Company makes estimates in instances when the customer reports sales on a lagged basis and actual information is not available timely. The estimates are based on historical trends in the customer’s activity and current market conditions. The amounts are reported in licensing, royalty, patent, engineering services and other revenue in the statements of operations and comprehensive (loss) income.</w:t>
      </w:r>
    </w:p>
    <w:p>
      <w:pPr>
        <w:spacing w:after="0" w:line="180"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recognizes revenue by geography based on the region in which its products are sold, and not to where the end products in which they are assembled are shipped. Revenue by region for the periods indicated was as follows (in thousands):</w:t>
      </w:r>
    </w:p>
    <w:p>
      <w:pPr>
        <w:spacing w:after="0" w:line="209" w:lineRule="exact"/>
        <w:rPr>
          <w:sz w:val="20"/>
          <w:szCs w:val="20"/>
          <w:color w:val="auto"/>
        </w:rPr>
      </w:pPr>
    </w:p>
    <w:tbl>
      <w:tblPr>
        <w:tblLayout w:type="fixed"/>
        <w:tblInd w:w="112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254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r>
      <w:tr>
        <w:trPr>
          <w:trHeight w:val="37"/>
        </w:trPr>
        <w:tc>
          <w:tcPr>
            <w:tcW w:w="59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86"/>
        </w:trPr>
        <w:tc>
          <w:tcPr>
            <w:tcW w:w="59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r>
      <w:tr>
        <w:trPr>
          <w:trHeight w:val="37"/>
        </w:trPr>
        <w:tc>
          <w:tcPr>
            <w:tcW w:w="59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44"/>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28,688</w:t>
            </w:r>
          </w:p>
        </w:tc>
      </w:tr>
      <w:tr>
        <w:trPr>
          <w:trHeight w:val="24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10,890</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10,710</w:t>
            </w:r>
          </w:p>
        </w:tc>
      </w:tr>
      <w:tr>
        <w:trPr>
          <w:trHeight w:val="27"/>
        </w:trPr>
        <w:tc>
          <w:tcPr>
            <w:tcW w:w="5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11,004</w:t>
            </w:r>
          </w:p>
        </w:tc>
      </w:tr>
      <w:tr>
        <w:trPr>
          <w:trHeight w:val="263"/>
        </w:trPr>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55,202</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50,402</w:t>
            </w:r>
          </w:p>
        </w:tc>
      </w:tr>
      <w:tr>
        <w:trPr>
          <w:trHeight w:val="21"/>
        </w:trPr>
        <w:tc>
          <w:tcPr>
            <w:tcW w:w="5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On August 14, 2024, the Company received a strategic award to develop a long-term plan to provide manufacturing services for aerospace and defense segments (the Award). Under the Award, the Company will provide a plan to mitigate risks to its MRAM manufacturing supply chain. Pursuant to the Award, the Company may receive cash payments upon the achievement of certain technical tasks and deliverables. The Award allows for milestones totaling up to approximately $14.6 million for the Company over a span of 2.5 years.</w:t>
      </w:r>
    </w:p>
    <w:p>
      <w:pPr>
        <w:spacing w:after="0" w:line="180"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Award is not in the ordinary course of the Company’s business and hence not a contract with a customer. The Company has applied the revenue recognition principles under ASC 606 by analogy.</w:t>
      </w:r>
    </w:p>
    <w:p>
      <w:pPr>
        <w:spacing w:after="0" w:line="162"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Company records the total consideration from the Award as other income using an input method based on costs incurred to date relative to the total expected costs of the Award over its term. Amounts invoiced in excess of income recognized are recorded as a contract obligations liability on the balance sheets. This liability represents the Company’s obligation to perform future services for which the Company has received or is entitled to receive payment but which are not yet fulfilled. During the year ended December 31, 2025 and 2024, the Company has invoiced $4.0 million and $8.1 million, respectively, related to this Award of which no balance is outstanding as of December 31, 2025 and 2024. The contract obligations liability was $1.5 million and $2.0 million as of December 31, 2025 and 2024, respectively. The Company recorded $4.5 million and $6.1 million of other income related to this Award in the year ended December 31, 2025 and 2024, respectively.</w:t>
      </w:r>
    </w:p>
    <w:p>
      <w:pPr>
        <w:spacing w:after="0" w:line="200" w:lineRule="exact"/>
        <w:rPr>
          <w:sz w:val="20"/>
          <w:szCs w:val="20"/>
          <w:color w:val="auto"/>
        </w:rPr>
      </w:pPr>
    </w:p>
    <w:p>
      <w:pPr>
        <w:spacing w:after="0" w:line="3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inventory</w:t>
            </w: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10,734</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70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980" w:type="dxa"/>
            <w:vAlign w:val="bottom"/>
          </w:tcPr>
          <w:p>
            <w:pPr>
              <w:spacing w:after="0"/>
              <w:rPr>
                <w:sz w:val="3"/>
                <w:szCs w:val="3"/>
                <w:color w:val="auto"/>
              </w:rPr>
            </w:pPr>
          </w:p>
        </w:tc>
        <w:tc>
          <w:tcPr>
            <w:tcW w:w="6100" w:type="dxa"/>
            <w:vAlign w:val="bottom"/>
            <w:tcBorders>
              <w:bottom w:val="single" w:sz="8" w:color="CCEEFF"/>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980" w:type="dxa"/>
            <w:vAlign w:val="bottom"/>
          </w:tcPr>
          <w:p>
            <w:pPr>
              <w:spacing w:after="0"/>
              <w:rPr>
                <w:sz w:val="21"/>
                <w:szCs w:val="21"/>
                <w:color w:val="auto"/>
              </w:rPr>
            </w:pPr>
          </w:p>
        </w:tc>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equipment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15,070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14,199</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and network equipment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6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11,131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6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 w:type="dxa"/>
            <w:vAlign w:val="bottom"/>
          </w:tcPr>
          <w:p>
            <w:pPr>
              <w:spacing w:after="0"/>
              <w:rPr>
                <w:sz w:val="23"/>
                <w:szCs w:val="23"/>
                <w:color w:val="auto"/>
              </w:rPr>
            </w:pPr>
          </w:p>
        </w:tc>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28,521</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16,390</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6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 w:type="dxa"/>
            <w:vAlign w:val="bottom"/>
          </w:tcPr>
          <w:p>
            <w:pPr>
              <w:spacing w:after="0"/>
              <w:rPr>
                <w:sz w:val="23"/>
                <w:szCs w:val="23"/>
                <w:color w:val="auto"/>
              </w:rPr>
            </w:pPr>
          </w:p>
        </w:tc>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(14,381)</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(13,170)</w:t>
            </w:r>
          </w:p>
        </w:tc>
        <w:tc>
          <w:tcPr>
            <w:tcW w:w="0" w:type="dxa"/>
            <w:vAlign w:val="bottom"/>
          </w:tcPr>
          <w:p>
            <w:pPr>
              <w:spacing w:after="0"/>
              <w:rPr>
                <w:sz w:val="1"/>
                <w:szCs w:val="1"/>
                <w:color w:val="auto"/>
              </w:rPr>
            </w:pPr>
          </w:p>
        </w:tc>
      </w:tr>
      <w:tr>
        <w:trPr>
          <w:trHeight w:val="264"/>
        </w:trPr>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14,140</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3,220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Depreciation expense during years ended December 31, 2025 and 2024 was $1.5 million and $1.6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gross carrying amounts and accumulated amortization of intangible assets are as follows at the dates indicated (in thousands):</w:t>
      </w:r>
    </w:p>
    <w:p>
      <w:pPr>
        <w:spacing w:after="0" w:line="273" w:lineRule="exact"/>
        <w:rPr>
          <w:sz w:val="20"/>
          <w:szCs w:val="20"/>
          <w:color w:val="auto"/>
        </w:rPr>
      </w:pPr>
    </w:p>
    <w:tbl>
      <w:tblPr>
        <w:tblLayout w:type="fixed"/>
        <w:tblInd w:w="42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5"/>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0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0" w:type="dxa"/>
            <w:vAlign w:val="bottom"/>
          </w:tcPr>
          <w:p>
            <w:pPr>
              <w:spacing w:after="0"/>
              <w:rPr>
                <w:sz w:val="14"/>
                <w:szCs w:val="14"/>
                <w:color w:val="auto"/>
              </w:rPr>
            </w:pPr>
          </w:p>
        </w:tc>
        <w:tc>
          <w:tcPr>
            <w:tcW w:w="12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4"/>
                <w:szCs w:val="14"/>
                <w:color w:val="auto"/>
              </w:rPr>
            </w:pPr>
          </w:p>
        </w:tc>
        <w:tc>
          <w:tcPr>
            <w:tcW w:w="11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4"/>
                <w:szCs w:val="14"/>
                <w:color w:val="auto"/>
              </w:rPr>
            </w:pPr>
          </w:p>
        </w:tc>
        <w:tc>
          <w:tcPr>
            <w:tcW w:w="110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204"/>
        </w:trPr>
        <w:tc>
          <w:tcPr>
            <w:tcW w:w="10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1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10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37"/>
        </w:trPr>
        <w:tc>
          <w:tcPr>
            <w:tcW w:w="1080" w:type="dxa"/>
            <w:vAlign w:val="bottom"/>
          </w:tcPr>
          <w:p>
            <w:pPr>
              <w:spacing w:after="0"/>
              <w:rPr>
                <w:sz w:val="3"/>
                <w:szCs w:val="3"/>
                <w:color w:val="auto"/>
              </w:rPr>
            </w:pPr>
          </w:p>
        </w:tc>
        <w:tc>
          <w:tcPr>
            <w:tcW w:w="18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1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8"/>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10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0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6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6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6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0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6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940" w:type="dxa"/>
            <w:vAlign w:val="bottom"/>
            <w:tcBorders>
              <w:bottom w:val="single" w:sz="8" w:color="CCEEFF"/>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9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center"/>
              <w:ind w:left="619"/>
              <w:spacing w:after="0"/>
              <w:rPr>
                <w:sz w:val="20"/>
                <w:szCs w:val="20"/>
                <w:color w:val="auto"/>
              </w:rPr>
            </w:pPr>
            <w:r>
              <w:rPr>
                <w:rFonts w:ascii="Times New Roman" w:cs="Times New Roman" w:eastAsia="Times New Roman" w:hAnsi="Times New Roman"/>
                <w:sz w:val="18"/>
                <w:szCs w:val="18"/>
                <w:color w:val="auto"/>
                <w:w w:val="97"/>
              </w:rPr>
              <w:t>(973)</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gridSpan w:val="3"/>
          </w:tcPr>
          <w:p>
            <w:pPr>
              <w:jc w:val="center"/>
              <w:ind w:left="619"/>
              <w:spacing w:after="0"/>
              <w:rPr>
                <w:sz w:val="20"/>
                <w:szCs w:val="20"/>
                <w:color w:val="auto"/>
              </w:rPr>
            </w:pPr>
            <w:r>
              <w:rPr>
                <w:rFonts w:ascii="Times New Roman" w:cs="Times New Roman" w:eastAsia="Times New Roman" w:hAnsi="Times New Roman"/>
                <w:sz w:val="18"/>
                <w:szCs w:val="18"/>
                <w:color w:val="auto"/>
                <w:w w:val="97"/>
              </w:rPr>
              <w:t>(973)</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320" w:top="121" w:right="129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20" w:top="121" w:right="129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Amortization expense for intangible assets was $1.8 million and $0.1 million for the years ended December 31, 2025 and 2024, respectively.</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estimated future amortization expense for finite-lived intangible assets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gridSpan w:val="4"/>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37"/>
        </w:trPr>
        <w:tc>
          <w:tcPr>
            <w:tcW w:w="9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2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60" w:type="dxa"/>
            <w:vAlign w:val="bottom"/>
            <w:gridSpan w:val="3"/>
          </w:tcPr>
          <w:p>
            <w:pPr>
              <w:ind w:left="146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6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60" w:type="dxa"/>
            <w:vAlign w:val="bottom"/>
            <w:gridSpan w:val="3"/>
          </w:tcPr>
          <w:p>
            <w:pPr>
              <w:ind w:left="146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60" w:type="dxa"/>
            <w:vAlign w:val="bottom"/>
            <w:gridSpan w:val="3"/>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72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900" w:type="dxa"/>
            <w:vAlign w:val="bottom"/>
          </w:tcPr>
          <w:p>
            <w:pPr>
              <w:spacing w:after="0"/>
              <w:rPr>
                <w:sz w:val="3"/>
                <w:szCs w:val="3"/>
                <w:color w:val="auto"/>
              </w:rPr>
            </w:pPr>
          </w:p>
        </w:tc>
        <w:tc>
          <w:tcPr>
            <w:tcW w:w="6360" w:type="dxa"/>
            <w:vAlign w:val="bottom"/>
            <w:tcBorders>
              <w:bottom w:val="single" w:sz="8" w:color="CCEEFF"/>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Payroll-related expenses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6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0" w:type="dxa"/>
            <w:vAlign w:val="bottom"/>
          </w:tcPr>
          <w:p>
            <w:pPr>
              <w:spacing w:after="0"/>
              <w:rPr>
                <w:sz w:val="23"/>
                <w:szCs w:val="23"/>
                <w:color w:val="auto"/>
              </w:rPr>
            </w:pPr>
          </w:p>
        </w:tc>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63"/>
        </w:trPr>
        <w:tc>
          <w:tcPr>
            <w:tcW w:w="900" w:type="dxa"/>
            <w:vAlign w:val="bottom"/>
          </w:tcPr>
          <w:p>
            <w:pPr>
              <w:spacing w:after="0"/>
              <w:rPr>
                <w:sz w:val="22"/>
                <w:szCs w:val="22"/>
                <w:color w:val="auto"/>
              </w:rPr>
            </w:pPr>
          </w:p>
        </w:tc>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In March 2025, the Company renewed a contractual arrangement with a customer for the development of a strategic radiation hardened (“RAD-Hard”) field programmable gate array product. The total consideration in the arrangement is $1.2 million. The Company is recognizing revenue related to the performance obligation over time using the input method based on costs incurred to date relative to the total expected costs of the contract and began recognizing revenue in the first quarter of 2025. As of December 31, 2025, the Company has billed $0.7 million for the performance under the agreement and has recognized $0.7 million in revenue for the year ended December 31, 2025.</w:t>
      </w:r>
    </w:p>
    <w:p>
      <w:pPr>
        <w:spacing w:after="0" w:line="183"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Company concluded this contractual arrangement represents one arrangement and evaluated its promises to the customer and whether the performance obligations granted under the arrangement were distinct. The licenses provided to the customer are not transferable, are of limited value without the promised development services, and the customer cannot benefit from the license agreements without the specific obligated services in the development subcontract, as there is strong interdependency between the licenses and the development subcontract. Accordingly, the Company determined the licenses were not distinct within the context of the contract and combined the license with other performance obligations.</w:t>
      </w:r>
    </w:p>
    <w:p>
      <w:pPr>
        <w:spacing w:after="0" w:line="183"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In January 2025, the Company executed a contractual arrangement with a customer to provide engineering services supporting the customer’s development that uses capabilities of MRAM for in-memory computing. The total consideration in the arrangement is $4.1 million. The Company is recognizing revenue related to the performance obligation over time using the input method based on costs incurred to date relative to the total expected costs of the contract and began recognizing revenue in the first quarter of 2025. As of December 31, 2025, the Company has billed $4.1 million for the performance under the agreement and has recognized $4.1 million in revenue for the year ended December 31, 2025.</w:t>
      </w:r>
    </w:p>
    <w:p>
      <w:pPr>
        <w:spacing w:after="0" w:line="183"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Company concluded that this contractual arrangement represents one arrangement and assessed the nature of the promises made to the customer to determine whether the performance obligations were distinct. The Company determined that the engineering services are not separately identifiable from the promised development services, as the engineering services are highly interrelated with, and dependent upon, the overall development services over the life of the contract. Accordingly, the Company concluded that the engineering services are not distinct within the context of the contract and, therefore, should be combined with the other promised services into a single performance obligation. Deferred revenue related to these agreements was $0.0 million and $0.1 million as of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Operating leases consist of fabrication, lab, and office space expiring at various dates through 2029. Finance leases relate to a server lease expiring in February 2029. The Company’s lease agreements do not contain any material residual value guarantees or material restrictive covenants.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undiscounted future non-cancellable lease payments under the Company’s operating and finance leases were as follows (in thousands):</w:t>
      </w:r>
    </w:p>
    <w:p>
      <w:pPr>
        <w:sectPr>
          <w:pgSz w:w="11900" w:h="16838" w:orient="portrait"/>
          <w:cols w:equalWidth="0" w:num="1">
            <w:col w:w="11220"/>
          </w:cols>
          <w:pgMar w:left="320" w:top="121" w:right="359" w:bottom="1440" w:gutter="0" w:footer="0" w:header="0"/>
        </w:sectPr>
      </w:pPr>
    </w:p>
    <w:p>
      <w:pPr>
        <w:spacing w:after="0" w:line="2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b w:val="1"/>
          <w:bCs w:val="1"/>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41910</wp:posOffset>
            </wp:positionV>
            <wp:extent cx="5991860" cy="179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91860" cy="179705"/>
                    </a:xfrm>
                    <a:prstGeom prst="rect">
                      <a:avLst/>
                    </a:prstGeom>
                    <a:noFill/>
                  </pic:spPr>
                </pic:pic>
              </a:graphicData>
            </a:graphic>
          </wp:anchor>
        </w:drawing>
      </w:r>
    </w:p>
    <w:p>
      <w:pPr>
        <w:spacing w:after="0" w:line="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2026</w:t>
      </w:r>
    </w:p>
    <w:p>
      <w:pPr>
        <w:spacing w:after="0" w:line="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34290</wp:posOffset>
            </wp:positionV>
            <wp:extent cx="599186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91860" cy="171450"/>
                    </a:xfrm>
                    <a:prstGeom prst="rect">
                      <a:avLst/>
                    </a:prstGeom>
                    <a:noFill/>
                  </pic:spPr>
                </pic:pic>
              </a:graphicData>
            </a:graphic>
          </wp:anchor>
        </w:drawing>
      </w:r>
    </w:p>
    <w:p>
      <w:pPr>
        <w:spacing w:after="0" w:line="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2028</w:t>
      </w:r>
    </w:p>
    <w:p>
      <w:pPr>
        <w:spacing w:after="0" w:line="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34290</wp:posOffset>
            </wp:positionV>
            <wp:extent cx="5991860"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91860" cy="179705"/>
                    </a:xfrm>
                    <a:prstGeom prst="rect">
                      <a:avLst/>
                    </a:prstGeom>
                    <a:noFill/>
                  </pic:spPr>
                </pic:pic>
              </a:graphicData>
            </a:graphic>
          </wp:anchor>
        </w:drawing>
      </w:r>
    </w:p>
    <w:p>
      <w:pPr>
        <w:spacing w:after="0" w:line="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 lease payments</w:t>
      </w:r>
    </w:p>
    <w:p>
      <w:pPr>
        <w:spacing w:after="0" w:line="6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Less: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34290</wp:posOffset>
            </wp:positionV>
            <wp:extent cx="5991860" cy="179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91860" cy="179705"/>
                    </a:xfrm>
                    <a:prstGeom prst="rect">
                      <a:avLst/>
                    </a:prstGeom>
                    <a:noFill/>
                  </pic:spPr>
                </pic:pic>
              </a:graphicData>
            </a:graphic>
          </wp:anchor>
        </w:drawing>
      </w:r>
    </w:p>
    <w:p>
      <w:pPr>
        <w:spacing w:after="0" w:line="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6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Less: current portion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34290</wp:posOffset>
            </wp:positionV>
            <wp:extent cx="5991860" cy="1974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91860" cy="197485"/>
                    </a:xfrm>
                    <a:prstGeom prst="rect">
                      <a:avLst/>
                    </a:prstGeom>
                    <a:noFill/>
                  </pic:spPr>
                </pic:pic>
              </a:graphicData>
            </a:graphic>
          </wp:anchor>
        </w:drawing>
      </w:r>
    </w:p>
    <w:p>
      <w:pPr>
        <w:spacing w:after="0" w:line="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 lease liabilities, net of current portion</w:t>
      </w:r>
    </w:p>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Other information related to the Company's operating lease liabilities was as follows: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88" w:lineRule="exact"/>
        <w:rPr>
          <w:sz w:val="20"/>
          <w:szCs w:val="20"/>
          <w:color w:val="auto"/>
        </w:rPr>
      </w:pPr>
    </w:p>
    <w:p>
      <w:pPr>
        <w:ind w:left="1420"/>
        <w:spacing w:after="0"/>
        <w:tabs>
          <w:tab w:leader="none" w:pos="2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1,497</w:t>
      </w:r>
    </w:p>
    <w:p>
      <w:pPr>
        <w:spacing w:after="0" w:line="63" w:lineRule="exact"/>
        <w:rPr>
          <w:sz w:val="20"/>
          <w:szCs w:val="20"/>
          <w:color w:val="auto"/>
        </w:rPr>
      </w:pPr>
    </w:p>
    <w:p>
      <w:pPr>
        <w:jc w:val="right"/>
        <w:ind w:right="940"/>
        <w:spacing w:after="0"/>
        <w:rPr>
          <w:sz w:val="20"/>
          <w:szCs w:val="20"/>
          <w:color w:val="auto"/>
        </w:rPr>
      </w:pPr>
      <w:r>
        <w:rPr>
          <w:rFonts w:ascii="Times New Roman" w:cs="Times New Roman" w:eastAsia="Times New Roman" w:hAnsi="Times New Roman"/>
          <w:sz w:val="18"/>
          <w:szCs w:val="18"/>
          <w:color w:val="auto"/>
        </w:rPr>
        <w:t>1,380</w:t>
      </w:r>
    </w:p>
    <w:p>
      <w:pPr>
        <w:spacing w:after="0" w:line="63" w:lineRule="exact"/>
        <w:rPr>
          <w:sz w:val="20"/>
          <w:szCs w:val="20"/>
          <w:color w:val="auto"/>
        </w:rPr>
      </w:pPr>
    </w:p>
    <w:p>
      <w:pPr>
        <w:jc w:val="right"/>
        <w:ind w:right="940"/>
        <w:spacing w:after="0"/>
        <w:rPr>
          <w:sz w:val="20"/>
          <w:szCs w:val="20"/>
          <w:color w:val="auto"/>
        </w:rPr>
      </w:pPr>
      <w:r>
        <w:rPr>
          <w:rFonts w:ascii="Times New Roman" w:cs="Times New Roman" w:eastAsia="Times New Roman" w:hAnsi="Times New Roman"/>
          <w:sz w:val="18"/>
          <w:szCs w:val="18"/>
          <w:color w:val="auto"/>
        </w:rPr>
        <w:t>595</w:t>
      </w:r>
    </w:p>
    <w:p>
      <w:pPr>
        <w:spacing w:after="0" w:line="63" w:lineRule="exact"/>
        <w:rPr>
          <w:sz w:val="20"/>
          <w:szCs w:val="20"/>
          <w:color w:val="auto"/>
        </w:rPr>
      </w:pPr>
    </w:p>
    <w:p>
      <w:pPr>
        <w:jc w:val="right"/>
        <w:ind w:right="940"/>
        <w:spacing w:after="0"/>
        <w:rPr>
          <w:sz w:val="20"/>
          <w:szCs w:val="20"/>
          <w:color w:val="auto"/>
        </w:rPr>
      </w:pPr>
      <w:r>
        <w:rPr>
          <w:rFonts w:ascii="Times New Roman" w:cs="Times New Roman" w:eastAsia="Times New Roman" w:hAnsi="Times New Roman"/>
          <w:sz w:val="18"/>
          <w:szCs w:val="18"/>
          <w:color w:val="auto"/>
        </w:rPr>
        <w:t>48</w:t>
      </w:r>
    </w:p>
    <w:p>
      <w:pPr>
        <w:spacing w:after="0" w:line="77" w:lineRule="exact"/>
        <w:rPr>
          <w:sz w:val="20"/>
          <w:szCs w:val="20"/>
          <w:color w:val="auto"/>
        </w:rPr>
      </w:pPr>
    </w:p>
    <w:p>
      <w:pPr>
        <w:jc w:val="right"/>
        <w:ind w:right="940"/>
        <w:spacing w:after="0"/>
        <w:rPr>
          <w:sz w:val="20"/>
          <w:szCs w:val="20"/>
          <w:color w:val="auto"/>
        </w:rPr>
      </w:pPr>
      <w:r>
        <w:rPr>
          <w:rFonts w:ascii="Times New Roman" w:cs="Times New Roman" w:eastAsia="Times New Roman" w:hAnsi="Times New Roman"/>
          <w:sz w:val="18"/>
          <w:szCs w:val="18"/>
          <w:color w:val="auto"/>
        </w:rPr>
        <w:t>3,520</w:t>
      </w:r>
    </w:p>
    <w:p>
      <w:pPr>
        <w:spacing w:after="0" w:line="63" w:lineRule="exact"/>
        <w:rPr>
          <w:sz w:val="20"/>
          <w:szCs w:val="20"/>
          <w:color w:val="auto"/>
        </w:rPr>
      </w:pPr>
    </w:p>
    <w:p>
      <w:pPr>
        <w:jc w:val="right"/>
        <w:ind w:right="900"/>
        <w:spacing w:after="0"/>
        <w:rPr>
          <w:sz w:val="20"/>
          <w:szCs w:val="20"/>
          <w:color w:val="auto"/>
        </w:rPr>
      </w:pPr>
      <w:r>
        <w:rPr>
          <w:rFonts w:ascii="Times New Roman" w:cs="Times New Roman" w:eastAsia="Times New Roman" w:hAnsi="Times New Roman"/>
          <w:sz w:val="18"/>
          <w:szCs w:val="18"/>
          <w:color w:val="auto"/>
        </w:rPr>
        <w:t>(183)</w:t>
      </w:r>
    </w:p>
    <w:p>
      <w:pPr>
        <w:spacing w:after="0" w:line="77" w:lineRule="exact"/>
        <w:rPr>
          <w:sz w:val="20"/>
          <w:szCs w:val="20"/>
          <w:color w:val="auto"/>
        </w:rPr>
      </w:pPr>
    </w:p>
    <w:p>
      <w:pPr>
        <w:jc w:val="right"/>
        <w:ind w:right="940"/>
        <w:spacing w:after="0"/>
        <w:rPr>
          <w:sz w:val="20"/>
          <w:szCs w:val="20"/>
          <w:color w:val="auto"/>
        </w:rPr>
      </w:pPr>
      <w:r>
        <w:rPr>
          <w:rFonts w:ascii="Times New Roman" w:cs="Times New Roman" w:eastAsia="Times New Roman" w:hAnsi="Times New Roman"/>
          <w:sz w:val="18"/>
          <w:szCs w:val="18"/>
          <w:color w:val="auto"/>
        </w:rPr>
        <w:t>3,337</w:t>
      </w:r>
    </w:p>
    <w:p>
      <w:pPr>
        <w:spacing w:after="0" w:line="63" w:lineRule="exact"/>
        <w:rPr>
          <w:sz w:val="20"/>
          <w:szCs w:val="20"/>
          <w:color w:val="auto"/>
        </w:rPr>
      </w:pPr>
    </w:p>
    <w:p>
      <w:pPr>
        <w:jc w:val="right"/>
        <w:ind w:right="900"/>
        <w:spacing w:after="0"/>
        <w:rPr>
          <w:sz w:val="20"/>
          <w:szCs w:val="20"/>
          <w:color w:val="auto"/>
        </w:rPr>
      </w:pPr>
      <w:r>
        <w:rPr>
          <w:rFonts w:ascii="Times New Roman" w:cs="Times New Roman" w:eastAsia="Times New Roman" w:hAnsi="Times New Roman"/>
          <w:sz w:val="18"/>
          <w:szCs w:val="18"/>
          <w:color w:val="auto"/>
        </w:rPr>
        <w:t>(1,381)</w:t>
      </w:r>
    </w:p>
    <w:p>
      <w:pPr>
        <w:spacing w:after="0" w:line="77" w:lineRule="exact"/>
        <w:rPr>
          <w:sz w:val="20"/>
          <w:szCs w:val="20"/>
          <w:color w:val="auto"/>
        </w:rPr>
      </w:pPr>
    </w:p>
    <w:p>
      <w:pPr>
        <w:ind w:left="1420"/>
        <w:spacing w:after="0"/>
        <w:tabs>
          <w:tab w:leader="none" w:pos="2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1,956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895350</wp:posOffset>
            </wp:positionH>
            <wp:positionV relativeFrom="paragraph">
              <wp:posOffset>60325</wp:posOffset>
            </wp:positionV>
            <wp:extent cx="9512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4"/>
          <w:szCs w:val="14"/>
          <w:b w:val="1"/>
          <w:bCs w:val="1"/>
          <w:color w:val="auto"/>
        </w:rPr>
        <w:t>December 31,</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29" w:lineRule="exact"/>
        <w:rPr>
          <w:sz w:val="20"/>
          <w:szCs w:val="20"/>
          <w:color w:val="auto"/>
        </w:rPr>
      </w:pPr>
    </w:p>
    <w:p>
      <w:pPr>
        <w:ind w:left="280"/>
        <w:spacing w:after="0"/>
        <w:tabs>
          <w:tab w:leader="none" w:pos="19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32" w:lineRule="exact"/>
        <w:rPr>
          <w:sz w:val="20"/>
          <w:szCs w:val="20"/>
          <w:color w:val="auto"/>
        </w:rPr>
      </w:pPr>
    </w:p>
    <w:p>
      <w:pPr>
        <w:sectPr>
          <w:pgSz w:w="11900" w:h="16838" w:orient="portrait"/>
          <w:cols w:equalWidth="0" w:num="2">
            <w:col w:w="6720" w:space="720"/>
            <w:col w:w="3780"/>
          </w:cols>
          <w:pgMar w:left="320" w:top="121" w:right="359" w:bottom="1440" w:gutter="0" w:footer="0" w:header="0"/>
          <w:type w:val="continuous"/>
        </w:sectPr>
      </w:pPr>
    </w:p>
    <w:tbl>
      <w:tblPr>
        <w:tblLayout w:type="fixed"/>
        <w:tblInd w:w="420" w:type="dxa"/>
        <w:tblCellMar>
          <w:top w:w="0" w:type="dxa"/>
          <w:left w:w="0" w:type="dxa"/>
          <w:bottom w:w="0" w:type="dxa"/>
          <w:right w:w="0" w:type="dxa"/>
        </w:tblCellMar>
      </w:tblPr>
      <w:tr>
        <w:trPr>
          <w:trHeight w:val="264"/>
        </w:trPr>
        <w:tc>
          <w:tcPr>
            <w:tcW w:w="500" w:type="dxa"/>
            <w:vAlign w:val="bottom"/>
          </w:tcPr>
          <w:p>
            <w:pPr>
              <w:spacing w:after="0"/>
              <w:rPr>
                <w:sz w:val="22"/>
                <w:szCs w:val="22"/>
                <w:color w:val="auto"/>
              </w:rPr>
            </w:pPr>
          </w:p>
        </w:tc>
        <w:tc>
          <w:tcPr>
            <w:tcW w:w="6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43"/>
        </w:trPr>
        <w:tc>
          <w:tcPr>
            <w:tcW w:w="500" w:type="dxa"/>
            <w:vAlign w:val="bottom"/>
          </w:tcPr>
          <w:p>
            <w:pPr>
              <w:spacing w:after="0"/>
              <w:rPr>
                <w:sz w:val="21"/>
                <w:szCs w:val="21"/>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r>
      <w:tr>
        <w:trPr>
          <w:trHeight w:val="513"/>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information related to the Company’s finance lease liabilities was as follows: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21"/>
        </w:trPr>
        <w:tc>
          <w:tcPr>
            <w:tcW w:w="5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8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50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16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58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00" w:type="dxa"/>
            <w:vAlign w:val="bottom"/>
          </w:tcPr>
          <w:p>
            <w:pPr>
              <w:spacing w:after="0"/>
              <w:rPr>
                <w:sz w:val="3"/>
                <w:szCs w:val="3"/>
                <w:color w:val="auto"/>
              </w:rPr>
            </w:pPr>
          </w:p>
        </w:tc>
        <w:tc>
          <w:tcPr>
            <w:tcW w:w="614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43"/>
        </w:trPr>
        <w:tc>
          <w:tcPr>
            <w:tcW w:w="500" w:type="dxa"/>
            <w:vAlign w:val="bottom"/>
          </w:tcPr>
          <w:p>
            <w:pPr>
              <w:spacing w:after="0"/>
              <w:rPr>
                <w:sz w:val="21"/>
                <w:szCs w:val="21"/>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43"/>
        </w:trPr>
        <w:tc>
          <w:tcPr>
            <w:tcW w:w="500" w:type="dxa"/>
            <w:vAlign w:val="bottom"/>
          </w:tcPr>
          <w:p>
            <w:pPr>
              <w:spacing w:after="0"/>
              <w:rPr>
                <w:sz w:val="21"/>
                <w:szCs w:val="21"/>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3.90 %</w:t>
            </w:r>
          </w:p>
        </w:tc>
      </w:tr>
    </w:tbl>
    <w:p>
      <w:pPr>
        <w:spacing w:after="0" w:line="279"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Lease costs for the Company’s operating leases were $1.4 million for each of the years ended December 31, 2025 and 2024, respectively. Lease costs for the Company’s finance lease were immaterial for the years ended December 31,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from the ordinary course of its business. Other than the patent infringement lawsuit disclosed in the subsequent event footnote below, management is currently not aware of any matters that would have a material adverse effect on the financial position, results of operations or cash flows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2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Common stockholders are entitled to dividends if and when declared by the board of directors. As of December 31, 2025, no dividends on common stock had been declared by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Reserved Shares of Common Stock</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had reserved shares of common stock for future issuance as follows:</w:t>
      </w:r>
    </w:p>
    <w:p>
      <w:pPr>
        <w:spacing w:after="0" w:line="273" w:lineRule="exact"/>
        <w:rPr>
          <w:sz w:val="20"/>
          <w:szCs w:val="20"/>
          <w:color w:val="auto"/>
        </w:rPr>
      </w:pPr>
    </w:p>
    <w:tbl>
      <w:tblPr>
        <w:tblLayout w:type="fixed"/>
        <w:tblInd w:w="880" w:type="dxa"/>
        <w:tblCellMar>
          <w:top w:w="0" w:type="dxa"/>
          <w:left w:w="0" w:type="dxa"/>
          <w:bottom w:w="0" w:type="dxa"/>
          <w:right w:w="0" w:type="dxa"/>
        </w:tblCellMar>
      </w:tblPr>
      <w:tr>
        <w:trPr>
          <w:trHeight w:val="175"/>
        </w:trPr>
        <w:tc>
          <w:tcPr>
            <w:tcW w:w="6440" w:type="dxa"/>
            <w:vAlign w:val="bottom"/>
          </w:tcPr>
          <w:p>
            <w:pPr>
              <w:spacing w:after="0"/>
              <w:rPr>
                <w:sz w:val="15"/>
                <w:szCs w:val="15"/>
                <w:color w:val="auto"/>
              </w:rPr>
            </w:pP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644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44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4"/>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1,365,002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1,521,857</w:t>
            </w:r>
          </w:p>
        </w:tc>
      </w:tr>
      <w:tr>
        <w:trPr>
          <w:trHeight w:val="24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future option grants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249,349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545,525</w:t>
            </w:r>
          </w:p>
        </w:tc>
      </w:tr>
      <w:tr>
        <w:trPr>
          <w:trHeight w:val="27"/>
        </w:trPr>
        <w:tc>
          <w:tcPr>
            <w:tcW w:w="6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subject to future vesting</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1,294,166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987,965</w:t>
            </w:r>
          </w:p>
        </w:tc>
      </w:tr>
      <w:tr>
        <w:trPr>
          <w:trHeight w:val="24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18,461</w:t>
            </w:r>
          </w:p>
        </w:tc>
      </w:tr>
      <w:tr>
        <w:trPr>
          <w:trHeight w:val="27"/>
        </w:trPr>
        <w:tc>
          <w:tcPr>
            <w:tcW w:w="64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6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2,908,517</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3,073,808</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In connection with the Company’s prior credit facility with Ares Venture Finance entered into in June 2015, the Company issued Ares Venture Finance a warrant to purchase 18,461 shares of the Company’s common stock at an exercise price of $26.00 per share. The warrant expired on June 5,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details of the Company's share-based compensation expense (in thousands):</w:t>
      </w:r>
    </w:p>
    <w:p>
      <w:pPr>
        <w:spacing w:after="0" w:line="273" w:lineRule="exact"/>
        <w:rPr>
          <w:sz w:val="20"/>
          <w:szCs w:val="20"/>
          <w:color w:val="auto"/>
        </w:rPr>
      </w:pPr>
    </w:p>
    <w:tbl>
      <w:tblPr>
        <w:tblLayout w:type="fixed"/>
        <w:tblInd w:w="72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256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r>
      <w:tr>
        <w:trPr>
          <w:trHeight w:val="37"/>
        </w:trPr>
        <w:tc>
          <w:tcPr>
            <w:tcW w:w="67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6"/>
        </w:trPr>
        <w:tc>
          <w:tcPr>
            <w:tcW w:w="67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r>
      <w:tr>
        <w:trPr>
          <w:trHeight w:val="37"/>
        </w:trPr>
        <w:tc>
          <w:tcPr>
            <w:tcW w:w="67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43"/>
        </w:trPr>
        <w:tc>
          <w:tcPr>
            <w:tcW w:w="6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w:t>
            </w:r>
          </w:p>
        </w:tc>
      </w:tr>
      <w:tr>
        <w:trPr>
          <w:trHeight w:val="243"/>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r>
      <w:tr>
        <w:trPr>
          <w:trHeight w:val="27"/>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43"/>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7"/>
        </w:trPr>
        <w:tc>
          <w:tcPr>
            <w:tcW w:w="67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88"/>
        </w:trPr>
        <w:tc>
          <w:tcPr>
            <w:tcW w:w="6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Employee Incentive Plan</w:t>
      </w:r>
    </w:p>
    <w:p>
      <w:pPr>
        <w:spacing w:after="0" w:line="22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The Company’s board of directors adopted the 2016 Equity Incentive Plan (the 2016 Plan) on April 25, 2016, which was subsequently approved on September 20, 2016 by the Company’s stockholders. The 2016 Plan became effective on October 7, 2016, the date the Company’s S-8 registration statement relating to the 2016 Plan was declared effective by the SEC.</w:t>
      </w:r>
    </w:p>
    <w:p>
      <w:pPr>
        <w:spacing w:after="0" w:line="176"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The 2016 Plan provides for the grant of incentive stock options, non-statutory stock options, stock appreciation rights, restricted stock awards, restricted stock unit awards, performance-based stock awards, and other forms of equity</w:t>
      </w:r>
    </w:p>
    <w:p>
      <w:pPr>
        <w:sectPr>
          <w:pgSz w:w="11900" w:h="16838" w:orient="portrait"/>
          <w:cols w:equalWidth="0" w:num="1">
            <w:col w:w="11100"/>
          </w:cols>
          <w:pgMar w:left="320" w:top="121" w:right="47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compensation to employees, directors, and consultants. In addition, the 2016 Plan provides for the grant of performance cash awards to employees, directors, and consultants.</w:t>
      </w:r>
    </w:p>
    <w:p>
      <w:pPr>
        <w:spacing w:after="0" w:line="162"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color w:val="auto"/>
        </w:rPr>
        <w:t>The maximum number of shares of common stock that may be issued under the 2016 Plan was initially 500,000 subject to an automatic increase on January 1 of each year, beginning on January 1, 2017, and continuing through and including January 1, 2026, by 3% of the total number of shares of capital stock outstanding on December 31 of the preceding calendar year, or a lesser number of shares determined by the Company’s board of directors. On</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May 20, 2021, the Company’s stockholders approved an amendment to the 2016 Plan to increase the total number of authorized shares of common stock available for grant thereunder by an additional 550,000 shares. At December 31, 2025, of the 2,899,603 shares of common stock reserved and available for grant under the 2016 Plan, 249,349 shares of common stock remain available for grant under the 2016 Plan. The Company authorized 661,790 shares during the year ended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2008 Employee Incentive Plan</w:t>
      </w:r>
    </w:p>
    <w:p>
      <w:pPr>
        <w:spacing w:after="0" w:line="229"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The 2008 Equity Incentive Plan (the 2008 Plan) provided for the issuance of incentive stock options (ISO), nonqualified stock options, and other stock compensation awards.</w:t>
      </w:r>
    </w:p>
    <w:p>
      <w:pPr>
        <w:spacing w:after="0" w:line="162"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Due to the adoption of the 2016 Plan, no further grants will be made under the 2008 Plan. However, any outstanding stock awards granted under the 2008 Plan will remain outstanding, subject to the terms of the Company’s 2008 Plan and the applicable stock award agreements, until such outstanding stock awards that are stock options are exercised or until they terminate or expire by their terms, or until such stock awards are fully settled, terminated, or forfeited. At December 31, 2025, 8,361 options under the 2008 Plan remained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Stock Option Activity</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all grants under the 2008 Plan and 2016 Plan: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0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136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5"/>
                <w:szCs w:val="15"/>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4"/>
                <w:szCs w:val="14"/>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4"/>
        </w:trPr>
        <w:tc>
          <w:tcPr>
            <w:tcW w:w="5500" w:type="dxa"/>
            <w:vAlign w:val="bottom"/>
          </w:tcPr>
          <w:p>
            <w:pPr>
              <w:spacing w:after="0"/>
              <w:rPr>
                <w:sz w:val="17"/>
                <w:szCs w:val="17"/>
                <w:color w:val="auto"/>
              </w:rPr>
            </w:pPr>
          </w:p>
        </w:tc>
        <w:tc>
          <w:tcPr>
            <w:tcW w:w="13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55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1,521,857</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43"/>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 exercised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(140,841)</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43"/>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1,365,002</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exercisable—December 31, 2025</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1,347,618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total grant date fair value of options vested was $0.7 million and $1.2 million during the years ended December 31, 2025 and 2024, respectively.</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 options were granted during the years ended December 31, 2025 and 2024.</w:t>
      </w:r>
    </w:p>
    <w:p>
      <w:pPr>
        <w:spacing w:after="0" w:line="225"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2025, there was $0.1 million of total unrecognized compensation expense related to unvested options which is expected to be recognized over a weighted-average period of 0.3 years. Stock-based compensation cost for options capitalized within inventory at December 31, 2025 and 2024 was not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Employee Stock Purchase Plan</w:t>
      </w:r>
    </w:p>
    <w:p>
      <w:pPr>
        <w:spacing w:after="0" w:line="229"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Company’s board of directors adopted the 2016 Employee Stock Purchase Plan (the ESPP) on April 25, 2016, which was subsequently approved on September 20, 2016 by the Company’s stockholders. The Company had 1,141,546 shares available for issuance under the ESPP as of December 31, 2025. Employees purchased 110,850 shares for $0.5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during the year ended December 31, 2025, and 69,166 shares for $0.4 million during the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In September 2017, the Company’s board of directors authorized the issuance of restricted stock units (RSUs), under the 2016 Plan and adopted a form of Restricted Stock Unit Award Agreement, which is intended to serve as a standard form agreement for RSU grants issued to employees, executive officers, directors, and consultants. The fair value of the RSUs is recognized as expense ratably over the vesting period, as determined by the board of directors on the date of grant.</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RSU activity for the year ended December 31, 2025:</w:t>
      </w:r>
    </w:p>
    <w:p>
      <w:pPr>
        <w:spacing w:after="0" w:line="273"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060" w:type="dxa"/>
            <w:vAlign w:val="bottom"/>
            <w:gridSpan w:val="4"/>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RSUs Outstanding</w:t>
            </w:r>
          </w:p>
        </w:tc>
      </w:tr>
      <w:tr>
        <w:trPr>
          <w:trHeight w:val="37"/>
        </w:trPr>
        <w:tc>
          <w:tcPr>
            <w:tcW w:w="636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71"/>
        </w:trPr>
        <w:tc>
          <w:tcPr>
            <w:tcW w:w="6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76"/>
        </w:trPr>
        <w:tc>
          <w:tcPr>
            <w:tcW w:w="6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5"/>
        </w:trPr>
        <w:tc>
          <w:tcPr>
            <w:tcW w:w="636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6"/>
        </w:trPr>
        <w:tc>
          <w:tcPr>
            <w:tcW w:w="636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Fair Value Per</w:t>
            </w:r>
          </w:p>
        </w:tc>
      </w:tr>
      <w:tr>
        <w:trPr>
          <w:trHeight w:val="190"/>
        </w:trPr>
        <w:tc>
          <w:tcPr>
            <w:tcW w:w="636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Share</w:t>
            </w:r>
          </w:p>
        </w:tc>
      </w:tr>
      <w:tr>
        <w:trPr>
          <w:trHeight w:val="23"/>
        </w:trPr>
        <w:tc>
          <w:tcPr>
            <w:tcW w:w="63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987,965</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43"/>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1,000,090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7"/>
        </w:trPr>
        <w:tc>
          <w:tcPr>
            <w:tcW w:w="6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(666,409)</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43"/>
        </w:trPr>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7"/>
        </w:trPr>
        <w:tc>
          <w:tcPr>
            <w:tcW w:w="63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88"/>
        </w:trPr>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1,294,166</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fair value of RSUs is determined on the date of grant based on the market price of the Company’s common stock on that date.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there was $7.0 million of unrecognized stock-based compensation expense related to RSUs to be recognized over a weighted-average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of 2.6 years. Compensation cost capitalized within inventory was immaterial as of December 31, 2025 and 2024.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401(k) Plan</w:t>
      </w:r>
    </w:p>
    <w:p>
      <w:pPr>
        <w:spacing w:after="0" w:line="229"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Company has a defined contribution employee benefit plan pursuant to Section 401(k) of the Internal Revenue Code. The plan allows eligible employees to defer a portion of their annual compensation up to certain statutory limits. At the election of the Board of Directors, the Company may elect to match employee contributions but has not done so to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Significant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GLOBALFOUNDRIES, Inc. Joint Development Agreement</w:t>
      </w:r>
    </w:p>
    <w:p>
      <w:pPr>
        <w:spacing w:after="0" w:line="229"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Since October 17, 2014, the Company has participated in a joint development agreement (JDA) with GLOBALFOUNDRIES Inc. (GF), a semiconductor foundry, for the joint development of STT-MRAM technology to produce a family of discrete and embedded MRAM technologies. The term of the agreement is until the completion, termination, or expiration of the last statement of work entered into pursuant to the joint development agreement. The agreement was extended on December 31, 2019 to include a new phase of support for 12nm MRAM development.</w:t>
      </w:r>
    </w:p>
    <w:p>
      <w:pPr>
        <w:spacing w:after="0" w:line="180"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Under the current JDA extension terms,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87" w:lineRule="exact"/>
        <w:rPr>
          <w:sz w:val="20"/>
          <w:szCs w:val="20"/>
          <w:color w:val="auto"/>
        </w:rPr>
      </w:pPr>
    </w:p>
    <w:p>
      <w:pPr>
        <w:ind w:right="740" w:firstLine="405"/>
        <w:spacing w:after="0" w:line="282" w:lineRule="auto"/>
        <w:rPr>
          <w:sz w:val="20"/>
          <w:szCs w:val="20"/>
          <w:color w:val="auto"/>
        </w:rPr>
      </w:pPr>
      <w:r>
        <w:rPr>
          <w:rFonts w:ascii="Times New Roman" w:cs="Times New Roman" w:eastAsia="Times New Roman" w:hAnsi="Times New Roman"/>
          <w:sz w:val="18"/>
          <w:szCs w:val="18"/>
          <w:color w:val="auto"/>
        </w:rPr>
        <w:t>If GF manufactures, sells, or transfers to customers wafers containing production quantified STT-MRAM devices that utilize certain design information, GF will be required to pay the Company a royalty.</w:t>
      </w: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Geographic Information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Property and equipment, net by country was as follows (in thousands):</w:t>
      </w:r>
    </w:p>
    <w:p>
      <w:pPr>
        <w:spacing w:after="0" w:line="273"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254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r>
      <w:tr>
        <w:trPr>
          <w:trHeight w:val="37"/>
        </w:trPr>
        <w:tc>
          <w:tcPr>
            <w:tcW w:w="63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6"/>
        </w:trPr>
        <w:tc>
          <w:tcPr>
            <w:tcW w:w="6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r>
      <w:tr>
        <w:trPr>
          <w:trHeight w:val="37"/>
        </w:trPr>
        <w:tc>
          <w:tcPr>
            <w:tcW w:w="63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44"/>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7"/>
        </w:trPr>
        <w:tc>
          <w:tcPr>
            <w:tcW w:w="6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7"/>
        </w:trPr>
        <w:tc>
          <w:tcPr>
            <w:tcW w:w="6340" w:type="dxa"/>
            <w:vAlign w:val="bottom"/>
          </w:tcPr>
          <w:p>
            <w:pPr>
              <w:spacing w:after="0"/>
              <w:rPr>
                <w:sz w:val="20"/>
                <w:szCs w:val="20"/>
                <w:color w:val="auto"/>
              </w:rPr>
            </w:pPr>
          </w:p>
        </w:tc>
        <w:tc>
          <w:tcPr>
            <w:tcW w:w="900" w:type="dxa"/>
            <w:vAlign w:val="bottom"/>
            <w:tcBorders>
              <w:top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14,140</w:t>
            </w:r>
          </w:p>
        </w:tc>
        <w:tc>
          <w:tcPr>
            <w:tcW w:w="100" w:type="dxa"/>
            <w:vAlign w:val="bottom"/>
          </w:tcPr>
          <w:p>
            <w:pPr>
              <w:spacing w:after="0"/>
              <w:rPr>
                <w:sz w:val="20"/>
                <w:szCs w:val="20"/>
                <w:color w:val="auto"/>
              </w:rPr>
            </w:pPr>
          </w:p>
        </w:tc>
        <w:tc>
          <w:tcPr>
            <w:tcW w:w="940" w:type="dxa"/>
            <w:vAlign w:val="bottom"/>
            <w:tcBorders>
              <w:top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w:t>
            </w:r>
          </w:p>
        </w:tc>
      </w:tr>
      <w:tr>
        <w:trPr>
          <w:trHeight w:val="27"/>
        </w:trPr>
        <w:tc>
          <w:tcPr>
            <w:tcW w:w="6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
        </w:trPr>
        <w:tc>
          <w:tcPr>
            <w:tcW w:w="6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Revenue from customers is designated based on the geographic region or country to which the product is delivered or the licensee is located. Revenue by country was as follows (in thousands):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250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r>
      <w:tr>
        <w:trPr>
          <w:trHeight w:val="37"/>
        </w:trPr>
        <w:tc>
          <w:tcPr>
            <w:tcW w:w="63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86"/>
        </w:trPr>
        <w:tc>
          <w:tcPr>
            <w:tcW w:w="6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r>
      <w:tr>
        <w:trPr>
          <w:trHeight w:val="37"/>
        </w:trPr>
        <w:tc>
          <w:tcPr>
            <w:tcW w:w="63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43"/>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9,968</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5,974</w:t>
            </w:r>
          </w:p>
        </w:tc>
      </w:tr>
      <w:tr>
        <w:trPr>
          <w:trHeight w:val="27"/>
        </w:trPr>
        <w:tc>
          <w:tcPr>
            <w:tcW w:w="6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16,220</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w:t>
            </w:r>
          </w:p>
        </w:tc>
      </w:tr>
      <w:tr>
        <w:trPr>
          <w:trHeight w:val="27"/>
        </w:trPr>
        <w:tc>
          <w:tcPr>
            <w:tcW w:w="6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7"/>
        </w:trPr>
        <w:tc>
          <w:tcPr>
            <w:tcW w:w="6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w:t>
            </w:r>
          </w:p>
        </w:tc>
      </w:tr>
      <w:tr>
        <w:trPr>
          <w:trHeight w:val="263"/>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55,202</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50,402</w:t>
            </w:r>
          </w:p>
        </w:tc>
      </w:tr>
      <w:tr>
        <w:trPr>
          <w:trHeight w:val="20"/>
        </w:trPr>
        <w:tc>
          <w:tcPr>
            <w:tcW w:w="6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years ended December 31, 2025 and 2024, the Company’s provision for income tax consisted of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580" w:type="dxa"/>
            <w:vAlign w:val="bottom"/>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2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40" w:type="dxa"/>
            <w:vAlign w:val="bottom"/>
          </w:tcPr>
          <w:p>
            <w:pPr>
              <w:spacing w:after="0"/>
              <w:rPr>
                <w:sz w:val="3"/>
                <w:szCs w:val="3"/>
                <w:color w:val="auto"/>
              </w:rPr>
            </w:pPr>
          </w:p>
        </w:tc>
        <w:tc>
          <w:tcPr>
            <w:tcW w:w="3140" w:type="dxa"/>
            <w:vAlign w:val="bottom"/>
            <w:tcBorders>
              <w:bottom w:val="single" w:sz="8" w:color="CCEEFF"/>
            </w:tcBorders>
          </w:tcPr>
          <w:p>
            <w:pPr>
              <w:spacing w:after="0"/>
              <w:rPr>
                <w:sz w:val="3"/>
                <w:szCs w:val="3"/>
                <w:color w:val="auto"/>
              </w:rPr>
            </w:pPr>
          </w:p>
        </w:tc>
        <w:tc>
          <w:tcPr>
            <w:tcW w:w="32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3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424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1"/>
                <w:szCs w:val="21"/>
                <w:color w:val="auto"/>
              </w:rPr>
            </w:pPr>
          </w:p>
        </w:tc>
        <w:tc>
          <w:tcPr>
            <w:tcW w:w="100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3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24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w:t>
            </w:r>
          </w:p>
        </w:tc>
        <w:tc>
          <w:tcPr>
            <w:tcW w:w="424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24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40" w:type="dxa"/>
            <w:vAlign w:val="bottom"/>
          </w:tcPr>
          <w:p>
            <w:pPr>
              <w:spacing w:after="0"/>
              <w:rPr>
                <w:sz w:val="21"/>
                <w:szCs w:val="21"/>
                <w:color w:val="auto"/>
              </w:rPr>
            </w:pPr>
          </w:p>
        </w:tc>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3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424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spacing w:after="0"/>
              <w:rPr>
                <w:sz w:val="21"/>
                <w:szCs w:val="21"/>
                <w:color w:val="auto"/>
              </w:rPr>
            </w:pPr>
          </w:p>
        </w:tc>
        <w:tc>
          <w:tcPr>
            <w:tcW w:w="3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1"/>
                <w:szCs w:val="21"/>
                <w:color w:val="auto"/>
              </w:rPr>
            </w:pPr>
          </w:p>
        </w:tc>
        <w:tc>
          <w:tcPr>
            <w:tcW w:w="10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24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w:t>
            </w:r>
          </w:p>
        </w:tc>
        <w:tc>
          <w:tcPr>
            <w:tcW w:w="424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240" w:type="dxa"/>
            <w:vAlign w:val="bottom"/>
          </w:tcPr>
          <w:p>
            <w:pPr>
              <w:spacing w:after="0"/>
              <w:rPr>
                <w:sz w:val="21"/>
                <w:szCs w:val="21"/>
                <w:color w:val="auto"/>
              </w:rPr>
            </w:pPr>
          </w:p>
        </w:tc>
        <w:tc>
          <w:tcPr>
            <w:tcW w:w="3140" w:type="dxa"/>
            <w:vAlign w:val="bottom"/>
            <w:tcBorders>
              <w:bottom w:val="single" w:sz="8" w:color="CCEEFF"/>
            </w:tcBorders>
          </w:tcPr>
          <w:p>
            <w:pPr>
              <w:spacing w:after="0"/>
              <w:rPr>
                <w:sz w:val="21"/>
                <w:szCs w:val="21"/>
                <w:color w:val="auto"/>
              </w:rPr>
            </w:pPr>
          </w:p>
        </w:tc>
        <w:tc>
          <w:tcPr>
            <w:tcW w:w="322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240" w:type="dxa"/>
            <w:vAlign w:val="bottom"/>
          </w:tcPr>
          <w:p>
            <w:pPr>
              <w:spacing w:after="0"/>
              <w:rPr>
                <w:sz w:val="24"/>
                <w:szCs w:val="24"/>
                <w:color w:val="auto"/>
              </w:rPr>
            </w:pPr>
          </w:p>
        </w:tc>
        <w:tc>
          <w:tcPr>
            <w:tcW w:w="3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40" w:type="dxa"/>
            <w:vAlign w:val="bottom"/>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bottom w:val="single" w:sz="8" w:color="CCEEFF"/>
            </w:tcBorders>
            <w:vMerge w:val="restart"/>
          </w:tcPr>
          <w:p>
            <w:pPr>
              <w:jc w:val="right"/>
              <w:ind w:right="1793"/>
              <w:spacing w:after="0"/>
              <w:rPr>
                <w:sz w:val="20"/>
                <w:szCs w:val="20"/>
                <w:color w:val="auto"/>
              </w:rPr>
            </w:pPr>
            <w:r>
              <w:rPr>
                <w:rFonts w:ascii="Times New Roman" w:cs="Times New Roman" w:eastAsia="Times New Roman" w:hAnsi="Times New Roman"/>
                <w:sz w:val="18"/>
                <w:szCs w:val="18"/>
                <w:color w:val="auto"/>
              </w:rPr>
              <w:t>59</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1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24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income tax payments in 2025 were as follows:</w:t>
      </w:r>
    </w:p>
    <w:p>
      <w:pPr>
        <w:spacing w:after="0" w:line="273" w:lineRule="exact"/>
        <w:rPr>
          <w:sz w:val="20"/>
          <w:szCs w:val="20"/>
          <w:color w:val="auto"/>
        </w:rPr>
      </w:pPr>
    </w:p>
    <w:tbl>
      <w:tblPr>
        <w:tblLayout w:type="fixed"/>
        <w:tblInd w:w="700" w:type="dxa"/>
        <w:tblCellMar>
          <w:top w:w="0" w:type="dxa"/>
          <w:left w:w="0" w:type="dxa"/>
          <w:bottom w:w="0" w:type="dxa"/>
          <w:right w:w="0" w:type="dxa"/>
        </w:tblCellMar>
      </w:tblPr>
      <w:tr>
        <w:trPr>
          <w:trHeight w:val="176"/>
        </w:trPr>
        <w:tc>
          <w:tcPr>
            <w:tcW w:w="636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31,</w:t>
            </w:r>
          </w:p>
        </w:tc>
      </w:tr>
      <w:tr>
        <w:trPr>
          <w:trHeight w:val="37"/>
        </w:trPr>
        <w:tc>
          <w:tcPr>
            <w:tcW w:w="63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3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3"/>
        </w:trPr>
        <w:tc>
          <w:tcPr>
            <w:tcW w:w="6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income tax payments</w:t>
            </w: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reconciliation of the statutory federal income tax rate to the Company’s effective tax rate is as follows:</w:t>
      </w:r>
    </w:p>
    <w:p>
      <w:pPr>
        <w:spacing w:after="0" w:line="273"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41910</wp:posOffset>
            </wp:positionV>
            <wp:extent cx="20231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62"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98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64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r>
      <w:tr>
        <w:trPr>
          <w:trHeight w:val="243"/>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taxes, net of federal income tax effect (a)</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 - Research and development credits</w:t>
            </w:r>
          </w:p>
        </w:tc>
        <w:tc>
          <w:tcPr>
            <w:tcW w:w="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IRC Section 162(m) limitation</w:t>
            </w: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6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22"/>
                <w:szCs w:val="22"/>
                <w:color w:val="auto"/>
              </w:rPr>
            </w:pPr>
          </w:p>
        </w:tc>
      </w:tr>
      <w:tr>
        <w:trPr>
          <w:trHeight w:val="20"/>
        </w:trPr>
        <w:tc>
          <w:tcPr>
            <w:tcW w:w="6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State taxes in Indiana and Minnesota made up the majority (greater than 50%) of the tax effect in this category.</w:t>
      </w:r>
    </w:p>
    <w:p>
      <w:pPr>
        <w:spacing w:after="0" w:line="273"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1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6400" w:type="dxa"/>
            <w:vAlign w:val="bottom"/>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186"/>
        </w:trPr>
        <w:tc>
          <w:tcPr>
            <w:tcW w:w="6400" w:type="dxa"/>
            <w:vAlign w:val="bottom"/>
          </w:tcPr>
          <w:p>
            <w:pPr>
              <w:spacing w:after="0"/>
              <w:rPr>
                <w:sz w:val="16"/>
                <w:szCs w:val="16"/>
                <w:color w:val="auto"/>
              </w:rPr>
            </w:pPr>
          </w:p>
        </w:tc>
        <w:tc>
          <w:tcPr>
            <w:tcW w:w="170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37"/>
        </w:trPr>
        <w:tc>
          <w:tcPr>
            <w:tcW w:w="64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r>
      <w:tr>
        <w:trPr>
          <w:trHeight w:val="244"/>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at statutory federal rate</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7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7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IRC section 162(m) limitation</w:t>
            </w:r>
          </w:p>
        </w:tc>
        <w:tc>
          <w:tcPr>
            <w:tcW w:w="17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 tax credits</w:t>
            </w:r>
          </w:p>
        </w:tc>
        <w:tc>
          <w:tcPr>
            <w:tcW w:w="17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(564.7)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7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486.1</w:t>
            </w:r>
          </w:p>
        </w:tc>
        <w:tc>
          <w:tcPr>
            <w:tcW w:w="1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63"/>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2"/>
                <w:szCs w:val="22"/>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320" w:top="121" w:right="11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40" w:firstLine="405"/>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and carryforwards that give rise to significant portions of the deferred tax assets are as follows (in thousands):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6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3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20,564</w:t>
            </w:r>
          </w:p>
        </w:tc>
      </w:tr>
      <w:tr>
        <w:trPr>
          <w:trHeight w:val="27"/>
        </w:trPr>
        <w:tc>
          <w:tcPr>
            <w:tcW w:w="6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43"/>
        </w:trPr>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Accruals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7"/>
        </w:trPr>
        <w:tc>
          <w:tcPr>
            <w:tcW w:w="6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experimental credits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r>
      <w:tr>
        <w:trPr>
          <w:trHeight w:val="27"/>
        </w:trPr>
        <w:tc>
          <w:tcPr>
            <w:tcW w:w="6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experimental expenditures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w:t>
            </w:r>
          </w:p>
        </w:tc>
      </w:tr>
      <w:tr>
        <w:trPr>
          <w:trHeight w:val="243"/>
        </w:trPr>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7"/>
        </w:trPr>
        <w:tc>
          <w:tcPr>
            <w:tcW w:w="6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Right of use liability</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37"/>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33,281</w:t>
            </w:r>
          </w:p>
        </w:tc>
      </w:tr>
      <w:tr>
        <w:trPr>
          <w:trHeight w:val="27"/>
        </w:trPr>
        <w:tc>
          <w:tcPr>
            <w:tcW w:w="6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(31,343)</w:t>
            </w:r>
          </w:p>
        </w:tc>
      </w:tr>
      <w:tr>
        <w:trPr>
          <w:trHeight w:val="237"/>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r>
      <w:tr>
        <w:trPr>
          <w:trHeight w:val="27"/>
        </w:trPr>
        <w:tc>
          <w:tcPr>
            <w:tcW w:w="6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 of use asset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r>
      <w:tr>
        <w:trPr>
          <w:trHeight w:val="27"/>
        </w:trPr>
        <w:tc>
          <w:tcPr>
            <w:tcW w:w="6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37"/>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7"/>
        </w:trPr>
        <w:tc>
          <w:tcPr>
            <w:tcW w:w="6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63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Company is required to reduce its deferred tax assets by a valuation allowance if it is more likely than not that some or all of its deferred tax assets will not be realized. Management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the valuation allowance, if any, the Company assesses the likelihood that it will be able to recover its deferred tax assets using historical levels of income, estimates of future income and tax planning strategies. As a result of projected taxable income, the Company determined that, based on all available evidence, there was substantial certainty as to whether it will recover recorded net deferred taxes for certain state jurisdictions in future periods. However, as it pertains to the federal, Arizona, and Colorado net deferred tax assets, based on all the available evidence, there is substantial uncertainty as to whether it will recover recorded net deferred taxes in future periods. Accordingly, the Company recorded a partial valuation allowance against its net deferred tax assets as of December 31, 2025 and 2024, respectively. The net valuation allowance decreased by less than $0.1 million in 2025, as reflected below (in thousands).</w:t>
      </w:r>
    </w:p>
    <w:p>
      <w:pPr>
        <w:spacing w:after="0" w:line="242" w:lineRule="exact"/>
        <w:rPr>
          <w:sz w:val="20"/>
          <w:szCs w:val="20"/>
          <w:color w:val="auto"/>
        </w:rPr>
      </w:pPr>
    </w:p>
    <w:tbl>
      <w:tblPr>
        <w:tblLayout w:type="fixed"/>
        <w:tblInd w:w="122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3080" w:type="dxa"/>
            <w:vAlign w:val="bottom"/>
            <w:gridSpan w:val="3"/>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642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86"/>
        </w:trPr>
        <w:tc>
          <w:tcPr>
            <w:tcW w:w="6420" w:type="dxa"/>
            <w:vAlign w:val="bottom"/>
          </w:tcPr>
          <w:p>
            <w:pPr>
              <w:spacing w:after="0"/>
              <w:rPr>
                <w:sz w:val="16"/>
                <w:szCs w:val="16"/>
                <w:color w:val="auto"/>
              </w:rPr>
            </w:pPr>
          </w:p>
        </w:tc>
        <w:tc>
          <w:tcPr>
            <w:tcW w:w="15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5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42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44"/>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at beginning of year</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(31,343)</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(27,748)</w:t>
            </w:r>
          </w:p>
        </w:tc>
      </w:tr>
      <w:tr>
        <w:trPr>
          <w:trHeight w:val="24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Year Change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w:t>
            </w:r>
          </w:p>
        </w:tc>
      </w:tr>
      <w:tr>
        <w:trPr>
          <w:trHeight w:val="27"/>
        </w:trPr>
        <w:tc>
          <w:tcPr>
            <w:tcW w:w="6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at end of year</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(31,337)</w:t>
            </w: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(31,343)</w:t>
            </w:r>
          </w:p>
        </w:tc>
      </w:tr>
      <w:tr>
        <w:trPr>
          <w:trHeight w:val="27"/>
        </w:trPr>
        <w:tc>
          <w:tcPr>
            <w:tcW w:w="64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has federal net operating loss carryforwards of approximately $95.2 million, of which $53.2 million will expire in 2030 through 2037 if not utilized, and $42.0 million that will carryover indefinitely. In addition, the Company has state net operating loss carryforwards of approximately $48.4 million, of which $45.4 million will expire in 2030 through 2045 if not utilized, and $3.0 million that will carryover indefinitely.</w:t>
      </w:r>
    </w:p>
    <w:p>
      <w:pPr>
        <w:spacing w:after="0" w:line="180"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Tax Reform Act of 1986 (the Act) provides for a limitation on the annual use of net operating loss carryforwards following certain ownership changes (as defined by the Act and codified under IRC Section 382) that could limit the Company’s ability to utilize these carryforwards. Further, a portion of the carryforwards may expire before utilized to reduce future income tax liabilities as a result of the annual limitation. The Company experienced an ownership change in</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October 2016 and as a result, $43.8 million ($9.2 million tax effected) of the federal NOLs are expected to expire unutilized due to limitation under IRC Section 382. Consistent with prior years, the NOLs expected to expire unutilized are included in the NOL carryforward amounts disclosed, subject to a valuation allowance.</w:t>
      </w:r>
    </w:p>
    <w:p>
      <w:pPr>
        <w:spacing w:after="0" w:line="176"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federal and various state jurisdictions. The Company is generally subject to U.S. federal and state income tax examination for all tax years beginning in 2008, due to the net operating losses that are carried forward.</w:t>
      </w:r>
    </w:p>
    <w:p>
      <w:pPr>
        <w:spacing w:after="0" w:line="162"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A summary of changes in the Company’s gross unrecognized tax benefits for the years ended December 31, 2025 and 2024 was as follows (in thousands):</w:t>
      </w:r>
    </w:p>
    <w:p>
      <w:pPr>
        <w:spacing w:after="0" w:line="209" w:lineRule="exact"/>
        <w:rPr>
          <w:sz w:val="20"/>
          <w:szCs w:val="20"/>
          <w:color w:val="auto"/>
        </w:rPr>
      </w:pPr>
    </w:p>
    <w:tbl>
      <w:tblPr>
        <w:tblLayout w:type="fixed"/>
        <w:tblInd w:w="124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256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Pr>
          <w:p>
            <w:pPr>
              <w:spacing w:after="0"/>
              <w:rPr>
                <w:sz w:val="16"/>
                <w:szCs w:val="16"/>
                <w:color w:val="auto"/>
              </w:rPr>
            </w:pPr>
          </w:p>
        </w:tc>
      </w:tr>
      <w:tr>
        <w:trPr>
          <w:trHeight w:val="37"/>
        </w:trPr>
        <w:tc>
          <w:tcPr>
            <w:tcW w:w="63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86"/>
        </w:trPr>
        <w:tc>
          <w:tcPr>
            <w:tcW w:w="6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r>
      <w:tr>
        <w:trPr>
          <w:trHeight w:val="37"/>
        </w:trPr>
        <w:tc>
          <w:tcPr>
            <w:tcW w:w="63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243"/>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Unrecognized tax expense, beginning of the year</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43"/>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related to prior year tax positions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related to prior year tax positions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43"/>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7"/>
        </w:trPr>
        <w:tc>
          <w:tcPr>
            <w:tcW w:w="6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3"/>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Unrecognized tax expense, end of year</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0"/>
        </w:trPr>
        <w:tc>
          <w:tcPr>
            <w:tcW w:w="6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bl>
    <w:p>
      <w:pPr>
        <w:spacing w:after="0" w:line="252"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Included in the balance of unrecognized tax benefits as of December 31, 2025, are $0.1 million of tax benefit that, if recognized, would affect the effective tax rate. Included in the balance of uncertain tax benefits as of December 31, 2025 is $1.3 million of tax benefits that, if recognized, would result in adjustments to deferred taxes.</w:t>
      </w:r>
    </w:p>
    <w:p>
      <w:pPr>
        <w:spacing w:after="0" w:line="176"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accrued on any unrecognized tax benefit as a component of income tax expense. The Company has accrued penalties and interest of $0.2 million, as of both December 31, 2025 and 2024.</w:t>
      </w:r>
    </w:p>
    <w:p>
      <w:pPr>
        <w:spacing w:after="0" w:line="16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On July 4, 2025, the President signed into law the OBBBA. The OBBBA maintains the 21 percent corporate tax rate and makes permanent many of the beneficial expired and expiring tax provisions originally enacted in the Tax Cuts and Jobs Act of 2017, including the immediate expensing of domestic research and development expenditures, more favorable interest deductibility and 100 percent bonus depreciation with effective dates in 2025. Revisions to the international tax framework are effective in 2026. In the fourth quarter of 2025, the Company elected to immediately expense new domestic research and development expenditures, but continue amortizing the existing capitalized and unamortized expenditures as of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Income Per Common Share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income per share (in thousands, except share and per share amounts):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Basic EPS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6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3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70"/>
        </w:trPr>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70"/>
        </w:trPr>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22,568,253</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21,642,793</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9"/>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 per common share, 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Diluted EPS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37"/>
        </w:trPr>
        <w:tc>
          <w:tcPr>
            <w:tcW w:w="6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63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income attributable to common stockholders, 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22,568,253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21,642,793</w:t>
            </w:r>
          </w:p>
        </w:tc>
        <w:tc>
          <w:tcPr>
            <w:tcW w:w="0" w:type="dxa"/>
            <w:vAlign w:val="bottom"/>
          </w:tcPr>
          <w:p>
            <w:pPr>
              <w:spacing w:after="0"/>
              <w:rPr>
                <w:sz w:val="1"/>
                <w:szCs w:val="1"/>
                <w:color w:val="auto"/>
              </w:rPr>
            </w:pPr>
          </w:p>
        </w:tc>
      </w:tr>
      <w:tr>
        <w:trPr>
          <w:trHeight w:val="243"/>
        </w:trPr>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Dilutive effect of stock options and RSUs</w:t>
            </w:r>
          </w:p>
        </w:tc>
        <w:tc>
          <w:tcPr>
            <w:tcW w:w="34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513,627</w:t>
            </w:r>
          </w:p>
        </w:tc>
        <w:tc>
          <w:tcPr>
            <w:tcW w:w="0" w:type="dxa"/>
            <w:vAlign w:val="bottom"/>
          </w:tcPr>
          <w:p>
            <w:pPr>
              <w:spacing w:after="0"/>
              <w:rPr>
                <w:sz w:val="1"/>
                <w:szCs w:val="1"/>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Weighted-average shares of common stock outstanding, diluted</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22,568,253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22,156,420</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 per common share, diluted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have been excluded from the computation of diluted net (loss) income per common share for the periods presented as their inclusion would be anti-dilutive:</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3020" w:type="dxa"/>
            <w:vAlign w:val="bottom"/>
            <w:gridSpan w:val="3"/>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9"/>
        </w:trPr>
        <w:tc>
          <w:tcPr>
            <w:tcW w:w="6400" w:type="dxa"/>
            <w:vAlign w:val="bottom"/>
          </w:tcPr>
          <w:p>
            <w:pPr>
              <w:spacing w:after="0"/>
              <w:rPr>
                <w:sz w:val="19"/>
                <w:szCs w:val="19"/>
                <w:color w:val="auto"/>
              </w:rPr>
            </w:pPr>
          </w:p>
        </w:tc>
        <w:tc>
          <w:tcPr>
            <w:tcW w:w="14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14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4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37"/>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787,937</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741,141</w:t>
            </w:r>
          </w:p>
        </w:tc>
      </w:tr>
      <w:tr>
        <w:trPr>
          <w:trHeight w:val="27"/>
        </w:trPr>
        <w:tc>
          <w:tcPr>
            <w:tcW w:w="6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645,747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21,624</w:t>
            </w:r>
          </w:p>
        </w:tc>
      </w:tr>
      <w:tr>
        <w:trPr>
          <w:trHeight w:val="270"/>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ESPP</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6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1,435,687</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762,765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Patent Infringement Lawsuit</w:t>
      </w:r>
    </w:p>
    <w:p>
      <w:pPr>
        <w:spacing w:after="0" w:line="229" w:lineRule="exact"/>
        <w:rPr>
          <w:sz w:val="20"/>
          <w:szCs w:val="20"/>
          <w:color w:val="auto"/>
        </w:rPr>
      </w:pPr>
    </w:p>
    <w:p>
      <w:pPr>
        <w:jc w:val="both"/>
        <w:ind w:right="100" w:firstLine="405"/>
        <w:spacing w:after="0" w:line="261" w:lineRule="auto"/>
        <w:rPr>
          <w:sz w:val="20"/>
          <w:szCs w:val="20"/>
          <w:color w:val="auto"/>
        </w:rPr>
      </w:pPr>
      <w:r>
        <w:rPr>
          <w:rFonts w:ascii="Times New Roman" w:cs="Times New Roman" w:eastAsia="Times New Roman" w:hAnsi="Times New Roman"/>
          <w:sz w:val="18"/>
          <w:szCs w:val="18"/>
          <w:color w:val="auto"/>
        </w:rPr>
        <w:t>On January 28, 2026, Avalanche Technology, Inc. filed a patent infringement lawsuit in the United States District Court for the District of Delaware against the Company. The lawsuit requests customary remedies for patent infringement and the ITC Complaint requests that the U.S. International Trade Commission Investigation commence an investigation pursuant to Section 337 of the Tariff Act of 1930, as amended. The Company denies all allegations and intends to vigorously defend against these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management team, including our Chief Executive Officer (CEO) and Chief Financial Officer (CFO) evaluated the effectiveness of the design and operation of our disclosure controls and procedures (as defined in Rules 13a-15(e) and 15d-15(e) under the Exchange Act) as of December 31, 2025.</w:t>
      </w:r>
    </w:p>
    <w:p>
      <w:pPr>
        <w:spacing w:after="0" w:line="17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Based on this evaluation, our CEO and CFO concluded that our disclosure controls and procedures were effective at the reasonable assurance level as of December 31, 2025.</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227"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This Annual Report on Form 10-K includes a report of management’s assessment regarding internal control over financial reporting (as defined in Rules 13a-15(f) and 15d-15(f) under the Exchange Act). This Annual Report on Form 10-K does not include an attestation report of our independent registered public accounting firm because, as a “smaller reporting company”, and non-accelerated filer, our independent registered public accounting firm is not required to issue such an attestation report.</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report is provided by management in respect of our internal control over financial reporting:</w:t>
      </w:r>
    </w:p>
    <w:p>
      <w:pPr>
        <w:spacing w:after="0" w:line="225"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Our management used the Committee of Sponsoring Organizations of the Treadway Commission’s Internal Control - Integrated Framework (2013), or the COSO framework, to evaluate the effectiveness of internal control over financial reporting. Management believes that the COSO framework is a suitable framework for its evaluation of financial reporting because it is free from bias, permits reasonably consistent qualitative and quantitative measurements of our internal control over financial reporting, is sufficiently complete so that those relevant factors that would alter a conclusion about the effectiveness of our internal control over financial reporting are not omitted and is relevant to an evaluation of internal control over financial reporting. Management has assessed the effectiveness of our internal control over financial reporting as of December 31, 2025, and has concluded that such internal control over financial reporting was effective.</w:t>
      </w:r>
    </w:p>
    <w:p>
      <w:pPr>
        <w:spacing w:after="0" w:line="1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year ended December 31, 2025, that materially affected, or are reasonably likely to materially affect, our internal control over financial reporting.</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Inherent limitation on the effectiveness of internal control.</w:t>
      </w:r>
    </w:p>
    <w:p>
      <w:pPr>
        <w:spacing w:after="0" w:line="227"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Trading Arrangements of Directors and Executive Officers.</w:t>
      </w:r>
    </w:p>
    <w:p>
      <w:pPr>
        <w:spacing w:after="0" w:line="214" w:lineRule="exact"/>
        <w:rPr>
          <w:sz w:val="20"/>
          <w:szCs w:val="20"/>
          <w:color w:val="auto"/>
        </w:rPr>
      </w:pPr>
    </w:p>
    <w:p>
      <w:pPr>
        <w:ind w:right="560" w:firstLine="486"/>
        <w:spacing w:after="0" w:line="250" w:lineRule="auto"/>
        <w:rPr>
          <w:sz w:val="20"/>
          <w:szCs w:val="20"/>
          <w:color w:val="auto"/>
        </w:rPr>
      </w:pPr>
      <w:r>
        <w:rPr>
          <w:rFonts w:ascii="Times New Roman" w:cs="Times New Roman" w:eastAsia="Times New Roman" w:hAnsi="Times New Roman"/>
          <w:sz w:val="18"/>
          <w:szCs w:val="18"/>
          <w:color w:val="auto"/>
        </w:rPr>
        <w:t>None of our directors or executive officers adopted, modified, or terminated a Rule 10b5-1 trading arrangement or a non-Rule 10b5-1 trading arrangement (as defined under Item 408(a) of Regulation S-K) during the quarter ended December 31, 2025.</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Information required by this item will be contained in our definitive proxy statement to be filed with the SEC on Schedule 14A in connection with our</w:t>
      </w:r>
    </w:p>
    <w:p>
      <w:pPr>
        <w:spacing w:after="0" w:line="39" w:lineRule="exact"/>
        <w:rPr>
          <w:sz w:val="20"/>
          <w:szCs w:val="20"/>
          <w:color w:val="auto"/>
        </w:rPr>
      </w:pPr>
    </w:p>
    <w:p>
      <w:pPr>
        <w:ind w:right="600"/>
        <w:spacing w:after="0" w:line="255" w:lineRule="auto"/>
        <w:rPr>
          <w:sz w:val="20"/>
          <w:szCs w:val="20"/>
          <w:color w:val="auto"/>
        </w:rPr>
      </w:pPr>
      <w:r>
        <w:rPr>
          <w:rFonts w:ascii="Times New Roman" w:cs="Times New Roman" w:eastAsia="Times New Roman" w:hAnsi="Times New Roman"/>
          <w:sz w:val="18"/>
          <w:szCs w:val="18"/>
          <w:color w:val="auto"/>
        </w:rPr>
        <w:t>2026 Annual Meeting of Stockholders, or the Proxy Statement, which will be filed not later than 120 days after the end of our fiscal year ended December 31, 2025, under the headings “Management,” “Proposal 1 - Election of Directors,” “Board Committees and Meetings,” and, to the extent applicable, “Delinquent Section 16(a) Reports,” and is incorporated herein by reference.</w:t>
      </w:r>
    </w:p>
    <w:p>
      <w:pPr>
        <w:spacing w:after="0" w:line="186"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officers, directors and employees which is available on our website at www.everspin.com. The Code of Business Conduct and Ethics is intended to qualify as a “code of ethics” within the meaning of Section 406 of the Sarbanes-Oxley Act of 2002 and Item 406 of Regulation S-K. In addition, we intend to promptly disclose (1) the nature of any substantive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executive compensation is incorporated by reference to the information set forth in the sections titled “Executive Compensation” and “Compensation of Non-Employee Board Members” in our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regarding security ownership of certain beneficial owners and management is incorporated by reference to the information set forth in the sections titled “Security Ownership of Certain Beneficial Owners and Management” and “Securities Authorized for Issuance Under Equity Compensation Plans” in our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regarding certain relationships and related transactions and director independence is incorporated by reference to the information set forth in the sections titled “Certain Relationships and Related Party Transactions” and “Corporate Governance”, respectively, in our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principal accountant fees and services is incorporated by reference to the information set forth in the section titled “Principal Accountant Fees and Services” in our Proxy Statement.</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240" w:hanging="222"/>
        <w:spacing w:after="0"/>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25" w:lineRule="exact"/>
        <w:rPr>
          <w:rFonts w:ascii="Times New Roman" w:cs="Times New Roman" w:eastAsia="Times New Roman" w:hAnsi="Times New Roman"/>
          <w:sz w:val="18"/>
          <w:szCs w:val="18"/>
          <w:color w:val="auto"/>
        </w:rPr>
      </w:pPr>
    </w:p>
    <w:p>
      <w:pPr>
        <w:ind w:left="340" w:hanging="170"/>
        <w:spacing w:after="0"/>
        <w:tabs>
          <w:tab w:leader="none" w:pos="3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Information in response to this Item is included in Part II, Item 8 of this Annual Report on Form 10-K.</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25" w:lineRule="exact"/>
        <w:rPr>
          <w:sz w:val="20"/>
          <w:szCs w:val="20"/>
          <w:color w:val="auto"/>
        </w:rPr>
      </w:pPr>
    </w:p>
    <w:p>
      <w:pPr>
        <w:ind w:left="180" w:firstLine="729"/>
        <w:spacing w:after="0" w:line="500" w:lineRule="auto"/>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financial statements or notes thereto. 3. Exhibits</w:t>
      </w:r>
    </w:p>
    <w:p>
      <w:pPr>
        <w:spacing w:after="0" w:line="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following exhibits, as required by Item 601 of Regulation S-K are attached or incorporated by reference as stated below.</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13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00" w:type="dxa"/>
            <w:vAlign w:val="bottom"/>
            <w:gridSpan w:val="19"/>
          </w:tcPr>
          <w:p>
            <w:pPr>
              <w:jc w:val="right"/>
              <w:ind w:right="18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1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Amended and Restated Certificate of Incorporation.</w:t>
              </w:r>
            </w:hyperlink>
          </w:p>
        </w:tc>
        <w:tc>
          <w:tcPr>
            <w:tcW w:w="560" w:type="dxa"/>
            <w:vAlign w:val="bottom"/>
            <w:gridSpan w:val="10"/>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10/13/2016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gridSpan w:val="23"/>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Amendment to Amended and Restated Certificate of</w:t>
              </w:r>
            </w:hyperlink>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5/22/2019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Incorporation.</w:t>
              </w:r>
            </w:hyperlink>
          </w:p>
        </w:tc>
        <w:tc>
          <w:tcPr>
            <w:tcW w:w="52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gridSpan w:val="23"/>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Amendment to Amended and Restated Certificate of</w:t>
              </w:r>
            </w:hyperlink>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5/27/2020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Incorporation.</w:t>
              </w:r>
            </w:hyperlink>
          </w:p>
        </w:tc>
        <w:tc>
          <w:tcPr>
            <w:tcW w:w="52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gridSpan w:val="23"/>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Amendment to Amended and Restated Certificate of</w:t>
              </w:r>
            </w:hyperlink>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5/25/2023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Incorporation</w:t>
              </w:r>
              <w:r>
                <w:rPr>
                  <w:rFonts w:ascii="Times New Roman" w:cs="Times New Roman" w:eastAsia="Times New Roman" w:hAnsi="Times New Roman"/>
                  <w:sz w:val="18"/>
                  <w:szCs w:val="18"/>
                  <w:color w:val="000000"/>
                </w:rPr>
                <w:t>.</w:t>
              </w:r>
            </w:hyperlink>
          </w:p>
        </w:tc>
        <w:tc>
          <w:tcPr>
            <w:tcW w:w="52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Amended and Restated Bylaws.</w:t>
              </w:r>
            </w:hyperlink>
          </w:p>
        </w:tc>
        <w:tc>
          <w:tcPr>
            <w:tcW w:w="2000" w:type="dxa"/>
            <w:vAlign w:val="bottom"/>
            <w:gridSpan w:val="16"/>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5/22/2019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gridSpan w:val="23"/>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Form of Common Stock Certificate of the registrant.</w:t>
              </w:r>
            </w:hyperlink>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333-213569</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9/09/2016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Borders>
              <w:top w:val="single" w:sz="8" w:color="0000FF"/>
            </w:tcBorders>
            <w:gridSpan w:val="14"/>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Description of Common Stock.</w:t>
              </w:r>
            </w:hyperlink>
          </w:p>
        </w:tc>
        <w:tc>
          <w:tcPr>
            <w:tcW w:w="520" w:type="dxa"/>
            <w:vAlign w:val="bottom"/>
            <w:gridSpan w:val="9"/>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3/04/2021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4300" w:type="dxa"/>
            <w:vAlign w:val="bottom"/>
            <w:gridSpan w:val="23"/>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of Indemnity Agreement between the registrant and</w:t>
              </w:r>
            </w:hyperlink>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333-213569</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9/09/2016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its directors and officers.</w:t>
              </w:r>
            </w:hyperlink>
          </w:p>
        </w:tc>
        <w:tc>
          <w:tcPr>
            <w:tcW w:w="16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4"/>
                <w:szCs w:val="24"/>
                <w:color w:val="auto"/>
              </w:rPr>
            </w:pPr>
          </w:p>
        </w:tc>
        <w:tc>
          <w:tcPr>
            <w:tcW w:w="38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2008 Equity Incentive Plan, as amended, and Form of</w:t>
              </w:r>
            </w:hyperlink>
          </w:p>
        </w:tc>
        <w:tc>
          <w:tcPr>
            <w:tcW w:w="420" w:type="dxa"/>
            <w:vAlign w:val="bottom"/>
            <w:gridSpan w:val="7"/>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333-213569</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9/26/2016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gridSpan w:val="23"/>
          </w:tcPr>
          <w:p>
            <w:pPr>
              <w:spacing w:after="0" w:line="19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Stock Option Grant Notice, Option Agreement and Form</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16">
              <w:r>
                <w:rPr>
                  <w:rFonts w:ascii="Times New Roman" w:cs="Times New Roman" w:eastAsia="Times New Roman" w:hAnsi="Times New Roman"/>
                  <w:sz w:val="18"/>
                  <w:szCs w:val="18"/>
                  <w:color w:val="0000FF"/>
                  <w:w w:val="98"/>
                </w:rPr>
                <w:t>of Notice of Exercise.</w:t>
              </w:r>
            </w:hyperlink>
          </w:p>
        </w:tc>
        <w:tc>
          <w:tcPr>
            <w:tcW w:w="2520" w:type="dxa"/>
            <w:vAlign w:val="bottom"/>
            <w:tcBorders>
              <w:top w:val="single" w:sz="8" w:color="0000FF"/>
            </w:tcBorders>
            <w:gridSpan w:val="16"/>
          </w:tcPr>
          <w:p>
            <w:pPr>
              <w:spacing w:after="0"/>
              <w:rPr>
                <w:sz w:val="17"/>
                <w:szCs w:val="17"/>
                <w:color w:val="auto"/>
              </w:rPr>
            </w:pPr>
          </w:p>
        </w:tc>
        <w:tc>
          <w:tcPr>
            <w:tcW w:w="20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4"/>
                <w:szCs w:val="24"/>
                <w:color w:val="auto"/>
              </w:rPr>
            </w:pPr>
          </w:p>
        </w:tc>
        <w:tc>
          <w:tcPr>
            <w:tcW w:w="37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Amended and Restated 2016 Equity Incentive Plan.</w:t>
              </w:r>
            </w:hyperlink>
          </w:p>
        </w:tc>
        <w:tc>
          <w:tcPr>
            <w:tcW w:w="580" w:type="dxa"/>
            <w:vAlign w:val="bottom"/>
            <w:gridSpan w:val="11"/>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5/22/2018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20" w:type="dxa"/>
            <w:vAlign w:val="bottom"/>
          </w:tcPr>
          <w:p>
            <w:pPr>
              <w:spacing w:after="0"/>
              <w:rPr>
                <w:sz w:val="24"/>
                <w:szCs w:val="24"/>
                <w:color w:val="auto"/>
              </w:rPr>
            </w:pPr>
          </w:p>
        </w:tc>
        <w:tc>
          <w:tcPr>
            <w:tcW w:w="4300" w:type="dxa"/>
            <w:vAlign w:val="bottom"/>
            <w:gridSpan w:val="23"/>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First Amendment to the Amended and Restated 2016</w:t>
              </w:r>
            </w:hyperlink>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5/25/2021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top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Equity Incentive Plan.</w:t>
              </w:r>
            </w:hyperlink>
          </w:p>
        </w:tc>
        <w:tc>
          <w:tcPr>
            <w:tcW w:w="48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40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Form of Stock Option Grant Notice, Option Agreement</w:t>
              </w:r>
            </w:hyperlink>
          </w:p>
        </w:tc>
        <w:tc>
          <w:tcPr>
            <w:tcW w:w="280" w:type="dxa"/>
            <w:vAlign w:val="bottom"/>
            <w:gridSpan w:val="5"/>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333-213569</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9/26/2016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and Form of Notice of Exercise used with the 2016</w:t>
              </w:r>
            </w:hyperlink>
          </w:p>
        </w:tc>
        <w:tc>
          <w:tcPr>
            <w:tcW w:w="62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gridSpan w:val="23"/>
          </w:tcPr>
          <w:p>
            <w:pPr>
              <w:spacing w:after="0" w:line="19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Equity Incentive Plan.</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4"/>
                <w:szCs w:val="24"/>
                <w:color w:val="auto"/>
              </w:rPr>
            </w:pPr>
          </w:p>
        </w:tc>
        <w:tc>
          <w:tcPr>
            <w:tcW w:w="40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Form of Restricted Stock Unit Award Agreement under</w:t>
              </w:r>
            </w:hyperlink>
          </w:p>
        </w:tc>
        <w:tc>
          <w:tcPr>
            <w:tcW w:w="300" w:type="dxa"/>
            <w:vAlign w:val="bottom"/>
            <w:gridSpan w:val="6"/>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11/13/2017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gridSpan w:val="23"/>
          </w:tcPr>
          <w:p>
            <w:pPr>
              <w:spacing w:after="0" w:line="19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the 2016 Equity Incentive Plan</w:t>
              </w:r>
              <w:r>
                <w:rPr>
                  <w:rFonts w:ascii="Times New Roman" w:cs="Times New Roman" w:eastAsia="Times New Roman" w:hAnsi="Times New Roman"/>
                  <w:sz w:val="18"/>
                  <w:szCs w:val="18"/>
                  <w:color w:val="000000"/>
                </w:rPr>
                <w:t>.</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4"/>
                <w:szCs w:val="24"/>
                <w:color w:val="auto"/>
              </w:rPr>
            </w:pPr>
          </w:p>
        </w:tc>
        <w:tc>
          <w:tcPr>
            <w:tcW w:w="27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2016 Employee Stock Purchase Plan.</w:t>
              </w:r>
            </w:hyperlink>
          </w:p>
        </w:tc>
        <w:tc>
          <w:tcPr>
            <w:tcW w:w="1600" w:type="dxa"/>
            <w:vAlign w:val="bottom"/>
            <w:gridSpan w:val="15"/>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333-213569</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9/26/2016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gridSpan w:val="23"/>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Lease, dated as of June 6, 2008, by and between the</w:t>
              </w:r>
            </w:hyperlink>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333-213569</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9/09/2016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top w:val="single" w:sz="8" w:color="0000FF"/>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registrant and Freescale Semiconductor, Inc.</w:t>
              </w:r>
            </w:hyperlink>
          </w:p>
        </w:tc>
        <w:tc>
          <w:tcPr>
            <w:tcW w:w="520" w:type="dxa"/>
            <w:vAlign w:val="bottom"/>
            <w:tcBorders>
              <w:top w:val="single" w:sz="8" w:color="0000FF"/>
            </w:tcBorders>
            <w:gridSpan w:val="2"/>
          </w:tcPr>
          <w:p>
            <w:pPr>
              <w:spacing w:after="0"/>
              <w:rPr>
                <w:sz w:val="17"/>
                <w:szCs w:val="17"/>
                <w:color w:val="auto"/>
              </w:rPr>
            </w:pPr>
          </w:p>
        </w:tc>
        <w:tc>
          <w:tcPr>
            <w:tcW w:w="580" w:type="dxa"/>
            <w:vAlign w:val="bottom"/>
            <w:gridSpan w:val="11"/>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Amendment No. 1 to Lease, dated as of February 2, 2009,</w:t>
              </w:r>
            </w:hyperlink>
          </w:p>
        </w:tc>
        <w:tc>
          <w:tcPr>
            <w:tcW w:w="120" w:type="dxa"/>
            <w:vAlign w:val="bottom"/>
            <w:gridSpan w:val="2"/>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333-213569</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9/09/2016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gridSpan w:val="23"/>
          </w:tcPr>
          <w:p>
            <w:pPr>
              <w:spacing w:after="0" w:line="19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by and between the registrant and Freescale</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Borders>
              <w:top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Semiconductor, Inc.</w:t>
              </w:r>
            </w:hyperlink>
          </w:p>
        </w:tc>
        <w:tc>
          <w:tcPr>
            <w:tcW w:w="1160" w:type="dxa"/>
            <w:vAlign w:val="bottom"/>
            <w:gridSpan w:val="14"/>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8"/>
        </w:trPr>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Borders>
              <w:top w:val="single" w:sz="8" w:color="0000FF"/>
            </w:tcBorders>
            <w:gridSpan w:val="2"/>
          </w:tcPr>
          <w:p>
            <w:pPr>
              <w:spacing w:after="0"/>
              <w:rPr>
                <w:sz w:val="24"/>
                <w:szCs w:val="24"/>
                <w:color w:val="auto"/>
              </w:rPr>
            </w:pPr>
          </w:p>
        </w:tc>
        <w:tc>
          <w:tcPr>
            <w:tcW w:w="2860" w:type="dxa"/>
            <w:vAlign w:val="bottom"/>
            <w:gridSpan w:val="21"/>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10.7.2</w:t>
            </w:r>
          </w:p>
        </w:tc>
        <w:tc>
          <w:tcPr>
            <w:tcW w:w="38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Amendment No. 2 to Lease, dated as of February 18,</w:t>
              </w:r>
            </w:hyperlink>
          </w:p>
        </w:tc>
        <w:tc>
          <w:tcPr>
            <w:tcW w:w="340" w:type="dxa"/>
            <w:vAlign w:val="bottom"/>
            <w:gridSpan w:val="8"/>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6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2010, by and between the registrant and Freescale</w:t>
              </w:r>
            </w:hyperlink>
          </w:p>
        </w:tc>
        <w:tc>
          <w:tcPr>
            <w:tcW w:w="560" w:type="dxa"/>
            <w:vAlign w:val="bottom"/>
            <w:gridSpan w:val="11"/>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160" w:type="dxa"/>
            <w:vAlign w:val="bottom"/>
            <w:gridSpan w:val="20"/>
          </w:tcPr>
          <w:p>
            <w:pPr>
              <w:spacing w:after="0" w:line="19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Semiconductor, Inc.</w:t>
              </w:r>
            </w:hyperlink>
          </w:p>
        </w:tc>
      </w:tr>
      <w:tr>
        <w:trPr>
          <w:trHeight w:val="20"/>
        </w:trPr>
        <w:tc>
          <w:tcPr>
            <w:tcW w:w="1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10.7.3</w:t>
            </w:r>
          </w:p>
        </w:tc>
        <w:tc>
          <w:tcPr>
            <w:tcW w:w="41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Amendment No. 3 to Lease, dated as of July 20, 2011, by</w:t>
              </w:r>
            </w:hyperlink>
          </w:p>
        </w:tc>
        <w:tc>
          <w:tcPr>
            <w:tcW w:w="2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41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and between the registrant and Freescale Semiconductor,</w:t>
              </w:r>
            </w:hyperlink>
          </w:p>
        </w:tc>
        <w:tc>
          <w:tcPr>
            <w:tcW w:w="60" w:type="dxa"/>
            <w:vAlign w:val="bottom"/>
            <w:gridSpan w:val="2"/>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27">
              <w:r>
                <w:rPr>
                  <w:rFonts w:ascii="Times New Roman" w:cs="Times New Roman" w:eastAsia="Times New Roman" w:hAnsi="Times New Roman"/>
                  <w:sz w:val="18"/>
                  <w:szCs w:val="18"/>
                  <w:color w:val="0000FF"/>
                  <w:w w:val="94"/>
                </w:rPr>
                <w:t>Inc.</w:t>
              </w:r>
            </w:hyperlink>
          </w:p>
        </w:tc>
        <w:tc>
          <w:tcPr>
            <w:tcW w:w="3880" w:type="dxa"/>
            <w:vAlign w:val="bottom"/>
            <w:gridSpan w:val="19"/>
          </w:tcPr>
          <w:p>
            <w:pPr>
              <w:spacing w:after="0"/>
              <w:rPr>
                <w:sz w:val="17"/>
                <w:szCs w:val="17"/>
                <w:color w:val="auto"/>
              </w:rPr>
            </w:pPr>
          </w:p>
        </w:tc>
      </w:tr>
      <w:tr>
        <w:trPr>
          <w:trHeight w:val="41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10.7.4</w:t>
            </w:r>
          </w:p>
        </w:tc>
        <w:tc>
          <w:tcPr>
            <w:tcW w:w="39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Amendment No. 4 to Lease, dated as of June, 2014 by</w:t>
              </w:r>
            </w:hyperlink>
          </w:p>
        </w:tc>
        <w:tc>
          <w:tcPr>
            <w:tcW w:w="260" w:type="dxa"/>
            <w:vAlign w:val="bottom"/>
            <w:gridSpan w:val="6"/>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41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and between the registrant and Freescale Semiconductor,</w:t>
              </w:r>
            </w:hyperlink>
          </w:p>
        </w:tc>
        <w:tc>
          <w:tcPr>
            <w:tcW w:w="60" w:type="dxa"/>
            <w:vAlign w:val="bottom"/>
            <w:gridSpan w:val="2"/>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28">
              <w:r>
                <w:rPr>
                  <w:rFonts w:ascii="Times New Roman" w:cs="Times New Roman" w:eastAsia="Times New Roman" w:hAnsi="Times New Roman"/>
                  <w:sz w:val="18"/>
                  <w:szCs w:val="18"/>
                  <w:color w:val="0000FF"/>
                  <w:w w:val="94"/>
                </w:rPr>
                <w:t>Inc.</w:t>
              </w:r>
            </w:hyperlink>
          </w:p>
        </w:tc>
        <w:tc>
          <w:tcPr>
            <w:tcW w:w="3880" w:type="dxa"/>
            <w:vAlign w:val="bottom"/>
            <w:gridSpan w:val="19"/>
          </w:tcPr>
          <w:p>
            <w:pPr>
              <w:spacing w:after="0"/>
              <w:rPr>
                <w:sz w:val="17"/>
                <w:szCs w:val="17"/>
                <w:color w:val="auto"/>
              </w:rPr>
            </w:pPr>
          </w:p>
        </w:tc>
      </w:tr>
      <w:tr>
        <w:trPr>
          <w:trHeight w:val="41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10.7.5</w:t>
            </w:r>
          </w:p>
        </w:tc>
        <w:tc>
          <w:tcPr>
            <w:tcW w:w="40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Amendment No. 5 to Lease, dated as of March 22, 2017</w:t>
              </w:r>
            </w:hyperlink>
          </w:p>
        </w:tc>
        <w:tc>
          <w:tcPr>
            <w:tcW w:w="120" w:type="dxa"/>
            <w:vAlign w:val="bottom"/>
            <w:gridSpan w:val="3"/>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4160" w:type="dxa"/>
            <w:vAlign w:val="bottom"/>
            <w:gridSpan w:val="20"/>
          </w:tcPr>
          <w:p>
            <w:pPr>
              <w:spacing w:after="0" w:line="19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by and between the registrant and Freescale</w:t>
              </w:r>
            </w:hyperlink>
          </w:p>
        </w:tc>
      </w:tr>
      <w:tr>
        <w:trPr>
          <w:trHeight w:val="196"/>
        </w:trPr>
        <w:tc>
          <w:tcPr>
            <w:tcW w:w="1320" w:type="dxa"/>
            <w:vAlign w:val="bottom"/>
          </w:tcPr>
          <w:p>
            <w:pPr>
              <w:spacing w:after="0"/>
              <w:rPr>
                <w:sz w:val="17"/>
                <w:szCs w:val="17"/>
                <w:color w:val="auto"/>
              </w:rPr>
            </w:pPr>
          </w:p>
        </w:tc>
        <w:tc>
          <w:tcPr>
            <w:tcW w:w="3140" w:type="dxa"/>
            <w:vAlign w:val="bottom"/>
            <w:tcBorders>
              <w:top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Semiconductor, Inc.</w:t>
              </w:r>
            </w:hyperlink>
          </w:p>
        </w:tc>
        <w:tc>
          <w:tcPr>
            <w:tcW w:w="1020" w:type="dxa"/>
            <w:vAlign w:val="bottom"/>
            <w:gridSpan w:val="12"/>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10.7.6</w:t>
            </w:r>
          </w:p>
        </w:tc>
        <w:tc>
          <w:tcPr>
            <w:tcW w:w="41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Amendment No. 6 to Lease, dated as of October 31, 2017</w:t>
              </w:r>
            </w:hyperlink>
          </w:p>
        </w:tc>
      </w:tr>
      <w:tr>
        <w:trPr>
          <w:trHeight w:val="196"/>
        </w:trPr>
        <w:tc>
          <w:tcPr>
            <w:tcW w:w="1320" w:type="dxa"/>
            <w:vAlign w:val="bottom"/>
          </w:tcPr>
          <w:p>
            <w:pPr>
              <w:spacing w:after="0"/>
              <w:rPr>
                <w:sz w:val="17"/>
                <w:szCs w:val="17"/>
                <w:color w:val="auto"/>
              </w:rPr>
            </w:pPr>
          </w:p>
        </w:tc>
        <w:tc>
          <w:tcPr>
            <w:tcW w:w="36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by and between the registrant and NXP USA, Inc.</w:t>
              </w:r>
            </w:hyperlink>
          </w:p>
        </w:tc>
        <w:tc>
          <w:tcPr>
            <w:tcW w:w="560" w:type="dxa"/>
            <w:vAlign w:val="bottom"/>
            <w:gridSpan w:val="11"/>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160" w:type="dxa"/>
            <w:vAlign w:val="bottom"/>
            <w:gridSpan w:val="20"/>
          </w:tcPr>
          <w:p>
            <w:pPr>
              <w:spacing w:after="0" w:line="19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(formerly Freescale Semiconductor, Inc.</w:t>
              </w:r>
              <w:r>
                <w:rPr>
                  <w:rFonts w:ascii="Times New Roman" w:cs="Times New Roman" w:eastAsia="Times New Roman" w:hAnsi="Times New Roman"/>
                  <w:sz w:val="18"/>
                  <w:szCs w:val="18"/>
                  <w:color w:val="000000"/>
                </w:rPr>
                <w:t>).</w:t>
              </w:r>
            </w:hyperlink>
          </w:p>
        </w:tc>
      </w:tr>
      <w:tr>
        <w:trPr>
          <w:trHeight w:val="20"/>
        </w:trPr>
        <w:tc>
          <w:tcPr>
            <w:tcW w:w="1320" w:type="dxa"/>
            <w:vAlign w:val="bottom"/>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10.7.7</w:t>
            </w:r>
          </w:p>
        </w:tc>
        <w:tc>
          <w:tcPr>
            <w:tcW w:w="41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Amendment No. 7 to Lease, effective as of June 30, 2018</w:t>
              </w:r>
            </w:hyperlink>
          </w:p>
        </w:tc>
        <w:tc>
          <w:tcPr>
            <w:tcW w:w="2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36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by and between the registrant and NXP USA, Inc.</w:t>
              </w:r>
            </w:hyperlink>
          </w:p>
        </w:tc>
        <w:tc>
          <w:tcPr>
            <w:tcW w:w="560" w:type="dxa"/>
            <w:vAlign w:val="bottom"/>
            <w:gridSpan w:val="11"/>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160" w:type="dxa"/>
            <w:vAlign w:val="bottom"/>
            <w:gridSpan w:val="20"/>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(formerly Freescale Semiconductor, Inc.)</w:t>
              </w:r>
              <w:r>
                <w:rPr>
                  <w:rFonts w:ascii="Times New Roman" w:cs="Times New Roman" w:eastAsia="Times New Roman" w:hAnsi="Times New Roman"/>
                  <w:sz w:val="18"/>
                  <w:szCs w:val="18"/>
                  <w:color w:val="000000"/>
                </w:rPr>
                <w:t>.</w:t>
              </w:r>
            </w:hyperlink>
          </w:p>
        </w:tc>
      </w:tr>
      <w:tr>
        <w:trPr>
          <w:trHeight w:val="20"/>
        </w:trPr>
        <w:tc>
          <w:tcPr>
            <w:tcW w:w="1320" w:type="dxa"/>
            <w:vAlign w:val="bottom"/>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10.7.8</w:t>
            </w:r>
          </w:p>
        </w:tc>
        <w:tc>
          <w:tcPr>
            <w:tcW w:w="41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Amendment No. 8 to Lease, effective as of November 30,</w:t>
              </w:r>
            </w:hyperlink>
          </w:p>
        </w:tc>
      </w:tr>
      <w:tr>
        <w:trPr>
          <w:trHeight w:val="196"/>
        </w:trPr>
        <w:tc>
          <w:tcPr>
            <w:tcW w:w="1320" w:type="dxa"/>
            <w:vAlign w:val="bottom"/>
          </w:tcPr>
          <w:p>
            <w:pPr>
              <w:spacing w:after="0"/>
              <w:rPr>
                <w:sz w:val="17"/>
                <w:szCs w:val="17"/>
                <w:color w:val="auto"/>
              </w:rPr>
            </w:pPr>
          </w:p>
        </w:tc>
        <w:tc>
          <w:tcPr>
            <w:tcW w:w="400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2019 by and between the registrant and NXP USA, Inc.</w:t>
              </w:r>
            </w:hyperlink>
          </w:p>
        </w:tc>
        <w:tc>
          <w:tcPr>
            <w:tcW w:w="160" w:type="dxa"/>
            <w:vAlign w:val="bottom"/>
            <w:gridSpan w:val="4"/>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0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(formerly Freescale Semiconductor, Inc.).</w:t>
              </w:r>
            </w:hyperlink>
          </w:p>
        </w:tc>
        <w:tc>
          <w:tcPr>
            <w:tcW w:w="1140" w:type="dxa"/>
            <w:vAlign w:val="bottom"/>
            <w:gridSpan w:val="13"/>
          </w:tcPr>
          <w:p>
            <w:pPr>
              <w:spacing w:after="0"/>
              <w:rPr>
                <w:sz w:val="17"/>
                <w:szCs w:val="17"/>
                <w:color w:val="auto"/>
              </w:rPr>
            </w:pPr>
          </w:p>
        </w:tc>
      </w:tr>
      <w:tr>
        <w:trPr>
          <w:trHeight w:val="41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10.7.9</w:t>
            </w:r>
          </w:p>
        </w:tc>
        <w:tc>
          <w:tcPr>
            <w:tcW w:w="38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Amendment No. 9 to Lease, effective as of March 31,</w:t>
              </w:r>
            </w:hyperlink>
          </w:p>
        </w:tc>
        <w:tc>
          <w:tcPr>
            <w:tcW w:w="280" w:type="dxa"/>
            <w:vAlign w:val="bottom"/>
            <w:gridSpan w:val="7"/>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400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2020 by and between the registrant and NXP USA, Inc.</w:t>
              </w:r>
            </w:hyperlink>
          </w:p>
        </w:tc>
        <w:tc>
          <w:tcPr>
            <w:tcW w:w="160" w:type="dxa"/>
            <w:vAlign w:val="bottom"/>
            <w:gridSpan w:val="4"/>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160" w:type="dxa"/>
            <w:vAlign w:val="bottom"/>
            <w:gridSpan w:val="20"/>
          </w:tcPr>
          <w:p>
            <w:pPr>
              <w:spacing w:after="0" w:line="19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(formerly Freescale Semiconductor, Inc.).</w:t>
              </w:r>
            </w:hyperlink>
          </w:p>
        </w:tc>
      </w:tr>
      <w:tr>
        <w:trPr>
          <w:trHeight w:val="20"/>
        </w:trPr>
        <w:tc>
          <w:tcPr>
            <w:tcW w:w="1320" w:type="dxa"/>
            <w:vAlign w:val="bottom"/>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10.7.10</w:t>
            </w:r>
          </w:p>
        </w:tc>
        <w:tc>
          <w:tcPr>
            <w:tcW w:w="4160" w:type="dxa"/>
            <w:vAlign w:val="bottom"/>
            <w:gridSpan w:val="20"/>
          </w:tcPr>
          <w:p>
            <w:pPr>
              <w:spacing w:after="0"/>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Amendment No. 10 to Lease, effective as of February 12,</w:t>
              </w:r>
            </w:hyperlink>
          </w:p>
        </w:tc>
      </w:tr>
      <w:tr>
        <w:trPr>
          <w:trHeight w:val="196"/>
        </w:trPr>
        <w:tc>
          <w:tcPr>
            <w:tcW w:w="1320" w:type="dxa"/>
            <w:vAlign w:val="bottom"/>
          </w:tcPr>
          <w:p>
            <w:pPr>
              <w:spacing w:after="0"/>
              <w:rPr>
                <w:sz w:val="17"/>
                <w:szCs w:val="17"/>
                <w:color w:val="auto"/>
              </w:rPr>
            </w:pPr>
          </w:p>
        </w:tc>
        <w:tc>
          <w:tcPr>
            <w:tcW w:w="4000" w:type="dxa"/>
            <w:vAlign w:val="bottom"/>
            <w:tcBorders>
              <w:top w:val="single" w:sz="8" w:color="0000FF"/>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2022 by and between the registrant and NXP USA, Inc.</w:t>
              </w:r>
            </w:hyperlink>
          </w:p>
        </w:tc>
        <w:tc>
          <w:tcPr>
            <w:tcW w:w="14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160" w:type="dxa"/>
            <w:vAlign w:val="bottom"/>
            <w:gridSpan w:val="20"/>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(formerly Freescale Semiconductor, Inc.)</w:t>
              </w:r>
              <w:r>
                <w:rPr>
                  <w:rFonts w:ascii="Times New Roman" w:cs="Times New Roman" w:eastAsia="Times New Roman" w:hAnsi="Times New Roman"/>
                  <w:sz w:val="18"/>
                  <w:szCs w:val="18"/>
                  <w:color w:val="000000"/>
                </w:rPr>
                <w:t>.</w:t>
              </w:r>
            </w:hyperlink>
          </w:p>
        </w:tc>
      </w:tr>
      <w:tr>
        <w:trPr>
          <w:trHeight w:val="20"/>
        </w:trPr>
        <w:tc>
          <w:tcPr>
            <w:tcW w:w="1320" w:type="dxa"/>
            <w:vAlign w:val="bottom"/>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41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38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Commercial Industrial Lease Agreement, dated as of</w:t>
              </w:r>
            </w:hyperlink>
          </w:p>
        </w:tc>
        <w:tc>
          <w:tcPr>
            <w:tcW w:w="360" w:type="dxa"/>
            <w:vAlign w:val="bottom"/>
            <w:gridSpan w:val="9"/>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41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May 18, 2012 by and between the registrant and Principal</w:t>
              </w:r>
            </w:hyperlink>
          </w:p>
        </w:tc>
      </w:tr>
      <w:tr>
        <w:trPr>
          <w:trHeight w:val="196"/>
        </w:trPr>
        <w:tc>
          <w:tcPr>
            <w:tcW w:w="1320" w:type="dxa"/>
            <w:vAlign w:val="bottom"/>
          </w:tcPr>
          <w:p>
            <w:pPr>
              <w:spacing w:after="0"/>
              <w:rPr>
                <w:sz w:val="17"/>
                <w:szCs w:val="17"/>
                <w:color w:val="auto"/>
              </w:rPr>
            </w:pPr>
          </w:p>
        </w:tc>
        <w:tc>
          <w:tcPr>
            <w:tcW w:w="18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35">
              <w:r>
                <w:rPr>
                  <w:rFonts w:ascii="Times New Roman" w:cs="Times New Roman" w:eastAsia="Times New Roman" w:hAnsi="Times New Roman"/>
                  <w:sz w:val="18"/>
                  <w:szCs w:val="18"/>
                  <w:color w:val="0000FF"/>
                  <w:w w:val="98"/>
                </w:rPr>
                <w:t>Life Insurance Company.</w:t>
              </w:r>
            </w:hyperlink>
          </w:p>
        </w:tc>
        <w:tc>
          <w:tcPr>
            <w:tcW w:w="2340" w:type="dxa"/>
            <w:vAlign w:val="bottom"/>
            <w:gridSpan w:val="17"/>
          </w:tcPr>
          <w:p>
            <w:pPr>
              <w:spacing w:after="0"/>
              <w:rPr>
                <w:sz w:val="17"/>
                <w:szCs w:val="17"/>
                <w:color w:val="auto"/>
              </w:rPr>
            </w:pPr>
          </w:p>
        </w:tc>
      </w:tr>
      <w:tr>
        <w:trPr>
          <w:trHeight w:val="41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10.9.1</w:t>
            </w:r>
          </w:p>
        </w:tc>
        <w:tc>
          <w:tcPr>
            <w:tcW w:w="4160" w:type="dxa"/>
            <w:vAlign w:val="bottom"/>
            <w:gridSpan w:val="20"/>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Amendment No. 1 to Commercial Industrial Lease</w:t>
              </w:r>
            </w:hyperlink>
          </w:p>
        </w:tc>
      </w:tr>
      <w:tr>
        <w:trPr>
          <w:trHeight w:val="20"/>
        </w:trPr>
        <w:tc>
          <w:tcPr>
            <w:tcW w:w="1320" w:type="dxa"/>
            <w:vAlign w:val="bottom"/>
          </w:tcPr>
          <w:p>
            <w:pPr>
              <w:spacing w:after="0" w:line="20" w:lineRule="exact"/>
              <w:rPr>
                <w:sz w:val="1"/>
                <w:szCs w:val="1"/>
                <w:color w:val="auto"/>
              </w:rPr>
            </w:pPr>
          </w:p>
        </w:tc>
        <w:tc>
          <w:tcPr>
            <w:tcW w:w="3640" w:type="dxa"/>
            <w:vAlign w:val="bottom"/>
            <w:gridSpan w:val="10"/>
            <w:shd w:val="clear" w:color="auto" w:fill="0000FF"/>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39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Agreement, dated August 12, 2016 by and between the</w:t>
              </w:r>
            </w:hyperlink>
          </w:p>
        </w:tc>
        <w:tc>
          <w:tcPr>
            <w:tcW w:w="200" w:type="dxa"/>
            <w:vAlign w:val="bottom"/>
            <w:gridSpan w:val="5"/>
          </w:tcPr>
          <w:p>
            <w:pPr>
              <w:spacing w:after="0"/>
              <w:rPr>
                <w:sz w:val="17"/>
                <w:szCs w:val="17"/>
                <w:color w:val="auto"/>
              </w:rPr>
            </w:pPr>
          </w:p>
        </w:tc>
      </w:tr>
    </w:tbl>
    <w:p>
      <w:pPr>
        <w:spacing w:after="0" w:line="9" w:lineRule="exact"/>
        <w:rPr>
          <w:sz w:val="20"/>
          <w:szCs w:val="20"/>
          <w:color w:val="auto"/>
        </w:rPr>
      </w:pPr>
    </w:p>
    <w:p>
      <w:pPr>
        <w:ind w:left="1420" w:right="220"/>
        <w:spacing w:after="0" w:line="282" w:lineRule="auto"/>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registrant and Legacy Stonelake JV-T, LLC, successor in</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interest to Principal Life Insurance Company.</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S-1</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333-213569</w:t>
            </w: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10.7</w:t>
            </w: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864"/>
        </w:trPr>
        <w:tc>
          <w:tcPr>
            <w:tcW w:w="7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S-1</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333-213569</w:t>
            </w: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10.8</w:t>
            </w: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864"/>
        </w:trPr>
        <w:tc>
          <w:tcPr>
            <w:tcW w:w="7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S-1</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333-213569</w:t>
            </w: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10.9</w:t>
            </w: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864"/>
        </w:trPr>
        <w:tc>
          <w:tcPr>
            <w:tcW w:w="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8-K</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3/28/2017</w:t>
            </w:r>
          </w:p>
        </w:tc>
      </w:tr>
      <w:tr>
        <w:trPr>
          <w:trHeight w:val="864"/>
        </w:trPr>
        <w:tc>
          <w:tcPr>
            <w:tcW w:w="7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10-K</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10.40</w:t>
            </w: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3/15/2018</w:t>
            </w:r>
          </w:p>
        </w:tc>
      </w:tr>
      <w:tr>
        <w:trPr>
          <w:trHeight w:val="864"/>
        </w:trPr>
        <w:tc>
          <w:tcPr>
            <w:tcW w:w="7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11/14/2018</w:t>
            </w:r>
          </w:p>
        </w:tc>
      </w:tr>
      <w:tr>
        <w:trPr>
          <w:trHeight w:val="864"/>
        </w:trPr>
        <w:tc>
          <w:tcPr>
            <w:tcW w:w="7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10-K</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10.15</w:t>
            </w: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3/13/2020</w:t>
            </w:r>
          </w:p>
        </w:tc>
      </w:tr>
      <w:tr>
        <w:trPr>
          <w:trHeight w:val="864"/>
        </w:trPr>
        <w:tc>
          <w:tcPr>
            <w:tcW w:w="7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10.2</w:t>
            </w: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8/06/2020</w:t>
            </w:r>
          </w:p>
        </w:tc>
      </w:tr>
      <w:tr>
        <w:trPr>
          <w:trHeight w:val="864"/>
        </w:trPr>
        <w:tc>
          <w:tcPr>
            <w:tcW w:w="7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10-K</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2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10.7.10</w:t>
            </w: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3/2/2023</w:t>
            </w:r>
          </w:p>
        </w:tc>
      </w:tr>
      <w:tr>
        <w:trPr>
          <w:trHeight w:val="864"/>
        </w:trPr>
        <w:tc>
          <w:tcPr>
            <w:tcW w:w="7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S-1</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333-213569</w:t>
            </w: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10.17</w:t>
            </w: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864"/>
        </w:trPr>
        <w:tc>
          <w:tcPr>
            <w:tcW w:w="7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S-1</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333-213569</w:t>
            </w: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10.22</w:t>
            </w:r>
          </w:p>
        </w:tc>
        <w:tc>
          <w:tcPr>
            <w:tcW w:w="11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9/09/2016</w:t>
            </w:r>
          </w:p>
        </w:tc>
      </w:tr>
    </w:tbl>
    <w:p>
      <w:pPr>
        <w:sectPr>
          <w:pgSz w:w="11900" w:h="16838" w:orient="portrait"/>
          <w:cols w:equalWidth="0" w:num="2">
            <w:col w:w="5720" w:space="140"/>
            <w:col w:w="4920"/>
          </w:cols>
          <w:pgMar w:left="320" w:top="121" w:right="7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w:t>
            </w:r>
          </w:p>
        </w:tc>
        <w:tc>
          <w:tcPr>
            <w:tcW w:w="4380" w:type="dxa"/>
            <w:vAlign w:val="bottom"/>
            <w:gridSpan w:val="22"/>
          </w:tcPr>
          <w:p>
            <w:pPr>
              <w:ind w:left="20"/>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Sublease Agreement, dated January 31, 2017 by and</w:t>
              </w:r>
            </w:hyperlink>
          </w:p>
        </w:tc>
        <w:tc>
          <w:tcPr>
            <w:tcW w:w="8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8-K</w:t>
            </w:r>
          </w:p>
        </w:tc>
        <w:tc>
          <w:tcPr>
            <w:tcW w:w="1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001-37900</w:t>
            </w:r>
          </w:p>
        </w:tc>
        <w:tc>
          <w:tcPr>
            <w:tcW w:w="13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3/28/2017</w:t>
            </w:r>
          </w:p>
        </w:tc>
      </w:tr>
      <w:tr>
        <w:trPr>
          <w:trHeight w:val="20"/>
        </w:trPr>
        <w:tc>
          <w:tcPr>
            <w:tcW w:w="14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4040" w:type="dxa"/>
            <w:vAlign w:val="bottom"/>
            <w:tcBorders>
              <w:bottom w:val="single" w:sz="8" w:color="0000FF"/>
            </w:tcBorders>
            <w:gridSpan w:val="15"/>
          </w:tcPr>
          <w:p>
            <w:pPr>
              <w:ind w:left="20"/>
              <w:spacing w:after="0" w:line="19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between the registrant and NXP USA, Inc. and Consent</w:t>
              </w:r>
            </w:hyperlink>
          </w:p>
        </w:tc>
        <w:tc>
          <w:tcPr>
            <w:tcW w:w="34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4380" w:type="dxa"/>
            <w:vAlign w:val="bottom"/>
            <w:gridSpan w:val="22"/>
          </w:tcPr>
          <w:p>
            <w:pPr>
              <w:ind w:left="20"/>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to of Landlord to Sublease, dated March 10, 2017, by and</w:t>
              </w:r>
            </w:hyperlink>
          </w:p>
        </w:tc>
        <w:tc>
          <w:tcPr>
            <w:tcW w:w="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4100" w:type="dxa"/>
            <w:vAlign w:val="bottom"/>
            <w:tcBorders>
              <w:top w:val="single" w:sz="8" w:color="0000FF"/>
              <w:bottom w:val="single" w:sz="8" w:color="0000FF"/>
            </w:tcBorders>
            <w:gridSpan w:val="18"/>
          </w:tcPr>
          <w:p>
            <w:pPr>
              <w:ind w:left="20"/>
              <w:spacing w:after="0" w:line="19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among the registrant, NXP USA, Inc. and VWP-BV CM</w:t>
              </w:r>
            </w:hyperlink>
          </w:p>
        </w:tc>
        <w:tc>
          <w:tcPr>
            <w:tcW w:w="60" w:type="dxa"/>
            <w:vAlign w:val="bottom"/>
            <w:tcBorders>
              <w:top w:val="single" w:sz="8" w:color="0000FF"/>
            </w:tcBorders>
            <w:gridSpan w:val="2"/>
          </w:tcPr>
          <w:p>
            <w:pPr>
              <w:spacing w:after="0"/>
              <w:rPr>
                <w:sz w:val="17"/>
                <w:szCs w:val="17"/>
                <w:color w:val="auto"/>
              </w:rPr>
            </w:pPr>
          </w:p>
        </w:tc>
        <w:tc>
          <w:tcPr>
            <w:tcW w:w="22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4380" w:type="dxa"/>
            <w:vAlign w:val="bottom"/>
            <w:gridSpan w:val="22"/>
          </w:tcPr>
          <w:p>
            <w:pPr>
              <w:ind w:left="20"/>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5670, LLC.</w:t>
              </w:r>
            </w:hyperlink>
          </w:p>
        </w:tc>
        <w:tc>
          <w:tcPr>
            <w:tcW w:w="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10.10.1</w:t>
            </w:r>
          </w:p>
        </w:tc>
        <w:tc>
          <w:tcPr>
            <w:tcW w:w="4380" w:type="dxa"/>
            <w:vAlign w:val="bottom"/>
            <w:gridSpan w:val="22"/>
          </w:tcPr>
          <w:p>
            <w:pPr>
              <w:ind w:left="20"/>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First Amendment to Sublease Agreement, dated February</w:t>
              </w:r>
            </w:hyperlink>
          </w:p>
        </w:tc>
        <w:tc>
          <w:tcPr>
            <w:tcW w:w="8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8-K</w:t>
            </w:r>
          </w:p>
        </w:tc>
        <w:tc>
          <w:tcPr>
            <w:tcW w:w="1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001-37900</w:t>
            </w:r>
          </w:p>
        </w:tc>
        <w:tc>
          <w:tcPr>
            <w:tcW w:w="13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10.2</w:t>
            </w: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3/28/2017</w:t>
            </w:r>
          </w:p>
        </w:tc>
      </w:tr>
      <w:tr>
        <w:trPr>
          <w:trHeight w:val="196"/>
        </w:trPr>
        <w:tc>
          <w:tcPr>
            <w:tcW w:w="1420" w:type="dxa"/>
            <w:vAlign w:val="bottom"/>
          </w:tcPr>
          <w:p>
            <w:pPr>
              <w:spacing w:after="0"/>
              <w:rPr>
                <w:sz w:val="17"/>
                <w:szCs w:val="17"/>
                <w:color w:val="auto"/>
              </w:rPr>
            </w:pPr>
          </w:p>
        </w:tc>
        <w:tc>
          <w:tcPr>
            <w:tcW w:w="4020" w:type="dxa"/>
            <w:vAlign w:val="bottom"/>
            <w:tcBorders>
              <w:top w:val="single" w:sz="8" w:color="0000FF"/>
              <w:bottom w:val="single" w:sz="8" w:color="0000FF"/>
            </w:tcBorders>
            <w:gridSpan w:val="14"/>
          </w:tcPr>
          <w:p>
            <w:pPr>
              <w:ind w:left="20"/>
              <w:spacing w:after="0" w:line="19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13, 2017, by and between the registrant and NXP USA,</w:t>
              </w:r>
            </w:hyperlink>
          </w:p>
        </w:tc>
        <w:tc>
          <w:tcPr>
            <w:tcW w:w="140" w:type="dxa"/>
            <w:vAlign w:val="bottom"/>
            <w:tcBorders>
              <w:top w:val="single" w:sz="8" w:color="0000FF"/>
            </w:tcBorders>
            <w:gridSpan w:val="6"/>
          </w:tcPr>
          <w:p>
            <w:pPr>
              <w:spacing w:after="0"/>
              <w:rPr>
                <w:sz w:val="17"/>
                <w:szCs w:val="17"/>
                <w:color w:val="auto"/>
              </w:rPr>
            </w:pPr>
          </w:p>
        </w:tc>
        <w:tc>
          <w:tcPr>
            <w:tcW w:w="22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4160" w:type="dxa"/>
            <w:vAlign w:val="bottom"/>
            <w:tcBorders>
              <w:bottom w:val="single" w:sz="8" w:color="0000FF"/>
            </w:tcBorders>
            <w:gridSpan w:val="20"/>
          </w:tcPr>
          <w:p>
            <w:pPr>
              <w:ind w:left="20"/>
              <w:spacing w:after="0" w:line="19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Inc. and Consent of Landlord to Amendment to Sublease,</w:t>
              </w:r>
            </w:hyperlink>
          </w:p>
        </w:tc>
        <w:tc>
          <w:tcPr>
            <w:tcW w:w="22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4160" w:type="dxa"/>
            <w:vAlign w:val="bottom"/>
            <w:tcBorders>
              <w:bottom w:val="single" w:sz="8" w:color="0000FF"/>
            </w:tcBorders>
            <w:gridSpan w:val="20"/>
          </w:tcPr>
          <w:p>
            <w:pPr>
              <w:ind w:left="20"/>
              <w:spacing w:after="0" w:line="19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dated March 10, 2017, by and among the registrant, NXP</w:t>
              </w:r>
            </w:hyperlink>
          </w:p>
        </w:tc>
        <w:tc>
          <w:tcPr>
            <w:tcW w:w="22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3000" w:type="dxa"/>
            <w:vAlign w:val="bottom"/>
            <w:tcBorders>
              <w:bottom w:val="single" w:sz="8" w:color="0000FF"/>
            </w:tcBorders>
            <w:gridSpan w:val="4"/>
          </w:tcPr>
          <w:p>
            <w:pPr>
              <w:ind w:left="20"/>
              <w:spacing w:after="0" w:line="196" w:lineRule="exact"/>
              <w:rPr>
                <w:rFonts w:ascii="Times New Roman" w:cs="Times New Roman" w:eastAsia="Times New Roman" w:hAnsi="Times New Roman"/>
                <w:sz w:val="18"/>
                <w:szCs w:val="18"/>
                <w:color w:val="0000FF"/>
                <w:w w:val="98"/>
              </w:rPr>
            </w:pPr>
            <w:hyperlink r:id="rId139">
              <w:r>
                <w:rPr>
                  <w:rFonts w:ascii="Times New Roman" w:cs="Times New Roman" w:eastAsia="Times New Roman" w:hAnsi="Times New Roman"/>
                  <w:sz w:val="18"/>
                  <w:szCs w:val="18"/>
                  <w:color w:val="0000FF"/>
                  <w:w w:val="98"/>
                </w:rPr>
                <w:t>USA, Inc. and VWP-BV CM 5670, LLC.</w:t>
              </w:r>
            </w:hyperlink>
          </w:p>
        </w:tc>
        <w:tc>
          <w:tcPr>
            <w:tcW w:w="1380" w:type="dxa"/>
            <w:vAlign w:val="bottom"/>
            <w:gridSpan w:val="18"/>
          </w:tcPr>
          <w:p>
            <w:pPr>
              <w:spacing w:after="0"/>
              <w:rPr>
                <w:sz w:val="17"/>
                <w:szCs w:val="17"/>
                <w:color w:val="auto"/>
              </w:rPr>
            </w:pPr>
          </w:p>
        </w:tc>
        <w:tc>
          <w:tcPr>
            <w:tcW w:w="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412"/>
        </w:trPr>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10.10.2</w:t>
            </w:r>
          </w:p>
        </w:tc>
        <w:tc>
          <w:tcPr>
            <w:tcW w:w="4140" w:type="dxa"/>
            <w:vAlign w:val="bottom"/>
            <w:tcBorders>
              <w:bottom w:val="single" w:sz="8" w:color="0000FF"/>
            </w:tcBorders>
            <w:gridSpan w:val="19"/>
          </w:tcPr>
          <w:p>
            <w:pPr>
              <w:ind w:left="20"/>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Second Amendment to Sublease Agreement dated March</w:t>
              </w:r>
            </w:hyperlink>
          </w:p>
        </w:tc>
        <w:tc>
          <w:tcPr>
            <w:tcW w:w="240" w:type="dxa"/>
            <w:vAlign w:val="bottom"/>
            <w:gridSpan w:val="3"/>
          </w:tcPr>
          <w:p>
            <w:pPr>
              <w:spacing w:after="0"/>
              <w:rPr>
                <w:sz w:val="24"/>
                <w:szCs w:val="24"/>
                <w:color w:val="auto"/>
              </w:rPr>
            </w:pPr>
          </w:p>
        </w:tc>
        <w:tc>
          <w:tcPr>
            <w:tcW w:w="8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8-K</w:t>
            </w:r>
          </w:p>
        </w:tc>
        <w:tc>
          <w:tcPr>
            <w:tcW w:w="1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001-37900</w:t>
            </w:r>
          </w:p>
        </w:tc>
        <w:tc>
          <w:tcPr>
            <w:tcW w:w="13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10.3</w:t>
            </w: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3/28/2017</w:t>
            </w:r>
          </w:p>
        </w:tc>
      </w:tr>
      <w:tr>
        <w:trPr>
          <w:trHeight w:val="196"/>
        </w:trPr>
        <w:tc>
          <w:tcPr>
            <w:tcW w:w="1420" w:type="dxa"/>
            <w:vAlign w:val="bottom"/>
          </w:tcPr>
          <w:p>
            <w:pPr>
              <w:spacing w:after="0"/>
              <w:rPr>
                <w:sz w:val="17"/>
                <w:szCs w:val="17"/>
                <w:color w:val="auto"/>
              </w:rPr>
            </w:pPr>
          </w:p>
        </w:tc>
        <w:tc>
          <w:tcPr>
            <w:tcW w:w="3880" w:type="dxa"/>
            <w:vAlign w:val="bottom"/>
            <w:tcBorders>
              <w:bottom w:val="single" w:sz="8" w:color="0000FF"/>
            </w:tcBorders>
            <w:gridSpan w:val="9"/>
          </w:tcPr>
          <w:p>
            <w:pPr>
              <w:ind w:left="20"/>
              <w:spacing w:after="0" w:line="19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2, 2017 by and between the registrant and NXP USA,</w:t>
              </w:r>
            </w:hyperlink>
          </w:p>
        </w:tc>
        <w:tc>
          <w:tcPr>
            <w:tcW w:w="500" w:type="dxa"/>
            <w:vAlign w:val="bottom"/>
            <w:gridSpan w:val="13"/>
          </w:tcPr>
          <w:p>
            <w:pPr>
              <w:spacing w:after="0"/>
              <w:rPr>
                <w:sz w:val="17"/>
                <w:szCs w:val="17"/>
                <w:color w:val="auto"/>
              </w:rPr>
            </w:pPr>
          </w:p>
        </w:tc>
        <w:tc>
          <w:tcPr>
            <w:tcW w:w="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4000" w:type="dxa"/>
            <w:vAlign w:val="bottom"/>
            <w:tcBorders>
              <w:bottom w:val="single" w:sz="8" w:color="0000FF"/>
            </w:tcBorders>
            <w:gridSpan w:val="13"/>
          </w:tcPr>
          <w:p>
            <w:pPr>
              <w:ind w:left="20"/>
              <w:spacing w:after="0" w:line="19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Inc. and Consent of Landlord to Sublease, dated March</w:t>
              </w:r>
            </w:hyperlink>
          </w:p>
        </w:tc>
        <w:tc>
          <w:tcPr>
            <w:tcW w:w="380" w:type="dxa"/>
            <w:vAlign w:val="bottom"/>
            <w:gridSpan w:val="9"/>
          </w:tcPr>
          <w:p>
            <w:pPr>
              <w:spacing w:after="0"/>
              <w:rPr>
                <w:sz w:val="17"/>
                <w:szCs w:val="17"/>
                <w:color w:val="auto"/>
              </w:rPr>
            </w:pPr>
          </w:p>
        </w:tc>
        <w:tc>
          <w:tcPr>
            <w:tcW w:w="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3960" w:type="dxa"/>
            <w:vAlign w:val="bottom"/>
            <w:tcBorders>
              <w:bottom w:val="single" w:sz="8" w:color="0000FF"/>
            </w:tcBorders>
            <w:gridSpan w:val="11"/>
          </w:tcPr>
          <w:p>
            <w:pPr>
              <w:ind w:left="20"/>
              <w:spacing w:after="0" w:line="19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10, 2017, by and among the registrant, NXP USA, Inc.</w:t>
              </w:r>
            </w:hyperlink>
          </w:p>
        </w:tc>
        <w:tc>
          <w:tcPr>
            <w:tcW w:w="420" w:type="dxa"/>
            <w:vAlign w:val="bottom"/>
            <w:gridSpan w:val="11"/>
          </w:tcPr>
          <w:p>
            <w:pPr>
              <w:spacing w:after="0"/>
              <w:rPr>
                <w:sz w:val="17"/>
                <w:szCs w:val="17"/>
                <w:color w:val="auto"/>
              </w:rPr>
            </w:pPr>
          </w:p>
        </w:tc>
        <w:tc>
          <w:tcPr>
            <w:tcW w:w="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4380" w:type="dxa"/>
            <w:vAlign w:val="bottom"/>
            <w:gridSpan w:val="22"/>
          </w:tcPr>
          <w:p>
            <w:pPr>
              <w:ind w:left="20"/>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and VWP-BV CM 5670, LLC.</w:t>
              </w:r>
            </w:hyperlink>
          </w:p>
        </w:tc>
        <w:tc>
          <w:tcPr>
            <w:tcW w:w="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10.10.3</w:t>
            </w:r>
          </w:p>
        </w:tc>
        <w:tc>
          <w:tcPr>
            <w:tcW w:w="4380" w:type="dxa"/>
            <w:vAlign w:val="bottom"/>
            <w:gridSpan w:val="22"/>
          </w:tcPr>
          <w:p>
            <w:pPr>
              <w:ind w:left="20"/>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Third Amendment to Sublease Agreement, dated October</w:t>
              </w:r>
            </w:hyperlink>
          </w:p>
        </w:tc>
        <w:tc>
          <w:tcPr>
            <w:tcW w:w="8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10-K</w:t>
            </w:r>
          </w:p>
        </w:tc>
        <w:tc>
          <w:tcPr>
            <w:tcW w:w="1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001-37900</w:t>
            </w:r>
          </w:p>
        </w:tc>
        <w:tc>
          <w:tcPr>
            <w:tcW w:w="13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10.39</w:t>
            </w: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3/15/2018</w:t>
            </w:r>
          </w:p>
        </w:tc>
      </w:tr>
      <w:tr>
        <w:trPr>
          <w:trHeight w:val="196"/>
        </w:trPr>
        <w:tc>
          <w:tcPr>
            <w:tcW w:w="1420" w:type="dxa"/>
            <w:vAlign w:val="bottom"/>
          </w:tcPr>
          <w:p>
            <w:pPr>
              <w:spacing w:after="0"/>
              <w:rPr>
                <w:sz w:val="17"/>
                <w:szCs w:val="17"/>
                <w:color w:val="auto"/>
              </w:rPr>
            </w:pPr>
          </w:p>
        </w:tc>
        <w:tc>
          <w:tcPr>
            <w:tcW w:w="3980" w:type="dxa"/>
            <w:vAlign w:val="bottom"/>
            <w:tcBorders>
              <w:top w:val="single" w:sz="8" w:color="0000FF"/>
              <w:bottom w:val="single" w:sz="8" w:color="0000FF"/>
            </w:tcBorders>
            <w:gridSpan w:val="12"/>
          </w:tcPr>
          <w:p>
            <w:pPr>
              <w:ind w:left="20"/>
              <w:spacing w:after="0" w:line="19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17, 2017 by and between the registrant and NXP USA,</w:t>
              </w:r>
            </w:hyperlink>
          </w:p>
        </w:tc>
        <w:tc>
          <w:tcPr>
            <w:tcW w:w="180" w:type="dxa"/>
            <w:vAlign w:val="bottom"/>
            <w:tcBorders>
              <w:top w:val="single" w:sz="8" w:color="0000FF"/>
            </w:tcBorders>
            <w:gridSpan w:val="8"/>
          </w:tcPr>
          <w:p>
            <w:pPr>
              <w:spacing w:after="0"/>
              <w:rPr>
                <w:sz w:val="17"/>
                <w:szCs w:val="17"/>
                <w:color w:val="auto"/>
              </w:rPr>
            </w:pPr>
          </w:p>
        </w:tc>
        <w:tc>
          <w:tcPr>
            <w:tcW w:w="22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4000" w:type="dxa"/>
            <w:vAlign w:val="bottom"/>
            <w:tcBorders>
              <w:bottom w:val="single" w:sz="8" w:color="0000FF"/>
            </w:tcBorders>
            <w:gridSpan w:val="13"/>
          </w:tcPr>
          <w:p>
            <w:pPr>
              <w:ind w:left="20"/>
              <w:spacing w:after="0" w:line="19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Inc. and Consent of Landlord to Sublease, dated March</w:t>
              </w:r>
            </w:hyperlink>
          </w:p>
        </w:tc>
        <w:tc>
          <w:tcPr>
            <w:tcW w:w="380" w:type="dxa"/>
            <w:vAlign w:val="bottom"/>
            <w:gridSpan w:val="9"/>
          </w:tcPr>
          <w:p>
            <w:pPr>
              <w:spacing w:after="0"/>
              <w:rPr>
                <w:sz w:val="17"/>
                <w:szCs w:val="17"/>
                <w:color w:val="auto"/>
              </w:rPr>
            </w:pPr>
          </w:p>
        </w:tc>
        <w:tc>
          <w:tcPr>
            <w:tcW w:w="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3960" w:type="dxa"/>
            <w:vAlign w:val="bottom"/>
            <w:tcBorders>
              <w:bottom w:val="single" w:sz="8" w:color="0000FF"/>
            </w:tcBorders>
            <w:gridSpan w:val="11"/>
          </w:tcPr>
          <w:p>
            <w:pPr>
              <w:ind w:left="20"/>
              <w:spacing w:after="0" w:line="19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10, 2017, by and among the registrant, NXP USA, Inc.</w:t>
              </w:r>
            </w:hyperlink>
          </w:p>
        </w:tc>
        <w:tc>
          <w:tcPr>
            <w:tcW w:w="420" w:type="dxa"/>
            <w:vAlign w:val="bottom"/>
            <w:gridSpan w:val="11"/>
          </w:tcPr>
          <w:p>
            <w:pPr>
              <w:spacing w:after="0"/>
              <w:rPr>
                <w:sz w:val="17"/>
                <w:szCs w:val="17"/>
                <w:color w:val="auto"/>
              </w:rPr>
            </w:pPr>
          </w:p>
        </w:tc>
        <w:tc>
          <w:tcPr>
            <w:tcW w:w="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4380" w:type="dxa"/>
            <w:vAlign w:val="bottom"/>
            <w:gridSpan w:val="22"/>
          </w:tcPr>
          <w:p>
            <w:pPr>
              <w:ind w:left="20"/>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and VWP-BV CM 5670, LLC.</w:t>
              </w:r>
            </w:hyperlink>
          </w:p>
        </w:tc>
        <w:tc>
          <w:tcPr>
            <w:tcW w:w="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w:t>
            </w:r>
          </w:p>
        </w:tc>
        <w:tc>
          <w:tcPr>
            <w:tcW w:w="4080" w:type="dxa"/>
            <w:vAlign w:val="bottom"/>
            <w:tcBorders>
              <w:bottom w:val="single" w:sz="8" w:color="0000FF"/>
            </w:tcBorders>
            <w:gridSpan w:val="17"/>
          </w:tcPr>
          <w:p>
            <w:pPr>
              <w:ind w:left="20"/>
              <w:spacing w:after="0"/>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STT-MRAM Joint Development Agreement, dated as of</w:t>
              </w:r>
            </w:hyperlink>
          </w:p>
        </w:tc>
        <w:tc>
          <w:tcPr>
            <w:tcW w:w="300" w:type="dxa"/>
            <w:vAlign w:val="bottom"/>
            <w:gridSpan w:val="5"/>
          </w:tcPr>
          <w:p>
            <w:pPr>
              <w:spacing w:after="0"/>
              <w:rPr>
                <w:sz w:val="24"/>
                <w:szCs w:val="24"/>
                <w:color w:val="auto"/>
              </w:rPr>
            </w:pPr>
          </w:p>
        </w:tc>
        <w:tc>
          <w:tcPr>
            <w:tcW w:w="8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10-Q</w:t>
            </w:r>
          </w:p>
        </w:tc>
        <w:tc>
          <w:tcPr>
            <w:tcW w:w="1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001-37900</w:t>
            </w:r>
          </w:p>
        </w:tc>
        <w:tc>
          <w:tcPr>
            <w:tcW w:w="13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11/2/2023</w:t>
            </w:r>
          </w:p>
        </w:tc>
      </w:tr>
      <w:tr>
        <w:trPr>
          <w:trHeight w:val="196"/>
        </w:trPr>
        <w:tc>
          <w:tcPr>
            <w:tcW w:w="1420" w:type="dxa"/>
            <w:vAlign w:val="bottom"/>
          </w:tcPr>
          <w:p>
            <w:pPr>
              <w:spacing w:after="0"/>
              <w:rPr>
                <w:sz w:val="17"/>
                <w:szCs w:val="17"/>
                <w:color w:val="auto"/>
              </w:rPr>
            </w:pPr>
          </w:p>
        </w:tc>
        <w:tc>
          <w:tcPr>
            <w:tcW w:w="3780" w:type="dxa"/>
            <w:vAlign w:val="bottom"/>
            <w:tcBorders>
              <w:bottom w:val="single" w:sz="8" w:color="0000FF"/>
            </w:tcBorders>
            <w:gridSpan w:val="8"/>
          </w:tcPr>
          <w:p>
            <w:pPr>
              <w:ind w:left="20"/>
              <w:spacing w:after="0" w:line="19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October 17, 2014 by and between the registrant and</w:t>
              </w:r>
            </w:hyperlink>
          </w:p>
        </w:tc>
        <w:tc>
          <w:tcPr>
            <w:tcW w:w="600" w:type="dxa"/>
            <w:vAlign w:val="bottom"/>
            <w:gridSpan w:val="14"/>
          </w:tcPr>
          <w:p>
            <w:pPr>
              <w:spacing w:after="0"/>
              <w:rPr>
                <w:sz w:val="17"/>
                <w:szCs w:val="17"/>
                <w:color w:val="auto"/>
              </w:rPr>
            </w:pPr>
          </w:p>
        </w:tc>
        <w:tc>
          <w:tcPr>
            <w:tcW w:w="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4380" w:type="dxa"/>
            <w:vAlign w:val="bottom"/>
            <w:gridSpan w:val="22"/>
          </w:tcPr>
          <w:p>
            <w:pPr>
              <w:ind w:left="20"/>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GLOBALFOUNDRIES Inc.</w:t>
              </w:r>
            </w:hyperlink>
          </w:p>
        </w:tc>
        <w:tc>
          <w:tcPr>
            <w:tcW w:w="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10.11.1++</w:t>
            </w:r>
          </w:p>
        </w:tc>
        <w:tc>
          <w:tcPr>
            <w:tcW w:w="4380" w:type="dxa"/>
            <w:vAlign w:val="bottom"/>
            <w:gridSpan w:val="22"/>
          </w:tcPr>
          <w:p>
            <w:pPr>
              <w:ind w:left="20"/>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Amendment No. 1 to the STT-MRAM Joint Development</w:t>
              </w:r>
            </w:hyperlink>
          </w:p>
        </w:tc>
        <w:tc>
          <w:tcPr>
            <w:tcW w:w="8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10-Q</w:t>
            </w:r>
          </w:p>
        </w:tc>
        <w:tc>
          <w:tcPr>
            <w:tcW w:w="1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001-37900</w:t>
            </w:r>
          </w:p>
        </w:tc>
        <w:tc>
          <w:tcPr>
            <w:tcW w:w="13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10.2</w:t>
            </w: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11/2/2023</w:t>
            </w:r>
          </w:p>
        </w:tc>
      </w:tr>
      <w:tr>
        <w:trPr>
          <w:trHeight w:val="196"/>
        </w:trPr>
        <w:tc>
          <w:tcPr>
            <w:tcW w:w="1420" w:type="dxa"/>
            <w:vAlign w:val="bottom"/>
          </w:tcPr>
          <w:p>
            <w:pPr>
              <w:spacing w:after="0"/>
              <w:rPr>
                <w:sz w:val="17"/>
                <w:szCs w:val="17"/>
                <w:color w:val="auto"/>
              </w:rPr>
            </w:pPr>
          </w:p>
        </w:tc>
        <w:tc>
          <w:tcPr>
            <w:tcW w:w="4180" w:type="dxa"/>
            <w:vAlign w:val="bottom"/>
            <w:tcBorders>
              <w:top w:val="single" w:sz="8" w:color="0000FF"/>
            </w:tcBorders>
            <w:gridSpan w:val="21"/>
          </w:tcPr>
          <w:p>
            <w:pPr>
              <w:ind w:left="20"/>
              <w:spacing w:after="0" w:line="19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Agreement, dated as of May 27, 2016 by and between the</w:t>
              </w:r>
            </w:hyperlink>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3100" w:type="dxa"/>
            <w:vAlign w:val="bottom"/>
            <w:tcBorders>
              <w:top w:val="single" w:sz="8" w:color="0000FF"/>
              <w:bottom w:val="single" w:sz="8" w:color="0000FF"/>
            </w:tcBorders>
            <w:gridSpan w:val="5"/>
          </w:tcPr>
          <w:p>
            <w:pPr>
              <w:ind w:left="20"/>
              <w:spacing w:after="0" w:line="19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registrant and GLOBALFOUNDRIES Inc.</w:t>
              </w:r>
            </w:hyperlink>
          </w:p>
        </w:tc>
        <w:tc>
          <w:tcPr>
            <w:tcW w:w="1060" w:type="dxa"/>
            <w:vAlign w:val="bottom"/>
            <w:tcBorders>
              <w:top w:val="single" w:sz="8" w:color="0000FF"/>
            </w:tcBorders>
            <w:gridSpan w:val="15"/>
          </w:tcPr>
          <w:p>
            <w:pPr>
              <w:spacing w:after="0"/>
              <w:rPr>
                <w:sz w:val="17"/>
                <w:szCs w:val="17"/>
                <w:color w:val="auto"/>
              </w:rPr>
            </w:pPr>
          </w:p>
        </w:tc>
        <w:tc>
          <w:tcPr>
            <w:tcW w:w="22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412"/>
        </w:trPr>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10.11.2++</w:t>
            </w:r>
          </w:p>
        </w:tc>
        <w:tc>
          <w:tcPr>
            <w:tcW w:w="4380" w:type="dxa"/>
            <w:vAlign w:val="bottom"/>
            <w:gridSpan w:val="22"/>
          </w:tcPr>
          <w:p>
            <w:pPr>
              <w:ind w:left="20"/>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Amendment No. 2 to the STT-MRAM Joint Development</w:t>
              </w:r>
            </w:hyperlink>
          </w:p>
        </w:tc>
        <w:tc>
          <w:tcPr>
            <w:tcW w:w="8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10-K</w:t>
            </w:r>
          </w:p>
        </w:tc>
        <w:tc>
          <w:tcPr>
            <w:tcW w:w="1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001-37900</w:t>
            </w:r>
          </w:p>
        </w:tc>
        <w:tc>
          <w:tcPr>
            <w:tcW w:w="13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6"/>
              </w:rPr>
              <w:t>10.11.2</w:t>
            </w: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3/04/2021</w:t>
            </w:r>
          </w:p>
        </w:tc>
      </w:tr>
      <w:tr>
        <w:trPr>
          <w:trHeight w:val="196"/>
        </w:trPr>
        <w:tc>
          <w:tcPr>
            <w:tcW w:w="1420" w:type="dxa"/>
            <w:vAlign w:val="bottom"/>
          </w:tcPr>
          <w:p>
            <w:pPr>
              <w:spacing w:after="0"/>
              <w:rPr>
                <w:sz w:val="17"/>
                <w:szCs w:val="17"/>
                <w:color w:val="auto"/>
              </w:rPr>
            </w:pPr>
          </w:p>
        </w:tc>
        <w:tc>
          <w:tcPr>
            <w:tcW w:w="4180" w:type="dxa"/>
            <w:vAlign w:val="bottom"/>
            <w:tcBorders>
              <w:top w:val="single" w:sz="8" w:color="0000FF"/>
            </w:tcBorders>
            <w:gridSpan w:val="21"/>
          </w:tcPr>
          <w:p>
            <w:pPr>
              <w:ind w:left="20"/>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Agreement, effective as of July 25, 2017 by and between</w:t>
              </w:r>
            </w:hyperlink>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4100" w:type="dxa"/>
            <w:vAlign w:val="bottom"/>
            <w:tcBorders>
              <w:top w:val="single" w:sz="8" w:color="0000FF"/>
            </w:tcBorders>
            <w:gridSpan w:val="18"/>
          </w:tcPr>
          <w:p>
            <w:pPr>
              <w:ind w:left="20"/>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the registrant and GLOBALFOUNDRIES Inc.</w:t>
              </w:r>
            </w:hyperlink>
          </w:p>
        </w:tc>
        <w:tc>
          <w:tcPr>
            <w:tcW w:w="28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3360" w:type="dxa"/>
            <w:vAlign w:val="bottom"/>
            <w:gridSpan w:val="6"/>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10.11.3++</w:t>
            </w:r>
          </w:p>
        </w:tc>
        <w:tc>
          <w:tcPr>
            <w:tcW w:w="4380" w:type="dxa"/>
            <w:vAlign w:val="bottom"/>
            <w:gridSpan w:val="22"/>
          </w:tcPr>
          <w:p>
            <w:pPr>
              <w:ind w:left="20"/>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Amendment No. 3 to the STT-MRAM Joint Development</w:t>
              </w:r>
            </w:hyperlink>
          </w:p>
        </w:tc>
        <w:tc>
          <w:tcPr>
            <w:tcW w:w="8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10-Q</w:t>
            </w:r>
          </w:p>
        </w:tc>
        <w:tc>
          <w:tcPr>
            <w:tcW w:w="1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001-37900</w:t>
            </w:r>
          </w:p>
        </w:tc>
        <w:tc>
          <w:tcPr>
            <w:tcW w:w="13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10.3</w:t>
            </w: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11/2/2023</w:t>
            </w:r>
          </w:p>
        </w:tc>
      </w:tr>
      <w:tr>
        <w:trPr>
          <w:trHeight w:val="196"/>
        </w:trPr>
        <w:tc>
          <w:tcPr>
            <w:tcW w:w="1420" w:type="dxa"/>
            <w:vAlign w:val="bottom"/>
          </w:tcPr>
          <w:p>
            <w:pPr>
              <w:spacing w:after="0"/>
              <w:rPr>
                <w:sz w:val="17"/>
                <w:szCs w:val="17"/>
                <w:color w:val="auto"/>
              </w:rPr>
            </w:pPr>
          </w:p>
        </w:tc>
        <w:tc>
          <w:tcPr>
            <w:tcW w:w="3640" w:type="dxa"/>
            <w:vAlign w:val="bottom"/>
            <w:tcBorders>
              <w:top w:val="single" w:sz="8" w:color="0000FF"/>
              <w:bottom w:val="single" w:sz="8" w:color="0000FF"/>
            </w:tcBorders>
            <w:gridSpan w:val="7"/>
          </w:tcPr>
          <w:p>
            <w:pPr>
              <w:ind w:left="20"/>
              <w:spacing w:after="0" w:line="19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Agreement, effective as of January 1, 2018 by and</w:t>
              </w:r>
            </w:hyperlink>
          </w:p>
        </w:tc>
        <w:tc>
          <w:tcPr>
            <w:tcW w:w="540" w:type="dxa"/>
            <w:vAlign w:val="bottom"/>
            <w:tcBorders>
              <w:top w:val="single" w:sz="8" w:color="0000FF"/>
            </w:tcBorders>
            <w:gridSpan w:val="14"/>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4380" w:type="dxa"/>
            <w:vAlign w:val="bottom"/>
            <w:gridSpan w:val="22"/>
          </w:tcPr>
          <w:p>
            <w:pPr>
              <w:ind w:left="20"/>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between the registrant and GLOBALFOUNDRIES Inc.</w:t>
              </w:r>
            </w:hyperlink>
          </w:p>
        </w:tc>
        <w:tc>
          <w:tcPr>
            <w:tcW w:w="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3900" w:type="dxa"/>
            <w:vAlign w:val="bottom"/>
            <w:gridSpan w:val="10"/>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10.11.4++</w:t>
            </w:r>
          </w:p>
        </w:tc>
        <w:tc>
          <w:tcPr>
            <w:tcW w:w="4380" w:type="dxa"/>
            <w:vAlign w:val="bottom"/>
            <w:gridSpan w:val="22"/>
          </w:tcPr>
          <w:p>
            <w:pPr>
              <w:ind w:left="20"/>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Amendment No. 4 to the STT-MRAM Joint Development</w:t>
              </w:r>
            </w:hyperlink>
          </w:p>
        </w:tc>
        <w:tc>
          <w:tcPr>
            <w:tcW w:w="8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10-K</w:t>
            </w:r>
          </w:p>
        </w:tc>
        <w:tc>
          <w:tcPr>
            <w:tcW w:w="1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001-37900</w:t>
            </w:r>
          </w:p>
        </w:tc>
        <w:tc>
          <w:tcPr>
            <w:tcW w:w="13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6"/>
              </w:rPr>
              <w:t>10.11.4</w:t>
            </w:r>
          </w:p>
        </w:tc>
        <w:tc>
          <w:tcPr>
            <w:tcW w:w="1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3/04/2021</w:t>
            </w:r>
          </w:p>
        </w:tc>
      </w:tr>
      <w:tr>
        <w:trPr>
          <w:trHeight w:val="196"/>
        </w:trPr>
        <w:tc>
          <w:tcPr>
            <w:tcW w:w="1420" w:type="dxa"/>
            <w:vAlign w:val="bottom"/>
          </w:tcPr>
          <w:p>
            <w:pPr>
              <w:spacing w:after="0"/>
              <w:rPr>
                <w:sz w:val="17"/>
                <w:szCs w:val="17"/>
                <w:color w:val="auto"/>
              </w:rPr>
            </w:pPr>
          </w:p>
        </w:tc>
        <w:tc>
          <w:tcPr>
            <w:tcW w:w="4180" w:type="dxa"/>
            <w:vAlign w:val="bottom"/>
            <w:tcBorders>
              <w:top w:val="single" w:sz="8" w:color="0000FF"/>
            </w:tcBorders>
            <w:gridSpan w:val="21"/>
          </w:tcPr>
          <w:p>
            <w:pPr>
              <w:ind w:left="20"/>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Agreement, effective as of December 31, 2019 by and</w:t>
              </w:r>
            </w:hyperlink>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3900" w:type="dxa"/>
            <w:vAlign w:val="bottom"/>
            <w:gridSpan w:val="10"/>
            <w:shd w:val="clear" w:color="auto" w:fill="0000FF"/>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4060" w:type="dxa"/>
            <w:vAlign w:val="bottom"/>
            <w:tcBorders>
              <w:bottom w:val="single" w:sz="8" w:color="0000FF"/>
            </w:tcBorders>
            <w:gridSpan w:val="16"/>
          </w:tcPr>
          <w:p>
            <w:pPr>
              <w:ind w:left="20"/>
              <w:spacing w:after="0" w:line="19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between the registrant and GLOBALFOUNDRIES, Inc.</w:t>
              </w:r>
            </w:hyperlink>
          </w:p>
        </w:tc>
        <w:tc>
          <w:tcPr>
            <w:tcW w:w="320" w:type="dxa"/>
            <w:vAlign w:val="bottom"/>
            <w:gridSpan w:val="6"/>
          </w:tcPr>
          <w:p>
            <w:pPr>
              <w:spacing w:after="0"/>
              <w:rPr>
                <w:sz w:val="17"/>
                <w:szCs w:val="17"/>
                <w:color w:val="auto"/>
              </w:rPr>
            </w:pPr>
          </w:p>
        </w:tc>
        <w:tc>
          <w:tcPr>
            <w:tcW w:w="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939"/>
        </w:trPr>
        <w:tc>
          <w:tcPr>
            <w:tcW w:w="1420" w:type="dxa"/>
            <w:vAlign w:val="bottom"/>
          </w:tcPr>
          <w:p>
            <w:pPr>
              <w:spacing w:after="0"/>
              <w:rPr>
                <w:sz w:val="24"/>
                <w:szCs w:val="24"/>
                <w:color w:val="auto"/>
              </w:rPr>
            </w:pPr>
          </w:p>
        </w:tc>
        <w:tc>
          <w:tcPr>
            <w:tcW w:w="4380" w:type="dxa"/>
            <w:vAlign w:val="bottom"/>
            <w:gridSpan w:val="22"/>
          </w:tcPr>
          <w:p>
            <w:pPr>
              <w:ind w:left="4120"/>
              <w:spacing w:after="0"/>
              <w:rPr>
                <w:sz w:val="20"/>
                <w:szCs w:val="20"/>
                <w:color w:val="auto"/>
              </w:rPr>
            </w:pPr>
            <w:r>
              <w:rPr>
                <w:rFonts w:ascii="Times New Roman" w:cs="Times New Roman" w:eastAsia="Times New Roman" w:hAnsi="Times New Roman"/>
                <w:sz w:val="18"/>
                <w:szCs w:val="18"/>
                <w:color w:val="auto"/>
              </w:rPr>
              <w:t>69</w:t>
            </w: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90"/>
        </w:trPr>
        <w:tc>
          <w:tcPr>
            <w:tcW w:w="14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w:t>
            </w:r>
          </w:p>
        </w:tc>
        <w:tc>
          <w:tcPr>
            <w:tcW w:w="41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Manufacturing Agreement, dated as of October 23, 2014</w:t>
              </w:r>
            </w:hyperlink>
          </w:p>
        </w:tc>
        <w:tc>
          <w:tcPr>
            <w:tcW w:w="20" w:type="dxa"/>
            <w:vAlign w:val="bottom"/>
          </w:tcPr>
          <w:p>
            <w:pPr>
              <w:spacing w:after="0"/>
              <w:rPr>
                <w:sz w:val="17"/>
                <w:szCs w:val="17"/>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S-1</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333-213569</w:t>
            </w:r>
          </w:p>
        </w:tc>
        <w:tc>
          <w:tcPr>
            <w:tcW w:w="13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10.20</w:t>
            </w:r>
          </w:p>
        </w:tc>
        <w:tc>
          <w:tcPr>
            <w:tcW w:w="1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9/09/2016</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24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8"/>
              </w:rPr>
            </w:pPr>
            <w:hyperlink r:id="rId149">
              <w:r>
                <w:rPr>
                  <w:rFonts w:ascii="Times New Roman" w:cs="Times New Roman" w:eastAsia="Times New Roman" w:hAnsi="Times New Roman"/>
                  <w:sz w:val="18"/>
                  <w:szCs w:val="18"/>
                  <w:color w:val="0000FF"/>
                  <w:w w:val="98"/>
                </w:rPr>
                <w:t>by and between the registrant and</w:t>
              </w:r>
            </w:hyperlink>
          </w:p>
        </w:tc>
        <w:tc>
          <w:tcPr>
            <w:tcW w:w="1700" w:type="dxa"/>
            <w:vAlign w:val="bottom"/>
            <w:gridSpan w:val="21"/>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31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GLOBALFOUNDRIES Singapore Pte. Ltd.</w:t>
              </w:r>
            </w:hyperlink>
          </w:p>
        </w:tc>
        <w:tc>
          <w:tcPr>
            <w:tcW w:w="940" w:type="dxa"/>
            <w:vAlign w:val="bottom"/>
            <w:gridSpan w:val="18"/>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10.13</w:t>
            </w:r>
          </w:p>
        </w:tc>
        <w:tc>
          <w:tcPr>
            <w:tcW w:w="4120" w:type="dxa"/>
            <w:vAlign w:val="bottom"/>
            <w:gridSpan w:val="31"/>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Restricted Stock Purchase Agreement, dated as of</w:t>
              </w:r>
            </w:hyperlink>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S-1</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333-213569</w:t>
            </w:r>
          </w:p>
        </w:tc>
        <w:tc>
          <w:tcPr>
            <w:tcW w:w="13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10.21</w:t>
            </w:r>
          </w:p>
        </w:tc>
        <w:tc>
          <w:tcPr>
            <w:tcW w:w="1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9/09/2016</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372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October 21, 2014 by and between the registrant and</w:t>
              </w:r>
            </w:hyperlink>
          </w:p>
        </w:tc>
        <w:tc>
          <w:tcPr>
            <w:tcW w:w="400" w:type="dxa"/>
            <w:vAlign w:val="bottom"/>
            <w:gridSpan w:val="12"/>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20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GLOBALFOUNDRIES Inc.</w:t>
              </w:r>
            </w:hyperlink>
          </w:p>
        </w:tc>
        <w:tc>
          <w:tcPr>
            <w:tcW w:w="2060" w:type="dxa"/>
            <w:vAlign w:val="bottom"/>
            <w:gridSpan w:val="24"/>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10.14</w:t>
            </w:r>
          </w:p>
        </w:tc>
        <w:tc>
          <w:tcPr>
            <w:tcW w:w="4120" w:type="dxa"/>
            <w:vAlign w:val="bottom"/>
            <w:gridSpan w:val="31"/>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Common Stock Purchase Agreement, dated as of</w:t>
              </w:r>
            </w:hyperlink>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S-1/A</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333-213569</w:t>
            </w:r>
          </w:p>
        </w:tc>
        <w:tc>
          <w:tcPr>
            <w:tcW w:w="13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10.23</w:t>
            </w:r>
          </w:p>
        </w:tc>
        <w:tc>
          <w:tcPr>
            <w:tcW w:w="1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9/26/2016</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4120" w:type="dxa"/>
            <w:vAlign w:val="bottom"/>
            <w:gridSpan w:val="31"/>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September 23, 2016 by and between the registrant and</w:t>
              </w:r>
            </w:hyperlink>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194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8"/>
              </w:rPr>
            </w:pPr>
            <w:hyperlink r:id="rId151">
              <w:r>
                <w:rPr>
                  <w:rFonts w:ascii="Times New Roman" w:cs="Times New Roman" w:eastAsia="Times New Roman" w:hAnsi="Times New Roman"/>
                  <w:sz w:val="18"/>
                  <w:szCs w:val="18"/>
                  <w:color w:val="0000FF"/>
                  <w:w w:val="98"/>
                </w:rPr>
                <w:t>GigaDevice (HK) Limited.</w:t>
              </w:r>
            </w:hyperlink>
          </w:p>
        </w:tc>
        <w:tc>
          <w:tcPr>
            <w:tcW w:w="1960" w:type="dxa"/>
            <w:vAlign w:val="bottom"/>
            <w:tcBorders>
              <w:top w:val="single" w:sz="8" w:color="0000FF"/>
            </w:tcBorders>
            <w:gridSpan w:val="17"/>
          </w:tcPr>
          <w:p>
            <w:pPr>
              <w:spacing w:after="0"/>
              <w:rPr>
                <w:sz w:val="17"/>
                <w:szCs w:val="17"/>
                <w:color w:val="auto"/>
              </w:rPr>
            </w:pPr>
          </w:p>
        </w:tc>
        <w:tc>
          <w:tcPr>
            <w:tcW w:w="220" w:type="dxa"/>
            <w:vAlign w:val="bottom"/>
            <w:gridSpan w:val="8"/>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10.15</w:t>
            </w:r>
          </w:p>
        </w:tc>
        <w:tc>
          <w:tcPr>
            <w:tcW w:w="4120" w:type="dxa"/>
            <w:vAlign w:val="bottom"/>
            <w:gridSpan w:val="31"/>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Subcontract Agreement, dated as of October 3, 2022, by</w:t>
              </w:r>
            </w:hyperlink>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3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10.2</w:t>
            </w:r>
          </w:p>
        </w:tc>
        <w:tc>
          <w:tcPr>
            <w:tcW w:w="15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11/10/2022</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406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and between the registrant and QuickLogic Corporation.</w:t>
              </w:r>
            </w:hyperlink>
          </w:p>
        </w:tc>
        <w:tc>
          <w:tcPr>
            <w:tcW w:w="6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10.16†</w:t>
            </w:r>
          </w:p>
        </w:tc>
        <w:tc>
          <w:tcPr>
            <w:tcW w:w="37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Non-employee Director Compensation Program, as</w:t>
              </w:r>
            </w:hyperlink>
          </w:p>
        </w:tc>
        <w:tc>
          <w:tcPr>
            <w:tcW w:w="420" w:type="dxa"/>
            <w:vAlign w:val="bottom"/>
            <w:gridSpan w:val="13"/>
          </w:tcPr>
          <w:p>
            <w:pPr>
              <w:spacing w:after="0"/>
              <w:rPr>
                <w:sz w:val="24"/>
                <w:szCs w:val="24"/>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3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1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5/4/2023</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120" w:type="dxa"/>
            <w:vAlign w:val="bottom"/>
            <w:gridSpan w:val="31"/>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Amended.</w:t>
              </w:r>
            </w:hyperlink>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10.17†</w:t>
            </w:r>
          </w:p>
        </w:tc>
        <w:tc>
          <w:tcPr>
            <w:tcW w:w="4120" w:type="dxa"/>
            <w:vAlign w:val="bottom"/>
            <w:gridSpan w:val="31"/>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Offer Letter, dated December 30, 2020, by and between</w:t>
              </w:r>
            </w:hyperlink>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3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10.26</w:t>
            </w:r>
          </w:p>
        </w:tc>
        <w:tc>
          <w:tcPr>
            <w:tcW w:w="1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3/04/2021</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2540" w:type="dxa"/>
            <w:vAlign w:val="bottom"/>
            <w:tcBorders>
              <w:top w:val="single" w:sz="8" w:color="0000FF"/>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the registrant and Darin Billerbeck.</w:t>
              </w:r>
            </w:hyperlink>
          </w:p>
        </w:tc>
        <w:tc>
          <w:tcPr>
            <w:tcW w:w="1460" w:type="dxa"/>
            <w:vAlign w:val="bottom"/>
            <w:tcBorders>
              <w:top w:val="single" w:sz="8" w:color="0000FF"/>
            </w:tcBorders>
            <w:gridSpan w:val="14"/>
          </w:tcPr>
          <w:p>
            <w:pPr>
              <w:spacing w:after="0"/>
              <w:rPr>
                <w:sz w:val="17"/>
                <w:szCs w:val="17"/>
                <w:color w:val="auto"/>
              </w:rPr>
            </w:pPr>
          </w:p>
        </w:tc>
        <w:tc>
          <w:tcPr>
            <w:tcW w:w="120" w:type="dxa"/>
            <w:vAlign w:val="bottom"/>
            <w:gridSpan w:val="5"/>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10.18†</w:t>
            </w:r>
          </w:p>
        </w:tc>
        <w:tc>
          <w:tcPr>
            <w:tcW w:w="4120" w:type="dxa"/>
            <w:vAlign w:val="bottom"/>
            <w:gridSpan w:val="31"/>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Executive Employment Agreement, effective as of April</w:t>
              </w:r>
            </w:hyperlink>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8-K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3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1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7/22/2021</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060" w:type="dxa"/>
            <w:vAlign w:val="bottom"/>
            <w:tcBorders>
              <w:top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3, 2021, by and between the registrant and Sanjeev</w:t>
              </w:r>
            </w:hyperlink>
          </w:p>
        </w:tc>
        <w:tc>
          <w:tcPr>
            <w:tcW w:w="6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3660" w:type="dxa"/>
            <w:vAlign w:val="bottom"/>
            <w:tcBorders>
              <w:top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Aggarwal</w:t>
              </w:r>
              <w:r>
                <w:rPr>
                  <w:rFonts w:ascii="Times New Roman" w:cs="Times New Roman" w:eastAsia="Times New Roman" w:hAnsi="Times New Roman"/>
                  <w:sz w:val="18"/>
                  <w:szCs w:val="18"/>
                  <w:color w:val="000000"/>
                </w:rPr>
                <w:t>.</w:t>
              </w:r>
            </w:hyperlink>
          </w:p>
        </w:tc>
        <w:tc>
          <w:tcPr>
            <w:tcW w:w="460" w:type="dxa"/>
            <w:vAlign w:val="bottom"/>
            <w:gridSpan w:val="15"/>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10.19†</w:t>
            </w:r>
          </w:p>
        </w:tc>
        <w:tc>
          <w:tcPr>
            <w:tcW w:w="40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First Amendment to Executive Employment Agreement,</w:t>
              </w:r>
            </w:hyperlink>
          </w:p>
        </w:tc>
        <w:tc>
          <w:tcPr>
            <w:tcW w:w="40" w:type="dxa"/>
            <w:vAlign w:val="bottom"/>
            <w:gridSpan w:val="2"/>
          </w:tcPr>
          <w:p>
            <w:pPr>
              <w:spacing w:after="0"/>
              <w:rPr>
                <w:sz w:val="24"/>
                <w:szCs w:val="24"/>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8-K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3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1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3/02/2022</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120" w:type="dxa"/>
            <w:vAlign w:val="bottom"/>
            <w:gridSpan w:val="31"/>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effective as of March 14, 2022, by and between the</w:t>
              </w:r>
            </w:hyperlink>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240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registrant and Sanjeev Aggarwal.</w:t>
              </w:r>
            </w:hyperlink>
          </w:p>
        </w:tc>
        <w:tc>
          <w:tcPr>
            <w:tcW w:w="1280" w:type="dxa"/>
            <w:vAlign w:val="bottom"/>
            <w:tcBorders>
              <w:top w:val="single" w:sz="8" w:color="0000FF"/>
            </w:tcBorders>
            <w:gridSpan w:val="8"/>
          </w:tcPr>
          <w:p>
            <w:pPr>
              <w:spacing w:after="0"/>
              <w:rPr>
                <w:sz w:val="17"/>
                <w:szCs w:val="17"/>
                <w:color w:val="auto"/>
              </w:rPr>
            </w:pPr>
          </w:p>
        </w:tc>
        <w:tc>
          <w:tcPr>
            <w:tcW w:w="440" w:type="dxa"/>
            <w:vAlign w:val="bottom"/>
            <w:gridSpan w:val="14"/>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10.20†</w:t>
            </w:r>
          </w:p>
        </w:tc>
        <w:tc>
          <w:tcPr>
            <w:tcW w:w="4120" w:type="dxa"/>
            <w:vAlign w:val="bottom"/>
            <w:gridSpan w:val="31"/>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First Amendment to Offer Letter, effective as of March</w:t>
              </w:r>
            </w:hyperlink>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8-K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3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10.2</w:t>
            </w:r>
          </w:p>
        </w:tc>
        <w:tc>
          <w:tcPr>
            <w:tcW w:w="1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3/02/2022</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3600" w:type="dxa"/>
            <w:vAlign w:val="bottom"/>
            <w:tcBorders>
              <w:top w:val="single" w:sz="8" w:color="0000FF"/>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14, 2022, by and between the registrant and Darin</w:t>
              </w:r>
            </w:hyperlink>
          </w:p>
        </w:tc>
        <w:tc>
          <w:tcPr>
            <w:tcW w:w="360" w:type="dxa"/>
            <w:vAlign w:val="bottom"/>
            <w:tcBorders>
              <w:top w:val="single" w:sz="8" w:color="0000FF"/>
            </w:tcBorders>
            <w:gridSpan w:val="9"/>
          </w:tcPr>
          <w:p>
            <w:pPr>
              <w:spacing w:after="0"/>
              <w:rPr>
                <w:sz w:val="17"/>
                <w:szCs w:val="17"/>
                <w:color w:val="auto"/>
              </w:rPr>
            </w:pPr>
          </w:p>
        </w:tc>
        <w:tc>
          <w:tcPr>
            <w:tcW w:w="160" w:type="dxa"/>
            <w:vAlign w:val="bottom"/>
            <w:gridSpan w:val="7"/>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8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57">
              <w:r>
                <w:rPr>
                  <w:rFonts w:ascii="Times New Roman" w:cs="Times New Roman" w:eastAsia="Times New Roman" w:hAnsi="Times New Roman"/>
                  <w:sz w:val="18"/>
                  <w:szCs w:val="18"/>
                  <w:color w:val="0000FF"/>
                  <w:w w:val="98"/>
                </w:rPr>
                <w:t>Billerbeck.</w:t>
              </w:r>
            </w:hyperlink>
          </w:p>
        </w:tc>
        <w:tc>
          <w:tcPr>
            <w:tcW w:w="3320" w:type="dxa"/>
            <w:vAlign w:val="bottom"/>
            <w:gridSpan w:val="29"/>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10.21†</w:t>
            </w:r>
          </w:p>
        </w:tc>
        <w:tc>
          <w:tcPr>
            <w:tcW w:w="41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Amended and Restated Executive Severance and Change</w:t>
              </w:r>
            </w:hyperlink>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3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10.2</w:t>
            </w:r>
          </w:p>
        </w:tc>
        <w:tc>
          <w:tcPr>
            <w:tcW w:w="1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5/02/2024</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120" w:type="dxa"/>
            <w:vAlign w:val="bottom"/>
            <w:gridSpan w:val="31"/>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in Control Plan.</w:t>
              </w:r>
            </w:hyperlink>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10.22†</w:t>
            </w:r>
          </w:p>
        </w:tc>
        <w:tc>
          <w:tcPr>
            <w:tcW w:w="38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Restricted Stock Unit Grants to Executive Chairman,</w:t>
              </w:r>
            </w:hyperlink>
          </w:p>
        </w:tc>
        <w:tc>
          <w:tcPr>
            <w:tcW w:w="300" w:type="dxa"/>
            <w:vAlign w:val="bottom"/>
            <w:gridSpan w:val="10"/>
          </w:tcPr>
          <w:p>
            <w:pPr>
              <w:spacing w:after="0"/>
              <w:rPr>
                <w:sz w:val="24"/>
                <w:szCs w:val="24"/>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8-K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Item 5.02</w:t>
            </w:r>
          </w:p>
        </w:tc>
        <w:tc>
          <w:tcPr>
            <w:tcW w:w="1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5/12/2022</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120" w:type="dxa"/>
            <w:vAlign w:val="bottom"/>
            <w:gridSpan w:val="31"/>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CEO and CFO</w:t>
              </w:r>
              <w:r>
                <w:rPr>
                  <w:rFonts w:ascii="Times New Roman" w:cs="Times New Roman" w:eastAsia="Times New Roman" w:hAnsi="Times New Roman"/>
                  <w:sz w:val="18"/>
                  <w:szCs w:val="18"/>
                  <w:color w:val="000000"/>
                </w:rPr>
                <w:t>.</w:t>
              </w:r>
            </w:hyperlink>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10.23†</w:t>
            </w:r>
          </w:p>
        </w:tc>
        <w:tc>
          <w:tcPr>
            <w:tcW w:w="38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Offer Letter, dated July 10, 2018, by and between the</w:t>
              </w:r>
            </w:hyperlink>
          </w:p>
        </w:tc>
        <w:tc>
          <w:tcPr>
            <w:tcW w:w="280" w:type="dxa"/>
            <w:vAlign w:val="bottom"/>
            <w:gridSpan w:val="9"/>
          </w:tcPr>
          <w:p>
            <w:pPr>
              <w:spacing w:after="0"/>
              <w:rPr>
                <w:sz w:val="24"/>
                <w:szCs w:val="24"/>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3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1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5/02/2024</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120" w:type="dxa"/>
            <w:vAlign w:val="bottom"/>
            <w:gridSpan w:val="31"/>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registrant and David Schrenk.</w:t>
              </w:r>
            </w:hyperlink>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10.24†</w:t>
            </w:r>
            <w:r>
              <w:rPr>
                <w:rFonts w:ascii="Arial" w:cs="Arial" w:eastAsia="Arial" w:hAnsi="Arial"/>
                <w:sz w:val="23"/>
                <w:szCs w:val="23"/>
                <w:color w:val="auto"/>
                <w:vertAlign w:val="superscript"/>
              </w:rPr>
              <w:t>˄</w:t>
            </w:r>
          </w:p>
        </w:tc>
        <w:tc>
          <w:tcPr>
            <w:tcW w:w="980" w:type="dxa"/>
            <w:vAlign w:val="bottom"/>
            <w:gridSpan w:val="3"/>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20" w:type="dxa"/>
            <w:vAlign w:val="bottom"/>
            <w:vMerge w:val="continue"/>
          </w:tcPr>
          <w:p>
            <w:pPr>
              <w:spacing w:after="0"/>
              <w:rPr>
                <w:sz w:val="24"/>
                <w:szCs w:val="24"/>
                <w:color w:val="auto"/>
              </w:rPr>
            </w:pPr>
          </w:p>
        </w:tc>
        <w:tc>
          <w:tcPr>
            <w:tcW w:w="4120" w:type="dxa"/>
            <w:vAlign w:val="bottom"/>
            <w:gridSpan w:val="31"/>
          </w:tcPr>
          <w:p>
            <w:pPr>
              <w:spacing w:after="0"/>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Joint Development Agreement, dated August 8, 2024, by</w:t>
              </w:r>
            </w:hyperlink>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3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10.3</w:t>
            </w:r>
          </w:p>
        </w:tc>
        <w:tc>
          <w:tcPr>
            <w:tcW w:w="15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11/05/2024</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100" w:type="dxa"/>
            <w:vAlign w:val="bottom"/>
            <w:tcBorders>
              <w:top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and between the registrant and Frontgrade Colorado</w:t>
              </w:r>
            </w:hyperlink>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98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7"/>
              </w:rPr>
            </w:pPr>
            <w:hyperlink r:id="rId161">
              <w:r>
                <w:rPr>
                  <w:rFonts w:ascii="Times New Roman" w:cs="Times New Roman" w:eastAsia="Times New Roman" w:hAnsi="Times New Roman"/>
                  <w:sz w:val="18"/>
                  <w:szCs w:val="18"/>
                  <w:color w:val="0000FF"/>
                  <w:w w:val="97"/>
                </w:rPr>
                <w:t>Springs LLC.</w:t>
              </w:r>
            </w:hyperlink>
          </w:p>
        </w:tc>
        <w:tc>
          <w:tcPr>
            <w:tcW w:w="2760" w:type="dxa"/>
            <w:vAlign w:val="bottom"/>
            <w:tcBorders>
              <w:top w:val="single" w:sz="8" w:color="0000FF"/>
            </w:tcBorders>
            <w:gridSpan w:val="17"/>
          </w:tcPr>
          <w:p>
            <w:pPr>
              <w:spacing w:after="0"/>
              <w:rPr>
                <w:sz w:val="17"/>
                <w:szCs w:val="17"/>
                <w:color w:val="auto"/>
              </w:rPr>
            </w:pPr>
          </w:p>
        </w:tc>
        <w:tc>
          <w:tcPr>
            <w:tcW w:w="380" w:type="dxa"/>
            <w:vAlign w:val="bottom"/>
            <w:gridSpan w:val="11"/>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10.25†</w:t>
            </w:r>
          </w:p>
        </w:tc>
        <w:tc>
          <w:tcPr>
            <w:tcW w:w="4120" w:type="dxa"/>
            <w:vAlign w:val="bottom"/>
            <w:gridSpan w:val="31"/>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Offer Letter, dated November 12, 2024, by and between</w:t>
              </w:r>
            </w:hyperlink>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8-K</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13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1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1/08/2025</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040" w:type="dxa"/>
            <w:vAlign w:val="bottom"/>
            <w:tcBorders>
              <w:top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the registrant and William Cooper.</w:t>
              </w:r>
            </w:hyperlink>
          </w:p>
        </w:tc>
        <w:tc>
          <w:tcPr>
            <w:tcW w:w="80" w:type="dxa"/>
            <w:vAlign w:val="bottom"/>
            <w:gridSpan w:val="4"/>
          </w:tcPr>
          <w:p>
            <w:pPr>
              <w:spacing w:after="0"/>
              <w:rPr>
                <w:sz w:val="17"/>
                <w:szCs w:val="17"/>
                <w:color w:val="auto"/>
              </w:rPr>
            </w:pPr>
          </w:p>
        </w:tc>
        <w:tc>
          <w:tcPr>
            <w:tcW w:w="1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480" w:type="dxa"/>
            <w:vAlign w:val="bottom"/>
            <w:gridSpan w:val="11"/>
            <w:shd w:val="clear" w:color="auto" w:fill="0000FF"/>
          </w:tcPr>
          <w:p>
            <w:pPr>
              <w:spacing w:after="0" w:line="20" w:lineRule="exact"/>
              <w:rPr>
                <w:sz w:val="1"/>
                <w:szCs w:val="1"/>
                <w:color w:val="auto"/>
              </w:rPr>
            </w:pPr>
          </w:p>
        </w:tc>
        <w:tc>
          <w:tcPr>
            <w:tcW w:w="1500" w:type="dxa"/>
            <w:vAlign w:val="bottom"/>
            <w:gridSpan w:val="1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10.26†</w:t>
            </w:r>
          </w:p>
        </w:tc>
        <w:tc>
          <w:tcPr>
            <w:tcW w:w="39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Executive Employment Agreement, dated February 26,</w:t>
              </w:r>
            </w:hyperlink>
          </w:p>
        </w:tc>
        <w:tc>
          <w:tcPr>
            <w:tcW w:w="140" w:type="dxa"/>
            <w:vAlign w:val="bottom"/>
            <w:gridSpan w:val="6"/>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120" w:type="dxa"/>
            <w:vAlign w:val="bottom"/>
            <w:gridSpan w:val="31"/>
          </w:tcPr>
          <w:p>
            <w:pPr>
              <w:spacing w:after="0" w:line="196"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2025, by and between the registrant and William Cooper.</w:t>
              </w:r>
            </w:hyperlink>
          </w:p>
        </w:tc>
        <w:tc>
          <w:tcPr>
            <w:tcW w:w="114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001-37900</w:t>
            </w:r>
          </w:p>
        </w:tc>
        <w:tc>
          <w:tcPr>
            <w:tcW w:w="136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8"/>
              </w:rPr>
              <w:t>10.30</w:t>
            </w:r>
          </w:p>
        </w:tc>
        <w:tc>
          <w:tcPr>
            <w:tcW w:w="154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8"/>
              </w:rPr>
              <w:t>2/27/2025</w:t>
            </w:r>
          </w:p>
        </w:tc>
        <w:tc>
          <w:tcPr>
            <w:tcW w:w="0" w:type="dxa"/>
            <w:vAlign w:val="bottom"/>
          </w:tcPr>
          <w:p>
            <w:pPr>
              <w:spacing w:after="0"/>
              <w:rPr>
                <w:sz w:val="1"/>
                <w:szCs w:val="1"/>
                <w:color w:val="auto"/>
              </w:rPr>
            </w:pPr>
          </w:p>
        </w:tc>
      </w:tr>
      <w:tr>
        <w:trPr>
          <w:trHeight w:val="776"/>
        </w:trPr>
        <w:tc>
          <w:tcPr>
            <w:tcW w:w="142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70</w:t>
            </w: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43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Offer Letter, dated July 18, 2025, by and between the</w:t>
            </w: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840" w:type="dxa"/>
            <w:vAlign w:val="bottom"/>
            <w:tcBorders>
              <w:top w:val="single" w:sz="8" w:color="0000FF"/>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FF"/>
              </w:rPr>
              <w:t>registrant and Sean Dougherty</w:t>
            </w:r>
            <w:r>
              <w:rPr>
                <w:rFonts w:ascii="Times New Roman" w:cs="Times New Roman" w:eastAsia="Times New Roman" w:hAnsi="Times New Roman"/>
                <w:sz w:val="18"/>
                <w:szCs w:val="18"/>
                <w:color w:val="000000"/>
              </w:rPr>
              <w:t>.</w:t>
            </w:r>
          </w:p>
        </w:tc>
        <w:tc>
          <w:tcPr>
            <w:tcW w:w="480" w:type="dxa"/>
            <w:vAlign w:val="bottom"/>
            <w:gridSpan w:val="8"/>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3200" w:type="dxa"/>
            <w:vAlign w:val="bottom"/>
            <w:tcBorders>
              <w:bottom w:val="single" w:sz="8" w:color="0000FF"/>
            </w:tcBorders>
            <w:gridSpan w:val="7"/>
          </w:tcPr>
          <w:p>
            <w:pPr>
              <w:ind w:left="20"/>
              <w:spacing w:after="0"/>
              <w:rPr>
                <w:rFonts w:ascii="Times New Roman" w:cs="Times New Roman" w:eastAsia="Times New Roman" w:hAnsi="Times New Roman"/>
                <w:sz w:val="18"/>
                <w:szCs w:val="18"/>
                <w:color w:val="0000FF"/>
                <w:w w:val="98"/>
              </w:rPr>
            </w:pPr>
            <w:hyperlink r:id="rId163">
              <w:r>
                <w:rPr>
                  <w:rFonts w:ascii="Times New Roman" w:cs="Times New Roman" w:eastAsia="Times New Roman" w:hAnsi="Times New Roman"/>
                  <w:sz w:val="18"/>
                  <w:szCs w:val="18"/>
                  <w:color w:val="0000FF"/>
                  <w:w w:val="98"/>
                </w:rPr>
                <w:t>Insider Trading and Trading Window Policy</w:t>
              </w:r>
            </w:hyperlink>
          </w:p>
        </w:tc>
        <w:tc>
          <w:tcPr>
            <w:tcW w:w="1120" w:type="dxa"/>
            <w:vAlign w:val="bottom"/>
            <w:gridSpan w:val="11"/>
          </w:tcPr>
          <w:p>
            <w:pPr>
              <w:spacing w:after="0"/>
              <w:rPr>
                <w:sz w:val="24"/>
                <w:szCs w:val="24"/>
                <w:color w:val="auto"/>
              </w:rPr>
            </w:pP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10-K</w:t>
            </w:r>
          </w:p>
        </w:tc>
        <w:tc>
          <w:tcPr>
            <w:tcW w:w="17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001-37900</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19.1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2/27/2025</w:t>
            </w:r>
          </w:p>
        </w:tc>
      </w:tr>
      <w:tr>
        <w:trPr>
          <w:trHeight w:val="41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060" w:type="dxa"/>
            <w:vAlign w:val="bottom"/>
            <w:tcBorders>
              <w:bottom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color w:val="0000FF"/>
                <w:w w:val="98"/>
              </w:rPr>
              <w:t>Consent of Ernst &amp; Young LLP, Independent Registered</w:t>
            </w:r>
          </w:p>
        </w:tc>
        <w:tc>
          <w:tcPr>
            <w:tcW w:w="260" w:type="dxa"/>
            <w:vAlign w:val="bottom"/>
            <w:gridSpan w:val="3"/>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4320" w:type="dxa"/>
            <w:vAlign w:val="bottom"/>
            <w:gridSpan w:val="18"/>
          </w:tcPr>
          <w:p>
            <w:pPr>
              <w:ind w:left="20"/>
              <w:spacing w:after="0" w:line="196" w:lineRule="exact"/>
              <w:rPr>
                <w:sz w:val="20"/>
                <w:szCs w:val="20"/>
                <w:color w:val="auto"/>
              </w:rPr>
            </w:pPr>
            <w:r>
              <w:rPr>
                <w:rFonts w:ascii="Times New Roman" w:cs="Times New Roman" w:eastAsia="Times New Roman" w:hAnsi="Times New Roman"/>
                <w:sz w:val="18"/>
                <w:szCs w:val="18"/>
                <w:color w:val="0000FF"/>
              </w:rPr>
              <w:t>Public Accounting Firm</w:t>
            </w: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96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Power of Attorney (included on the Signatures page of</w:t>
            </w:r>
          </w:p>
        </w:tc>
        <w:tc>
          <w:tcPr>
            <w:tcW w:w="360" w:type="dxa"/>
            <w:vAlign w:val="bottom"/>
            <w:gridSpan w:val="6"/>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2560" w:type="dxa"/>
            <w:vAlign w:val="bottom"/>
            <w:tcBorders>
              <w:bottom w:val="single" w:sz="8" w:color="0000FF"/>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this Annual Report on Form 10-K).</w:t>
            </w:r>
          </w:p>
        </w:tc>
        <w:tc>
          <w:tcPr>
            <w:tcW w:w="1760" w:type="dxa"/>
            <w:vAlign w:val="bottom"/>
            <w:gridSpan w:val="14"/>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000" w:type="dxa"/>
            <w:vAlign w:val="bottom"/>
            <w:tcBorders>
              <w:bottom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w:t>
            </w:r>
          </w:p>
        </w:tc>
        <w:tc>
          <w:tcPr>
            <w:tcW w:w="320" w:type="dxa"/>
            <w:vAlign w:val="bottom"/>
            <w:gridSpan w:val="5"/>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3700" w:type="dxa"/>
            <w:vAlign w:val="bottom"/>
            <w:tcBorders>
              <w:bottom w:val="single" w:sz="8" w:color="0000FF"/>
            </w:tcBorders>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Rules 13a-14(a) and 15d-14(a) under the Securities</w:t>
            </w:r>
          </w:p>
        </w:tc>
        <w:tc>
          <w:tcPr>
            <w:tcW w:w="620" w:type="dxa"/>
            <w:vAlign w:val="bottom"/>
            <w:gridSpan w:val="9"/>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620" w:type="dxa"/>
            <w:vAlign w:val="bottom"/>
            <w:tcBorders>
              <w:bottom w:val="single" w:sz="8" w:color="0000FF"/>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Exchange Act of 1934, as amended.</w:t>
            </w:r>
          </w:p>
        </w:tc>
        <w:tc>
          <w:tcPr>
            <w:tcW w:w="1700" w:type="dxa"/>
            <w:vAlign w:val="bottom"/>
            <w:gridSpan w:val="12"/>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3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3700" w:type="dxa"/>
            <w:vAlign w:val="bottom"/>
            <w:tcBorders>
              <w:top w:val="single" w:sz="8" w:color="0000FF"/>
              <w:bottom w:val="single" w:sz="8" w:color="0000FF"/>
            </w:tcBorders>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Rules 13a-14(a) and 15d-14(a) under the Securities</w:t>
            </w:r>
          </w:p>
        </w:tc>
        <w:tc>
          <w:tcPr>
            <w:tcW w:w="240" w:type="dxa"/>
            <w:vAlign w:val="bottom"/>
            <w:tcBorders>
              <w:top w:val="single" w:sz="8" w:color="0000FF"/>
            </w:tcBorders>
            <w:gridSpan w:val="2"/>
          </w:tcPr>
          <w:p>
            <w:pPr>
              <w:spacing w:after="0"/>
              <w:rPr>
                <w:sz w:val="17"/>
                <w:szCs w:val="17"/>
                <w:color w:val="auto"/>
              </w:rPr>
            </w:pPr>
          </w:p>
        </w:tc>
        <w:tc>
          <w:tcPr>
            <w:tcW w:w="380" w:type="dxa"/>
            <w:vAlign w:val="bottom"/>
            <w:gridSpan w:val="7"/>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320" w:type="dxa"/>
            <w:vAlign w:val="bottom"/>
            <w:gridSpan w:val="18"/>
          </w:tcPr>
          <w:p>
            <w:pPr>
              <w:ind w:left="20"/>
              <w:spacing w:after="0" w:line="196" w:lineRule="exact"/>
              <w:rPr>
                <w:sz w:val="20"/>
                <w:szCs w:val="20"/>
                <w:color w:val="auto"/>
              </w:rPr>
            </w:pPr>
            <w:r>
              <w:rPr>
                <w:rFonts w:ascii="Times New Roman" w:cs="Times New Roman" w:eastAsia="Times New Roman" w:hAnsi="Times New Roman"/>
                <w:sz w:val="18"/>
                <w:szCs w:val="18"/>
                <w:color w:val="0000FF"/>
              </w:rPr>
              <w:t>Exchange Act of 1934, as amended.</w:t>
            </w: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140" w:type="dxa"/>
            <w:vAlign w:val="bottom"/>
            <w:tcBorders>
              <w:bottom w:val="single" w:sz="8" w:color="0000FF"/>
            </w:tcBorders>
            <w:gridSpan w:val="17"/>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and Principal</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4320" w:type="dxa"/>
            <w:vAlign w:val="bottom"/>
            <w:gridSpan w:val="18"/>
          </w:tcPr>
          <w:p>
            <w:pPr>
              <w:ind w:left="20"/>
              <w:spacing w:after="0" w:line="196" w:lineRule="exact"/>
              <w:rPr>
                <w:sz w:val="20"/>
                <w:szCs w:val="20"/>
                <w:color w:val="auto"/>
              </w:rPr>
            </w:pPr>
            <w:r>
              <w:rPr>
                <w:rFonts w:ascii="Times New Roman" w:cs="Times New Roman" w:eastAsia="Times New Roman" w:hAnsi="Times New Roman"/>
                <w:sz w:val="18"/>
                <w:szCs w:val="18"/>
                <w:color w:val="0000FF"/>
              </w:rPr>
              <w:t>Financial Officer Pursuant to 18 U.S.C. Section 1350, as</w:t>
            </w: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080" w:type="dxa"/>
            <w:vAlign w:val="bottom"/>
            <w:tcBorders>
              <w:top w:val="single" w:sz="8" w:color="0000FF"/>
            </w:tcBorders>
            <w:gridSpan w:val="16"/>
          </w:tcPr>
          <w:p>
            <w:pPr>
              <w:ind w:left="20"/>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w:t>
            </w:r>
          </w:p>
        </w:tc>
        <w:tc>
          <w:tcPr>
            <w:tcW w:w="24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920" w:type="dxa"/>
            <w:vAlign w:val="bottom"/>
            <w:tcBorders>
              <w:top w:val="single" w:sz="8" w:color="0000FF"/>
              <w:bottom w:val="single" w:sz="8" w:color="0000FF"/>
            </w:tcBorders>
          </w:tcPr>
          <w:p>
            <w:pPr>
              <w:ind w:left="20"/>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3120" w:type="dxa"/>
            <w:vAlign w:val="bottom"/>
            <w:tcBorders>
              <w:top w:val="single" w:sz="8" w:color="0000FF"/>
            </w:tcBorders>
            <w:gridSpan w:val="13"/>
          </w:tcPr>
          <w:p>
            <w:pPr>
              <w:spacing w:after="0"/>
              <w:rPr>
                <w:sz w:val="17"/>
                <w:szCs w:val="17"/>
                <w:color w:val="auto"/>
              </w:rPr>
            </w:pPr>
          </w:p>
        </w:tc>
        <w:tc>
          <w:tcPr>
            <w:tcW w:w="280" w:type="dxa"/>
            <w:vAlign w:val="bottom"/>
            <w:gridSpan w:val="4"/>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4320" w:type="dxa"/>
            <w:vAlign w:val="bottom"/>
            <w:gridSpan w:val="18"/>
          </w:tcPr>
          <w:p>
            <w:pPr>
              <w:ind w:left="20"/>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Incentive Compensation Recoupment Policy</w:t>
              </w:r>
            </w:hyperlink>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10-K</w:t>
            </w:r>
          </w:p>
        </w:tc>
        <w:tc>
          <w:tcPr>
            <w:tcW w:w="17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001-37900</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97.1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2/29/2024</w:t>
            </w:r>
          </w:p>
        </w:tc>
      </w:tr>
      <w:tr>
        <w:trPr>
          <w:trHeight w:val="20"/>
        </w:trPr>
        <w:tc>
          <w:tcPr>
            <w:tcW w:w="1320" w:type="dxa"/>
            <w:vAlign w:val="bottom"/>
          </w:tcPr>
          <w:p>
            <w:pPr>
              <w:spacing w:after="0" w:line="20" w:lineRule="exact"/>
              <w:rPr>
                <w:sz w:val="1"/>
                <w:szCs w:val="1"/>
                <w:color w:val="auto"/>
              </w:rPr>
            </w:pPr>
          </w:p>
        </w:tc>
        <w:tc>
          <w:tcPr>
            <w:tcW w:w="3220" w:type="dxa"/>
            <w:vAlign w:val="bottom"/>
            <w:gridSpan w:val="8"/>
            <w:shd w:val="clear" w:color="auto" w:fill="0000FF"/>
          </w:tcPr>
          <w:p>
            <w:pPr>
              <w:spacing w:after="0" w:line="20" w:lineRule="exact"/>
              <w:rPr>
                <w:sz w:val="1"/>
                <w:szCs w:val="1"/>
                <w:color w:val="auto"/>
              </w:rPr>
            </w:pPr>
          </w:p>
        </w:tc>
        <w:tc>
          <w:tcPr>
            <w:tcW w:w="1100" w:type="dxa"/>
            <w:vAlign w:val="bottom"/>
            <w:gridSpan w:val="1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3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1320" w:type="dxa"/>
            <w:vAlign w:val="bottom"/>
          </w:tcPr>
          <w:p>
            <w:pPr>
              <w:spacing w:after="0"/>
              <w:rPr>
                <w:sz w:val="18"/>
                <w:szCs w:val="18"/>
                <w:color w:val="auto"/>
              </w:rPr>
            </w:pPr>
          </w:p>
        </w:tc>
        <w:tc>
          <w:tcPr>
            <w:tcW w:w="43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does not appear in the Interactive Data File because its</w:t>
            </w:r>
          </w:p>
        </w:tc>
        <w:tc>
          <w:tcPr>
            <w:tcW w:w="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3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XBRL tags are embedded within the Inline XBRL</w:t>
            </w:r>
          </w:p>
        </w:tc>
        <w:tc>
          <w:tcPr>
            <w:tcW w:w="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43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document.</w:t>
            </w:r>
          </w:p>
        </w:tc>
        <w:tc>
          <w:tcPr>
            <w:tcW w:w="9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3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1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3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4"/>
        </w:trPr>
        <w:tc>
          <w:tcPr>
            <w:tcW w:w="1320" w:type="dxa"/>
            <w:vAlign w:val="bottom"/>
          </w:tcPr>
          <w:p>
            <w:pPr>
              <w:spacing w:after="0"/>
              <w:rPr>
                <w:sz w:val="20"/>
                <w:szCs w:val="20"/>
                <w:color w:val="auto"/>
              </w:rPr>
            </w:pPr>
          </w:p>
        </w:tc>
        <w:tc>
          <w:tcPr>
            <w:tcW w:w="43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Document.</w:t>
            </w:r>
          </w:p>
        </w:tc>
        <w:tc>
          <w:tcPr>
            <w:tcW w:w="9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3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4"/>
        </w:trPr>
        <w:tc>
          <w:tcPr>
            <w:tcW w:w="1320" w:type="dxa"/>
            <w:vAlign w:val="bottom"/>
          </w:tcPr>
          <w:p>
            <w:pPr>
              <w:spacing w:after="0"/>
              <w:rPr>
                <w:sz w:val="20"/>
                <w:szCs w:val="20"/>
                <w:color w:val="auto"/>
              </w:rPr>
            </w:pPr>
          </w:p>
        </w:tc>
        <w:tc>
          <w:tcPr>
            <w:tcW w:w="43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Document.</w:t>
            </w:r>
          </w:p>
        </w:tc>
        <w:tc>
          <w:tcPr>
            <w:tcW w:w="9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3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4"/>
        </w:trPr>
        <w:tc>
          <w:tcPr>
            <w:tcW w:w="1320" w:type="dxa"/>
            <w:vAlign w:val="bottom"/>
          </w:tcPr>
          <w:p>
            <w:pPr>
              <w:spacing w:after="0"/>
              <w:rPr>
                <w:sz w:val="20"/>
                <w:szCs w:val="20"/>
                <w:color w:val="auto"/>
              </w:rPr>
            </w:pPr>
          </w:p>
        </w:tc>
        <w:tc>
          <w:tcPr>
            <w:tcW w:w="43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Document.</w:t>
            </w:r>
          </w:p>
        </w:tc>
        <w:tc>
          <w:tcPr>
            <w:tcW w:w="9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3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4"/>
        </w:trPr>
        <w:tc>
          <w:tcPr>
            <w:tcW w:w="1320" w:type="dxa"/>
            <w:vAlign w:val="bottom"/>
          </w:tcPr>
          <w:p>
            <w:pPr>
              <w:spacing w:after="0"/>
              <w:rPr>
                <w:sz w:val="20"/>
                <w:szCs w:val="20"/>
                <w:color w:val="auto"/>
              </w:rPr>
            </w:pPr>
          </w:p>
        </w:tc>
        <w:tc>
          <w:tcPr>
            <w:tcW w:w="43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Document.</w:t>
            </w:r>
          </w:p>
        </w:tc>
        <w:tc>
          <w:tcPr>
            <w:tcW w:w="9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3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4"/>
        </w:trPr>
        <w:tc>
          <w:tcPr>
            <w:tcW w:w="1320" w:type="dxa"/>
            <w:vAlign w:val="bottom"/>
          </w:tcPr>
          <w:p>
            <w:pPr>
              <w:spacing w:after="0"/>
              <w:rPr>
                <w:sz w:val="20"/>
                <w:szCs w:val="20"/>
                <w:color w:val="auto"/>
              </w:rPr>
            </w:pPr>
          </w:p>
        </w:tc>
        <w:tc>
          <w:tcPr>
            <w:tcW w:w="43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9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21" w:right="8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right="20" w:hanging="332"/>
        <w:spacing w:after="0" w:line="261" w:lineRule="auto"/>
        <w:tabs>
          <w:tab w:leader="none" w:pos="33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spacing w:after="0" w:line="180"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for certain portions of this exhibit.</w:t>
      </w:r>
    </w:p>
    <w:p>
      <w:pPr>
        <w:spacing w:after="0" w:line="225" w:lineRule="exact"/>
        <w:rPr>
          <w:sz w:val="20"/>
          <w:szCs w:val="20"/>
          <w:color w:val="auto"/>
        </w:rPr>
      </w:pPr>
    </w:p>
    <w:p>
      <w:pPr>
        <w:ind w:left="340" w:right="760" w:hanging="332"/>
        <w:spacing w:after="0" w:line="282" w:lineRule="auto"/>
        <w:tabs>
          <w:tab w:leader="none" w:pos="32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marked by brackets, have been omitted because the omitted information (i) is not material and (ii) would likely cause competitive harm if publicly disclosed.</w:t>
      </w:r>
    </w:p>
    <w:p>
      <w:pPr>
        <w:spacing w:after="0" w:line="162" w:lineRule="exact"/>
        <w:rPr>
          <w:sz w:val="20"/>
          <w:szCs w:val="20"/>
          <w:color w:val="auto"/>
        </w:rPr>
      </w:pPr>
    </w:p>
    <w:p>
      <w:pPr>
        <w:ind w:left="340" w:hanging="332"/>
        <w:spacing w:after="0" w:line="265" w:lineRule="auto"/>
        <w:tabs>
          <w:tab w:leader="none" w:pos="353"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Portions of the exhibit have been omitted pursuant to Item 601(b) of Regulation S-K because the omitted information is (a) not material and (b) the type of information that the Registrant both customarily and actually treats as private and confidential. In addition, certain exhibits and schedules to the exhibit have been omitted pursuant to Item 601(b)(2) of Regulation S-K.</w:t>
      </w:r>
    </w:p>
    <w:p>
      <w:pPr>
        <w:spacing w:after="0" w:line="177"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(b)We have filed or incorporated into this Annual Report on Form 10-K by reference, the exhibits listed on the Exhibit Index immediately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See Item 15(a)2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provided.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 in Chandler, Arizona, on March 4, 2026.</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283" w:lineRule="exact"/>
        <w:rPr>
          <w:sz w:val="20"/>
          <w:szCs w:val="20"/>
          <w:color w:val="auto"/>
        </w:rPr>
      </w:pPr>
    </w:p>
    <w:p>
      <w:pPr>
        <w:ind w:left="558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34290</wp:posOffset>
            </wp:positionV>
            <wp:extent cx="33172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9">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Sanjeev Aggarwal</w:t>
      </w:r>
    </w:p>
    <w:p>
      <w:pPr>
        <w:spacing w:after="0" w:line="6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95" w:lineRule="exact"/>
        <w:rPr>
          <w:sz w:val="20"/>
          <w:szCs w:val="20"/>
          <w:color w:val="auto"/>
        </w:rPr>
      </w:pPr>
    </w:p>
    <w:p>
      <w:pPr>
        <w:ind w:left="558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William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34290</wp:posOffset>
            </wp:positionV>
            <wp:extent cx="33172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0">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William Cooper</w:t>
      </w:r>
    </w:p>
    <w:p>
      <w:pPr>
        <w:spacing w:after="0" w:line="6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Sanjeev Aggarwal and William Cooper, and each of them, as his true and lawful attorneys-in-fact and agents, each with the full power of substitution, for him and in his name, place or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or his substitute or substitutes, may lawfully do or cause to be done by virtue hereof.</w:t>
      </w:r>
    </w:p>
    <w:p>
      <w:pPr>
        <w:spacing w:after="0" w:line="189"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6160" w:type="dxa"/>
            <w:vAlign w:val="bottom"/>
            <w:gridSpan w:val="2"/>
          </w:tcPr>
          <w:p>
            <w:pPr>
              <w:ind w:left="28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7"/>
        </w:trPr>
        <w:tc>
          <w:tcPr>
            <w:tcW w:w="2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Sanjeev Aggarwal</w:t>
            </w:r>
          </w:p>
        </w:tc>
        <w:tc>
          <w:tcPr>
            <w:tcW w:w="100" w:type="dxa"/>
            <w:vAlign w:val="bottom"/>
          </w:tcPr>
          <w:p>
            <w:pPr>
              <w:spacing w:after="0"/>
              <w:rPr>
                <w:sz w:val="24"/>
                <w:szCs w:val="24"/>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4, 2026</w:t>
            </w:r>
          </w:p>
        </w:tc>
        <w:tc>
          <w:tcPr>
            <w:tcW w:w="0" w:type="dxa"/>
            <w:vAlign w:val="bottom"/>
          </w:tcPr>
          <w:p>
            <w:pPr>
              <w:spacing w:after="0"/>
              <w:rPr>
                <w:sz w:val="1"/>
                <w:szCs w:val="1"/>
                <w:color w:val="auto"/>
              </w:rPr>
            </w:pPr>
          </w:p>
        </w:tc>
      </w:tr>
      <w:tr>
        <w:trPr>
          <w:trHeight w:val="27"/>
        </w:trPr>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Sanjeev Aggarwal</w:t>
            </w:r>
          </w:p>
        </w:tc>
        <w:tc>
          <w:tcPr>
            <w:tcW w:w="100" w:type="dxa"/>
            <w:vAlign w:val="bottom"/>
          </w:tcPr>
          <w:p>
            <w:pPr>
              <w:spacing w:after="0"/>
              <w:rPr>
                <w:sz w:val="20"/>
                <w:szCs w:val="20"/>
                <w:color w:val="auto"/>
              </w:rPr>
            </w:pPr>
          </w:p>
        </w:tc>
        <w:tc>
          <w:tcPr>
            <w:tcW w:w="6160" w:type="dxa"/>
            <w:vAlign w:val="bottom"/>
            <w:gridSpan w:val="2"/>
            <w:vMerge w:val="continue"/>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William Cooper</w:t>
            </w:r>
          </w:p>
        </w:tc>
        <w:tc>
          <w:tcPr>
            <w:tcW w:w="100" w:type="dxa"/>
            <w:vAlign w:val="bottom"/>
          </w:tcPr>
          <w:p>
            <w:pPr>
              <w:spacing w:after="0"/>
              <w:rPr>
                <w:sz w:val="24"/>
                <w:szCs w:val="24"/>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4, 2026</w:t>
            </w:r>
          </w:p>
        </w:tc>
        <w:tc>
          <w:tcPr>
            <w:tcW w:w="0" w:type="dxa"/>
            <w:vAlign w:val="bottom"/>
          </w:tcPr>
          <w:p>
            <w:pPr>
              <w:spacing w:after="0"/>
              <w:rPr>
                <w:sz w:val="1"/>
                <w:szCs w:val="1"/>
                <w:color w:val="auto"/>
              </w:rPr>
            </w:pPr>
          </w:p>
        </w:tc>
      </w:tr>
      <w:tr>
        <w:trPr>
          <w:trHeight w:val="27"/>
        </w:trPr>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William Cooper</w:t>
            </w:r>
          </w:p>
        </w:tc>
        <w:tc>
          <w:tcPr>
            <w:tcW w:w="100" w:type="dxa"/>
            <w:vAlign w:val="bottom"/>
          </w:tcPr>
          <w:p>
            <w:pPr>
              <w:spacing w:after="0"/>
              <w:rPr>
                <w:sz w:val="20"/>
                <w:szCs w:val="20"/>
                <w:color w:val="auto"/>
              </w:rPr>
            </w:pPr>
          </w:p>
        </w:tc>
        <w:tc>
          <w:tcPr>
            <w:tcW w:w="6160" w:type="dxa"/>
            <w:vAlign w:val="bottom"/>
            <w:gridSpan w:val="2"/>
            <w:vMerge w:val="continue"/>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Darin G. Billerbeck</w:t>
            </w:r>
          </w:p>
        </w:tc>
        <w:tc>
          <w:tcPr>
            <w:tcW w:w="100" w:type="dxa"/>
            <w:vAlign w:val="bottom"/>
          </w:tcPr>
          <w:p>
            <w:pPr>
              <w:spacing w:after="0"/>
              <w:rPr>
                <w:sz w:val="24"/>
                <w:szCs w:val="24"/>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the Board</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4, 2026</w:t>
            </w:r>
          </w:p>
        </w:tc>
        <w:tc>
          <w:tcPr>
            <w:tcW w:w="0" w:type="dxa"/>
            <w:vAlign w:val="bottom"/>
          </w:tcPr>
          <w:p>
            <w:pPr>
              <w:spacing w:after="0"/>
              <w:rPr>
                <w:sz w:val="1"/>
                <w:szCs w:val="1"/>
                <w:color w:val="auto"/>
              </w:rPr>
            </w:pPr>
          </w:p>
        </w:tc>
      </w:tr>
      <w:tr>
        <w:trPr>
          <w:trHeight w:val="27"/>
        </w:trPr>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Darin G. Billerbeck</w:t>
            </w:r>
          </w:p>
        </w:tc>
        <w:tc>
          <w:tcPr>
            <w:tcW w:w="10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Lawrence G. Finch</w:t>
            </w:r>
          </w:p>
        </w:tc>
        <w:tc>
          <w:tcPr>
            <w:tcW w:w="100" w:type="dxa"/>
            <w:vAlign w:val="bottom"/>
          </w:tcPr>
          <w:p>
            <w:pPr>
              <w:spacing w:after="0"/>
              <w:rPr>
                <w:sz w:val="24"/>
                <w:szCs w:val="24"/>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4, 2026</w:t>
            </w:r>
          </w:p>
        </w:tc>
        <w:tc>
          <w:tcPr>
            <w:tcW w:w="0" w:type="dxa"/>
            <w:vAlign w:val="bottom"/>
          </w:tcPr>
          <w:p>
            <w:pPr>
              <w:spacing w:after="0"/>
              <w:rPr>
                <w:sz w:val="1"/>
                <w:szCs w:val="1"/>
                <w:color w:val="auto"/>
              </w:rPr>
            </w:pPr>
          </w:p>
        </w:tc>
      </w:tr>
      <w:tr>
        <w:trPr>
          <w:trHeight w:val="27"/>
        </w:trPr>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Lawrence G. Finch</w:t>
            </w:r>
          </w:p>
        </w:tc>
        <w:tc>
          <w:tcPr>
            <w:tcW w:w="10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Geoff Ribar</w:t>
            </w:r>
          </w:p>
        </w:tc>
        <w:tc>
          <w:tcPr>
            <w:tcW w:w="100" w:type="dxa"/>
            <w:vAlign w:val="bottom"/>
          </w:tcPr>
          <w:p>
            <w:pPr>
              <w:spacing w:after="0"/>
              <w:rPr>
                <w:sz w:val="24"/>
                <w:szCs w:val="24"/>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4, 2026</w:t>
            </w:r>
          </w:p>
        </w:tc>
        <w:tc>
          <w:tcPr>
            <w:tcW w:w="0" w:type="dxa"/>
            <w:vAlign w:val="bottom"/>
          </w:tcPr>
          <w:p>
            <w:pPr>
              <w:spacing w:after="0"/>
              <w:rPr>
                <w:sz w:val="1"/>
                <w:szCs w:val="1"/>
                <w:color w:val="auto"/>
              </w:rPr>
            </w:pPr>
          </w:p>
        </w:tc>
      </w:tr>
      <w:tr>
        <w:trPr>
          <w:trHeight w:val="27"/>
        </w:trPr>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Geoff Ribar</w:t>
            </w:r>
          </w:p>
        </w:tc>
        <w:tc>
          <w:tcPr>
            <w:tcW w:w="10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Tara Long</w:t>
            </w:r>
          </w:p>
        </w:tc>
        <w:tc>
          <w:tcPr>
            <w:tcW w:w="100" w:type="dxa"/>
            <w:vAlign w:val="bottom"/>
          </w:tcPr>
          <w:p>
            <w:pPr>
              <w:spacing w:after="0"/>
              <w:rPr>
                <w:sz w:val="24"/>
                <w:szCs w:val="24"/>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4, 2026</w:t>
            </w:r>
          </w:p>
        </w:tc>
        <w:tc>
          <w:tcPr>
            <w:tcW w:w="0" w:type="dxa"/>
            <w:vAlign w:val="bottom"/>
          </w:tcPr>
          <w:p>
            <w:pPr>
              <w:spacing w:after="0"/>
              <w:rPr>
                <w:sz w:val="1"/>
                <w:szCs w:val="1"/>
                <w:color w:val="auto"/>
              </w:rPr>
            </w:pPr>
          </w:p>
        </w:tc>
      </w:tr>
      <w:tr>
        <w:trPr>
          <w:trHeight w:val="27"/>
        </w:trPr>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Tara Long</w:t>
            </w:r>
          </w:p>
        </w:tc>
        <w:tc>
          <w:tcPr>
            <w:tcW w:w="10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Glen Hawk</w:t>
            </w:r>
          </w:p>
        </w:tc>
        <w:tc>
          <w:tcPr>
            <w:tcW w:w="100" w:type="dxa"/>
            <w:vAlign w:val="bottom"/>
          </w:tcPr>
          <w:p>
            <w:pPr>
              <w:spacing w:after="0"/>
              <w:rPr>
                <w:sz w:val="24"/>
                <w:szCs w:val="24"/>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4, 2026</w:t>
            </w:r>
          </w:p>
        </w:tc>
        <w:tc>
          <w:tcPr>
            <w:tcW w:w="0" w:type="dxa"/>
            <w:vAlign w:val="bottom"/>
          </w:tcPr>
          <w:p>
            <w:pPr>
              <w:spacing w:after="0"/>
              <w:rPr>
                <w:sz w:val="1"/>
                <w:szCs w:val="1"/>
                <w:color w:val="auto"/>
              </w:rPr>
            </w:pPr>
          </w:p>
        </w:tc>
      </w:tr>
      <w:tr>
        <w:trPr>
          <w:trHeight w:val="27"/>
        </w:trPr>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Glen Hawk</w:t>
            </w:r>
          </w:p>
        </w:tc>
        <w:tc>
          <w:tcPr>
            <w:tcW w:w="10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Douglas Mitchell</w:t>
            </w:r>
          </w:p>
        </w:tc>
        <w:tc>
          <w:tcPr>
            <w:tcW w:w="100" w:type="dxa"/>
            <w:vAlign w:val="bottom"/>
          </w:tcPr>
          <w:p>
            <w:pPr>
              <w:spacing w:after="0"/>
              <w:rPr>
                <w:sz w:val="24"/>
                <w:szCs w:val="24"/>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4, 2026</w:t>
            </w:r>
          </w:p>
        </w:tc>
        <w:tc>
          <w:tcPr>
            <w:tcW w:w="0" w:type="dxa"/>
            <w:vAlign w:val="bottom"/>
          </w:tcPr>
          <w:p>
            <w:pPr>
              <w:spacing w:after="0"/>
              <w:rPr>
                <w:sz w:val="1"/>
                <w:szCs w:val="1"/>
                <w:color w:val="auto"/>
              </w:rPr>
            </w:pPr>
          </w:p>
        </w:tc>
      </w:tr>
      <w:tr>
        <w:trPr>
          <w:trHeight w:val="27"/>
        </w:trPr>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Douglas Mitchell</w:t>
            </w:r>
          </w:p>
        </w:tc>
        <w:tc>
          <w:tcPr>
            <w:tcW w:w="10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2380" w:type="dxa"/>
            <w:vAlign w:val="bottom"/>
          </w:tcPr>
          <w:p>
            <w:pPr>
              <w:spacing w:after="0"/>
              <w:rPr>
                <w:sz w:val="24"/>
                <w:szCs w:val="24"/>
                <w:color w:val="auto"/>
              </w:rPr>
            </w:pPr>
          </w:p>
        </w:tc>
        <w:tc>
          <w:tcPr>
            <w:tcW w:w="6160" w:type="dxa"/>
            <w:vAlign w:val="bottom"/>
            <w:gridSpan w:val="2"/>
          </w:tcPr>
          <w:p>
            <w:pPr>
              <w:jc w:val="right"/>
              <w:ind w:right="2732"/>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18,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Dougherty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seansmd@gmail.com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Sean,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 delighted to provide you this offer to join Everspin Technologies, Inc. as VP Sales, reporting to the President &amp; CEO.</w:t>
      </w:r>
    </w:p>
    <w:p>
      <w:pPr>
        <w:spacing w:after="0" w:line="25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Your base salary to start will be $265,000 annually, payable bi-weekly, and subject to deductions for taxes and other withholdings as required by US law or the policies of the company. This will be a Salary-Exempt position. You will also be eligible for a target bonus of 50% of your base salary. Your bonus for 2025 will be pro-rated based on your start date.</w:t>
      </w:r>
    </w:p>
    <w:p>
      <w:pPr>
        <w:spacing w:after="0" w:line="20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Upon approval by the Everspin Board of Directors, you will receive 80,000 Everspin Restricted Stock Units. These RSU’s vest at the rate of 25% per year on first day of the quarter following the anniversary date of the grant. Due to the taxable nature of Restricted Stock Units, there is a sell to cover provision requirement with the RSU’s to cover tax liability at each vesting date. These grants are subject to continued employment with Everspin, transferability restrictions, and such other terms as may be set forth in the Everspin Stock Option Plan or your individual stock option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will also receive a sign-on bonus of $20,000 (subject to taxes and other withholdings), which will be paid during your first pay period after you start.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you voluntarily vacate your position within a one-year period, you will be required to refund the company the $20,000 bonus in full.</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The detailed components of the Company’s benefit plan are attached. Major benefits include:</w:t>
      </w:r>
    </w:p>
    <w:p>
      <w:pPr>
        <w:spacing w:after="0" w:line="25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Medical, Dental, and Vision Care Coverage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Prescription Drug Program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Coverage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Flexible Spending Accounts and Health Savings Accounts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Life and Disability Insurance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401(k) participation (if eligible)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Time Off and Holidays, consistent with Company policy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participate in Everspin’s Employee Stock Purchase Plan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Profit Sharing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employment with Everspin Technologies is “at will”, meaning that you may terminate your employment at any time and for any reason whatsoever.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Likewise, Everspin Technologies may terminate your employment at any time and for any reason, with or without cause or advance notice.</w:t>
      </w:r>
    </w:p>
    <w:p>
      <w:pPr>
        <w:spacing w:after="0" w:line="23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Other Arrangements: This offer of employment is contingent on your agreement to and execution of an Employee Proprietary Information and Inventions Assignment Agreement (copy attached), successful completion of reference checks, and is contingent on the satisfactory results of your background screening.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offer is considered accepted with your signature below. This offer will terminate if not accepted in writing by 5:00 pm on Friday, July 25,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welcome you to Everspin Technologies, Inc., and are excited about the contribution you can make to its success.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560"/>
        <w:spacing w:after="0" w:line="282" w:lineRule="auto"/>
        <w:rPr>
          <w:sz w:val="20"/>
          <w:szCs w:val="20"/>
          <w:color w:val="auto"/>
        </w:rPr>
      </w:pPr>
      <w:r>
        <w:rPr>
          <w:rFonts w:ascii="Times New Roman" w:cs="Times New Roman" w:eastAsia="Times New Roman" w:hAnsi="Times New Roman"/>
          <w:sz w:val="18"/>
          <w:szCs w:val="18"/>
          <w:color w:val="auto"/>
        </w:rPr>
        <w:t>5670 W. Chandler Blvd. Suite 130, Chandler, AZ 85226 (480) 347-1111 Fax (480) 347-1175 www.Everspin.com</w:t>
      </w:r>
    </w:p>
    <w:p>
      <w:pPr>
        <w:sectPr>
          <w:pgSz w:w="11900" w:h="16838" w:orient="portrait"/>
          <w:cols w:equalWidth="0" w:num="1">
            <w:col w:w="11240"/>
          </w:cols>
          <w:pgMar w:left="320" w:top="1413" w:right="339" w:bottom="1440" w:gutter="0" w:footer="0" w:header="0"/>
        </w:sectPr>
      </w:pPr>
    </w:p>
    <w:bookmarkStart w:id="75" w:name="page76"/>
    <w:bookmarkEnd w:id="75"/>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Amy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22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2">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Amy Farrow</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Human Resources Director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Everspin Technologies, Inc.</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Accepted;</w:t>
            </w:r>
          </w:p>
        </w:tc>
        <w:tc>
          <w:tcPr>
            <w:tcW w:w="5220" w:type="dxa"/>
            <w:vAlign w:val="bottom"/>
          </w:tcPr>
          <w:p>
            <w:pPr>
              <w:spacing w:after="0"/>
              <w:rPr>
                <w:sz w:val="20"/>
                <w:szCs w:val="20"/>
                <w:color w:val="auto"/>
              </w:rPr>
            </w:pPr>
          </w:p>
        </w:tc>
      </w:tr>
      <w:tr>
        <w:trPr>
          <w:trHeight w:val="446"/>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Sean Dougherty</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7/19/2025</w:t>
            </w:r>
          </w:p>
        </w:tc>
      </w:tr>
      <w:tr>
        <w:trPr>
          <w:trHeight w:val="228"/>
        </w:trPr>
        <w:tc>
          <w:tcPr>
            <w:tcW w:w="5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w:t>
            </w:r>
          </w:p>
        </w:tc>
      </w:tr>
      <w:tr>
        <w:trPr>
          <w:trHeight w:val="481"/>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Anticipated Start Date: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04,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4560"/>
        <w:spacing w:after="0" w:line="282" w:lineRule="auto"/>
        <w:rPr>
          <w:sz w:val="20"/>
          <w:szCs w:val="20"/>
          <w:color w:val="auto"/>
        </w:rPr>
      </w:pPr>
      <w:r>
        <w:rPr>
          <w:rFonts w:ascii="Times New Roman" w:cs="Times New Roman" w:eastAsia="Times New Roman" w:hAnsi="Times New Roman"/>
          <w:sz w:val="18"/>
          <w:szCs w:val="18"/>
          <w:color w:val="auto"/>
        </w:rPr>
        <w:t>5670 W. Chandler Blvd. Suite 130, Chandler, AZ 85226 (480) 347-1111 Fax (480) 347-1175 www.Everspin.com</w:t>
      </w:r>
    </w:p>
    <w:p>
      <w:pPr>
        <w:sectPr>
          <w:pgSz w:w="11900" w:h="16838" w:orient="portrait"/>
          <w:cols w:equalWidth="0" w:num="1">
            <w:col w:w="11240"/>
          </w:cols>
          <w:pgMar w:left="320" w:top="1440"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7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6" w:lineRule="exact"/>
        <w:rPr>
          <w:sz w:val="20"/>
          <w:szCs w:val="20"/>
          <w:color w:val="auto"/>
        </w:rPr>
      </w:pPr>
    </w:p>
    <w:p>
      <w:pPr>
        <w:ind w:left="660" w:right="600" w:hanging="328"/>
        <w:spacing w:after="0" w:line="234" w:lineRule="auto"/>
        <w:tabs>
          <w:tab w:leader="none" w:pos="66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333-214018) pertaining to the Everspin Technologies, Inc. 2008 Equity Incentive Plan, 2016 Equity Incentive Plan and the 2016 Employee Stock Purchase Plan,</w:t>
      </w:r>
    </w:p>
    <w:p>
      <w:pPr>
        <w:spacing w:after="0" w:line="1" w:lineRule="exact"/>
        <w:rPr>
          <w:rFonts w:ascii="Times New Roman" w:cs="Times New Roman" w:eastAsia="Times New Roman" w:hAnsi="Times New Roman"/>
          <w:sz w:val="18"/>
          <w:szCs w:val="18"/>
          <w:color w:val="auto"/>
        </w:rPr>
      </w:pPr>
    </w:p>
    <w:p>
      <w:pPr>
        <w:ind w:left="660" w:right="740" w:hanging="328"/>
        <w:spacing w:after="0" w:line="234" w:lineRule="auto"/>
        <w:tabs>
          <w:tab w:leader="none" w:pos="5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333-219938) pertaining to the Everspin Technologies, Inc. 2016 Equity Incentive Plan and the 2016 Employee Stock Purchase Plan,</w:t>
      </w:r>
    </w:p>
    <w:p>
      <w:pPr>
        <w:spacing w:after="0" w:line="1" w:lineRule="exact"/>
        <w:rPr>
          <w:rFonts w:ascii="Times New Roman" w:cs="Times New Roman" w:eastAsia="Times New Roman" w:hAnsi="Times New Roman"/>
          <w:sz w:val="18"/>
          <w:szCs w:val="18"/>
          <w:color w:val="auto"/>
        </w:rPr>
      </w:pPr>
    </w:p>
    <w:p>
      <w:pPr>
        <w:ind w:left="660" w:right="740" w:hanging="328"/>
        <w:spacing w:after="0" w:line="234" w:lineRule="auto"/>
        <w:tabs>
          <w:tab w:leader="none" w:pos="5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333-225119) pertaining to the Everspin Technologies, Inc. 2016 Equity Incentive Plan and the 2016 Employee Stock Purchase Plan,</w:t>
      </w:r>
    </w:p>
    <w:p>
      <w:pPr>
        <w:spacing w:after="0" w:line="1" w:lineRule="exact"/>
        <w:rPr>
          <w:rFonts w:ascii="Times New Roman" w:cs="Times New Roman" w:eastAsia="Times New Roman" w:hAnsi="Times New Roman"/>
          <w:sz w:val="18"/>
          <w:szCs w:val="18"/>
          <w:color w:val="auto"/>
        </w:rPr>
      </w:pPr>
    </w:p>
    <w:p>
      <w:pPr>
        <w:ind w:left="660" w:right="740" w:hanging="328"/>
        <w:spacing w:after="0" w:line="234" w:lineRule="auto"/>
        <w:tabs>
          <w:tab w:leader="none" w:pos="5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333-230349) pertaining to the Everspin Technologies, Inc. 2016 Equity Incentive Plan and the 2016 Employee Stock Purchase Plan,</w:t>
      </w:r>
    </w:p>
    <w:p>
      <w:pPr>
        <w:spacing w:after="0" w:line="1" w:lineRule="exact"/>
        <w:rPr>
          <w:rFonts w:ascii="Times New Roman" w:cs="Times New Roman" w:eastAsia="Times New Roman" w:hAnsi="Times New Roman"/>
          <w:sz w:val="18"/>
          <w:szCs w:val="18"/>
          <w:color w:val="auto"/>
        </w:rPr>
      </w:pPr>
    </w:p>
    <w:p>
      <w:pPr>
        <w:ind w:left="660" w:right="740" w:hanging="328"/>
        <w:spacing w:after="0" w:line="226" w:lineRule="auto"/>
        <w:tabs>
          <w:tab w:leader="none" w:pos="5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333-237146) pertaining to the Everspin Technologies, Inc. 2016 Equity Incentive Plan and the 2016 Employee Stock Purchase Plan,</w:t>
      </w:r>
    </w:p>
    <w:p>
      <w:pPr>
        <w:spacing w:after="0" w:line="1" w:lineRule="exact"/>
        <w:rPr>
          <w:rFonts w:ascii="Times New Roman" w:cs="Times New Roman" w:eastAsia="Times New Roman" w:hAnsi="Times New Roman"/>
          <w:sz w:val="18"/>
          <w:szCs w:val="18"/>
          <w:color w:val="auto"/>
        </w:rPr>
      </w:pPr>
    </w:p>
    <w:p>
      <w:pPr>
        <w:ind w:left="660" w:right="740" w:hanging="328"/>
        <w:spacing w:after="0" w:line="234" w:lineRule="auto"/>
        <w:tabs>
          <w:tab w:leader="none" w:pos="5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333-253884) pertaining to the Everspin Technologies, Inc. 2016 Equity Incentive Plan and the 2016 Employee Stock Purchase Plan,</w:t>
      </w:r>
    </w:p>
    <w:p>
      <w:pPr>
        <w:spacing w:after="0" w:line="1" w:lineRule="exact"/>
        <w:rPr>
          <w:rFonts w:ascii="Times New Roman" w:cs="Times New Roman" w:eastAsia="Times New Roman" w:hAnsi="Times New Roman"/>
          <w:sz w:val="18"/>
          <w:szCs w:val="18"/>
          <w:color w:val="auto"/>
        </w:rPr>
      </w:pPr>
    </w:p>
    <w:p>
      <w:pPr>
        <w:ind w:left="660" w:right="360" w:hanging="328"/>
        <w:spacing w:after="0" w:line="234" w:lineRule="auto"/>
        <w:tabs>
          <w:tab w:leader="none" w:pos="5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333-258794) pertaining to the Everspin Technologies, Inc. Amended and Restated 2016 Equity Incentive Plan,</w:t>
      </w:r>
    </w:p>
    <w:p>
      <w:pPr>
        <w:spacing w:after="0" w:line="1" w:lineRule="exact"/>
        <w:rPr>
          <w:rFonts w:ascii="Times New Roman" w:cs="Times New Roman" w:eastAsia="Times New Roman" w:hAnsi="Times New Roman"/>
          <w:sz w:val="18"/>
          <w:szCs w:val="18"/>
          <w:color w:val="auto"/>
        </w:rPr>
      </w:pPr>
    </w:p>
    <w:p>
      <w:pPr>
        <w:ind w:left="660" w:right="360" w:hanging="328"/>
        <w:spacing w:after="0" w:line="234" w:lineRule="auto"/>
        <w:tabs>
          <w:tab w:leader="none" w:pos="5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333-263404) pertaining to the Everspin Technologies, Inc. Amended and Restated 2016 Equity Incentive Plan and Everspin Technologies, Inc. 2016 Employee Stock Purchase Plan,</w:t>
      </w:r>
    </w:p>
    <w:p>
      <w:pPr>
        <w:spacing w:after="0" w:line="1" w:lineRule="exact"/>
        <w:rPr>
          <w:rFonts w:ascii="Times New Roman" w:cs="Times New Roman" w:eastAsia="Times New Roman" w:hAnsi="Times New Roman"/>
          <w:sz w:val="18"/>
          <w:szCs w:val="18"/>
          <w:color w:val="auto"/>
        </w:rPr>
      </w:pPr>
    </w:p>
    <w:p>
      <w:pPr>
        <w:ind w:left="660" w:right="360" w:hanging="328"/>
        <w:spacing w:after="0" w:line="234" w:lineRule="auto"/>
        <w:tabs>
          <w:tab w:leader="none" w:pos="5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333-270242) pertaining to the Everspin Technologies, Inc. Amended and Restated 2016 Equity Incentive Plan and Everspin Technologies, Inc. 2016 Employee Stock Purchase Plan,</w:t>
      </w:r>
    </w:p>
    <w:p>
      <w:pPr>
        <w:spacing w:after="0" w:line="1" w:lineRule="exact"/>
        <w:rPr>
          <w:rFonts w:ascii="Times New Roman" w:cs="Times New Roman" w:eastAsia="Times New Roman" w:hAnsi="Times New Roman"/>
          <w:sz w:val="18"/>
          <w:szCs w:val="18"/>
          <w:color w:val="auto"/>
        </w:rPr>
      </w:pPr>
    </w:p>
    <w:p>
      <w:pPr>
        <w:ind w:left="620" w:hanging="288"/>
        <w:spacing w:after="0" w:line="234"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333-275585) of Everspin Technologies, Inc.,</w:t>
      </w:r>
    </w:p>
    <w:p>
      <w:pPr>
        <w:ind w:left="660" w:right="280" w:hanging="328"/>
        <w:spacing w:after="0" w:line="234" w:lineRule="auto"/>
        <w:tabs>
          <w:tab w:leader="none" w:pos="6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333-277543) pertaining to the Everspin Technologies, Inc. Amended and Restated 2016 Equity Incentive Plan and Everspin Technologies, Inc. 2016 Employee Stock Purchase Plan, and</w:t>
      </w:r>
    </w:p>
    <w:p>
      <w:pPr>
        <w:spacing w:after="0" w:line="1" w:lineRule="exact"/>
        <w:rPr>
          <w:rFonts w:ascii="Times New Roman" w:cs="Times New Roman" w:eastAsia="Times New Roman" w:hAnsi="Times New Roman"/>
          <w:sz w:val="18"/>
          <w:szCs w:val="18"/>
          <w:color w:val="auto"/>
        </w:rPr>
      </w:pPr>
    </w:p>
    <w:p>
      <w:pPr>
        <w:ind w:left="660" w:right="280" w:hanging="328"/>
        <w:spacing w:after="0" w:line="233" w:lineRule="auto"/>
        <w:tabs>
          <w:tab w:leader="none" w:pos="62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333-285371) pertaining to the Everspin Technologies, Inc. Amended and Restated 2016 Equity Incentive Plan and Everspin Technologies, Inc. 2016 Employee Stock Purchase Plan;</w:t>
      </w:r>
    </w:p>
    <w:p>
      <w:pPr>
        <w:spacing w:after="0" w:line="21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of our report dated March 4, 2026, with respect to the financial statements of Everspin Technologies, Inc. included in this Annual Report (Form 10-K) of Everspin Technologies, Inc. for the year ended December 31,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Arizona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2026</w:t>
      </w:r>
    </w:p>
    <w:p>
      <w:pPr>
        <w:sectPr>
          <w:pgSz w:w="11900" w:h="16838" w:orient="portrait"/>
          <w:cols w:equalWidth="0" w:num="1">
            <w:col w:w="11240"/>
          </w:cols>
          <w:pgMar w:left="320" w:top="1413"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Sanjeev Aggarwal, certify that:</w:t>
      </w:r>
    </w:p>
    <w:p>
      <w:pPr>
        <w:spacing w:after="0" w:line="185"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Everspin Technologies, Inc.;</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340" w:hanging="8"/>
        <w:spacing w:after="0" w:line="282" w:lineRule="auto"/>
        <w:tabs>
          <w:tab w:leader="none" w:pos="65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2026</w:t>
      </w:r>
    </w:p>
    <w:p>
      <w:pPr>
        <w:spacing w:after="0" w:line="2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Sanjeev Aggarwal</w:t>
      </w:r>
    </w:p>
    <w:p>
      <w:pPr>
        <w:spacing w:after="0" w:line="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43"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Cooper, certify that:</w:t>
      </w:r>
    </w:p>
    <w:p>
      <w:pPr>
        <w:spacing w:after="0" w:line="185"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Everspin Technologies, Inc.;</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340" w:hanging="8"/>
        <w:spacing w:after="0" w:line="282" w:lineRule="auto"/>
        <w:tabs>
          <w:tab w:leader="none" w:pos="65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4, 2026</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William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William Cooper</w:t>
      </w:r>
    </w:p>
    <w:p>
      <w:pPr>
        <w:spacing w:after="0" w:line="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43"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Everspin Technologies, Inc. (the “Company”) on Form 10-K for the year ended December 31, 2025 (the “Report”), Sanjeev Aggarwal, Chief Executive Officer of the Company, and William Cooper, Chief Financial Officer of the Company, each hereby certifies, pursuant to the requirement set forth in Rule 13a-14(b) of the Securities Exchange Act of 1934, as amended (the “Exchange Act”), and Section 1350 of Chapter 63 of Title 18 of the United States Code (18 U.S.C. Section 1350), as adopted pursuant to Section 906 of the Sarbanes-Oxley Act of 2002, that, to the best of his knowledge:</w:t>
      </w:r>
    </w:p>
    <w:p>
      <w:pPr>
        <w:spacing w:after="0" w:line="143"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Report fully complies with the requirements of Section 13(a) or Section 15(d) of the Exchange Act; and</w:t>
      </w:r>
    </w:p>
    <w:p>
      <w:pPr>
        <w:spacing w:after="0" w:line="184" w:lineRule="exact"/>
        <w:rPr>
          <w:rFonts w:ascii="Times New Roman" w:cs="Times New Roman" w:eastAsia="Times New Roman" w:hAnsi="Times New Roman"/>
          <w:sz w:val="18"/>
          <w:szCs w:val="18"/>
          <w:b w:val="1"/>
          <w:bCs w:val="1"/>
          <w:color w:val="auto"/>
        </w:rPr>
      </w:pPr>
    </w:p>
    <w:p>
      <w:pPr>
        <w:ind w:right="460" w:firstLine="8"/>
        <w:spacing w:after="0" w:line="493" w:lineRule="auto"/>
        <w:tabs>
          <w:tab w:leader="none" w:pos="324"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4, 2026</w:t>
      </w:r>
    </w:p>
    <w:p>
      <w:pPr>
        <w:ind w:left="5640"/>
        <w:spacing w:after="0"/>
        <w:rPr>
          <w:sz w:val="20"/>
          <w:szCs w:val="20"/>
          <w:color w:val="auto"/>
        </w:rPr>
      </w:pPr>
      <w:r>
        <w:rPr>
          <w:rFonts w:ascii="Times New Roman" w:cs="Times New Roman" w:eastAsia="Times New Roman" w:hAnsi="Times New Roman"/>
          <w:sz w:val="18"/>
          <w:szCs w:val="18"/>
          <w:color w:val="auto"/>
        </w:rPr>
        <w:t>/s/ 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Sanjeev Aggarwal</w:t>
      </w:r>
    </w:p>
    <w:p>
      <w:pPr>
        <w:spacing w:after="0" w:line="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William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William Cooper</w:t>
      </w:r>
    </w:p>
    <w:p>
      <w:pPr>
        <w:spacing w:after="0" w:line="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lowerLetter"/>
      <w:start w:val="1"/>
    </w:lvl>
    <w:lvl w:ilvl="1">
      <w:lvlJc w:val="left"/>
      <w:lvlText w:val="%2."/>
      <w:numFmt w:val="decimal"/>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37" Type="http://schemas.openxmlformats.org/officeDocument/2006/relationships/image" Target="media/image103.png"/><Relationship Id="rId147" Type="http://schemas.openxmlformats.org/officeDocument/2006/relationships/image" Target="media/image104.png"/><Relationship Id="rId148" Type="http://schemas.openxmlformats.org/officeDocument/2006/relationships/image" Target="media/image105.png"/><Relationship Id="rId164" Type="http://schemas.openxmlformats.org/officeDocument/2006/relationships/image" Target="media/image106.png"/><Relationship Id="rId165" Type="http://schemas.openxmlformats.org/officeDocument/2006/relationships/image" Target="media/image107.png"/><Relationship Id="rId167" Type="http://schemas.openxmlformats.org/officeDocument/2006/relationships/image" Target="media/image108.png"/><Relationship Id="rId168" Type="http://schemas.openxmlformats.org/officeDocument/2006/relationships/image" Target="media/image109.png"/><Relationship Id="rId169" Type="http://schemas.openxmlformats.org/officeDocument/2006/relationships/image" Target="media/image110.png"/><Relationship Id="rId170" Type="http://schemas.openxmlformats.org/officeDocument/2006/relationships/image" Target="media/image111.png"/><Relationship Id="rId171" Type="http://schemas.openxmlformats.org/officeDocument/2006/relationships/image" Target="media/image112.png"/><Relationship Id="rId172" Type="http://schemas.openxmlformats.org/officeDocument/2006/relationships/image" Target="media/image113.png"/><Relationship Id="rId173" Type="http://schemas.openxmlformats.org/officeDocument/2006/relationships/image" Target="media/image114.png"/><Relationship Id="rId174" Type="http://schemas.openxmlformats.org/officeDocument/2006/relationships/image" Target="media/image115.png"/><Relationship Id="rId175" Type="http://schemas.openxmlformats.org/officeDocument/2006/relationships/image" Target="media/image116.png"/><Relationship Id="rId176" Type="http://schemas.openxmlformats.org/officeDocument/2006/relationships/image" Target="media/image117.png"/><Relationship Id="rId108" Type="http://schemas.openxmlformats.org/officeDocument/2006/relationships/hyperlink" Target="http://www.sec.gov/Archives/edgar/data/1438423/000119312516737688/d271840dex31.htm" TargetMode="External"/><Relationship Id="rId109" Type="http://schemas.openxmlformats.org/officeDocument/2006/relationships/hyperlink" Target="http://www.sec.gov/Archives/edgar/data/1438423/000119312519154165/d752899dex31.htm" TargetMode="External"/><Relationship Id="rId110" Type="http://schemas.openxmlformats.org/officeDocument/2006/relationships/hyperlink" Target="https://www.sec.gov/Archives/edgar/data/1438423/000119312520153247/d936625dex31.htm" TargetMode="External"/><Relationship Id="rId111" Type="http://schemas.openxmlformats.org/officeDocument/2006/relationships/hyperlink" Target="https://www.sec.gov/Archives/edgar/data/1438423/000110465923064640/tm2316966d1_ex3-1.htm" TargetMode="External"/><Relationship Id="rId112" Type="http://schemas.openxmlformats.org/officeDocument/2006/relationships/hyperlink" Target="https://www.sec.gov/Archives/edgar/data/1438423/000119312519154165/d752899dex32.htm" TargetMode="External"/><Relationship Id="rId113" Type="http://schemas.openxmlformats.org/officeDocument/2006/relationships/hyperlink" Target="http://www.sec.gov/Archives/edgar/data/1438423/000119312516706479/d180963dex41.htm" TargetMode="External"/><Relationship Id="rId114" Type="http://schemas.openxmlformats.org/officeDocument/2006/relationships/hyperlink" Target="https://www.sec.gov/Archives/edgar/data/1438423/000155837021002369/mram-20201231xex4d4.htm" TargetMode="External"/><Relationship Id="rId115" Type="http://schemas.openxmlformats.org/officeDocument/2006/relationships/hyperlink" Target="http://www.sec.gov/Archives/edgar/data/1438423/000119312516706479/d180963dex101.htm" TargetMode="External"/><Relationship Id="rId116" Type="http://schemas.openxmlformats.org/officeDocument/2006/relationships/hyperlink" Target="http://www.sec.gov/Archives/edgar/data/1438423/000119312516718974/d180963dex102.htm" TargetMode="External"/><Relationship Id="rId117" Type="http://schemas.openxmlformats.org/officeDocument/2006/relationships/hyperlink" Target="http://www.sec.gov/Archives/edgar/data/1438423/000119312518170723/d591823dex101.htm" TargetMode="External"/><Relationship Id="rId118" Type="http://schemas.openxmlformats.org/officeDocument/2006/relationships/hyperlink" Target="https://www.sec.gov/Archives/edgar/data/1438423/000110465921071785/tm2117465d1_10-1.htm" TargetMode="External"/><Relationship Id="rId119" Type="http://schemas.openxmlformats.org/officeDocument/2006/relationships/hyperlink" Target="http://www.sec.gov/Archives/edgar/data/1438423/000119312516718974/d180963dex103.htm" TargetMode="External"/><Relationship Id="rId120" Type="http://schemas.openxmlformats.org/officeDocument/2006/relationships/hyperlink" Target="http://www.sec.gov/Archives/edgar/data/1438423/000155837017008862/mram-20170930ex103cdc87e.htm" TargetMode="External"/><Relationship Id="rId121" Type="http://schemas.openxmlformats.org/officeDocument/2006/relationships/hyperlink" Target="http://www.sec.gov/Archives/edgar/data/1438423/000119312516718974/d180963dex104.htm" TargetMode="External"/><Relationship Id="rId122" Type="http://schemas.openxmlformats.org/officeDocument/2006/relationships/hyperlink" Target="http://www.sec.gov/Archives/edgar/data/1438423/000119312516706479/d180963dex105.htm" TargetMode="External"/><Relationship Id="rId123" Type="http://schemas.openxmlformats.org/officeDocument/2006/relationships/hyperlink" Target="http://www.sec.gov/Archives/edgar/data/1438423/000119312516706479/d180963dex106.htm" TargetMode="External"/><Relationship Id="rId126" Type="http://schemas.openxmlformats.org/officeDocument/2006/relationships/hyperlink" Target="http://www.sec.gov/Archives/edgar/data/1438423/000119312516706479/d180963dex107.htm" TargetMode="External"/><Relationship Id="rId127" Type="http://schemas.openxmlformats.org/officeDocument/2006/relationships/hyperlink" Target="http://www.sec.gov/Archives/edgar/data/1438423/000119312516706479/d180963dex108.htm" TargetMode="External"/><Relationship Id="rId128" Type="http://schemas.openxmlformats.org/officeDocument/2006/relationships/hyperlink" Target="http://www.sec.gov/Archives/edgar/data/1438423/000119312516706479/d180963dex109.htm" TargetMode="External"/><Relationship Id="rId129" Type="http://schemas.openxmlformats.org/officeDocument/2006/relationships/hyperlink" Target="http://www.sec.gov/Archives/edgar/data/1438423/000119312517099843/d309079dex101.htm" TargetMode="External"/><Relationship Id="rId130" Type="http://schemas.openxmlformats.org/officeDocument/2006/relationships/hyperlink" Target="http://www.sec.gov/Archives/edgar/data/1438423/000155837018002138/mram-20171231ex10404e19d.htm" TargetMode="External"/><Relationship Id="rId131" Type="http://schemas.openxmlformats.org/officeDocument/2006/relationships/hyperlink" Target="http://www.sec.gov/Archives/edgar/data/1438423/000155837018009316/mram-20180930ex101843130.htm" TargetMode="External"/><Relationship Id="rId132" Type="http://schemas.openxmlformats.org/officeDocument/2006/relationships/hyperlink" Target="https://www.sec.gov/Archives/edgar/data/1438423/000155837020002576/mram-20191231ex1015b3826.htm" TargetMode="External"/><Relationship Id="rId133" Type="http://schemas.openxmlformats.org/officeDocument/2006/relationships/hyperlink" Target="https://www.sec.gov/Archives/edgar/data/1438423/000155837020009726/mram-20200630xex10d2.htm" TargetMode="External"/><Relationship Id="rId134" Type="http://schemas.openxmlformats.org/officeDocument/2006/relationships/hyperlink" Target="https://www.sec.gov/Archives/edgar/data/1438423/000155837023002697/mram-20221231xex10d710.htm" TargetMode="External"/><Relationship Id="rId135" Type="http://schemas.openxmlformats.org/officeDocument/2006/relationships/hyperlink" Target="http://www.sec.gov/Archives/edgar/data/1438423/000119312516706479/d180963dex1017.htm" TargetMode="External"/><Relationship Id="rId136" Type="http://schemas.openxmlformats.org/officeDocument/2006/relationships/hyperlink" Target="http://www.sec.gov/Archives/edgar/data/1438423/000119312516706479/d180963dex1022.htm" TargetMode="External"/><Relationship Id="rId138" Type="http://schemas.openxmlformats.org/officeDocument/2006/relationships/hyperlink" Target="http://www.sec.gov/Archives/edgar/data/1438423/000119312517099844/d365467dex101.htm" TargetMode="External"/><Relationship Id="rId139" Type="http://schemas.openxmlformats.org/officeDocument/2006/relationships/hyperlink" Target="https://www.sec.gov/Archives/edgar/data/1438423/000119312517099844/d365467dex102.htm" TargetMode="External"/><Relationship Id="rId140" Type="http://schemas.openxmlformats.org/officeDocument/2006/relationships/hyperlink" Target="https://www.sec.gov/Archives/edgar/data/1438423/000119312517099844/d365467dex103.htm" TargetMode="External"/><Relationship Id="rId141" Type="http://schemas.openxmlformats.org/officeDocument/2006/relationships/hyperlink" Target="http://www.sec.gov/Archives/edgar/data/1438423/000155837018002138/mram-20171231ex10398040a.htm" TargetMode="External"/><Relationship Id="rId142" Type="http://schemas.openxmlformats.org/officeDocument/2006/relationships/hyperlink" Target="https://www.sec.gov/Archives/edgar/data/1438423/000155837023017399/mram-20230930xex10d1.htm" TargetMode="External"/><Relationship Id="rId143" Type="http://schemas.openxmlformats.org/officeDocument/2006/relationships/hyperlink" Target="https://www.sec.gov/Archives/edgar/data/1438423/000155837023017399/mram-20230930xex10d2.htm" TargetMode="External"/><Relationship Id="rId144" Type="http://schemas.openxmlformats.org/officeDocument/2006/relationships/hyperlink" Target="https://www.sec.gov/Archives/edgar/data/1438423/000155837021002369/mram-20201231xex10d11d2.htm" TargetMode="External"/><Relationship Id="rId145" Type="http://schemas.openxmlformats.org/officeDocument/2006/relationships/hyperlink" Target="https://www.sec.gov/Archives/edgar/data/1438423/000155837023017399/mram-20230930xex10d3.htm" TargetMode="External"/><Relationship Id="rId146" Type="http://schemas.openxmlformats.org/officeDocument/2006/relationships/hyperlink" Target="https://www.sec.gov/Archives/edgar/data/1438423/000155837021002369/mram-20201231xex10d11d4.htm" TargetMode="External"/><Relationship Id="rId149" Type="http://schemas.openxmlformats.org/officeDocument/2006/relationships/hyperlink" Target="http://www.sec.gov/Archives/edgar/data/1438423/000119312516706479/d180963dex1020.htm" TargetMode="External"/><Relationship Id="rId150" Type="http://schemas.openxmlformats.org/officeDocument/2006/relationships/hyperlink" Target="http://www.sec.gov/Archives/edgar/data/1438423/000119312516706479/d180963dex1021.htm" TargetMode="External"/><Relationship Id="rId151" Type="http://schemas.openxmlformats.org/officeDocument/2006/relationships/hyperlink" Target="https://www.sec.gov/Archives/edgar/data/1438423/000119312516718974/d180963dex1023.htm" TargetMode="External"/><Relationship Id="rId152" Type="http://schemas.openxmlformats.org/officeDocument/2006/relationships/hyperlink" Target="https://www.sec.gov/Archives/edgar/data/1438423/000155837022017466/mram-20220930xex10d2.htm" TargetMode="External"/><Relationship Id="rId153" Type="http://schemas.openxmlformats.org/officeDocument/2006/relationships/hyperlink" Target="https://www.sec.gov/Archives/edgar/data/1438423/000155837023008054/mram-20230331xex10d1.htm" TargetMode="External"/><Relationship Id="rId154" Type="http://schemas.openxmlformats.org/officeDocument/2006/relationships/hyperlink" Target="https://www.sec.gov/Archives/edgar/data/1438423/000155837021002369/mram-20201231xex10d26.htm" TargetMode="External"/><Relationship Id="rId155" Type="http://schemas.openxmlformats.org/officeDocument/2006/relationships/hyperlink" Target="https://www.sec.gov/Archives/edgar/data/1438423/000110465921094559/tm2122756d1_ex10-1.htm" TargetMode="External"/><Relationship Id="rId156" Type="http://schemas.openxmlformats.org/officeDocument/2006/relationships/hyperlink" Target="https://www.sec.gov/Archives/edgar/data/1438423/000110465922029376/tm228006d1_ex10-1.htm" TargetMode="External"/><Relationship Id="rId157" Type="http://schemas.openxmlformats.org/officeDocument/2006/relationships/hyperlink" Target="https://www.sec.gov/Archives/edgar/data/1438423/000110465922029376/tm228006d1_ex10-2.htm" TargetMode="External"/><Relationship Id="rId158" Type="http://schemas.openxmlformats.org/officeDocument/2006/relationships/hyperlink" Target="https://www.sec.gov/Archives/edgar/data/1438423/000155837024006532/mram-20240331xex10d2.htm" TargetMode="External"/><Relationship Id="rId159" Type="http://schemas.openxmlformats.org/officeDocument/2006/relationships/hyperlink" Target="https://www.sec.gov/ix?doc=/Archives/edgar/data/0001438423/000110465922059468/tm2215349d1_8k.htm" TargetMode="External"/><Relationship Id="rId160" Type="http://schemas.openxmlformats.org/officeDocument/2006/relationships/hyperlink" Target="https://www.sec.gov/Archives/edgar/data/1438423/000155837024006532/mram-20240331xex10d1.htm" TargetMode="External"/><Relationship Id="rId161" Type="http://schemas.openxmlformats.org/officeDocument/2006/relationships/hyperlink" Target="https://www.sec.gov/Archives/edgar/data/1438423/000155837024014455/mram-20240930xex10d3.htm" TargetMode="External"/><Relationship Id="rId162" Type="http://schemas.openxmlformats.org/officeDocument/2006/relationships/hyperlink" Target="https://www.sec.gov/Archives/edgar/data/1438423/000110465925002026/tm251884d1_ex10-1.htm" TargetMode="External"/><Relationship Id="rId163" Type="http://schemas.openxmlformats.org/officeDocument/2006/relationships/hyperlink" Target="https://www.sec.gov/Archives/edgar/data/1438423/000155837025001827/mram-20241231xex10d30.htm" TargetMode="External"/><Relationship Id="rId166" Type="http://schemas.openxmlformats.org/officeDocument/2006/relationships/hyperlink" Target="https://www.sec.gov/Archives/edgar/data/1438423/000155837024002185/mram-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2026-03-04T16:25:17Z</dcterms:created>
  <dcterms:modified xsi:type="dcterms:W3CDTF">2026-03-04T16:25:17Z</dcterms:modified>
</cp:coreProperties>
</file>