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314960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2"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92710</wp:posOffset>
            </wp:positionV>
            <wp:extent cx="1586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9" w:right="180" w:hanging="449"/>
        <w:spacing w:after="0" w:line="243" w:lineRule="auto"/>
        <w:tabs>
          <w:tab w:leader="none" w:pos="6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3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49" w:right="160" w:hanging="449"/>
        <w:spacing w:after="0" w:line="256" w:lineRule="auto"/>
        <w:tabs>
          <w:tab w:leader="none" w:pos="6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349"/>
        <w:spacing w:after="0"/>
        <w:tabs>
          <w:tab w:leader="none" w:pos="628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3637280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15" w:lineRule="exact"/>
        <w:rPr>
          <w:sz w:val="24"/>
          <w:szCs w:val="24"/>
          <w:color w:val="auto"/>
        </w:rPr>
      </w:pPr>
    </w:p>
    <w:p>
      <w:pPr>
        <w:jc w:val="center"/>
        <w:ind w:right="11"/>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88900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9" w:lineRule="exact"/>
        <w:rPr>
          <w:sz w:val="24"/>
          <w:szCs w:val="24"/>
          <w:color w:val="auto"/>
        </w:rPr>
      </w:pPr>
    </w:p>
    <w:p>
      <w:pPr>
        <w:jc w:val="center"/>
        <w:ind w:right="11"/>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73025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20" w:lineRule="exact"/>
        <w:rPr>
          <w:sz w:val="24"/>
          <w:szCs w:val="24"/>
          <w:color w:val="auto"/>
        </w:rPr>
      </w:pPr>
    </w:p>
    <w:tbl>
      <w:tblPr>
        <w:tblLayout w:type="fixed"/>
        <w:tblInd w:w="1269" w:type="dxa"/>
        <w:tblCellMar>
          <w:top w:w="0" w:type="dxa"/>
          <w:left w:w="0" w:type="dxa"/>
          <w:bottom w:w="0" w:type="dxa"/>
          <w:right w:w="0" w:type="dxa"/>
        </w:tblCellMar>
      </w:tblP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(State or other jurisdiction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of incorporation or organization)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03"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85725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6" w:lineRule="exact"/>
        <w:rPr>
          <w:sz w:val="24"/>
          <w:szCs w:val="24"/>
          <w:color w:val="auto"/>
        </w:rPr>
      </w:pPr>
    </w:p>
    <w:p>
      <w:pPr>
        <w:jc w:val="both"/>
        <w:ind w:left="9"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9"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9" w:right="4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9" w:type="dxa"/>
        <w:tblCellMar>
          <w:top w:w="0" w:type="dxa"/>
          <w:left w:w="0" w:type="dxa"/>
          <w:bottom w:w="0" w:type="dxa"/>
          <w:right w:w="0" w:type="dxa"/>
        </w:tblCellMar>
      </w:tblPr>
      <w:tr>
        <w:trPr>
          <w:trHeight w:val="174"/>
        </w:trPr>
        <w:tc>
          <w:tcPr>
            <w:tcW w:w="1700" w:type="dxa"/>
            <w:vAlign w:val="bottom"/>
          </w:tcPr>
          <w:p>
            <w:pPr>
              <w:spacing w:after="0" w:line="175" w:lineRule="exact"/>
              <w:rPr>
                <w:sz w:val="20"/>
                <w:szCs w:val="20"/>
                <w:color w:val="auto"/>
              </w:rPr>
            </w:pPr>
            <w:r>
              <w:rPr>
                <w:rFonts w:ascii="Arial" w:cs="Arial" w:eastAsia="Arial" w:hAnsi="Arial"/>
                <w:sz w:val="18"/>
                <w:szCs w:val="18"/>
                <w:color w:val="auto"/>
                <w:w w:val="94"/>
              </w:rPr>
              <w:t>Large accelerated filer</w:t>
            </w:r>
          </w:p>
        </w:tc>
        <w:tc>
          <w:tcPr>
            <w:tcW w:w="1780" w:type="dxa"/>
            <w:vAlign w:val="bottom"/>
          </w:tcPr>
          <w:p>
            <w:pPr>
              <w:ind w:left="80"/>
              <w:spacing w:after="0" w:line="175"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spacing w:after="0"/>
              <w:rPr>
                <w:sz w:val="15"/>
                <w:szCs w:val="15"/>
                <w:color w:val="auto"/>
              </w:rPr>
            </w:pPr>
          </w:p>
        </w:tc>
        <w:tc>
          <w:tcPr>
            <w:tcW w:w="3200" w:type="dxa"/>
            <w:vAlign w:val="bottom"/>
          </w:tcPr>
          <w:p>
            <w:pPr>
              <w:ind w:left="400"/>
              <w:spacing w:after="0" w:line="175" w:lineRule="exact"/>
              <w:rPr>
                <w:sz w:val="20"/>
                <w:szCs w:val="20"/>
                <w:color w:val="auto"/>
              </w:rPr>
            </w:pPr>
            <w:r>
              <w:rPr>
                <w:rFonts w:ascii="Arial" w:cs="Arial" w:eastAsia="Arial" w:hAnsi="Arial"/>
                <w:sz w:val="18"/>
                <w:szCs w:val="18"/>
                <w:color w:val="auto"/>
              </w:rPr>
              <w:t>Accelerated filer</w:t>
            </w:r>
          </w:p>
        </w:tc>
        <w:tc>
          <w:tcPr>
            <w:tcW w:w="280" w:type="dxa"/>
            <w:vAlign w:val="bottom"/>
          </w:tcPr>
          <w:p>
            <w:pPr>
              <w:ind w:left="100"/>
              <w:spacing w:after="0" w:line="175"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Non-accelerated filer</w:t>
            </w:r>
          </w:p>
        </w:tc>
        <w:tc>
          <w:tcPr>
            <w:tcW w:w="17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Small reporting company</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Emerging growth company</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9"/>
        </w:trPr>
        <w:tc>
          <w:tcPr>
            <w:tcW w:w="10140" w:type="dxa"/>
            <w:vAlign w:val="bottom"/>
            <w:gridSpan w:val="4"/>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0140" w:type="dxa"/>
            <w:vAlign w:val="bottom"/>
            <w:gridSpan w:val="4"/>
          </w:tcPr>
          <w:p>
            <w:pPr>
              <w:spacing w:after="0"/>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p>
        </w:tc>
        <w:tc>
          <w:tcPr>
            <w:tcW w:w="280" w:type="dxa"/>
            <w:vAlign w:val="bottom"/>
          </w:tcPr>
          <w:p>
            <w:pPr>
              <w:spacing w:after="0"/>
              <w:rPr>
                <w:sz w:val="20"/>
                <w:szCs w:val="20"/>
                <w:color w:val="auto"/>
              </w:rPr>
            </w:pPr>
          </w:p>
        </w:tc>
      </w:tr>
      <w:tr>
        <w:trPr>
          <w:trHeight w:val="323"/>
        </w:trPr>
        <w:tc>
          <w:tcPr>
            <w:tcW w:w="10140" w:type="dxa"/>
            <w:vAlign w:val="bottom"/>
            <w:gridSpan w:val="4"/>
          </w:tcPr>
          <w:p>
            <w:pPr>
              <w:spacing w:after="0" w:line="207" w:lineRule="exact"/>
              <w:rPr>
                <w:sz w:val="20"/>
                <w:szCs w:val="20"/>
                <w:color w:val="auto"/>
              </w:rPr>
            </w:pPr>
            <w:r>
              <w:rPr>
                <w:rFonts w:ascii="Arial" w:cs="Arial" w:eastAsia="Arial" w:hAnsi="Arial"/>
                <w:sz w:val="18"/>
                <w:szCs w:val="18"/>
                <w:color w:val="auto"/>
                <w:w w:val="98"/>
              </w:rPr>
              <w:t xml:space="preserve">Indicate by check mark whether the Registrant is a shell company (as defined in Rule 12b-2 of the Exchange Act).  YES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NO </w:t>
            </w:r>
            <w:r>
              <w:rPr>
                <w:rFonts w:ascii="MS PGothic" w:cs="MS PGothic" w:eastAsia="MS PGothic" w:hAnsi="MS PGothic"/>
                <w:sz w:val="18"/>
                <w:szCs w:val="18"/>
                <w:color w:val="auto"/>
                <w:w w:val="98"/>
              </w:rPr>
              <w:t>☒</w:t>
            </w:r>
          </w:p>
        </w:tc>
        <w:tc>
          <w:tcPr>
            <w:tcW w:w="280" w:type="dxa"/>
            <w:vAlign w:val="bottom"/>
          </w:tcPr>
          <w:p>
            <w:pPr>
              <w:spacing w:after="0"/>
              <w:rPr>
                <w:sz w:val="24"/>
                <w:szCs w:val="24"/>
                <w:color w:val="auto"/>
              </w:rPr>
            </w:pPr>
          </w:p>
        </w:tc>
      </w:tr>
      <w:tr>
        <w:trPr>
          <w:trHeight w:val="237"/>
        </w:trPr>
        <w:tc>
          <w:tcPr>
            <w:tcW w:w="6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r>
      <w:tr>
        <w:trPr>
          <w:trHeight w:val="216"/>
        </w:trPr>
        <w:tc>
          <w:tcPr>
            <w:tcW w:w="1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178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34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w w:val="93"/>
              </w:rPr>
              <w:t>Name of each exchange on which registered</w:t>
            </w:r>
          </w:p>
        </w:tc>
      </w:tr>
      <w:tr>
        <w:trPr>
          <w:trHeight w:val="210"/>
        </w:trPr>
        <w:tc>
          <w:tcPr>
            <w:tcW w:w="34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Common Stock, par value $0.0001</w:t>
            </w:r>
          </w:p>
        </w:tc>
        <w:tc>
          <w:tcPr>
            <w:tcW w:w="3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MRAM</w:t>
            </w:r>
          </w:p>
        </w:tc>
        <w:tc>
          <w:tcPr>
            <w:tcW w:w="3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The Nasdaq Stock Market</w:t>
            </w:r>
          </w:p>
        </w:tc>
        <w:tc>
          <w:tcPr>
            <w:tcW w:w="28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4"/>
          <w:szCs w:val="24"/>
          <w:color w:val="auto"/>
        </w:rPr>
      </w:pPr>
    </w:p>
    <w:p>
      <w:pPr>
        <w:ind w:left="9"/>
        <w:spacing w:after="0"/>
        <w:rPr>
          <w:sz w:val="20"/>
          <w:szCs w:val="20"/>
          <w:color w:val="auto"/>
        </w:rPr>
      </w:pPr>
      <w:r>
        <w:rPr>
          <w:rFonts w:ascii="Arial" w:cs="Arial" w:eastAsia="Arial" w:hAnsi="Arial"/>
          <w:sz w:val="18"/>
          <w:szCs w:val="18"/>
          <w:color w:val="auto"/>
        </w:rPr>
        <w:t>The number of shares of Registrant’s Common Stock outstanding as of May 1, 2019 was 17,131,780.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332105</wp:posOffset>
            </wp:positionV>
            <wp:extent cx="6612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29"/>
          </w:cols>
          <w:pgMar w:left="751" w:top="233" w:right="7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80" w:type="dxa"/>
            <w:vAlign w:val="bottom"/>
            <w:gridSpan w:val="14"/>
            <w:vMerge w:val="restart"/>
          </w:tcPr>
          <w:p>
            <w:pPr>
              <w:jc w:val="center"/>
              <w:ind w:right="22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38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80" w:type="dxa"/>
            <w:vAlign w:val="bottom"/>
            <w:gridSpan w:val="2"/>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140" w:type="dxa"/>
            <w:vAlign w:val="bottom"/>
            <w:tcBorders>
              <w:top w:val="single" w:sz="8" w:color="0000EE"/>
            </w:tcBorders>
            <w:gridSpan w:val="8"/>
          </w:tcPr>
          <w:p>
            <w:pPr>
              <w:spacing w:after="0"/>
              <w:rPr>
                <w:sz w:val="18"/>
                <w:szCs w:val="18"/>
                <w:color w:val="auto"/>
              </w:rPr>
            </w:pPr>
          </w:p>
        </w:tc>
        <w:tc>
          <w:tcPr>
            <w:tcW w:w="224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March 31, 2019 (unaudited) and December 31, 2018</w:t>
              </w:r>
            </w:hyperlink>
          </w:p>
        </w:tc>
        <w:tc>
          <w:tcPr>
            <w:tcW w:w="112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80" w:type="dxa"/>
            <w:vAlign w:val="bottom"/>
            <w:gridSpan w:val="24"/>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Statements of Operations and Comprehensive Loss for the three months ended March</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31, 2019 and 2018 (unaudited)</w:t>
              </w:r>
            </w:hyperlink>
          </w:p>
        </w:tc>
        <w:tc>
          <w:tcPr>
            <w:tcW w:w="2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Stockholders’ Equity for the three months ended March 31, 2019 and</w:t>
              </w:r>
            </w:hyperlink>
          </w:p>
        </w:tc>
        <w:tc>
          <w:tcPr>
            <w:tcW w:w="4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2018 (unaudited)</w:t>
              </w:r>
            </w:hyperlink>
          </w:p>
        </w:tc>
        <w:tc>
          <w:tcPr>
            <w:tcW w:w="580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80" w:type="dxa"/>
            <w:vAlign w:val="bottom"/>
            <w:gridSpan w:val="24"/>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Statements of Cash Flows for the three months ended March 31, 2019 and 2018</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5520" w:type="dxa"/>
            <w:vAlign w:val="bottom"/>
            <w:tcBorders>
              <w:top w:val="single" w:sz="8" w:color="0000EE"/>
            </w:tcBorders>
            <w:gridSpan w:val="15"/>
          </w:tcPr>
          <w:p>
            <w:pPr>
              <w:spacing w:after="0"/>
              <w:rPr>
                <w:sz w:val="17"/>
                <w:szCs w:val="17"/>
                <w:color w:val="auto"/>
              </w:rPr>
            </w:pPr>
          </w:p>
        </w:tc>
        <w:tc>
          <w:tcPr>
            <w:tcW w:w="70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8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480" w:type="dxa"/>
            <w:vAlign w:val="bottom"/>
            <w:gridSpan w:val="2"/>
          </w:tcPr>
          <w:p>
            <w:pPr>
              <w:spacing w:after="0"/>
              <w:rPr>
                <w:sz w:val="18"/>
                <w:szCs w:val="18"/>
                <w:color w:val="auto"/>
              </w:rPr>
            </w:pPr>
          </w:p>
        </w:tc>
        <w:tc>
          <w:tcPr>
            <w:tcW w:w="7600" w:type="dxa"/>
            <w:vAlign w:val="bottom"/>
            <w:gridSpan w:val="2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480" w:type="dxa"/>
            <w:vAlign w:val="bottom"/>
            <w:gridSpan w:val="2"/>
          </w:tcPr>
          <w:p>
            <w:pPr>
              <w:spacing w:after="0"/>
              <w:rPr>
                <w:sz w:val="18"/>
                <w:szCs w:val="18"/>
                <w:color w:val="auto"/>
              </w:rPr>
            </w:pPr>
          </w:p>
        </w:tc>
        <w:tc>
          <w:tcPr>
            <w:tcW w:w="43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114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00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7600" w:type="dxa"/>
            <w:vAlign w:val="bottom"/>
            <w:gridSpan w:val="2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II—OTHER INFORMATION</w:t>
              </w:r>
            </w:hyperlink>
          </w:p>
        </w:tc>
        <w:tc>
          <w:tcPr>
            <w:tcW w:w="238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w:t>
              </w:r>
            </w:hyperlink>
          </w:p>
        </w:tc>
        <w:tc>
          <w:tcPr>
            <w:tcW w:w="480" w:type="dxa"/>
            <w:vAlign w:val="bottom"/>
            <w:gridSpan w:val="2"/>
          </w:tcPr>
          <w:p>
            <w:pPr>
              <w:spacing w:after="0"/>
              <w:rPr>
                <w:sz w:val="18"/>
                <w:szCs w:val="18"/>
                <w:color w:val="auto"/>
              </w:rPr>
            </w:pP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6260" w:type="dxa"/>
            <w:vAlign w:val="bottom"/>
            <w:gridSpan w:val="1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00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7600" w:type="dxa"/>
            <w:vAlign w:val="bottom"/>
            <w:gridSpan w:val="2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Unregistered Sales of Equity Securities and Use of Proceeds</w:t>
              </w:r>
            </w:hyperlink>
          </w:p>
        </w:tc>
        <w:tc>
          <w:tcPr>
            <w:tcW w:w="32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480" w:type="dxa"/>
            <w:vAlign w:val="bottom"/>
            <w:gridSpan w:val="2"/>
          </w:tcPr>
          <w:p>
            <w:pPr>
              <w:spacing w:after="0"/>
              <w:rPr>
                <w:sz w:val="18"/>
                <w:szCs w:val="18"/>
                <w:color w:val="auto"/>
              </w:rPr>
            </w:pPr>
          </w:p>
        </w:tc>
        <w:tc>
          <w:tcPr>
            <w:tcW w:w="7600" w:type="dxa"/>
            <w:vAlign w:val="bottom"/>
            <w:gridSpan w:val="2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480" w:type="dxa"/>
            <w:vAlign w:val="bottom"/>
            <w:gridSpan w:val="2"/>
          </w:tcPr>
          <w:p>
            <w:pPr>
              <w:spacing w:after="0"/>
              <w:rPr>
                <w:sz w:val="18"/>
                <w:szCs w:val="18"/>
                <w:color w:val="auto"/>
              </w:rPr>
            </w:pPr>
          </w:p>
        </w:tc>
        <w:tc>
          <w:tcPr>
            <w:tcW w:w="17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18"/>
                <w:szCs w:val="18"/>
                <w:color w:val="auto"/>
              </w:rPr>
            </w:pPr>
          </w:p>
        </w:tc>
        <w:tc>
          <w:tcPr>
            <w:tcW w:w="5280" w:type="dxa"/>
            <w:vAlign w:val="bottom"/>
            <w:gridSpan w:val="13"/>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480" w:type="dxa"/>
            <w:vAlign w:val="bottom"/>
            <w:gridSpan w:val="2"/>
          </w:tcPr>
          <w:p>
            <w:pPr>
              <w:spacing w:after="0"/>
              <w:rPr>
                <w:sz w:val="18"/>
                <w:szCs w:val="18"/>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Other Information</w:t>
              </w:r>
            </w:hyperlink>
          </w:p>
        </w:tc>
        <w:tc>
          <w:tcPr>
            <w:tcW w:w="6280" w:type="dxa"/>
            <w:vAlign w:val="bottom"/>
            <w:gridSpan w:val="20"/>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480" w:type="dxa"/>
            <w:vAlign w:val="bottom"/>
            <w:gridSpan w:val="2"/>
          </w:tcPr>
          <w:p>
            <w:pPr>
              <w:spacing w:after="0"/>
              <w:rPr>
                <w:sz w:val="18"/>
                <w:szCs w:val="18"/>
                <w:color w:val="auto"/>
              </w:rPr>
            </w:pPr>
          </w:p>
        </w:tc>
        <w:tc>
          <w:tcPr>
            <w:tcW w:w="7600" w:type="dxa"/>
            <w:vAlign w:val="bottom"/>
            <w:gridSpan w:val="2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7000" w:type="dxa"/>
            <w:vAlign w:val="bottom"/>
            <w:gridSpan w:val="2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 INDEX</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7280" w:type="dxa"/>
            <w:vAlign w:val="bottom"/>
            <w:gridSpan w:val="2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18,515</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Lease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net of current portion</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 issued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outstanding as of March 31, 2019 and December 31, 2018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00"/>
              <w:spacing w:after="0" w:line="201" w:lineRule="exact"/>
              <w:rPr>
                <w:sz w:val="20"/>
                <w:szCs w:val="20"/>
                <w:color w:val="auto"/>
              </w:rPr>
            </w:pPr>
            <w:r>
              <w:rPr>
                <w:rFonts w:ascii="Arial" w:cs="Arial" w:eastAsia="Arial" w:hAnsi="Arial"/>
                <w:sz w:val="18"/>
                <w:szCs w:val="18"/>
                <w:color w:val="auto"/>
                <w:w w:val="93"/>
              </w:rPr>
              <w:t>Common stock, $0.0001 par value per share; 100,000,000 shares authorized; 17,108,063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and 17,095,456 shares issued and outstanding as of March 31, 2019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(138,249)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89"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r>
      <w:tr>
        <w:trPr>
          <w:trHeight w:val="216"/>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w:t>
            </w:r>
          </w:p>
        </w:tc>
      </w:tr>
      <w:tr>
        <w:trPr>
          <w:trHeight w:val="210"/>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w:t>
            </w:r>
          </w:p>
        </w:tc>
      </w:tr>
      <w:tr>
        <w:trPr>
          <w:trHeight w:val="216"/>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r>
      <w:tr>
        <w:trPr>
          <w:trHeight w:val="210"/>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3,219</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1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7"/>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r>
      <w:tr>
        <w:trPr>
          <w:trHeight w:val="236"/>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10"/>
        </w:trPr>
        <w:tc>
          <w:tcPr>
            <w:tcW w:w="6800" w:type="dxa"/>
            <w:vAlign w:val="bottom"/>
          </w:tcPr>
          <w:p>
            <w:pPr>
              <w:spacing w:after="0" w:line="203" w:lineRule="exact"/>
              <w:rPr>
                <w:sz w:val="20"/>
                <w:szCs w:val="20"/>
                <w:color w:val="auto"/>
              </w:rPr>
            </w:pPr>
            <w:r>
              <w:rPr>
                <w:rFonts w:ascii="Arial" w:cs="Arial" w:eastAsia="Arial" w:hAnsi="Arial"/>
                <w:sz w:val="18"/>
                <w:szCs w:val="18"/>
                <w:color w:val="auto"/>
                <w:w w:val="95"/>
              </w:rPr>
              <w:t>Weighted-average shares used to compute net loss per common share, basic and diluted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17,097,999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14,789,036</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Three Months Ended March 31, 2019</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20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0"/>
                <w:szCs w:val="10"/>
                <w:color w:val="auto"/>
              </w:rPr>
            </w:pPr>
          </w:p>
        </w:tc>
        <w:tc>
          <w:tcPr>
            <w:tcW w:w="960" w:type="dxa"/>
            <w:vAlign w:val="bottom"/>
          </w:tcPr>
          <w:p>
            <w:pPr>
              <w:jc w:val="center"/>
              <w:ind w:right="69"/>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0"/>
                <w:szCs w:val="10"/>
                <w:color w:val="auto"/>
              </w:rPr>
            </w:pPr>
          </w:p>
        </w:tc>
        <w:tc>
          <w:tcPr>
            <w:tcW w:w="98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04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9"/>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2018</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17,095,456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158,912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(133,993)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6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 incentive</w:t>
            </w: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20"/>
              <w:spacing w:after="0"/>
              <w:rPr>
                <w:sz w:val="20"/>
                <w:szCs w:val="20"/>
                <w:color w:val="auto"/>
              </w:rPr>
            </w:pPr>
            <w:r>
              <w:rPr>
                <w:rFonts w:ascii="Arial" w:cs="Arial" w:eastAsia="Arial" w:hAnsi="Arial"/>
                <w:sz w:val="14"/>
                <w:szCs w:val="14"/>
                <w:color w:val="auto"/>
              </w:rPr>
              <w:t>plans</w:t>
            </w:r>
          </w:p>
        </w:tc>
        <w:tc>
          <w:tcPr>
            <w:tcW w:w="1040" w:type="dxa"/>
            <w:vAlign w:val="bottom"/>
          </w:tcPr>
          <w:p>
            <w:pPr>
              <w:jc w:val="right"/>
              <w:spacing w:after="0"/>
              <w:rPr>
                <w:sz w:val="20"/>
                <w:szCs w:val="20"/>
                <w:color w:val="auto"/>
              </w:rPr>
            </w:pPr>
            <w:r>
              <w:rPr>
                <w:rFonts w:ascii="Arial" w:cs="Arial" w:eastAsia="Arial" w:hAnsi="Arial"/>
                <w:sz w:val="14"/>
                <w:szCs w:val="14"/>
                <w:color w:val="auto"/>
              </w:rPr>
              <w:t>12,607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(4,256)</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2019</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17,108,063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159,629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(138,249)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3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Three Months Ended March 31, 2018</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20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0"/>
                <w:szCs w:val="10"/>
                <w:color w:val="auto"/>
              </w:rPr>
            </w:pPr>
          </w:p>
        </w:tc>
        <w:tc>
          <w:tcPr>
            <w:tcW w:w="960" w:type="dxa"/>
            <w:vAlign w:val="bottom"/>
          </w:tcPr>
          <w:p>
            <w:pPr>
              <w:jc w:val="center"/>
              <w:ind w:right="69"/>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0"/>
                <w:szCs w:val="10"/>
                <w:color w:val="auto"/>
              </w:rPr>
            </w:pPr>
          </w:p>
        </w:tc>
        <w:tc>
          <w:tcPr>
            <w:tcW w:w="98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04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9"/>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2017</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12,817,201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128,422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(117,539)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60" w:type="dxa"/>
            <w:vAlign w:val="bottom"/>
          </w:tcPr>
          <w:p>
            <w:pPr>
              <w:ind w:left="220"/>
              <w:spacing w:after="0" w:line="130" w:lineRule="exact"/>
              <w:rPr>
                <w:sz w:val="20"/>
                <w:szCs w:val="20"/>
                <w:color w:val="auto"/>
              </w:rPr>
            </w:pPr>
            <w:r>
              <w:rPr>
                <w:rFonts w:ascii="Arial" w:cs="Arial" w:eastAsia="Arial" w:hAnsi="Arial"/>
                <w:sz w:val="14"/>
                <w:szCs w:val="14"/>
                <w:color w:val="auto"/>
                <w:w w:val="98"/>
              </w:rPr>
              <w:t>Adjustment to opening balance for adoption of new</w:t>
            </w: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20"/>
              <w:spacing w:after="0"/>
              <w:rPr>
                <w:sz w:val="20"/>
                <w:szCs w:val="20"/>
                <w:color w:val="auto"/>
              </w:rPr>
            </w:pPr>
            <w:r>
              <w:rPr>
                <w:rFonts w:ascii="Arial" w:cs="Arial" w:eastAsia="Arial" w:hAnsi="Arial"/>
                <w:sz w:val="14"/>
                <w:szCs w:val="14"/>
                <w:color w:val="auto"/>
              </w:rPr>
              <w:t>accounting standard</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in secondary offering,</w:t>
            </w: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of issuance costs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3,772,447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6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 incentive</w:t>
            </w: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20"/>
              <w:spacing w:after="0"/>
              <w:rPr>
                <w:sz w:val="20"/>
                <w:szCs w:val="20"/>
                <w:color w:val="auto"/>
              </w:rPr>
            </w:pPr>
            <w:r>
              <w:rPr>
                <w:rFonts w:ascii="Arial" w:cs="Arial" w:eastAsia="Arial" w:hAnsi="Arial"/>
                <w:sz w:val="14"/>
                <w:szCs w:val="14"/>
                <w:color w:val="auto"/>
              </w:rPr>
              <w:t>plans</w:t>
            </w:r>
          </w:p>
        </w:tc>
        <w:tc>
          <w:tcPr>
            <w:tcW w:w="1040" w:type="dxa"/>
            <w:vAlign w:val="bottom"/>
          </w:tcPr>
          <w:p>
            <w:pPr>
              <w:jc w:val="right"/>
              <w:spacing w:after="0"/>
              <w:rPr>
                <w:sz w:val="20"/>
                <w:szCs w:val="20"/>
                <w:color w:val="auto"/>
              </w:rPr>
            </w:pPr>
            <w:r>
              <w:rPr>
                <w:rFonts w:ascii="Arial" w:cs="Arial" w:eastAsia="Arial" w:hAnsi="Arial"/>
                <w:sz w:val="14"/>
                <w:szCs w:val="14"/>
                <w:color w:val="auto"/>
              </w:rPr>
              <w:t>58,229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Compensation expense related to vesting of</w:t>
            </w: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 issued to GLOBALFOUNDRIES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line="142" w:lineRule="exact"/>
              <w:rPr>
                <w:sz w:val="20"/>
                <w:szCs w:val="20"/>
                <w:color w:val="auto"/>
              </w:rPr>
            </w:pPr>
            <w:r>
              <w:rPr>
                <w:rFonts w:ascii="Arial" w:cs="Arial" w:eastAsia="Arial" w:hAnsi="Arial"/>
                <w:sz w:val="14"/>
                <w:szCs w:val="14"/>
                <w:color w:val="auto"/>
              </w:rPr>
              <w:t>Balance at March 31, 2018</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16,647,877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154,201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(117,516)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36,687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Three Months Ended</w:t>
      </w:r>
    </w:p>
    <w:p>
      <w:pPr>
        <w:ind w:left="73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(4,256)</w:t>
            </w:r>
          </w:p>
        </w:tc>
        <w:tc>
          <w:tcPr>
            <w:tcW w:w="260" w:type="dxa"/>
            <w:vAlign w:val="bottom"/>
          </w:tcPr>
          <w:p>
            <w:pPr>
              <w:spacing w:after="0"/>
              <w:rPr>
                <w:sz w:val="14"/>
                <w:szCs w:val="14"/>
                <w:color w:val="auto"/>
              </w:rPr>
            </w:pPr>
          </w:p>
        </w:tc>
        <w:tc>
          <w:tcPr>
            <w:tcW w:w="220" w:type="dxa"/>
            <w:vAlign w:val="bottom"/>
            <w:gridSpan w:val="2"/>
          </w:tcPr>
          <w:p>
            <w:pPr>
              <w:jc w:val="right"/>
              <w:ind w:right="91"/>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(1,277)</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393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373</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704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625</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81</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Compensation expense related to vesting of common stock to GLOBALFOUNDRIES</w:t>
            </w:r>
          </w:p>
        </w:tc>
        <w:tc>
          <w:tcPr>
            <w:tcW w:w="22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237</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1,540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(5,580)</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Inventory</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(562)</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888</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93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(617)</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assets</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(20)</w:t>
            </w: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(955)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1,315</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(187)</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257</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Lease liabilities</w:t>
            </w:r>
          </w:p>
        </w:tc>
        <w:tc>
          <w:tcPr>
            <w:tcW w:w="220" w:type="dxa"/>
            <w:vAlign w:val="bottom"/>
          </w:tcPr>
          <w:p>
            <w:pPr>
              <w:spacing w:after="0"/>
              <w:rPr>
                <w:sz w:val="14"/>
                <w:szCs w:val="14"/>
                <w:color w:val="auto"/>
              </w:rPr>
            </w:pPr>
          </w:p>
        </w:tc>
        <w:tc>
          <w:tcPr>
            <w:tcW w:w="10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Shipping term reversal</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(39)</w:t>
            </w:r>
          </w:p>
        </w:tc>
      </w:tr>
      <w:tr>
        <w:trPr>
          <w:trHeight w:val="156"/>
        </w:trPr>
        <w:tc>
          <w:tcPr>
            <w:tcW w:w="648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operating activities</w:t>
            </w: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(3,149)</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(3,738)</w:t>
            </w:r>
          </w:p>
        </w:tc>
        <w:tc>
          <w:tcPr>
            <w:tcW w:w="260" w:type="dxa"/>
            <w:vAlign w:val="bottom"/>
            <w:tcBorders>
              <w:bottom w:val="single" w:sz="8" w:color="CCEEFF"/>
            </w:tcBorders>
          </w:tcPr>
          <w:p>
            <w:pPr>
              <w:spacing w:after="0"/>
              <w:rPr>
                <w:sz w:val="13"/>
                <w:szCs w:val="13"/>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(225)</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(244)</w:t>
            </w:r>
          </w:p>
        </w:tc>
        <w:tc>
          <w:tcPr>
            <w:tcW w:w="260" w:type="dxa"/>
            <w:vAlign w:val="bottom"/>
            <w:tcBorders>
              <w:bottom w:val="single" w:sz="8" w:color="CCEEFF"/>
            </w:tcBorders>
          </w:tcPr>
          <w:p>
            <w:pPr>
              <w:spacing w:after="0"/>
              <w:rPr>
                <w:sz w:val="14"/>
                <w:szCs w:val="14"/>
                <w:color w:val="auto"/>
              </w:rPr>
            </w:pPr>
          </w:p>
        </w:tc>
      </w:tr>
      <w:tr>
        <w:trPr>
          <w:trHeight w:val="156"/>
        </w:trPr>
        <w:tc>
          <w:tcPr>
            <w:tcW w:w="64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(225)</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(244)</w:t>
            </w:r>
          </w:p>
        </w:tc>
        <w:tc>
          <w:tcPr>
            <w:tcW w:w="260" w:type="dxa"/>
            <w:vAlign w:val="bottom"/>
            <w:shd w:val="clear" w:color="auto" w:fill="CCEEFF"/>
          </w:tcPr>
          <w:p>
            <w:pPr>
              <w:spacing w:after="0"/>
              <w:rPr>
                <w:sz w:val="13"/>
                <w:szCs w:val="13"/>
                <w:color w:val="auto"/>
              </w:rPr>
            </w:pPr>
          </w:p>
        </w:tc>
      </w:tr>
      <w:tr>
        <w:trPr>
          <w:trHeight w:val="156"/>
        </w:trPr>
        <w:tc>
          <w:tcPr>
            <w:tcW w:w="648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the issuance of common stock, net of offering costs</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24,609</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Payments on debt</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(1,500)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finance lease obligation</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w w:val="99"/>
              </w:rPr>
              <w:t>Proceeds from exercise of stock options and purchase of shares in employee stock purchase plan</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309</w:t>
            </w:r>
          </w:p>
        </w:tc>
        <w:tc>
          <w:tcPr>
            <w:tcW w:w="260" w:type="dxa"/>
            <w:vAlign w:val="bottom"/>
            <w:tcBorders>
              <w:bottom w:val="single" w:sz="8" w:color="CCEEFF"/>
            </w:tcBorders>
          </w:tcPr>
          <w:p>
            <w:pPr>
              <w:spacing w:after="0"/>
              <w:rPr>
                <w:sz w:val="14"/>
                <w:szCs w:val="14"/>
                <w:color w:val="auto"/>
              </w:rPr>
            </w:pPr>
          </w:p>
        </w:tc>
      </w:tr>
      <w:tr>
        <w:trPr>
          <w:trHeight w:val="156"/>
        </w:trPr>
        <w:tc>
          <w:tcPr>
            <w:tcW w:w="64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provided by financing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(1,490)</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24,915</w:t>
            </w:r>
          </w:p>
        </w:tc>
        <w:tc>
          <w:tcPr>
            <w:tcW w:w="260" w:type="dxa"/>
            <w:vAlign w:val="bottom"/>
            <w:shd w:val="clear" w:color="auto" w:fill="CCEEFF"/>
          </w:tcPr>
          <w:p>
            <w:pPr>
              <w:spacing w:after="0"/>
              <w:rPr>
                <w:sz w:val="13"/>
                <w:szCs w:val="13"/>
                <w:color w:val="auto"/>
              </w:rPr>
            </w:pPr>
          </w:p>
        </w:tc>
      </w:tr>
      <w:tr>
        <w:trPr>
          <w:trHeight w:val="156"/>
        </w:trPr>
        <w:tc>
          <w:tcPr>
            <w:tcW w:w="6480" w:type="dxa"/>
            <w:vAlign w:val="bottom"/>
          </w:tcPr>
          <w:p>
            <w:pPr>
              <w:spacing w:after="0" w:line="156" w:lineRule="exact"/>
              <w:rPr>
                <w:sz w:val="20"/>
                <w:szCs w:val="20"/>
                <w:color w:val="auto"/>
              </w:rPr>
            </w:pPr>
            <w:r>
              <w:rPr>
                <w:rFonts w:ascii="Arial" w:cs="Arial" w:eastAsia="Arial" w:hAnsi="Arial"/>
                <w:sz w:val="15"/>
                <w:szCs w:val="15"/>
                <w:color w:val="auto"/>
              </w:rPr>
              <w:t>Net (decrease) increase in cash and cash equivalents</w:t>
            </w:r>
          </w:p>
        </w:tc>
        <w:tc>
          <w:tcPr>
            <w:tcW w:w="22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5"/>
                <w:szCs w:val="15"/>
                <w:color w:val="auto"/>
              </w:rPr>
              <w:t>(4,864)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5"/>
                <w:szCs w:val="15"/>
                <w:color w:val="auto"/>
              </w:rPr>
              <w:t>20,933</w:t>
            </w:r>
          </w:p>
        </w:tc>
        <w:tc>
          <w:tcPr>
            <w:tcW w:w="260" w:type="dxa"/>
            <w:vAlign w:val="bottom"/>
          </w:tcPr>
          <w:p>
            <w:pPr>
              <w:spacing w:after="0"/>
              <w:rPr>
                <w:sz w:val="13"/>
                <w:szCs w:val="13"/>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23,379</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12,950</w:t>
            </w:r>
          </w:p>
        </w:tc>
        <w:tc>
          <w:tcPr>
            <w:tcW w:w="260" w:type="dxa"/>
            <w:vAlign w:val="bottom"/>
            <w:shd w:val="clear" w:color="auto" w:fill="CCEEFF"/>
          </w:tcPr>
          <w:p>
            <w:pPr>
              <w:spacing w:after="0"/>
              <w:rPr>
                <w:sz w:val="14"/>
                <w:szCs w:val="14"/>
                <w:color w:val="auto"/>
              </w:rPr>
            </w:pPr>
          </w:p>
        </w:tc>
      </w:tr>
      <w:tr>
        <w:trPr>
          <w:trHeight w:val="163"/>
        </w:trPr>
        <w:tc>
          <w:tcPr>
            <w:tcW w:w="64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18,515</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33,883</w:t>
            </w:r>
          </w:p>
        </w:tc>
        <w:tc>
          <w:tcPr>
            <w:tcW w:w="260" w:type="dxa"/>
            <w:vAlign w:val="bottom"/>
            <w:tcBorders>
              <w:bottom w:val="single" w:sz="8" w:color="CCEEFF"/>
            </w:tcBorders>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Supplementary cash flow information:</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9"/>
        </w:trPr>
        <w:tc>
          <w:tcPr>
            <w:tcW w:w="6480" w:type="dxa"/>
            <w:vAlign w:val="bottom"/>
          </w:tcPr>
          <w:p>
            <w:pPr>
              <w:spacing w:after="0" w:line="162" w:lineRule="exact"/>
              <w:rPr>
                <w:sz w:val="20"/>
                <w:szCs w:val="20"/>
                <w:color w:val="auto"/>
              </w:rPr>
            </w:pPr>
            <w:r>
              <w:rPr>
                <w:rFonts w:ascii="Arial" w:cs="Arial" w:eastAsia="Arial" w:hAnsi="Arial"/>
                <w:sz w:val="15"/>
                <w:szCs w:val="15"/>
                <w:color w:val="auto"/>
              </w:rPr>
              <w:t>Interest paid</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135</w:t>
            </w:r>
          </w:p>
        </w:tc>
        <w:tc>
          <w:tcPr>
            <w:tcW w:w="260" w:type="dxa"/>
            <w:vAlign w:val="bottom"/>
          </w:tcPr>
          <w:p>
            <w:pPr>
              <w:spacing w:after="0"/>
              <w:rPr>
                <w:sz w:val="14"/>
                <w:szCs w:val="14"/>
                <w:color w:val="auto"/>
              </w:rPr>
            </w:pPr>
          </w:p>
        </w:tc>
        <w:tc>
          <w:tcPr>
            <w:tcW w:w="220" w:type="dxa"/>
            <w:vAlign w:val="bottom"/>
            <w:gridSpan w:val="2"/>
          </w:tcPr>
          <w:p>
            <w:pPr>
              <w:jc w:val="right"/>
              <w:ind w:right="91"/>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111</w:t>
            </w:r>
          </w:p>
        </w:tc>
        <w:tc>
          <w:tcPr>
            <w:tcW w:w="260" w:type="dxa"/>
            <w:vAlign w:val="bottom"/>
          </w:tcPr>
          <w:p>
            <w:pPr>
              <w:spacing w:after="0"/>
              <w:rPr>
                <w:sz w:val="14"/>
                <w:szCs w:val="14"/>
                <w:color w:val="auto"/>
              </w:rPr>
            </w:pPr>
          </w:p>
        </w:tc>
      </w:tr>
      <w:tr>
        <w:trPr>
          <w:trHeight w:val="182"/>
        </w:trPr>
        <w:tc>
          <w:tcPr>
            <w:tcW w:w="6480" w:type="dxa"/>
            <w:vAlign w:val="bottom"/>
            <w:tcBorders>
              <w:top w:val="single" w:sz="8" w:color="CCEEFF"/>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Operating cash flows paid for operating leases</w:t>
            </w: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416</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56"/>
        </w:trPr>
        <w:tc>
          <w:tcPr>
            <w:tcW w:w="6480" w:type="dxa"/>
            <w:vAlign w:val="bottom"/>
            <w:tcBorders>
              <w:bottom w:val="single" w:sz="8" w:color="CCEEFF"/>
            </w:tcBorders>
          </w:tcPr>
          <w:p>
            <w:pPr>
              <w:spacing w:after="0" w:line="149" w:lineRule="exact"/>
              <w:rPr>
                <w:sz w:val="20"/>
                <w:szCs w:val="20"/>
                <w:color w:val="auto"/>
              </w:rPr>
            </w:pPr>
            <w:r>
              <w:rPr>
                <w:rFonts w:ascii="Arial" w:cs="Arial" w:eastAsia="Arial" w:hAnsi="Arial"/>
                <w:sz w:val="15"/>
                <w:szCs w:val="15"/>
                <w:color w:val="auto"/>
              </w:rPr>
              <w:t>Financing cash flows paid for finance leases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3</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tcPr>
          <w:p>
            <w:pPr>
              <w:spacing w:after="0"/>
              <w:rPr>
                <w:sz w:val="13"/>
                <w:szCs w:val="13"/>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Non-cash investing and financing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9"/>
        </w:trPr>
        <w:tc>
          <w:tcPr>
            <w:tcW w:w="648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 in accounts payable</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w:t>
            </w:r>
          </w:p>
        </w:tc>
        <w:tc>
          <w:tcPr>
            <w:tcW w:w="260" w:type="dxa"/>
            <w:vAlign w:val="bottom"/>
          </w:tcPr>
          <w:p>
            <w:pPr>
              <w:spacing w:after="0"/>
              <w:rPr>
                <w:sz w:val="14"/>
                <w:szCs w:val="14"/>
                <w:color w:val="auto"/>
              </w:rPr>
            </w:pPr>
          </w:p>
        </w:tc>
        <w:tc>
          <w:tcPr>
            <w:tcW w:w="220" w:type="dxa"/>
            <w:vAlign w:val="bottom"/>
            <w:tcBorders>
              <w:bottom w:val="single" w:sz="8" w:color="auto"/>
            </w:tcBorders>
            <w:gridSpan w:val="2"/>
          </w:tcPr>
          <w:p>
            <w:pPr>
              <w:jc w:val="right"/>
              <w:ind w:right="91"/>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73</w:t>
            </w:r>
          </w:p>
        </w:tc>
        <w:tc>
          <w:tcPr>
            <w:tcW w:w="260" w:type="dxa"/>
            <w:vAlign w:val="bottom"/>
          </w:tcPr>
          <w:p>
            <w:pPr>
              <w:spacing w:after="0"/>
              <w:rPr>
                <w:sz w:val="14"/>
                <w:szCs w:val="1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the industrial, automotive, transportation, and enterprise storage markets to design high performance, power efficient and reliable systems without the need for bulky batteries or capacitors.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25" w:lineRule="exact"/>
        <w:rPr>
          <w:sz w:val="20"/>
          <w:szCs w:val="20"/>
          <w:color w:val="auto"/>
        </w:rPr>
      </w:pPr>
    </w:p>
    <w:p>
      <w:pPr>
        <w:ind w:firstLine="401"/>
        <w:spacing w:after="0" w:line="287" w:lineRule="auto"/>
        <w:rPr>
          <w:sz w:val="20"/>
          <w:szCs w:val="20"/>
          <w:color w:val="auto"/>
        </w:rPr>
      </w:pPr>
      <w:r>
        <w:rPr>
          <w:rFonts w:ascii="Arial" w:cs="Arial" w:eastAsia="Arial" w:hAnsi="Arial"/>
          <w:sz w:val="16"/>
          <w:szCs w:val="16"/>
          <w:color w:val="auto"/>
        </w:rPr>
        <w:t>The accompanying condensed financial statements have been prepared on a going concern basis, which contemplates the realization of assets and the settlement of liabilities and commitments in the normal course of business for the foreseeable future. Management expects operating losses and cash flow deficits to continue for the foreseeable future. The Company’s ability to achieve profitability is dependent primarily on its ability to gain market share for both its Toggle MRAM and STT MRAM products. These conditions, and our cash balances, raise doubt about the Company’s ability to continue as a going concern for at least a year after the issuance date of the accompanying condensed financial statements. The Company plans to address these conditions by reductions in spending, improvements in product margins, increasing revenue, raising capital through equity or debt financings, licensing of its Intellectual Property, or a combination thereof. There is no assurance, however, that the Company will be successful in these plans. If additional funding is available, there is no assurance that it will be available on terms acceptable to the Company. The accompanying condensed financial statements do not include any adjustments that may be needed if the Company were unable to continue as a going concern.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2018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months ended March 31, 2019 are not necessarily indicative of the results to be expected for the year ending December 31, 2019 or for any other interim period or for any other future year.</w:t>
      </w:r>
    </w:p>
    <w:p>
      <w:pPr>
        <w:spacing w:after="0" w:line="18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2018, included in the Company’s Annual Report on Form 10-K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product warranty reserves, income taxes, and stock-based compensation. The Company believes its estimates and assumptions are reasonable; however, actual results may differ from the Company’s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estimates credits to distributors based on the historical rate of credits provided to distributors relative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sales. At March 31, 2019, the allowance for product returns and the allowance for price concessions were $96,000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$26,000, respectively. At December 31, 2018, the allowance for product returns and the allowance for price concessions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$144,000 and $569,000, respectively.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55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accounts receivable</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17"/>
        </w:trPr>
        <w:tc>
          <w:tcPr>
            <w:tcW w:w="55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5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9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Accounts Receivable, net</w:t>
            </w: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jc w:val="right"/>
              <w:ind w:right="900"/>
              <w:spacing w:after="0" w:line="119" w:lineRule="exact"/>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71"/>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Customers</w:t>
            </w: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w w:val="95"/>
              </w:rPr>
              <w:t>March 31,</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37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Customer H</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320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8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3" w:lineRule="exact"/>
        <w:rPr>
          <w:sz w:val="20"/>
          <w:szCs w:val="20"/>
          <w:color w:val="auto"/>
        </w:rPr>
      </w:pPr>
    </w:p>
    <w:p>
      <w:pPr>
        <w:ind w:left="320" w:right="40"/>
        <w:spacing w:after="0" w:line="261"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right="40"/>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pacing w:after="0" w:line="170" w:lineRule="exact"/>
        <w:rPr>
          <w:sz w:val="20"/>
          <w:szCs w:val="20"/>
          <w:color w:val="auto"/>
        </w:rPr>
      </w:pPr>
    </w:p>
    <w:p>
      <w:pPr>
        <w:ind w:left="320" w:right="20"/>
        <w:spacing w:after="0" w:line="255" w:lineRule="auto"/>
        <w:rPr>
          <w:sz w:val="20"/>
          <w:szCs w:val="20"/>
          <w:color w:val="auto"/>
        </w:rPr>
      </w:pPr>
      <w:r>
        <w:rPr>
          <w:rFonts w:ascii="Arial" w:cs="Arial" w:eastAsia="Arial" w:hAnsi="Arial"/>
          <w:sz w:val="18"/>
          <w:szCs w:val="18"/>
          <w:color w:val="auto"/>
        </w:rPr>
        <w:t>The carrying value of accounts receivable, accounts payable, and other accruals readily convertible into cash approximate fair value because of the short-term nature of the instruments. As of March 31, 2019,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18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measured at fair value on a recurring basis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Money market funds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18,611</w:t>
            </w:r>
          </w:p>
        </w:tc>
        <w:tc>
          <w:tcPr>
            <w:tcW w:w="3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18,611</w:t>
            </w:r>
          </w:p>
        </w:tc>
      </w:tr>
      <w:tr>
        <w:trPr>
          <w:trHeight w:val="217"/>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18,611</w:t>
            </w:r>
          </w:p>
        </w:tc>
      </w:tr>
      <w:tr>
        <w:trPr>
          <w:trHeight w:val="378"/>
        </w:trPr>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Money market funds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23,478</w:t>
            </w:r>
          </w:p>
        </w:tc>
        <w:tc>
          <w:tcPr>
            <w:tcW w:w="3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23,478</w:t>
            </w:r>
          </w:p>
        </w:tc>
      </w:tr>
      <w:tr>
        <w:trPr>
          <w:trHeight w:val="217"/>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8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23,478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leases office, lab, manufacturing space and equipment in various locations with initial lease terms of up to five years. These leases require monthly lease payments that may be subject to annual increases throughout the lease</w:t>
      </w:r>
    </w:p>
    <w:p>
      <w:pPr>
        <w:jc w:val="both"/>
        <w:ind w:right="100"/>
        <w:spacing w:after="0" w:line="254" w:lineRule="auto"/>
        <w:rPr>
          <w:sz w:val="20"/>
          <w:szCs w:val="20"/>
          <w:color w:val="auto"/>
        </w:rPr>
      </w:pPr>
      <w:r>
        <w:rPr>
          <w:rFonts w:ascii="Arial" w:cs="Arial" w:eastAsia="Arial" w:hAnsi="Arial"/>
          <w:sz w:val="18"/>
          <w:szCs w:val="18"/>
          <w:color w:val="auto"/>
        </w:rPr>
        <w:t>term. The terms of these leases also include renewal options at the election of the Company to renew or extend the lease for a range of an additional two to five years. These optional periods have not been considered in the determination of the right-of-use-assets (ROU) or lease liabilities associated with these leases as the Company did not consider it reasonably certain it would exercise the options.</w:t>
      </w:r>
    </w:p>
    <w:p>
      <w:pPr>
        <w:spacing w:after="0" w:line="19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determines if an arrangement is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Company’s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Amortization expense for ROU assets associated with finance leases is recognized on a straight-line basis over the shorter of the useful life of the asset or the lease term and interest expense associated with finance leases is recognized on the balance of the lease liability using the effective interest method based on the estimated incremental borrowing rate.</w:t>
      </w:r>
    </w:p>
    <w:p>
      <w:pPr>
        <w:spacing w:after="0" w:line="175"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Company has lease agreements with lease and non-lease components. The Company has elected to not separate lease and non-lease components for any leases involving real estate and office equipment classes of assets and, as a result, accounts for the lease and non-lease components as a single lease component. The Company will separate lease and non-lease components for any leases involving manufacturing facility classes of assets. Further, the Company elected the short-term lease exception policy, permitting it to not apply the recognition requirements of this standard to</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leases with terms of 12 months or less (short-term leases) for all classes of assets. As of March 31, 2019, the Company did not have any short-term leases.</w:t>
      </w:r>
    </w:p>
    <w:p>
      <w:pPr>
        <w:spacing w:after="0" w:line="170"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Operating leases are included in right-of-use assets, lease liabilities, and lease liabilities, net of current portion in the Company’s balance sheet. Finance leases are included in property and equipment, other current liabilities, and other long-term liabilities in the Company’s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Stock-based compensation arrangements include stock option grants and restricted stock unit (RSU) awards under the Company’s equity incentive plans, as well as shares issued under the Company’s Employee Stock Purchase Plan (ESPP), through which employees may purchase the Company’s common stock at a discount to the market price.</w:t>
      </w:r>
    </w:p>
    <w:p>
      <w:pPr>
        <w:spacing w:after="0" w:line="147"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Company measures its stock option grants made to employees based on the estimated fair value of the options as of the grant date using the Black-Scholes option-pricing model. Stock-based compensation expense is recognized over the requisite service period using the straight-line method. The Company has made an accounting policy election to account for forfeitures as they occur, rather than estimating expected forfeitures at the time of the grant.</w:t>
      </w:r>
    </w:p>
    <w:p>
      <w:pPr>
        <w:spacing w:after="0" w:line="15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Stock-based compensation expense for options granted to non-employees as consideration for services received is measured on the date of performance at the fair value of the consideration received or the fair value of the equity instruments issued, using the Black-Scholes option-pricing model, whichever can be more reliably measured. Compensation expense for options granted to non-employees is recognized as the underlying options vest. The Company has made an accounting policy election to account for forfeitures as they occur, rather than estimating expected forfeitures at the time of the grant. In addition, the Company made an accounting policy election to use the contractual term as the expected term rather than estimating the expected 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February 2016, the FASB issued ASU No. 2016 02, Leases (Topic 842),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ROU asset for leases with a lease-term of more than 12 months. This ASU is effective for fiscal years and interim periods within those years beginning after December 15, 2018. In July 2018, the FASB issued ASU 2018-10, Codification Improvements to Topic 842 Leases and ASU No. 2018-11, Leases (Topic 842) Targeted Improvements. ASU 2018-10 clarifies how to apply certain aspects of ASU 2016-02. The Company adopted this standard on January 1, 2019, using the modified retrospective method. The comparative information has not been restated and continues to be reported under the accounting standards in effect for those periods.</w:t>
      </w:r>
    </w:p>
    <w:p>
      <w:pPr>
        <w:spacing w:after="0" w:line="18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Topic 842 permits the application of certain practical expedients, of which the Company elected the “package of three” expedient, that eliminated the requirements to reassess prior conclusions about lease identification, lease classification, and initial direct costs. Further, the Company elected the short-term lease exception policy, permitting it to not apply the recognition requirements of this standard to short-term leases.</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Upon adoption of Topic 842, on January 1, 2019, the Company recorded an operating lease ROU asset of $3.6 million, operating lease liabilities of $4.0 million, and derecognized the deferred rent liability of $390,000. The accounting for the Company’s finance leases remained substantially unchanged.</w:t>
      </w:r>
    </w:p>
    <w:p>
      <w:pPr>
        <w:spacing w:after="0" w:line="18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ASU 2018-07 is intended to reduce the cost and complexity and to improve financial reporting for nonemployee share-based payments. The ASU expands the scope of Topic 718, (which currently only includes share-based payments to employees) to include share-based payments issued to nonemployees for goods or services. Consequently, the accounting for share-based payments to nonemployees and employees will be substantially aligned. The standard is effective for fiscal years beginning after December 15, 2018, including interim periods within that fiscal year. Early adoption is permitted, but no earlier than a company’s adoption date of Topic 606. The Company adopted this standard on January 1, 2019 and the impact of its adoption on the Company’s financial statements was not material.</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ASU 2016-13 is effective for annual reporting periods, and interim periods within those years, beginning after December 15, 2019, and requires a cumulative effect adjustment to the balance sheet as of the beginning of the first reporting period in which the guidance is effective. In April 2019, the FASB issued ASU No. 2019-04, Codification Improvements Financial Instruments-Credit Losses (Topic 326). The new ASU provides narrow-scope amendments to help apply ASU No. 2016-13. The Company is evaluating the impact of the adoption of ASU 2016-13 on its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Company sells the majority of its products to its distributors, but also recognizes revenue under licensing and royalty agreements. The following table presents the Company’s revenues disaggregated by sales channel, (in thousands):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0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r>
      <w:tr>
        <w:trPr>
          <w:trHeight w:val="216"/>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6,708</w:t>
            </w:r>
          </w:p>
        </w:tc>
      </w:tr>
      <w:tr>
        <w:trPr>
          <w:trHeight w:val="217"/>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revenues disaggregated by timing of recognition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0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14,472</w:t>
            </w:r>
          </w:p>
        </w:tc>
      </w:tr>
      <w:tr>
        <w:trPr>
          <w:trHeight w:val="216"/>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17"/>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0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License fees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17"/>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w:t>
            </w: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recognizes revenue in three primary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Pr>
          <w:p>
            <w:pPr>
              <w:spacing w:after="0"/>
              <w:rPr>
                <w:sz w:val="14"/>
                <w:szCs w:val="14"/>
                <w:color w:val="auto"/>
              </w:rPr>
            </w:pPr>
          </w:p>
        </w:tc>
      </w:tr>
      <w:tr>
        <w:trPr>
          <w:trHeight w:val="142"/>
        </w:trPr>
        <w:tc>
          <w:tcPr>
            <w:tcW w:w="940" w:type="dxa"/>
            <w:vAlign w:val="bottom"/>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2018</w:t>
            </w:r>
          </w:p>
        </w:tc>
        <w:tc>
          <w:tcPr>
            <w:tcW w:w="920" w:type="dxa"/>
            <w:vAlign w:val="bottom"/>
          </w:tcPr>
          <w:p>
            <w:pPr>
              <w:spacing w:after="0"/>
              <w:rPr>
                <w:sz w:val="12"/>
                <w:szCs w:val="12"/>
                <w:color w:val="auto"/>
              </w:rPr>
            </w:pPr>
          </w:p>
        </w:tc>
      </w:tr>
      <w:tr>
        <w:trPr>
          <w:trHeight w:val="210"/>
        </w:trPr>
        <w:tc>
          <w:tcPr>
            <w:tcW w:w="94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EMEA</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3,051</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1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920" w:type="dxa"/>
            <w:vAlign w:val="bottom"/>
          </w:tcPr>
          <w:p>
            <w:pPr>
              <w:spacing w:after="0"/>
              <w:rPr>
                <w:sz w:val="18"/>
                <w:szCs w:val="18"/>
                <w:color w:val="auto"/>
              </w:rPr>
            </w:pPr>
          </w:p>
        </w:tc>
      </w:tr>
      <w:tr>
        <w:trPr>
          <w:trHeight w:val="217"/>
        </w:trPr>
        <w:tc>
          <w:tcPr>
            <w:tcW w:w="940" w:type="dxa"/>
            <w:vAlign w:val="bottom"/>
          </w:tcPr>
          <w:p>
            <w:pPr>
              <w:spacing w:after="0"/>
              <w:rPr>
                <w:sz w:val="18"/>
                <w:szCs w:val="18"/>
                <w:color w:val="auto"/>
              </w:rPr>
            </w:pPr>
          </w:p>
        </w:tc>
        <w:tc>
          <w:tcPr>
            <w:tcW w:w="23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74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14,853</w:t>
            </w:r>
          </w:p>
        </w:tc>
        <w:tc>
          <w:tcPr>
            <w:tcW w:w="920" w:type="dxa"/>
            <w:vAlign w:val="bottom"/>
          </w:tcPr>
          <w:p>
            <w:pPr>
              <w:spacing w:after="0"/>
              <w:rPr>
                <w:sz w:val="18"/>
                <w:szCs w:val="18"/>
                <w:color w:val="auto"/>
              </w:rPr>
            </w:pPr>
          </w:p>
        </w:tc>
      </w:tr>
      <w:tr>
        <w:trPr>
          <w:trHeight w:val="648"/>
        </w:trPr>
        <w:tc>
          <w:tcPr>
            <w:tcW w:w="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9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Inventory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90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9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9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Work-in-process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6,759</w:t>
            </w:r>
          </w:p>
        </w:tc>
      </w:tr>
      <w:tr>
        <w:trPr>
          <w:trHeight w:val="216"/>
        </w:trPr>
        <w:tc>
          <w:tcPr>
            <w:tcW w:w="9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17"/>
        </w:trPr>
        <w:tc>
          <w:tcPr>
            <w:tcW w:w="90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Total inventory</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5560" w:type="dxa"/>
            <w:vAlign w:val="bottom"/>
            <w:gridSpan w:val="2"/>
          </w:tcPr>
          <w:p>
            <w:pPr>
              <w:ind w:left="320"/>
              <w:spacing w:after="0"/>
              <w:rPr>
                <w:sz w:val="20"/>
                <w:szCs w:val="20"/>
                <w:color w:val="auto"/>
              </w:rPr>
            </w:pPr>
            <w:r>
              <w:rPr>
                <w:rFonts w:ascii="Arial" w:cs="Arial" w:eastAsia="Arial" w:hAnsi="Arial"/>
                <w:sz w:val="18"/>
                <w:szCs w:val="18"/>
                <w:color w:val="auto"/>
              </w:rPr>
              <w:t>Accrued liabilities consisted of the following (in thousands):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9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90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9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8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16"/>
        </w:trPr>
        <w:tc>
          <w:tcPr>
            <w:tcW w:w="9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Accrued joint development agreement expenses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16"/>
        </w:trPr>
        <w:tc>
          <w:tcPr>
            <w:tcW w:w="9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16"/>
        </w:trPr>
        <w:tc>
          <w:tcPr>
            <w:tcW w:w="9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Deferred rent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9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17"/>
        </w:trPr>
        <w:tc>
          <w:tcPr>
            <w:tcW w:w="90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86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ind w:right="380" w:firstLine="324"/>
        <w:spacing w:after="0" w:line="312" w:lineRule="auto"/>
        <w:rPr>
          <w:sz w:val="20"/>
          <w:szCs w:val="20"/>
          <w:color w:val="auto"/>
        </w:rPr>
      </w:pPr>
      <w:r>
        <w:rPr>
          <w:rFonts w:ascii="Arial" w:cs="Arial" w:eastAsia="Arial" w:hAnsi="Arial"/>
          <w:sz w:val="16"/>
          <w:szCs w:val="16"/>
          <w:color w:val="auto"/>
        </w:rPr>
        <w:t>During 2017, the Company entered into an operating lease for 27,974 square feet of office space for its corporate headquarters located in Chandler, Arizona, that expires in January 2022. The Company has the option to renew the lease through August 2024; however, the Company does not consider it reasonably certain it will exercise the renewal option.</w:t>
      </w:r>
    </w:p>
    <w:p>
      <w:pPr>
        <w:spacing w:after="0" w:line="147" w:lineRule="exact"/>
        <w:rPr>
          <w:sz w:val="20"/>
          <w:szCs w:val="20"/>
          <w:color w:val="auto"/>
        </w:rPr>
      </w:pPr>
    </w:p>
    <w:p>
      <w:pPr>
        <w:ind w:right="40" w:firstLine="366"/>
        <w:spacing w:after="0" w:line="264" w:lineRule="auto"/>
        <w:rPr>
          <w:sz w:val="20"/>
          <w:szCs w:val="20"/>
          <w:color w:val="auto"/>
        </w:rPr>
      </w:pPr>
      <w:r>
        <w:rPr>
          <w:rFonts w:ascii="Arial" w:cs="Arial" w:eastAsia="Arial" w:hAnsi="Arial"/>
          <w:sz w:val="18"/>
          <w:szCs w:val="18"/>
          <w:color w:val="auto"/>
        </w:rPr>
        <w:t>The Company leases office and lab space for its design facility located in Austin, Texas, under an operating lease that expires in January 2022. The Company has the option to renew the lease for an additional five years; however, the Company does not consider it reasonably certain it will exercise the renewal option.</w:t>
      </w:r>
    </w:p>
    <w:p>
      <w:pPr>
        <w:spacing w:after="0" w:line="181"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Company has another operating lease for its Arizona manufacturing facility, which includes office and fabrication space. This lease is cancellable upon 24 months’ notice by either of the parties and expires in January 2021.</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undiscounted future non-cancellable lease payments under the Company’s leases were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As of March 31, 2019</w:t>
            </w:r>
          </w:p>
        </w:tc>
        <w:tc>
          <w:tcPr>
            <w:tcW w:w="9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6"/>
              </w:rPr>
              <w:t>Operating Leases</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Finance Lease</w:t>
            </w:r>
          </w:p>
        </w:tc>
        <w:tc>
          <w:tcPr>
            <w:tcW w:w="12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90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(remaining nine months)</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1,738</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undiscounted lease payments</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Less: Present value adjustment</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w:t>
            </w:r>
          </w:p>
        </w:tc>
        <w:tc>
          <w:tcPr>
            <w:tcW w:w="88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liability</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Less: Current portion of lease liability</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(1,542)</w:t>
            </w:r>
          </w:p>
        </w:tc>
        <w:tc>
          <w:tcPr>
            <w:tcW w:w="880" w:type="dxa"/>
            <w:vAlign w:val="bottom"/>
          </w:tcPr>
          <w:p>
            <w:pPr>
              <w:spacing w:after="0"/>
              <w:rPr>
                <w:sz w:val="18"/>
                <w:szCs w:val="18"/>
                <w:color w:val="auto"/>
              </w:rPr>
            </w:pPr>
          </w:p>
        </w:tc>
      </w:tr>
      <w:tr>
        <w:trPr>
          <w:trHeight w:val="230"/>
        </w:trPr>
        <w:tc>
          <w:tcPr>
            <w:tcW w:w="900" w:type="dxa"/>
            <w:vAlign w:val="bottom"/>
          </w:tcPr>
          <w:p>
            <w:pPr>
              <w:spacing w:after="0"/>
              <w:rPr>
                <w:sz w:val="19"/>
                <w:szCs w:val="19"/>
                <w:color w:val="auto"/>
              </w:rPr>
            </w:pPr>
          </w:p>
        </w:tc>
        <w:tc>
          <w:tcPr>
            <w:tcW w:w="3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Total lease liability, net of current portion</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880" w:type="dxa"/>
            <w:vAlign w:val="bottom"/>
          </w:tcPr>
          <w:p>
            <w:pPr>
              <w:spacing w:after="0"/>
              <w:rPr>
                <w:sz w:val="19"/>
                <w:szCs w:val="19"/>
                <w:color w:val="auto"/>
              </w:rPr>
            </w:pPr>
          </w:p>
        </w:tc>
      </w:tr>
      <w:tr>
        <w:trPr>
          <w:trHeight w:val="851"/>
        </w:trPr>
        <w:tc>
          <w:tcPr>
            <w:tcW w:w="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9"/>
        </w:trPr>
        <w:tc>
          <w:tcPr>
            <w:tcW w:w="90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determined under ASC 840, the future minimum rental commitments under the Company’s operating leases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were as follows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 Ending December 31,</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1,701</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the Company's lease liabilities was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40" w:type="dxa"/>
            <w:vAlign w:val="bottom"/>
          </w:tcPr>
          <w:p>
            <w:pPr>
              <w:spacing w:after="0"/>
              <w:rPr>
                <w:sz w:val="20"/>
                <w:szCs w:val="20"/>
                <w:color w:val="auto"/>
              </w:rPr>
            </w:pPr>
            <w:r>
              <w:rPr>
                <w:rFonts w:ascii="Arial" w:cs="Arial" w:eastAsia="Arial" w:hAnsi="Arial"/>
                <w:sz w:val="14"/>
                <w:szCs w:val="14"/>
                <w:b w:val="1"/>
                <w:bCs w:val="1"/>
                <w:color w:val="auto"/>
              </w:rPr>
              <w:t>As of March 31, 2019</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Finance lease</w:t>
            </w:r>
          </w:p>
        </w:tc>
        <w:tc>
          <w:tcPr>
            <w:tcW w:w="180" w:type="dxa"/>
            <w:vAlign w:val="bottom"/>
          </w:tcPr>
          <w:p>
            <w:pPr>
              <w:spacing w:after="0"/>
              <w:rPr>
                <w:sz w:val="14"/>
                <w:szCs w:val="14"/>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7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Borders>
              <w:top w:val="single" w:sz="8" w:color="auto"/>
            </w:tcBorders>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Lease costs for the Company’s operating leases were $396,000 and $327,000, respectively, for the three months ended March 31, 2019 and 2018. Variable lease payments for operating leases were immaterial for the three months ended March 31, 2019 and 2018. Lease costs for the Company’s finance lease were immaterial for the three months ended March 31, 2019 and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225" w:lineRule="exact"/>
        <w:rPr>
          <w:sz w:val="20"/>
          <w:szCs w:val="20"/>
          <w:color w:val="auto"/>
        </w:rPr>
      </w:pPr>
    </w:p>
    <w:p>
      <w:pPr>
        <w:ind w:right="320" w:firstLine="324"/>
        <w:spacing w:after="0" w:line="291" w:lineRule="auto"/>
        <w:rPr>
          <w:sz w:val="20"/>
          <w:szCs w:val="20"/>
          <w:color w:val="auto"/>
        </w:rPr>
      </w:pPr>
      <w:r>
        <w:rPr>
          <w:rFonts w:ascii="Arial" w:cs="Arial" w:eastAsia="Arial" w:hAnsi="Arial"/>
          <w:sz w:val="16"/>
          <w:szCs w:val="16"/>
          <w:color w:val="auto"/>
        </w:rPr>
        <w:t>On May 4, 2017, the Company entered into a Loan and Security Agreement with Silicon Valley Bank (2017 Credit Facility) for a $12.0 million term loan. The term loan provided for interest at a floating rate equal to the prime rate minus</w:t>
      </w:r>
    </w:p>
    <w:p>
      <w:pPr>
        <w:jc w:val="both"/>
        <w:ind w:right="180"/>
        <w:spacing w:after="0" w:line="302" w:lineRule="auto"/>
        <w:rPr>
          <w:sz w:val="20"/>
          <w:szCs w:val="20"/>
          <w:color w:val="auto"/>
        </w:rPr>
      </w:pPr>
      <w:r>
        <w:rPr>
          <w:rFonts w:ascii="Arial" w:cs="Arial" w:eastAsia="Arial" w:hAnsi="Arial"/>
          <w:sz w:val="16"/>
          <w:szCs w:val="16"/>
          <w:color w:val="auto"/>
        </w:rPr>
        <w:t>0.75%. The term loan provided for a period of interest-only payments through April 30, 2018, followed by fixed principal and interest payments based on a 24-month amortization schedule. An end of term fee of 6% of the amount borrowed must be made when the loan is prepaid or repaid, whether at maturity or as a result of a prepayment or acceleration or otherwise.</w:t>
      </w:r>
    </w:p>
    <w:p>
      <w:pPr>
        <w:spacing w:after="0" w:line="15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July 6, 2018, the Company entered into the First Amendment to the 2017 Credit Facility (the Amended Credit Facility). The Amended Credit Facility extended the period of interest-only payments through December 31, 2018, followed by fixed principal and interest payments based on either a 24-month or a 36-month amortization schedule if the Company achieves certain milestones. As of September 30, 2018, the Company determined it would not meet the milestones, therefore, the Amended Credit Facility is based on a 24-month amortization schedule and matures in December 2020. The Amended Credit Facility provides for interest at a floating rate equal to the prime rate minus 0.75%. As of March 31, 2019, the interest rate was 4.75%. The terms of the Amended Credit Facility included the refund of $1.0 million in principal payments previously made by the Company. An end of term fee of 7% of the amount borrowed must be made when the loan is prepaid or repaid, whether at maturity or as a result of a prepayment or acceleration or otherwise. The additional payment is being accreted using the effective interest method. As of March 31, 2019, the effective interest rate under the Amended Credit Facility was 7.77%.</w:t>
      </w:r>
    </w:p>
    <w:p>
      <w:pPr>
        <w:spacing w:after="0" w:line="18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is permitted to make voluntary prepayments of the Amended Credit Facility with a prepayment fee, calculated as of the effective date of the first amendment, equal to (i) $240,000 during the first 12 months and (ii) $120,000 if prepaid in months 13-24. The Company is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 conjunction with the Amended Credit Facility, outstanding warrants held by SVB to purchase 9,229 shares of the Company’s common stock at $26.00 per share were cancelled. The Company subsequently issued a warrant to SVB for the purchase of 9,375 shares of the Company’s common stock at an exercise price of $8.91 per share. The warrant can be exercised at any time and expires five years after the date of issuance. The Company estimated the fair value of the warrant as $43,000 on the date of issuance using the Black-Scholes option pricing model. The warrant was recorded as a discount to the debt and will be amortized into interest expense over the remaining term of the loan using the effective interest method.</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Security for the Amended Credit Facility includes all of the Company’s assets except for intellectual property.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is required to comply with certain covenants under the Amended Credit Facility, including requirements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maintain a minimum liquidity ratio, meet certain revenue targets, and restrictions on certain actions without the consent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lender, such as limitations on its ability to engage in mergers or acquisitions, sell assets, enter into transactions involving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parties, incur indebtedness or grant liens or negative pledges on its assets, make loans or make other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investments. Under these covenants, the Company is prohibited from paying cash dividends with respect to its capital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was in compliance with all covenants at March 31, 2019. The Amended Credit Facility contains a material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adverse effect clause which provides that an event of default will occur if, among other triggers, an event occurs that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reasonably be expected to result in a material adverse effect on the Company’s business, operations or condition, or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ability to perform its obligations under the term loan. As of March 31, 2019, management does not believe that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probable that the clause will be triggered within the next twelve months, and therefore the term loan is classified as long-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value of the Company’s Amended Credit Facility at March 31, 2019 was as follows (in thousands):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6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Long-Term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Portion</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Debt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11,340</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discounts</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7"/>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11,047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carrying value of the Company’s Amended Credit Facility at December 31, 2018 was as follows (in thousands):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6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Long-Term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Portion</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Debt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12,840</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discounts</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7"/>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12,466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table below includes the principal repayments due under the Amended Credit Facility as of March 31, 2019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Principal Repayment</w:t>
            </w:r>
          </w:p>
        </w:tc>
        <w:tc>
          <w:tcPr>
            <w:tcW w:w="9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as of March 31, 2019</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2019 (remaining nine months)</w:t>
            </w:r>
          </w:p>
        </w:tc>
        <w:tc>
          <w:tcPr>
            <w:tcW w:w="3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2020</w:t>
            </w: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2022</w:t>
            </w: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30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repayments</w:t>
            </w:r>
          </w:p>
        </w:tc>
        <w:tc>
          <w:tcPr>
            <w:tcW w:w="30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w:t>
            </w:r>
          </w:p>
        </w:tc>
        <w:tc>
          <w:tcPr>
            <w:tcW w:w="900" w:type="dxa"/>
            <w:vAlign w:val="bottom"/>
          </w:tcPr>
          <w:p>
            <w:pPr>
              <w:spacing w:after="0"/>
              <w:rPr>
                <w:sz w:val="19"/>
                <w:szCs w:val="19"/>
                <w:color w:val="auto"/>
              </w:rPr>
            </w:pPr>
          </w:p>
        </w:tc>
      </w:tr>
      <w:tr>
        <w:trPr>
          <w:trHeight w:val="878"/>
        </w:trPr>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40" w:type="dxa"/>
            <w:vAlign w:val="bottom"/>
          </w:tcPr>
          <w:p>
            <w:pPr>
              <w:jc w:val="right"/>
              <w:ind w:right="211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stock option and award activity for the three months ended March 31,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Options and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Weighted-</w:t>
            </w:r>
          </w:p>
        </w:tc>
        <w:tc>
          <w:tcPr>
            <w:tcW w:w="9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Weighted-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Price Per</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Options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Life (years)</w:t>
            </w:r>
          </w:p>
        </w:tc>
        <w:tc>
          <w:tcPr>
            <w:tcW w:w="12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764,145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1,475,299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Authorized</w:t>
            </w:r>
          </w:p>
        </w:tc>
        <w:tc>
          <w:tcPr>
            <w:tcW w:w="820" w:type="dxa"/>
            <w:vAlign w:val="bottom"/>
          </w:tcPr>
          <w:p>
            <w:pPr>
              <w:jc w:val="right"/>
              <w:spacing w:after="0"/>
              <w:rPr>
                <w:sz w:val="20"/>
                <w:szCs w:val="20"/>
                <w:color w:val="auto"/>
              </w:rPr>
            </w:pPr>
            <w:r>
              <w:rPr>
                <w:rFonts w:ascii="Arial" w:cs="Arial" w:eastAsia="Arial" w:hAnsi="Arial"/>
                <w:sz w:val="18"/>
                <w:szCs w:val="18"/>
                <w:color w:val="auto"/>
              </w:rPr>
              <w:t>512,864</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RSUs cancelled/forfeited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7,250</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cancelled/forfeited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Balance—March 31, 2019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867,509</w:t>
            </w:r>
          </w:p>
        </w:tc>
        <w:tc>
          <w:tcPr>
            <w:tcW w:w="1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1,796,103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exercisable—March 31, 2019</w:t>
            </w: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727,511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total grant date fair value of options vested was $710,000 and $377,000 during the three months ended March 31, 2019 and 2018, respectively.</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weighted-average grant date fair value of employee options granted during the three months ended March 31, 2019 and 2018 was $4.00 and $4.74 per share,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In January 2019, there was an increase of 170,955 shares reserved for issuance under the Company’s Employee Stock Purchase Plan (ESPP). The Company had 440,344 shares available for future issuance under the Company’s ESPP as of March 31, 2019. Employees did not purchase any shares during the three months ended March 31, 2019 and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Awards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February 2018, the Company modified the terms of 400,000 vested and unvested stock option awards granted to the Chief Executive Officer, by reducing their exercise price from $16.25 per share to $7.64 per share. There was no change to any of the other terms of the option awards. The modification resulted in an incremental value of $600,000 being allocated to the options, of which $63,000 was recognized to expense immediately based on options that were vested at the time of the modification. The remaining incremental value of $537,000 attributable to unvested options will be recognized over the remaining vesting term through September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Restricted Stock Units (RSUs) activity for the three months ended March 31,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RSUs Outstanding</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rPr>
              <w:t>Weighted-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Share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Granted</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92,000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(7,250)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Balance—March 31, 2019</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60" w:type="dxa"/>
            <w:vAlign w:val="bottom"/>
          </w:tcPr>
          <w:p>
            <w:pPr>
              <w:jc w:val="right"/>
              <w:ind w:right="1310"/>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March 31, 2019, there was $1.1 million of unrecognized stock-based compensation expense related to RSUs to be recognized over a weighted-average period of 3.2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The Company recognized stock-based compensation expense from awards granted to employees and non-employees under its equity incentive plans and from its ESPP as follows, excluding amounts related to GLOBALFOUNDRIES, Inc. (GF) (in thousands):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r>
      <w:tr>
        <w:trPr>
          <w:trHeight w:val="217"/>
        </w:trPr>
        <w:tc>
          <w:tcPr>
            <w:tcW w:w="538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r>
    </w:tbl>
    <w:p>
      <w:pPr>
        <w:spacing w:after="0" w:line="202"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As of March 31, 2019, there was $5.8 million of total unrecognized compensation expense related to unvested options which is expected to be recognized over a weighted-average period of 2.9 years. Compensation cost capitalized within inventory at December 31, 2019 and 2018 was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Significant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October 17, 2014, the Company entered into a Joint Development Agreement (JDA) with GF, for the joint development of the Company’s Spin Transfer Torque MRAM (STT-MRAM)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STT-MRAM technology would be pursuant to a separate manufacturing agreement entered into between the parties. In October 2018, the Company entered into the Third Amendment to the JDA with GF, which extended the term of the JDA until December 2019.</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incurred project costs, recognized as research and development expense, of $0.8 million and $2.1 million for the three months ended March 31, 2019 and 2018 respectively. The Company entered into a Statement of Work (SOW) and an Amendment to the SOW, under the JDA with GF effective August 2016 and June 2018, respectively. The Company is entitled to revenues under the SOW and its Amendment upon delivery and acceptance of product. The Company did not recognize any revenue from GF in the three months ended March 31, 2019 and 2018.</w:t>
      </w:r>
    </w:p>
    <w:p>
      <w:pPr>
        <w:spacing w:after="0" w:line="1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 total of 211,538 shares of common stock became vested on August 21, 2016, the designated Initial Measurement Date. The remaining shares vested on a monthly basis through October 21, 2018. The Company recognized non-cash compensation expense of $237,000 during the three months ended March 31, 2018, in research and development expense related to the vesting of the shares of common stock. As of December 31, 2018, all shares issued to GF were fully vested.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In September 2018, the Company entered into a Joint Collaboration Agreement (JCA) with Silterra Malaysia Sdn. Bhd. (Silterra), and another third party. The JCA will create additional manufacturing capacity for the Company’s Toggle MRAM products. Initial production is expected to start in 2020. Under the JCA the Company will pay non-recurring engineering costs of $1.0 million. During the three months ended March 31, 2019, the Company paid $0.1 million of JCA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March 2018, the Company entered into a global cross-license agreement with a customer pursuant to which the Company granted a worldwide, non-exclusive, non-transferable, irrevocable, royalty-bearing license under the Company’s patents to use, sell, import and export the Company’s products. Under the cross-license agreement, the Company received a non-refundable license fee and is entitled to annual royalty payments based upon low single digits of the average selling price of products covered under the license agreement. The license was transferred to the customer and the Company recognized the non-refundable license fee during the three months ended March 31, 2018. The cross-license agreement will remain in effect until the licensed patents have expired, been abandoned, or ruled invalid.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Common Share</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-127635</wp:posOffset>
            </wp:positionV>
            <wp:extent cx="459676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5715</wp:posOffset>
            </wp:positionV>
            <wp:extent cx="459676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96765" cy="154305"/>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Denominator:</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Weighted-average common shares outstanding</w:t>
      </w:r>
    </w:p>
    <w:p>
      <w:pPr>
        <w:spacing w:after="0" w:line="9" w:lineRule="exact"/>
        <w:rPr>
          <w:sz w:val="20"/>
          <w:szCs w:val="20"/>
          <w:color w:val="auto"/>
        </w:rPr>
      </w:pPr>
    </w:p>
    <w:p>
      <w:pPr>
        <w:ind w:left="1020"/>
        <w:spacing w:after="0" w:line="250" w:lineRule="auto"/>
        <w:rPr>
          <w:sz w:val="20"/>
          <w:szCs w:val="20"/>
          <w:color w:val="auto"/>
        </w:rPr>
      </w:pPr>
      <w:r>
        <w:rPr>
          <w:rFonts w:ascii="Arial" w:cs="Arial" w:eastAsia="Arial" w:hAnsi="Arial"/>
          <w:sz w:val="18"/>
          <w:szCs w:val="18"/>
          <w:color w:val="auto"/>
        </w:rPr>
        <w:t>Less: weighted-average unvested common shares subjected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-273050</wp:posOffset>
            </wp:positionV>
            <wp:extent cx="459676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96765" cy="274320"/>
                    </a:xfrm>
                    <a:prstGeom prst="rect">
                      <a:avLst/>
                    </a:prstGeom>
                    <a:noFill/>
                  </pic:spPr>
                </pic:pic>
              </a:graphicData>
            </a:graphic>
          </wp:anchor>
        </w:drawing>
      </w:r>
    </w:p>
    <w:p>
      <w:pPr>
        <w:ind w:left="1020" w:right="360"/>
        <w:spacing w:after="0" w:line="306" w:lineRule="auto"/>
        <w:rPr>
          <w:sz w:val="20"/>
          <w:szCs w:val="20"/>
          <w:color w:val="auto"/>
        </w:rPr>
      </w:pPr>
      <w:r>
        <w:rPr>
          <w:rFonts w:ascii="Arial" w:cs="Arial" w:eastAsia="Arial" w:hAnsi="Arial"/>
          <w:sz w:val="15"/>
          <w:szCs w:val="15"/>
          <w:color w:val="auto"/>
        </w:rPr>
        <w:t>Weighted-average common shares outstanding used to calculate net loss per common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-12700</wp:posOffset>
            </wp:positionV>
            <wp:extent cx="459676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96765" cy="17145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b w:val="1"/>
          <w:bCs w:val="1"/>
          <w:color w:val="auto"/>
        </w:rPr>
        <w:t>Net loss per common share, basic and diluted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380"/>
        <w:spacing w:after="0"/>
        <w:tabs>
          <w:tab w:leader="none" w:pos="15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10" w:lineRule="exact"/>
        <w:rPr>
          <w:sz w:val="20"/>
          <w:szCs w:val="20"/>
          <w:color w:val="auto"/>
        </w:rPr>
      </w:pPr>
    </w:p>
    <w:p>
      <w:pPr>
        <w:spacing w:after="0"/>
        <w:tabs>
          <w:tab w:leader="none" w:pos="500" w:val="left"/>
          <w:tab w:leader="none" w:pos="1160" w:val="left"/>
          <w:tab w:leader="none" w:pos="1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(4,256)</w:t>
        <w:tab/>
        <w:t>$</w:t>
      </w:r>
      <w:r>
        <w:rPr>
          <w:sz w:val="20"/>
          <w:szCs w:val="20"/>
          <w:color w:val="auto"/>
        </w:rPr>
        <w:tab/>
      </w:r>
      <w:r>
        <w:rPr>
          <w:rFonts w:ascii="Arial" w:cs="Arial" w:eastAsia="Arial" w:hAnsi="Arial"/>
          <w:sz w:val="16"/>
          <w:szCs w:val="16"/>
          <w:color w:val="auto"/>
        </w:rPr>
        <w:t>(1,277)</w:t>
      </w:r>
    </w:p>
    <w:p>
      <w:pPr>
        <w:spacing w:after="0" w:line="252"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7"/>
          <w:szCs w:val="17"/>
          <w:color w:val="auto"/>
        </w:rPr>
        <w:t>17,097,999</w:t>
      </w:r>
      <w:r>
        <w:rPr>
          <w:sz w:val="20"/>
          <w:szCs w:val="20"/>
          <w:color w:val="auto"/>
        </w:rPr>
        <w:tab/>
      </w:r>
      <w:r>
        <w:rPr>
          <w:rFonts w:ascii="Arial" w:cs="Arial" w:eastAsia="Arial" w:hAnsi="Arial"/>
          <w:sz w:val="17"/>
          <w:szCs w:val="17"/>
          <w:color w:val="auto"/>
        </w:rPr>
        <w:t>14,872,369</w:t>
      </w:r>
    </w:p>
    <w:p>
      <w:pPr>
        <w:spacing w:after="0" w:line="2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(83,333)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92"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7"/>
          <w:szCs w:val="17"/>
          <w:color w:val="auto"/>
        </w:rPr>
        <w:t>17,097,999</w:t>
      </w:r>
      <w:r>
        <w:rPr>
          <w:sz w:val="20"/>
          <w:szCs w:val="20"/>
          <w:color w:val="auto"/>
        </w:rPr>
        <w:tab/>
      </w:r>
      <w:r>
        <w:rPr>
          <w:rFonts w:ascii="Arial" w:cs="Arial" w:eastAsia="Arial" w:hAnsi="Arial"/>
          <w:sz w:val="17"/>
          <w:szCs w:val="17"/>
          <w:color w:val="auto"/>
        </w:rPr>
        <w:t>14,789,036</w:t>
      </w:r>
    </w:p>
    <w:p>
      <w:pPr>
        <w:spacing w:after="0" w:line="48" w:lineRule="exact"/>
        <w:rPr>
          <w:sz w:val="20"/>
          <w:szCs w:val="20"/>
          <w:color w:val="auto"/>
        </w:rPr>
      </w:pPr>
    </w:p>
    <w:p>
      <w:pPr>
        <w:spacing w:after="0"/>
        <w:tabs>
          <w:tab w:leader="none" w:pos="580" w:val="left"/>
          <w:tab w:leader="none" w:pos="1160" w:val="left"/>
          <w:tab w:leader="none" w:pos="1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(0.25)</w:t>
        <w:tab/>
        <w:t>$</w:t>
      </w:r>
      <w:r>
        <w:rPr>
          <w:sz w:val="20"/>
          <w:szCs w:val="20"/>
          <w:color w:val="auto"/>
        </w:rPr>
        <w:tab/>
      </w:r>
      <w:r>
        <w:rPr>
          <w:rFonts w:ascii="Arial" w:cs="Arial" w:eastAsia="Arial" w:hAnsi="Arial"/>
          <w:sz w:val="16"/>
          <w:szCs w:val="16"/>
          <w:color w:val="auto"/>
        </w:rPr>
        <w:t>(0.09)</w:t>
      </w:r>
    </w:p>
    <w:p>
      <w:pPr>
        <w:spacing w:after="0" w:line="209" w:lineRule="exact"/>
        <w:rPr>
          <w:sz w:val="20"/>
          <w:szCs w:val="20"/>
          <w:color w:val="auto"/>
        </w:rPr>
      </w:pPr>
    </w:p>
    <w:p>
      <w:pPr>
        <w:sectPr>
          <w:pgSz w:w="11900" w:h="16838" w:orient="portrait"/>
          <w:cols w:equalWidth="0" w:num="2">
            <w:col w:w="5300" w:space="480"/>
            <w:col w:w="3280"/>
          </w:cols>
          <w:pgMar w:left="1420" w:top="125" w:right="1419" w:bottom="1440" w:gutter="0" w:footer="0" w:header="0"/>
          <w:type w:val="continuous"/>
        </w:sectPr>
      </w:pPr>
    </w:p>
    <w:p>
      <w:pPr>
        <w:spacing w:after="0" w:line="4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w w:val="95"/>
              </w:rPr>
              <w:t>Three Months Ended March 31,</w:t>
            </w:r>
          </w:p>
        </w:tc>
        <w:tc>
          <w:tcPr>
            <w:tcW w:w="900" w:type="dxa"/>
            <w:vAlign w:val="bottom"/>
          </w:tcPr>
          <w:p>
            <w:pPr>
              <w:spacing w:after="0"/>
              <w:rPr>
                <w:sz w:val="14"/>
                <w:szCs w:val="14"/>
                <w:color w:val="auto"/>
              </w:rPr>
            </w:pPr>
          </w:p>
        </w:tc>
      </w:tr>
      <w:tr>
        <w:trPr>
          <w:trHeight w:val="196"/>
        </w:trPr>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8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7"/>
                <w:szCs w:val="17"/>
                <w:color w:val="auto"/>
              </w:rPr>
            </w:pPr>
          </w:p>
        </w:tc>
      </w:tr>
      <w:tr>
        <w:trPr>
          <w:trHeight w:val="210"/>
        </w:trPr>
        <w:tc>
          <w:tcPr>
            <w:tcW w:w="90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20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1,796,103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1,766,959</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168,408</w:t>
            </w:r>
          </w:p>
        </w:tc>
        <w:tc>
          <w:tcPr>
            <w:tcW w:w="20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66,630</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20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67,307</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Common stock warrants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27,836</w:t>
            </w:r>
          </w:p>
        </w:tc>
        <w:tc>
          <w:tcPr>
            <w:tcW w:w="20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27,690</w:t>
            </w:r>
          </w:p>
        </w:tc>
        <w:tc>
          <w:tcPr>
            <w:tcW w:w="900" w:type="dxa"/>
            <w:vAlign w:val="bottom"/>
          </w:tcPr>
          <w:p>
            <w:pPr>
              <w:spacing w:after="0"/>
              <w:rPr>
                <w:sz w:val="18"/>
                <w:szCs w:val="18"/>
                <w:color w:val="auto"/>
              </w:rPr>
            </w:pPr>
          </w:p>
        </w:tc>
      </w:tr>
      <w:tr>
        <w:trPr>
          <w:trHeight w:val="230"/>
        </w:trPr>
        <w:tc>
          <w:tcPr>
            <w:tcW w:w="900" w:type="dxa"/>
            <w:vAlign w:val="bottom"/>
          </w:tcPr>
          <w:p>
            <w:pPr>
              <w:spacing w:after="0"/>
              <w:rPr>
                <w:sz w:val="19"/>
                <w:szCs w:val="19"/>
                <w:color w:val="auto"/>
              </w:rPr>
            </w:pPr>
          </w:p>
        </w:tc>
        <w:tc>
          <w:tcPr>
            <w:tcW w:w="31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1,928,586</w:t>
            </w:r>
          </w:p>
        </w:tc>
        <w:tc>
          <w:tcPr>
            <w:tcW w:w="900" w:type="dxa"/>
            <w:vAlign w:val="bottom"/>
          </w:tcPr>
          <w:p>
            <w:pPr>
              <w:spacing w:after="0"/>
              <w:rPr>
                <w:sz w:val="19"/>
                <w:szCs w:val="19"/>
                <w:color w:val="auto"/>
              </w:rPr>
            </w:pPr>
          </w:p>
        </w:tc>
      </w:tr>
      <w:tr>
        <w:trPr>
          <w:trHeight w:val="905"/>
        </w:trPr>
        <w:tc>
          <w:tcPr>
            <w:tcW w:w="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40" w:type="dxa"/>
            <w:vAlign w:val="bottom"/>
          </w:tcPr>
          <w:p>
            <w:pPr>
              <w:jc w:val="right"/>
              <w:ind w:right="1334"/>
              <w:spacing w:after="0"/>
              <w:rPr>
                <w:sz w:val="20"/>
                <w:szCs w:val="20"/>
                <w:color w:val="auto"/>
              </w:rPr>
            </w:pPr>
            <w:r>
              <w:rPr>
                <w:rFonts w:ascii="Arial" w:cs="Arial" w:eastAsia="Arial" w:hAnsi="Arial"/>
                <w:sz w:val="18"/>
                <w:szCs w:val="18"/>
                <w:color w:val="auto"/>
              </w:rPr>
              <w:t>17</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0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type w:val="continuous"/>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are the leading provider of MRAM solutions. Our MRAM solutions offer the persistence of non-volatile memory, a type of memory that retains information even in the absence of power, with the speed and endurance of random-access memory (RAM). This enables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w:t>
      </w:r>
    </w:p>
    <w:p>
      <w:pPr>
        <w:spacing w:after="0" w:line="15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derive our revenue from the sale of MRAM-based products in discrete unit form, the sale of services, licenses of and royalties on our MRAM and magnetic sensor technology, the sale of backend foundry services and design services to third parties.</w:t>
      </w:r>
    </w:p>
    <w:p>
      <w:pPr>
        <w:spacing w:after="0" w:line="18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work directly with our distributors and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72% and 55% of our revenue from products sold through distributors for the three months ended March 31, 2019 and 2018, respectively.</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Our sales team and representatives are organized into three primary regions: North America; Europe, Middle East and Africa (EMEA); and Asia-Pacific and Japan (APJ). We recognize revenue by geography based on the region in which our products are sold, and not to where the end products in which they are assembled are shipped. Our revenue by region for the periods indicated was as follows (in thousands):</w:t>
      </w:r>
    </w:p>
    <w:p>
      <w:pPr>
        <w:spacing w:after="0" w:line="193"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-3175</wp:posOffset>
            </wp:positionV>
            <wp:extent cx="10718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EMEA</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3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10,071</w:t>
            </w:r>
          </w:p>
        </w:tc>
        <w:tc>
          <w:tcPr>
            <w:tcW w:w="90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10,026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14,853</w:t>
            </w:r>
          </w:p>
        </w:tc>
        <w:tc>
          <w:tcPr>
            <w:tcW w:w="900" w:type="dxa"/>
            <w:vAlign w:val="bottom"/>
          </w:tcPr>
          <w:p>
            <w:pPr>
              <w:spacing w:after="0"/>
              <w:rPr>
                <w:sz w:val="18"/>
                <w:szCs w:val="18"/>
                <w:color w:val="auto"/>
              </w:rPr>
            </w:pPr>
          </w:p>
        </w:tc>
      </w:tr>
      <w:tr>
        <w:trPr>
          <w:trHeight w:val="864"/>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60" w:type="dxa"/>
            <w:vAlign w:val="bottom"/>
          </w:tcPr>
          <w:p>
            <w:pPr>
              <w:jc w:val="right"/>
              <w:ind w:right="17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9" w:firstLine="324"/>
        <w:spacing w:after="0" w:line="291" w:lineRule="auto"/>
        <w:rPr>
          <w:sz w:val="20"/>
          <w:szCs w:val="20"/>
          <w:color w:val="auto"/>
        </w:rPr>
      </w:pPr>
      <w:r>
        <w:rPr>
          <w:rFonts w:ascii="Arial" w:cs="Arial" w:eastAsia="Arial" w:hAnsi="Arial"/>
          <w:sz w:val="16"/>
          <w:szCs w:val="16"/>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utilize leading semiconductor foundry GLOBALFOUNDRIES to support full turnkey high-volume production of our high density MRAM products on 300mm wafers at advanced process nodes.</w:t>
      </w:r>
    </w:p>
    <w:p>
      <w:pPr>
        <w:spacing w:after="0" w:line="167" w:lineRule="exact"/>
        <w:rPr>
          <w:sz w:val="20"/>
          <w:szCs w:val="20"/>
          <w:color w:val="auto"/>
        </w:rPr>
      </w:pPr>
    </w:p>
    <w:p>
      <w:pPr>
        <w:ind w:right="39" w:firstLine="324"/>
        <w:spacing w:after="0" w:line="255" w:lineRule="auto"/>
        <w:rPr>
          <w:sz w:val="20"/>
          <w:szCs w:val="20"/>
          <w:color w:val="auto"/>
        </w:rPr>
      </w:pPr>
      <w:r>
        <w:rPr>
          <w:rFonts w:ascii="Arial" w:cs="Arial" w:eastAsia="Arial" w:hAnsi="Arial"/>
          <w:sz w:val="18"/>
          <w:szCs w:val="18"/>
          <w:color w:val="auto"/>
        </w:rPr>
        <w:t>During the three months ended March 31, 2019, we continued to invest in research and development to support current and future MRAM technologies and products including our Spin Transfer Torque MRAM (STT-MRAM) technology. We believe this investment will allow us to continue to develop MRAM based products in response to market needs. Our research and development expenses were $4.0 million and $6.5 million for the three months ended March 31, 2019 and 2018 respectively. We expect our future research and development expenses to fluctuate quarterly depending on the qualification cycle of our technologies and products.</w:t>
      </w:r>
    </w:p>
    <w:p>
      <w:pPr>
        <w:spacing w:after="0" w:line="193" w:lineRule="exact"/>
        <w:rPr>
          <w:sz w:val="20"/>
          <w:szCs w:val="20"/>
          <w:color w:val="auto"/>
        </w:rPr>
      </w:pPr>
    </w:p>
    <w:p>
      <w:pPr>
        <w:ind w:right="19" w:firstLine="324"/>
        <w:spacing w:after="0" w:line="255" w:lineRule="auto"/>
        <w:rPr>
          <w:sz w:val="20"/>
          <w:szCs w:val="20"/>
          <w:color w:val="auto"/>
        </w:rPr>
      </w:pPr>
      <w:r>
        <w:rPr>
          <w:rFonts w:ascii="Arial" w:cs="Arial" w:eastAsia="Arial" w:hAnsi="Arial"/>
          <w:sz w:val="18"/>
          <w:szCs w:val="18"/>
          <w:color w:val="auto"/>
        </w:rPr>
        <w:t>We recorded revenue of $10.0 million and $14.9 million for the three months ended March 31, 2019 and 2018, respectively; gross margin was 47.7% and 67.0% for the three months ended March 31, 2019 and 2018, respectively; and our net loss was $4.3 million and $1.3 million for the three months ended March 31, 2019 and 2018, respectively. The decline in revenue was primarily attributable to a one time licensing fee for our IP recognized in the three months ended March 31, 2018. As the licensing fee had no associated cost of sales, our resulting gross margin was uncharacteristically high in the same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19" w:firstLine="324"/>
        <w:spacing w:after="0" w:line="272" w:lineRule="auto"/>
        <w:rPr>
          <w:sz w:val="20"/>
          <w:szCs w:val="20"/>
          <w:color w:val="auto"/>
        </w:rPr>
      </w:pPr>
      <w:r>
        <w:rPr>
          <w:rFonts w:ascii="Arial" w:cs="Arial" w:eastAsia="Arial" w:hAnsi="Arial"/>
          <w:sz w:val="17"/>
          <w:szCs w:val="17"/>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interest expense, tax, depreciation and amortization, stock-based compensation expense, and compensation expense related to the vesting of common stock held by GLOBALFOUNDRIES resulting from our joint development agreement.</w:t>
      </w:r>
    </w:p>
    <w:p>
      <w:pPr>
        <w:spacing w:after="0" w:line="178" w:lineRule="exact"/>
        <w:rPr>
          <w:sz w:val="20"/>
          <w:szCs w:val="20"/>
          <w:color w:val="auto"/>
        </w:rPr>
      </w:pPr>
    </w:p>
    <w:p>
      <w:pPr>
        <w:ind w:right="19" w:firstLine="324"/>
        <w:spacing w:after="0" w:line="279" w:lineRule="auto"/>
        <w:rPr>
          <w:sz w:val="20"/>
          <w:szCs w:val="20"/>
          <w:color w:val="auto"/>
        </w:rPr>
      </w:pPr>
      <w:r>
        <w:rPr>
          <w:rFonts w:ascii="Arial" w:cs="Arial" w:eastAsia="Arial" w:hAnsi="Arial"/>
          <w:sz w:val="17"/>
          <w:szCs w:val="17"/>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171" w:lineRule="exact"/>
        <w:rPr>
          <w:sz w:val="20"/>
          <w:szCs w:val="20"/>
          <w:color w:val="auto"/>
        </w:rPr>
      </w:pPr>
    </w:p>
    <w:p>
      <w:pPr>
        <w:ind w:right="419" w:firstLine="324"/>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GAAP measure, to Adjusted EBITDA for each of the periods indicated:</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1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Compensation expense related to vesting of GLOBALFOUNDRIES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20"/>
                <w:szCs w:val="20"/>
                <w:color w:val="auto"/>
              </w:rPr>
            </w:pPr>
          </w:p>
        </w:tc>
      </w:tr>
      <w:tr>
        <w:trPr>
          <w:trHeight w:val="216"/>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bottom w:val="single" w:sz="8" w:color="CCEEFF"/>
            </w:tcBorders>
          </w:tcPr>
          <w:p>
            <w:pPr>
              <w:spacing w:after="0"/>
              <w:rPr>
                <w:sz w:val="18"/>
                <w:szCs w:val="18"/>
                <w:color w:val="auto"/>
              </w:rPr>
            </w:pPr>
          </w:p>
        </w:tc>
      </w:tr>
      <w:tr>
        <w:trPr>
          <w:trHeight w:val="217"/>
        </w:trPr>
        <w:tc>
          <w:tcPr>
            <w:tcW w:w="5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right="139" w:firstLine="324"/>
        <w:spacing w:after="0" w:line="302" w:lineRule="auto"/>
        <w:rPr>
          <w:sz w:val="20"/>
          <w:szCs w:val="20"/>
          <w:color w:val="auto"/>
        </w:rPr>
      </w:pPr>
      <w:r>
        <w:rPr>
          <w:rFonts w:ascii="Arial" w:cs="Arial" w:eastAsia="Arial" w:hAnsi="Arial"/>
          <w:sz w:val="16"/>
          <w:szCs w:val="16"/>
          <w:i w:val="1"/>
          <w:iCs w:val="1"/>
          <w:color w:val="auto"/>
        </w:rPr>
        <w:t xml:space="preserve">Design wins. </w:t>
      </w:r>
      <w:r>
        <w:rPr>
          <w:rFonts w:ascii="Arial" w:cs="Arial" w:eastAsia="Arial" w:hAnsi="Arial"/>
          <w:sz w:val="16"/>
          <w:szCs w:val="16"/>
          <w:color w:val="auto"/>
        </w:rPr>
        <w:t>To continue to grow our revenue, we must continue to achieve design wins for our MRAM products. We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 a design win to occur when an original equipment manufacturer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continue to generate revenues over an extended period of time for each successful design win. Any delay in the development of our products, or failure of our customers to adopt our products, could inhibit revenue growth or cause declines, which would significantly harm our business. In the fourth quarter of 2017, we recorded revenue for our first sale of 40nm 256Mb STT-MRAM products and we ramped up production in 2018</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Customer acceptance of our technology and customer product success</w:t>
      </w:r>
      <w:r>
        <w:rPr>
          <w:rFonts w:ascii="Arial" w:cs="Arial" w:eastAsia="Arial" w:hAnsi="Arial"/>
          <w:sz w:val="18"/>
          <w:szCs w:val="18"/>
          <w:color w:val="auto"/>
        </w:rPr>
        <w:t>. For our customers to use our products,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to redesign certain components of their existing designs. We have established relationships with several storage controller and Field Programmable Gate Array (FPGA) companies, including Xilinx and Lattice as well as IP core companies, including Cadence, Synopsys, and Northwest Logic, to facilitate the integration of our MRAM solutions into our customers end products. Delays in our customers’ design cycles may have adverse effects on the demand, and therefore sales, of our products.</w:t>
      </w:r>
    </w:p>
    <w:p>
      <w:pPr>
        <w:spacing w:after="0" w:line="193"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i w:val="1"/>
          <w:iCs w:val="1"/>
          <w:color w:val="auto"/>
        </w:rPr>
        <w:t>Customer concentration</w:t>
      </w:r>
      <w:r>
        <w:rPr>
          <w:rFonts w:ascii="Arial" w:cs="Arial" w:eastAsia="Arial" w:hAnsi="Arial"/>
          <w:sz w:val="16"/>
          <w:szCs w:val="16"/>
          <w:color w:val="auto"/>
        </w:rPr>
        <w:t>. A relatively small number of end customers have historically accounted for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our revenue. Revenue, including through distributors, from our four largest end customers collectively, accounted for 23.9% of our total revenue in the three months ended March 31, 2019. None of these customers individually accounted for more than 10% of our total revenue in the three months ended March 31, 2019. Revenue, including through distributors, from four of our end customers collectively, accounted for 18.8% of our total revenue in the three months ended March 31, 2018. One of these end customers individually accounted for more than of 10% of our total revenue in the three months ended March 31, 2018. It would be difficult to replace lost revenue resulting from the loss, reduction, cancellation or delay in purchase orders by any one of these end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6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 xml:space="preserve">Pricing, product cost and gross margins of our products. </w:t>
      </w:r>
      <w:r>
        <w:rPr>
          <w:rFonts w:ascii="Arial" w:cs="Arial" w:eastAsia="Arial" w:hAnsi="Arial"/>
          <w:sz w:val="17"/>
          <w:szCs w:val="17"/>
          <w:color w:val="auto"/>
        </w:rPr>
        <w:t>Our gross margin has been, and will continue to be,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7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 xml:space="preserve">Gross margin impact of licensing revenue. </w:t>
      </w:r>
      <w:r>
        <w:rPr>
          <w:rFonts w:ascii="Arial" w:cs="Arial" w:eastAsia="Arial" w:hAnsi="Arial"/>
          <w:sz w:val="16"/>
          <w:szCs w:val="16"/>
          <w:color w:val="auto"/>
        </w:rPr>
        <w:t>Our licensing revenue, which we collect as licensing fees and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Technology, process, and product development investment. </w:t>
      </w:r>
      <w:r>
        <w:rPr>
          <w:rFonts w:ascii="Arial" w:cs="Arial" w:eastAsia="Arial" w:hAnsi="Arial"/>
          <w:sz w:val="17"/>
          <w:szCs w:val="17"/>
          <w:color w:val="auto"/>
        </w:rPr>
        <w:t>We invest heavily to develop our MRAM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core MRAM technology, the joint development agreement with GLOBALFOUNDRIES, and the design of new and innovative products based on MRAM, to provide solutions to our current and future customers. We anticipate that we will continue to invest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We derive our revenue from the sale of our MRAM-based products in discrete unit form, the licensing of our MRAM and magnetic sensor technology and related royalties, the sale of backend foundry services and design services to third parties. We recognize sales of products in discrete unit form at a point in time, we recognize revenue related to licensing agreements when we have delivered rights to the technology, we recognize revenue related to royalty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agreements in the period in which sales generated from products sold using our technology occurs, and we recognize sales of backend foundry services and design services to third parties over time.</w:t>
      </w:r>
    </w:p>
    <w:p>
      <w:pPr>
        <w:spacing w:after="0" w:line="170" w:lineRule="exact"/>
        <w:rPr>
          <w:sz w:val="20"/>
          <w:szCs w:val="20"/>
          <w:color w:val="auto"/>
        </w:rPr>
      </w:pPr>
    </w:p>
    <w:p>
      <w:pPr>
        <w:ind w:firstLine="369"/>
        <w:spacing w:after="0" w:line="293" w:lineRule="auto"/>
        <w:rPr>
          <w:sz w:val="20"/>
          <w:szCs w:val="20"/>
          <w:color w:val="auto"/>
        </w:rPr>
      </w:pPr>
      <w:r>
        <w:rPr>
          <w:rFonts w:ascii="Arial" w:cs="Arial" w:eastAsia="Arial" w:hAnsi="Arial"/>
          <w:sz w:val="16"/>
          <w:szCs w:val="16"/>
          <w:color w:val="auto"/>
        </w:rPr>
        <w:t>For some of our products, we provide price protection and product return rights. As such, for sales through distributors of our discrete MRAM products, at the time of revenue recognition, which occurs when control of the products has been transferred to the distributor, we estimate product returns and the expected price concessions that will be provided to the distributor, which is included in the transaction price. We estimate the credits to the distributors based on the historical rate of credits provided to distributors relative to sales or, for some customers the credit is based on a previously negotiated fixed rate. Our licensing revenue is largely dependent on a small number of transactions during a given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research and development expenses consist primarily of personnel-related expenses for the design and development of our products and technologies, development wafers required to validate and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 We expect our research and development expenses to decrease as a result of less spending in the future in connection with our joint development agreement with GLOBALFOUNDRIES.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our general and administrative expenses to remain flat as we have reached a level of stabilization in staffing and costs of being a public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sales and marketing expenses consist primarily of compensation for our sales, marketing, and business development personnel, including bonuses and commissions for our sales representatives. We expect our sales and marketing expenses, excluding variable commissions, to remain flat as we have reached a level of stabilization for staffing of sales personnel and representatives and marketing activities.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Interest expense consists of cash and non-cash components. The non-cash component consists of interest expense recognized from the amortization of debt discounts derived from the issuance of a warrant, the end of term fee and debt issuance costs capitalized on our balance sheets as a reduction of the debt balance. Interest expense is due to our borrowings under our loan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Other income, net consists primarily of the interest income earned on our cash equivalents and foreign currency exchange gains and losses. Our foreign currency exchange gains and losses relate to transactions and asset and liability balances denominated in currencies other than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Management expects operating losses and cash flow deficits to continue for the foreseeable future. Our ability to achieve profitability is dependent primarily on our ability to generate revenue for both our Toggle MRAM and STT MRAM products. These conditions, and our cash balances, raise doubt about our ability to continue as a going concern for at least a year after the issuance date of the accompanying condensed financial statements. We plan to address these conditions by reductions in spending, improvements in margins, increasing revenue, raising capital through equity or debt financings, licensing of our Intellectual Property, or a combination thereof. There is no assurance, however, that we will be successful in achieving profitability or raising the needed capital necessary to sustain operations. The condensed financial statements have been prepared assuming we will continue as a going concern and do not include any adjustments to reflect the possible future effects on the recoverability and classification of assets, or the amounts and classification of liabilities that may result if we do not continue as a going concern.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9"/>
          </w:tcPr>
          <w:p>
            <w:pPr>
              <w:ind w:left="380"/>
              <w:spacing w:after="0"/>
              <w:rPr>
                <w:sz w:val="20"/>
                <w:szCs w:val="20"/>
                <w:color w:val="auto"/>
              </w:rPr>
            </w:pPr>
            <w:r>
              <w:rPr>
                <w:rFonts w:ascii="Arial" w:cs="Arial" w:eastAsia="Arial" w:hAnsi="Arial"/>
                <w:sz w:val="14"/>
                <w:szCs w:val="14"/>
                <w:b w:val="1"/>
                <w:bCs w:val="1"/>
                <w:color w:val="auto"/>
                <w:w w:val="96"/>
              </w:rPr>
              <w:t>Three Months Ended March 31,</w:t>
            </w: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5"/>
          </w:tcPr>
          <w:p>
            <w:pPr>
              <w:jc w:val="right"/>
              <w:ind w:right="11"/>
              <w:spacing w:after="0" w:line="119" w:lineRule="exact"/>
              <w:rPr>
                <w:sz w:val="20"/>
                <w:szCs w:val="20"/>
                <w:color w:val="auto"/>
              </w:rPr>
            </w:pPr>
            <w:r>
              <w:rPr>
                <w:rFonts w:ascii="Arial" w:cs="Arial" w:eastAsia="Arial" w:hAnsi="Arial"/>
                <w:sz w:val="13"/>
                <w:szCs w:val="13"/>
                <w:b w:val="1"/>
                <w:bCs w:val="1"/>
                <w:color w:val="auto"/>
              </w:rPr>
              <w:t>(As a percentage of</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1380" w:type="dxa"/>
            <w:vAlign w:val="bottom"/>
            <w:gridSpan w:val="5"/>
          </w:tcPr>
          <w:p>
            <w:pPr>
              <w:jc w:val="right"/>
              <w:ind w:right="331"/>
              <w:spacing w:after="0"/>
              <w:rPr>
                <w:sz w:val="20"/>
                <w:szCs w:val="20"/>
                <w:color w:val="auto"/>
              </w:rPr>
            </w:pPr>
            <w:r>
              <w:rPr>
                <w:rFonts w:ascii="Arial" w:cs="Arial" w:eastAsia="Arial" w:hAnsi="Arial"/>
                <w:sz w:val="14"/>
                <w:szCs w:val="14"/>
                <w:b w:val="1"/>
                <w:bCs w:val="1"/>
                <w:color w:val="auto"/>
              </w:rPr>
              <w:t>revenue)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14,853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11,065</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gridSpan w:val="2"/>
          </w:tcPr>
          <w:p>
            <w:pPr>
              <w:ind w:left="920"/>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(4,256)</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(1,277)</w:t>
            </w:r>
          </w:p>
        </w:tc>
        <w:tc>
          <w:tcPr>
            <w:tcW w:w="14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5"/>
          </w:tcPr>
          <w:p>
            <w:pPr>
              <w:jc w:val="right"/>
              <w:ind w:right="154"/>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(4,485)</w:t>
            </w:r>
          </w:p>
        </w:tc>
        <w:tc>
          <w:tcPr>
            <w:tcW w:w="8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7"/>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10,026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(4,827)</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Product sales decreased by $0.3 million or 3.7%, from $9.4 million during the three months ended March 31, 2018, to $9.0 million during the three months ended March 31, 2019. The decrease was primarily due to decreased sales volume and mix in our MRAM products.</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Licensing, royalty, and other revenue is a highly variable revenue item characterized by a small number of transactions annually with revenue based on size and terms of each transaction. Licensing, royalty, and other revenue decreased by $4.5 million from $5.5 million during the three months ended March 31, 2018, to $1.0 million during the three months ended March 31, 2019. The decrease was primarily due to a non-refundable license fee related to a cross-license agreement entered into with a customer in March 2018, which was partially offset by an increase of $0.3 million in royalty revenue and an increase of $0.2 million increase in sales of our backend foundry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140" w:type="dxa"/>
            <w:vAlign w:val="bottom"/>
            <w:gridSpan w:val="2"/>
            <w:vMerge w:val="restart"/>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8"/>
              </w:rPr>
              <w:t>Amount</w:t>
            </w:r>
          </w:p>
        </w:tc>
        <w:tc>
          <w:tcPr>
            <w:tcW w:w="5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20" w:type="dxa"/>
            <w:vAlign w:val="bottom"/>
            <w:gridSpan w:val="5"/>
          </w:tcPr>
          <w:p>
            <w:pPr>
              <w:jc w:val="right"/>
              <w:ind w:right="188"/>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5,241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$ 4,898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343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Gross margin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47.7 %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67.0 %</w:t>
            </w: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Cost of sales increased by $0.3 million or 7.0%, from $ 4.9 million during the three months ended March 31, 2018, to $5.2 million during the three months ended March 31, 2019. The increase was primarily due to lower yields on our MRAM products, partially offset by lower sales volume of backend foundry services and legacy products.</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Gross margin decreased from 67.0% during the three months ended March 31, 2018, to 47.7% during the three months ended March 31, 2019. The decline was primarily attributable to a one time licensing fee for our IP recognized in the three months ended March 31, 2018 and lower yields on our MRAM products. As the licensing fee had no associated cost of sales, our resulting gross margin was uncharacteristically high in the same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3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3,998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$ 6,480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8"/>
              </w:rPr>
              <w:t>$(2,482)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w w:val="97"/>
              </w:rPr>
              <w:t>Research and development as a % of revenue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44 %</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decreased by $2.5 million or 38.3%, from</w:t>
      </w:r>
      <w:r>
        <w:rPr>
          <w:rFonts w:ascii="Arial" w:cs="Arial" w:eastAsia="Arial" w:hAnsi="Arial"/>
          <w:sz w:val="17"/>
          <w:szCs w:val="17"/>
          <w:i w:val="1"/>
          <w:iCs w:val="1"/>
          <w:color w:val="auto"/>
        </w:rPr>
        <w:t xml:space="preserve"> </w:t>
      </w:r>
      <w:r>
        <w:rPr>
          <w:rFonts w:ascii="Arial" w:cs="Arial" w:eastAsia="Arial" w:hAnsi="Arial"/>
          <w:sz w:val="17"/>
          <w:szCs w:val="17"/>
          <w:color w:val="auto"/>
        </w:rPr>
        <w:t>$6.5 million during the three months ended March 31, 2018, to $4.0 million during the three months ended March 31, 2019. The decrease was partially due to a $1.4 million decrease in expenses incurred in connection with our joint development agreement with GLOBALFOUNDRIES due to the less spending on STT-MRAM process and product development, a $0.8 million decrease in spending on direct materials and supplies used in research and development activities due to the timing of purchases, a $0.2 million decrease in employee and contract labor costs due to a decrease in headcount and bonuses, and a $0.2 million decrease in the amount attributable to the vesting of shares of common stock issued to GLOBALFOUNDRIES due to revaluing shares as all shares vested in 2018. These decreases were offset in part by a $0.1 million increase in process engineering costs due to increasing production capacity.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2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5"/>
          </w:tcPr>
          <w:p>
            <w:pPr>
              <w:ind w:left="1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3,595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$ 3,219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$ 376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by $0.4 million or 11.7%, from $</w:t>
      </w:r>
      <w:r>
        <w:rPr>
          <w:rFonts w:ascii="Arial" w:cs="Arial" w:eastAsia="Arial" w:hAnsi="Arial"/>
          <w:sz w:val="17"/>
          <w:szCs w:val="17"/>
          <w:i w:val="1"/>
          <w:iCs w:val="1"/>
          <w:color w:val="auto"/>
        </w:rPr>
        <w:t xml:space="preserve"> </w:t>
      </w:r>
      <w:r>
        <w:rPr>
          <w:rFonts w:ascii="Arial" w:cs="Arial" w:eastAsia="Arial" w:hAnsi="Arial"/>
          <w:sz w:val="17"/>
          <w:szCs w:val="17"/>
          <w:color w:val="auto"/>
        </w:rPr>
        <w:t>3.2 million during the three months ended March 31, 2018 to $3.6 million during the three months ended March 31, 2019. The increase was primarily due a $0.3 million increase in employee and contract labor costs.</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00" w:type="dxa"/>
            <w:vAlign w:val="bottom"/>
            <w:gridSpan w:val="5"/>
          </w:tcPr>
          <w:p>
            <w:pPr>
              <w:ind w:left="8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1,364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$ 1,366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were flat at $1.4 million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2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2"/>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211</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Interest expense was $211,000 during the three months ended March 31, 2018 and 2019. There was an increase in cash interest due to an increase in the prime rate, which was offset by a decrease in non-cash interest related to the amortization of debt discounts derived from the issuance of a warrant, an end of term fee and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22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1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127</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83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188.6 %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Other income, net was $0.1 million during the three months ended March 31, 2019 compared to $44,000 during the three months ended March 31, 2018. The increase was primarily related to an increase in interest income earned on our cash balances as a result of the follow-on public offering in February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have generated significant losses since our inception and had an accumulated deficit of $138.2 million as of March 31, 2019, compared to $134.0 million as of December 31, 2018. We have financed our operations primarily through the sale of our common stock in our initial public offering (IPO), sales of our redeemable convertible preferred stock, debt financing and the sale of our products As of March 31, 2019, we had $18.5 million of cash and cash equivalents, compared to $23.4 million as of December 31, 2018.</w:t>
      </w:r>
    </w:p>
    <w:p>
      <w:pPr>
        <w:spacing w:after="0" w:line="1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February 2018, we completed a follow-on underwritten public offering of our common stock under our Registration Statement filed in November 2017 (File No. 333-221331), selling 3,772,447 shares of our common stock at an offering price of $7.00 per share for proceeds of $24.5 million, net of $1.9 million of underwriting discounts and commissions and other offering costs.</w:t>
      </w:r>
    </w:p>
    <w:p>
      <w:pPr>
        <w:spacing w:after="0" w:line="187"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In May 2017, we executed a Loan and Security Agreement with Silicon Valley Bank for a $12.0 million term loan, which we amended in July 2018 to extend the interest only payment period until December 31, 2018. The term of the amended loan is two years, which would be extended by one year if we achieve certain milestones. The outstanding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balance of the loan is to be repaid monthly beginning on January 1, 2019 over the remaining two-year term of the amended loan with an end of term fee of $0.8 million due upon maturity. The amended loan is secured by a first priority perfected security interest in our assets excluding any intellectual property.</w:t>
      </w:r>
    </w:p>
    <w:p>
      <w:pPr>
        <w:spacing w:after="0" w:line="1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Management expects operating losses and cash flow deficits to continue for the foreseeable future. Our ability to achieve profitability is dependent primarily on our ability to generate revenue for both our Toggle MRAM and STT MRAM products. These conditions, and our cash balances, raise doubt about our ability to continue as a going concern for at least a year after the issuance date of the accompanying condensed financial statements. We plan to address these conditions by reductions in spending, improvements in margins, increasing revenue, raising capital through equity or debt financings, licensing of our Intellectual Property, or a combination thereof. There is no assurance, however, that we will be successful in achieving profitability or raising the needed capital necessary to sustain operations.</w:t>
      </w:r>
    </w:p>
    <w:p>
      <w:pPr>
        <w:spacing w:after="0" w:line="1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are unable to raise additional capital or generate sufficient cash from operations to adequately fund our operations in a timely manner, we will need to curtail planned activities to reduce costs and extend the time period over which our current resources will be able to fund operations. Doing so will likely harm our ability to execute on our business plan, and if we are unable to raise additional capital at all, may be forced to cease operations altogether, file for bankruptcy, or undertake any combination of the foregoing. In such event, our stockholders may lose their entire investment in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4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4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4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(3,149)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900" w:type="dxa"/>
            <w:vAlign w:val="bottom"/>
            <w:gridSpan w:val="2"/>
          </w:tcPr>
          <w:p>
            <w:pPr>
              <w:jc w:val="right"/>
              <w:ind w:right="8"/>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(1,490)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During the three months ended March 31, 2019, cash used in operating activities was $3.1 million, which consisted of a net loss of $4.3 million, adjusted by non-cash charges of $1.2 million and a change of $0.1 million in our net operating assets and liabilities. The non-cash charges primarily consisted of stock-based compensation of $0.7 million, depreciation and amortization of $0.4 million, and interest expense related to the amortization of debt issuance costs of $0.1 million. The change in our net operating assets and liabilities was primarily due to a decrease of $1.1 million in accrued liabilities and accounts payable due to a decrease in accrued payroll costs and the timing of payments and an increase of $0.6 million in inventory due to decreased sales. These uses of cash were offset by a decrease in accounts receivable of $1.5 million due to a lower sales volume and timing of cash receipts for outstanding balances and a decrease of $0.1 million in prepaid expenses and other current assets due to the timing of payments.</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During the three months ended March 31, 2018, cash used in operating activities was $3.7 million, which consisted of a net loss of $1.3 million, adjusted by non-cash charges of $1.3 million and a change of $3.8 million in our net operating assets and liabilities. The non-cash charges primarily consisted of stock-based compensation of $0.6 million, depreciation and amortization of $0.4 million, compensation expense related to vesting of common stock issued to GLOBALFOUNDRIES under our joint development agreement of $0.2 million, and interest expense related to the amortization of debt issuance costs of $0.1 million. The change in our net operating assets and liabilities was primarily due to an increase in accounts receivable of $5.6 million due to timing of cash receipts for outstanding balances, and an increase of $0.6 million in prepaid expenses and other current assets and other assets. These changes were partially offset by an increase in accounts payable of $1.3 million primarily related to inventory purchases in connection with the GLOBALFOUNDRIES joint development agreement, a decrease in inventory of $0.9 million due to timing and receipt of purchases and an increase in accrued liabilities of $0.3 million due to the timing of payments.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439" w:firstLine="324"/>
        <w:spacing w:after="0" w:line="277" w:lineRule="auto"/>
        <w:rPr>
          <w:sz w:val="20"/>
          <w:szCs w:val="20"/>
          <w:color w:val="auto"/>
        </w:rPr>
      </w:pPr>
      <w:r>
        <w:rPr>
          <w:rFonts w:ascii="Arial" w:cs="Arial" w:eastAsia="Arial" w:hAnsi="Arial"/>
          <w:sz w:val="18"/>
          <w:szCs w:val="18"/>
          <w:color w:val="auto"/>
        </w:rPr>
        <w:t>Cash used in investing activities during the three months ended March 31, 2019 and 2018, was $0.2 million for the purchase of manufacturing and computer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119" w:firstLine="324"/>
        <w:spacing w:after="0" w:line="277" w:lineRule="auto"/>
        <w:rPr>
          <w:sz w:val="20"/>
          <w:szCs w:val="20"/>
          <w:color w:val="auto"/>
        </w:rPr>
      </w:pPr>
      <w:r>
        <w:rPr>
          <w:rFonts w:ascii="Arial" w:cs="Arial" w:eastAsia="Arial" w:hAnsi="Arial"/>
          <w:sz w:val="18"/>
          <w:szCs w:val="18"/>
          <w:color w:val="auto"/>
        </w:rPr>
        <w:t>Cash used in financing activities during the three months ended March 31, 2019, was $1.5 million primarily consisting of $1.5 million in payments of long-term debt.</w:t>
      </w:r>
    </w:p>
    <w:p>
      <w:pPr>
        <w:spacing w:after="0" w:line="170" w:lineRule="exact"/>
        <w:rPr>
          <w:sz w:val="20"/>
          <w:szCs w:val="20"/>
          <w:color w:val="auto"/>
        </w:rPr>
      </w:pPr>
    </w:p>
    <w:p>
      <w:pPr>
        <w:ind w:right="239" w:firstLine="324"/>
        <w:spacing w:after="0" w:line="342" w:lineRule="auto"/>
        <w:rPr>
          <w:sz w:val="20"/>
          <w:szCs w:val="20"/>
          <w:color w:val="auto"/>
        </w:rPr>
      </w:pPr>
      <w:r>
        <w:rPr>
          <w:rFonts w:ascii="Arial" w:cs="Arial" w:eastAsia="Arial" w:hAnsi="Arial"/>
          <w:sz w:val="16"/>
          <w:szCs w:val="16"/>
          <w:color w:val="auto"/>
        </w:rPr>
        <w:t>During the three months ended March 31, 2018, cash provided by financing activities was $24.9 million consisting of proceeds from the issuance of common stock of $24.6 million and $0.3 million from stock option exercises.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right="39"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79" w:firstLine="324"/>
        <w:spacing w:after="0" w:line="286" w:lineRule="auto"/>
        <w:rPr>
          <w:sz w:val="20"/>
          <w:szCs w:val="20"/>
          <w:color w:val="auto"/>
        </w:rPr>
      </w:pPr>
      <w:r>
        <w:rPr>
          <w:rFonts w:ascii="Arial" w:cs="Arial" w:eastAsia="Arial" w:hAnsi="Arial"/>
          <w:sz w:val="17"/>
          <w:szCs w:val="17"/>
          <w:color w:val="auto"/>
        </w:rPr>
        <w:t>There have been no changes to our critical accounting policies and estimates described in the Annual Report on Form 10-K for the year ended December 31, 2018, filed with the Securities and Exchange Commission (SEC) on March 15, 2019, that have had a material impact on our condensed financial statements and related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339" w:firstLine="324"/>
        <w:spacing w:after="0" w:line="279" w:lineRule="auto"/>
        <w:rPr>
          <w:sz w:val="20"/>
          <w:szCs w:val="20"/>
          <w:color w:val="auto"/>
        </w:rPr>
      </w:pPr>
      <w:r>
        <w:rPr>
          <w:rFonts w:ascii="Arial" w:cs="Arial" w:eastAsia="Arial" w:hAnsi="Arial"/>
          <w:sz w:val="17"/>
          <w:szCs w:val="17"/>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13a-15(e) and 15d-15(e) under the Securities Exchange Act of 1934, as amended), as of March 31, 2019, the end of the period covered by this quarterly report on Form 10-Q.</w:t>
      </w:r>
    </w:p>
    <w:p>
      <w:pPr>
        <w:spacing w:after="0" w:line="171" w:lineRule="exact"/>
        <w:rPr>
          <w:sz w:val="20"/>
          <w:szCs w:val="20"/>
          <w:color w:val="auto"/>
        </w:rPr>
      </w:pPr>
    </w:p>
    <w:p>
      <w:pPr>
        <w:ind w:right="79" w:firstLine="324"/>
        <w:spacing w:after="0" w:line="308" w:lineRule="auto"/>
        <w:rPr>
          <w:sz w:val="20"/>
          <w:szCs w:val="20"/>
          <w:color w:val="auto"/>
        </w:rPr>
      </w:pPr>
      <w:r>
        <w:rPr>
          <w:rFonts w:ascii="Arial" w:cs="Arial" w:eastAsia="Arial" w:hAnsi="Arial"/>
          <w:sz w:val="17"/>
          <w:szCs w:val="17"/>
          <w:color w:val="auto"/>
        </w:rPr>
        <w:t>Based on this evaluation, our CEO and CFO concluded that our disclosure controls and procedures were not effective at the reasonable assurance level as of March 31, 2019, based on the material weakness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right="99" w:firstLine="324"/>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In connection with the preparation of our unaudited condensed financial statements for the quarter ended September 30, 2018, we identified an error in the previously filed financial statements that has caused us to restate and amend the our previously issued condensed financial statements and related financial information as of and for the three and six months ended June 30, 2018. This error was the result of a material weakness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our internal control over financial reporting, which continued to exist at March 31, 2019. Specifically, i) our information technology systems do not currently provide management the ability to accurately monitor inventory movements and quantities at third-party locations, ii) internal processes to provide for clear communication between operational and financial personnel within the Company are insufficient, and iii) we have insufficient personnel with the appropriate level of experience to prevent and detect errors on a timely basis in our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plan to remediate the material weakness.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remediate this material weakness, we are taking the following actions:</w:t>
      </w:r>
    </w:p>
    <w:p>
      <w:pPr>
        <w:spacing w:after="0" w:line="225" w:lineRule="exact"/>
        <w:rPr>
          <w:sz w:val="20"/>
          <w:szCs w:val="20"/>
          <w:color w:val="auto"/>
        </w:rPr>
      </w:pPr>
    </w:p>
    <w:p>
      <w:pPr>
        <w:ind w:left="560" w:right="80" w:hanging="233"/>
        <w:spacing w:after="0" w:line="264"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updating our information technology tools, including our ERP system, to enhance our ability to monitor inventory and its movement through our manufacturing process and to provide checks and balances to third-party reports.</w:t>
      </w:r>
    </w:p>
    <w:p>
      <w:pPr>
        <w:spacing w:after="0" w:line="181" w:lineRule="exact"/>
        <w:rPr>
          <w:rFonts w:ascii="Arial" w:cs="Arial" w:eastAsia="Arial" w:hAnsi="Arial"/>
          <w:sz w:val="18"/>
          <w:szCs w:val="18"/>
          <w:color w:val="auto"/>
        </w:rPr>
      </w:pPr>
    </w:p>
    <w:p>
      <w:pPr>
        <w:ind w:left="560" w:right="360" w:hanging="233"/>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and continue to put in place, management dashboard tools to alert all involved as to the performance of inventory against our business goals.</w:t>
      </w:r>
    </w:p>
    <w:p>
      <w:pPr>
        <w:spacing w:after="0" w:line="170" w:lineRule="exact"/>
        <w:rPr>
          <w:rFonts w:ascii="Arial" w:cs="Arial" w:eastAsia="Arial" w:hAnsi="Arial"/>
          <w:sz w:val="18"/>
          <w:szCs w:val="18"/>
          <w:color w:val="auto"/>
        </w:rPr>
      </w:pPr>
    </w:p>
    <w:p>
      <w:pPr>
        <w:ind w:left="560" w:right="380" w:hanging="233"/>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establishing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560" w:right="20" w:hanging="233"/>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providing additional training to our Operations Teams and updating procedures with our third-party Assembly Houses.</w:t>
      </w:r>
    </w:p>
    <w:p>
      <w:pPr>
        <w:spacing w:after="0" w:line="170" w:lineRule="exact"/>
        <w:rPr>
          <w:rFonts w:ascii="Arial" w:cs="Arial" w:eastAsia="Arial" w:hAnsi="Arial"/>
          <w:sz w:val="18"/>
          <w:szCs w:val="18"/>
          <w:color w:val="auto"/>
        </w:rPr>
      </w:pPr>
    </w:p>
    <w:p>
      <w:pPr>
        <w:ind w:left="560" w:right="400" w:hanging="233"/>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hired additional qualified personnel to assist management with its financial statement close process and provide oversight of our financial reporting.</w:t>
      </w:r>
    </w:p>
    <w:p>
      <w:pPr>
        <w:spacing w:after="0" w:line="17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are assessing our accounting policies and internal controls documentation to ensure they are effective in helping us manage the business. Notwithstanding the material weakness that exists,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If we fail to fully remediate this material weakness or fail to maintain effective internal controls in the future, it could result in a material misstatement of our financial statements that would not be prevented or detected on a timely basis, which could cause investors to lose confidence in our financial information or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Except with respect to the remediation efforts described above, there have been no changes in our internal control over financial reporting (as defined in Rules 13a-15(e) and 15d-15(e) under the Securities Exchange Act of 1934, as amended) that occurred during the three months ended March 31, 2019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additional funding and may be unable to raise capital when needed, which could force us to delay, reduce, or eliminate planned activities or may result in our inability to operate as a going concern.</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total revenue was approximately $10.0 million for the three months ended March 31, 2019, and $49.4 million for the year ended December 31, 2018, and, as of March 31, 2019, we had cash and cash equivalents of approximately $18.5 million. Our existing capital may be insufficient to meet our requirements. Based on our current operating plan, we do not have sufficient capital to continue our operations beyond some time into 2020. We will need to raise additional funds through financings or borrowings in 2019 in order to accomplish our planned objectives. Failure to raise additional funds could delay, reduce, or halt our sales of our products and would impact our ability to continue as a going concern.</w:t>
      </w:r>
    </w:p>
    <w:p>
      <w:pPr>
        <w:spacing w:after="0" w:line="17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have no committed sources of capital funding and there is no assurance that additional funding will be available to us in the future or be secured on acceptable terms. These factors raise doubt about our ability to continue as a going concern for at least a year after the issuance date of the accompanying condensed financial statements. If adequate funding is not available, we may no longer be a going concern and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6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have incurred net losses since our inception. We incurred net losses of $17.8 million and $4.3 million for the year ended December 31, 2018, and the three months ended March 31, 2019, respectively. As of March 31, 2019, we had an accumulated deficit of $138.2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While our products offer unique benefits over other industry memory technologies, our per-bit cost to product our product is currently higher than competing technologies. As a result, our ability to capture market share and generate sufficient revenue to transition to profitability and generate consistent positive cash flows is uncertain. We do not know whether our revenue will grow rapidly enough to absorb these costs, and our limited operating history makes it difficult to assess the extent of these expenses, or their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19" w:firstLine="324"/>
        <w:spacing w:after="0" w:line="255"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 If revenue does not grow sufficiently, we may not be able to meet our debt covenants, including the liquidity ratio and sales targets.</w:t>
      </w:r>
    </w:p>
    <w:p>
      <w:pPr>
        <w:spacing w:after="0" w:line="193"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b w:val="1"/>
          <w:bCs w:val="1"/>
          <w:i w:val="1"/>
          <w:iCs w:val="1"/>
          <w:color w:val="auto"/>
        </w:rPr>
        <w:t>Our limited history of making our STT-MRAM products makes it difficult to evaluate our current business and future prospects.</w:t>
      </w:r>
    </w:p>
    <w:p>
      <w:pPr>
        <w:spacing w:after="0" w:line="170" w:lineRule="exact"/>
        <w:rPr>
          <w:sz w:val="20"/>
          <w:szCs w:val="20"/>
          <w:color w:val="auto"/>
        </w:rPr>
      </w:pPr>
    </w:p>
    <w:p>
      <w:pPr>
        <w:ind w:right="299" w:firstLine="324"/>
        <w:spacing w:after="0" w:line="302"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4" w:lineRule="exact"/>
        <w:rPr>
          <w:sz w:val="20"/>
          <w:szCs w:val="20"/>
          <w:color w:val="auto"/>
        </w:rPr>
      </w:pPr>
    </w:p>
    <w:p>
      <w:pPr>
        <w:ind w:right="5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enterprise storage industries and changes in macroeconomic conditions. If we do not manage these risks and overcome these difficulties successfully, our business will suffer.</w:t>
      </w:r>
    </w:p>
    <w:p>
      <w:pPr>
        <w:spacing w:after="0" w:line="130" w:lineRule="exact"/>
        <w:rPr>
          <w:sz w:val="20"/>
          <w:szCs w:val="20"/>
          <w:color w:val="auto"/>
        </w:rPr>
      </w:pPr>
    </w:p>
    <w:p>
      <w:pPr>
        <w:ind w:right="559"/>
        <w:spacing w:after="0" w:line="26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1" w:lineRule="exact"/>
        <w:rPr>
          <w:sz w:val="20"/>
          <w:szCs w:val="20"/>
          <w:color w:val="auto"/>
        </w:rPr>
      </w:pPr>
    </w:p>
    <w:p>
      <w:pPr>
        <w:ind w:right="19" w:firstLine="401"/>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fund our business, which may not be available to us on favorable terms or at all.</w:t>
      </w:r>
    </w:p>
    <w:p>
      <w:pPr>
        <w:spacing w:after="0" w:line="248" w:lineRule="exact"/>
        <w:rPr>
          <w:sz w:val="20"/>
          <w:szCs w:val="20"/>
          <w:color w:val="auto"/>
        </w:rPr>
      </w:pPr>
    </w:p>
    <w:p>
      <w:pPr>
        <w:ind w:right="59" w:firstLine="401"/>
        <w:spacing w:after="0" w:line="290" w:lineRule="auto"/>
        <w:rPr>
          <w:sz w:val="20"/>
          <w:szCs w:val="20"/>
          <w:color w:val="auto"/>
        </w:rPr>
      </w:pPr>
      <w:r>
        <w:rPr>
          <w:rFonts w:ascii="Arial" w:cs="Arial" w:eastAsia="Arial" w:hAnsi="Arial"/>
          <w:sz w:val="16"/>
          <w:szCs w:val="16"/>
          <w:color w:val="auto"/>
        </w:rPr>
        <w:t>Management expects operating losses and cash flow deficits to continue for the foreseeable future. Our ability to achieve profitability is dependent primarily on our ability to generate revenue for both our Toggle MRAM and STT MRAM products. These conditions, and our cash balances, raise doubt about our ability to continue as a going concern for at least a year after the issuance date of the accompanying condensed financial statements. We plan to address these conditions by reductions in spending, improvements in margins, increasing revenue, raising capital through equity or debt financings, licensing of our Intellectual Property, or a combination thereof. There is no assurance, however, that we will be successful in achieving profitability or raising the needed capital necessary to sustain operations. Our future capital requirements will depend on many factors, including our growth rate, the timing and extent of our spending to</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73" w:lineRule="exact"/>
        <w:rPr>
          <w:sz w:val="20"/>
          <w:szCs w:val="20"/>
          <w:color w:val="auto"/>
        </w:rPr>
      </w:pPr>
    </w:p>
    <w:p>
      <w:pPr>
        <w:ind w:right="40" w:firstLine="401"/>
        <w:spacing w:after="0" w:line="297" w:lineRule="auto"/>
        <w:rPr>
          <w:sz w:val="20"/>
          <w:szCs w:val="20"/>
          <w:color w:val="auto"/>
        </w:rPr>
      </w:pPr>
      <w:r>
        <w:rPr>
          <w:rFonts w:ascii="Arial" w:cs="Arial" w:eastAsia="Arial" w:hAnsi="Arial"/>
          <w:sz w:val="16"/>
          <w:szCs w:val="16"/>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5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firstLine="401"/>
        <w:spacing w:after="0" w:line="286" w:lineRule="auto"/>
        <w:rPr>
          <w:sz w:val="20"/>
          <w:szCs w:val="20"/>
          <w:color w:val="auto"/>
        </w:rPr>
      </w:pPr>
      <w:r>
        <w:rPr>
          <w:rFonts w:ascii="Arial" w:cs="Arial" w:eastAsia="Arial" w:hAnsi="Arial"/>
          <w:sz w:val="16"/>
          <w:szCs w:val="16"/>
          <w:color w:val="auto"/>
        </w:rPr>
        <w:t>We expect that our new and future MRAM products will be applicable to markets in which we are not currently operating. Selling into such new markets,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5"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capacity and materials shortages during periods of high demand;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control over delivery schedules, inventories and quality;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inability to achieve required production or test capacity and acceptable yields on a timely basis;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misappropriation of our intellectual property;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exclusive representatives for certain customer engagements;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limited warranties on wafers or products supplied to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Global Testing Corporation (GTC), ChipMos, OSE Taiwan, and Amkor, and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8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6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We have entered into strategic relationships to manufacture products and develop new manufacturing process technologies and products. These relationships include our joint development agreement with GLOBALFOUNDRIES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develop advanced MTJ technology and STT-MRAM. These relationships are subject to various risks that could adversely affect the value of our investments and our results of operations. These risks include the following:</w:t>
      </w:r>
    </w:p>
    <w:p>
      <w:pPr>
        <w:spacing w:after="0" w:line="160"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in transferring technology to a foundry;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control over the operations of foundries is limited;</w:t>
      </w:r>
    </w:p>
    <w:p>
      <w:pPr>
        <w:spacing w:after="0" w:line="225" w:lineRule="exact"/>
        <w:rPr>
          <w:sz w:val="20"/>
          <w:szCs w:val="20"/>
          <w:color w:val="auto"/>
        </w:rPr>
      </w:pPr>
    </w:p>
    <w:p>
      <w:pPr>
        <w:ind w:left="580" w:right="60" w:firstLine="29"/>
        <w:spacing w:after="0" w:line="277" w:lineRule="auto"/>
        <w:rPr>
          <w:sz w:val="20"/>
          <w:szCs w:val="20"/>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sz w:val="20"/>
          <w:szCs w:val="20"/>
          <w:color w:val="auto"/>
        </w:rPr>
      </w:pPr>
    </w:p>
    <w:p>
      <w:pPr>
        <w:ind w:left="580" w:right="120" w:firstLine="29"/>
        <w:spacing w:after="0" w:line="277" w:lineRule="auto"/>
        <w:rPr>
          <w:sz w:val="20"/>
          <w:szCs w:val="20"/>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cash flows may be inadequate to fund increased capital requirements;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terms of our arrangements may turn out to be unfavorable;</w:t>
      </w:r>
    </w:p>
    <w:p>
      <w:pPr>
        <w:spacing w:after="0" w:line="225" w:lineRule="exact"/>
        <w:rPr>
          <w:sz w:val="20"/>
          <w:szCs w:val="20"/>
          <w:color w:val="auto"/>
        </w:rPr>
      </w:pPr>
    </w:p>
    <w:p>
      <w:pPr>
        <w:ind w:left="580" w:right="160" w:firstLine="29"/>
        <w:spacing w:after="0" w:line="277" w:lineRule="auto"/>
        <w:rPr>
          <w:sz w:val="20"/>
          <w:szCs w:val="20"/>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under the terms of our joint development agreement with GLOBALFOUNDRIES, we share the development costs. Further, our joint development agreement expires in December 2019 unless a statement of work is in place at that time, in which case it expires on the date the last statement of work is finished. If GLOBALFOUNDRIES fails to extend or terminates the joint development agreement, our ability to continue to develop our MRAM technology will be significantly impaired.</w:t>
      </w:r>
    </w:p>
    <w:p>
      <w:pPr>
        <w:spacing w:after="0" w:line="188"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158"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Further, increasing trade tensions and tariffs, particularly with China, may increase the costs we incur to produce our products. Although we are seeking to qualify alternative suppliers and facilities in the event that it becomes necessary to obtain materials from other sources to limit the effect of tariffs, there is no guarantee that we will be able to do so or, if we are, that these alternative sources will fully mitigate the effect that tariffs and other trade restrictions will have on our business, which may have an adverse effect on our financial condition and results of operations.</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w:t>
      </w:r>
    </w:p>
    <w:p>
      <w:pPr>
        <w:spacing w:after="0" w:line="285" w:lineRule="auto"/>
        <w:rPr>
          <w:sz w:val="20"/>
          <w:szCs w:val="20"/>
          <w:color w:val="auto"/>
        </w:rPr>
      </w:pPr>
      <w:r>
        <w:rPr>
          <w:rFonts w:ascii="Arial" w:cs="Arial" w:eastAsia="Arial" w:hAnsi="Arial"/>
          <w:sz w:val="16"/>
          <w:szCs w:val="16"/>
          <w:color w:val="auto"/>
        </w:rPr>
        <w:t>new technology and products, which we expect to be one of the drivers of our revenue growth in the future. However, as it is taking us longer than we expected to develop our 1Gb STT-MRAM product, we may not succeed in developing and marketing this and other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we generated limited revenue from sales of our STT-MRAM products to date. While we expect revenue from our STT-MRAM products to increase, if we are unable to generate more customer adoption of our 256Mb and 1Gb products and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6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In the fourth quarter of 2017, we recorded revenue for our first sale of 40nm 256Mb STT-MRAM products and we ramped up production in 2018 and into 2019. To date we have not sold any of our 1Gb MRAM product, beyond customer samples. Our customers may need several months to years to test, evaluate and adopt our product and additional time to begin volume production of the product that incorporates our solution. Due to this generally lengthy design cycle, we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further delay in the qualification of our 1Gb MRAM product, or failure of our customers to adopt our 1Gb MRAM products, could inhibit revenue growth or cause declines, which would significantly harm our business and prevent us from becoming profitable.</w:t>
      </w:r>
    </w:p>
    <w:p>
      <w:pPr>
        <w:spacing w:after="0" w:line="19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rely on our relationships with original equipment manufacturers (OEMs) and original design manufacturers (ODMs) to enhance our solutions and market position, and our failure to continue to develop or maintain such relationships in the future would harm our ability to remain competitive.</w:t>
      </w:r>
    </w:p>
    <w:p>
      <w:pPr>
        <w:spacing w:after="0" w:line="181"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ind w:right="120"/>
        <w:spacing w:after="0" w:line="286" w:lineRule="auto"/>
        <w:rPr>
          <w:sz w:val="20"/>
          <w:szCs w:val="20"/>
          <w:color w:val="auto"/>
        </w:rPr>
      </w:pPr>
      <w:r>
        <w:rPr>
          <w:rFonts w:ascii="Arial" w:cs="Arial" w:eastAsia="Arial" w:hAnsi="Arial"/>
          <w:sz w:val="16"/>
          <w:szCs w:val="16"/>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24% of our total revenue for the three months ended March 31, 2019, although none of these customers accounted for more than 10% of our revenue during that period. Our four largest end customers together accounted for 29% of our total revenue for the year ended December 31, 2018,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23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receipt, reduction, delay or cancellation of orders by large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gain or loss of significant customers or distributors;</w:t>
      </w:r>
    </w:p>
    <w:p>
      <w:pPr>
        <w:spacing w:after="0" w:line="225" w:lineRule="exact"/>
        <w:rPr>
          <w:sz w:val="20"/>
          <w:szCs w:val="20"/>
          <w:color w:val="auto"/>
        </w:rPr>
      </w:pPr>
    </w:p>
    <w:p>
      <w:pPr>
        <w:ind w:left="620" w:right="1519"/>
        <w:spacing w:after="0" w:line="501" w:lineRule="auto"/>
        <w:rPr>
          <w:sz w:val="20"/>
          <w:szCs w:val="20"/>
          <w:color w:val="auto"/>
        </w:rPr>
      </w:pPr>
      <w:r>
        <w:rPr>
          <w:rFonts w:ascii="Arial" w:cs="Arial" w:eastAsia="Arial" w:hAnsi="Arial"/>
          <w:sz w:val="18"/>
          <w:szCs w:val="18"/>
          <w:color w:val="auto"/>
        </w:rPr>
        <w:t>the timing and success of our launch of new or enhanced products and those of our competitors; market acceptance of our products and our customers’ products;</w:t>
      </w:r>
    </w:p>
    <w:p>
      <w:pPr>
        <w:ind w:left="620" w:right="379"/>
        <w:spacing w:after="0" w:line="530" w:lineRule="auto"/>
        <w:rPr>
          <w:sz w:val="20"/>
          <w:szCs w:val="20"/>
          <w:color w:val="auto"/>
        </w:rPr>
      </w:pPr>
      <w:r>
        <w:rPr>
          <w:rFonts w:ascii="Arial" w:cs="Arial" w:eastAsia="Arial" w:hAnsi="Arial"/>
          <w:sz w:val="17"/>
          <w:szCs w:val="17"/>
          <w:color w:val="auto"/>
        </w:rPr>
        <w:t>the level of growth or decline in the industrial, automotive, transportation, enterprise storage and other markets; the timing and extent of research and development and sales and marketing expenditures;</w:t>
      </w:r>
    </w:p>
    <w:p>
      <w:pPr>
        <w:spacing w:after="0" w:line="1" w:lineRule="exact"/>
        <w:rPr>
          <w:sz w:val="20"/>
          <w:szCs w:val="20"/>
          <w:color w:val="auto"/>
        </w:rPr>
      </w:pPr>
    </w:p>
    <w:p>
      <w:pPr>
        <w:ind w:left="580" w:right="199" w:firstLine="29"/>
        <w:spacing w:after="0" w:line="277" w:lineRule="auto"/>
        <w:rPr>
          <w:sz w:val="20"/>
          <w:szCs w:val="20"/>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our product mix;</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reduce the manufacturing costs of our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competitive pressures resulting in lower than expected average selling prices;</w:t>
      </w:r>
    </w:p>
    <w:p>
      <w:pPr>
        <w:spacing w:after="0" w:line="225" w:lineRule="exact"/>
        <w:rPr>
          <w:sz w:val="20"/>
          <w:szCs w:val="20"/>
          <w:color w:val="auto"/>
        </w:rPr>
      </w:pPr>
    </w:p>
    <w:p>
      <w:pPr>
        <w:ind w:left="580" w:right="379" w:firstLine="29"/>
        <w:spacing w:after="0" w:line="277" w:lineRule="auto"/>
        <w:rPr>
          <w:sz w:val="20"/>
          <w:szCs w:val="20"/>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cyclical and seasonal fluctuations in our markets;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fluctuations in the manufacturing yields of our third-party manufacturers;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quality issues that arise from manufacturing issues at our third-party manufacturers;</w:t>
      </w:r>
    </w:p>
    <w:p>
      <w:pPr>
        <w:spacing w:after="0" w:line="225" w:lineRule="exact"/>
        <w:rPr>
          <w:sz w:val="20"/>
          <w:szCs w:val="20"/>
          <w:color w:val="auto"/>
        </w:rPr>
      </w:pPr>
    </w:p>
    <w:p>
      <w:pPr>
        <w:ind w:left="580" w:right="99" w:firstLine="29"/>
        <w:spacing w:after="0" w:line="264" w:lineRule="auto"/>
        <w:rPr>
          <w:sz w:val="20"/>
          <w:szCs w:val="20"/>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81" w:lineRule="exact"/>
        <w:rPr>
          <w:sz w:val="20"/>
          <w:szCs w:val="20"/>
          <w:color w:val="auto"/>
        </w:rPr>
      </w:pPr>
    </w:p>
    <w:p>
      <w:pPr>
        <w:ind w:left="620" w:right="239"/>
        <w:spacing w:after="0" w:line="501" w:lineRule="auto"/>
        <w:rPr>
          <w:sz w:val="20"/>
          <w:szCs w:val="20"/>
          <w:color w:val="auto"/>
        </w:rPr>
      </w:pPr>
      <w:r>
        <w:rPr>
          <w:rFonts w:ascii="Arial" w:cs="Arial" w:eastAsia="Arial" w:hAnsi="Arial"/>
          <w:sz w:val="18"/>
          <w:szCs w:val="18"/>
          <w:color w:val="auto"/>
        </w:rPr>
        <w:t>supply constraints for and changes in the cost of the other components incorporated into our customers’ products; the timing of expenses related to the acquisition of technologies or businesses;</w:t>
      </w:r>
    </w:p>
    <w:p>
      <w:pPr>
        <w:ind w:left="620" w:right="2279"/>
        <w:spacing w:after="0" w:line="501" w:lineRule="auto"/>
        <w:rPr>
          <w:sz w:val="20"/>
          <w:szCs w:val="20"/>
          <w:color w:val="auto"/>
        </w:rPr>
      </w:pPr>
      <w:r>
        <w:rPr>
          <w:rFonts w:ascii="Arial" w:cs="Arial" w:eastAsia="Arial" w:hAnsi="Arial"/>
          <w:sz w:val="18"/>
          <w:szCs w:val="18"/>
          <w:color w:val="auto"/>
        </w:rPr>
        <w:t>product rates of return or price concessions in excess of those expected or forecasted; costs associated with the repair and replacement of defective products; unexpected inventory write-downs or write-offs;</w:t>
      </w:r>
    </w:p>
    <w:p>
      <w:pPr>
        <w:ind w:left="620"/>
        <w:spacing w:after="0"/>
        <w:rPr>
          <w:sz w:val="20"/>
          <w:szCs w:val="20"/>
          <w:color w:val="auto"/>
        </w:rPr>
      </w:pPr>
      <w:r>
        <w:rPr>
          <w:rFonts w:ascii="Arial" w:cs="Arial" w:eastAsia="Arial" w:hAnsi="Arial"/>
          <w:sz w:val="18"/>
          <w:szCs w:val="18"/>
          <w:color w:val="auto"/>
        </w:rPr>
        <w:t>costs associated with litigation over intellectual property rights and other litigation;</w:t>
      </w:r>
    </w:p>
    <w:p>
      <w:pPr>
        <w:spacing w:after="0" w:line="225" w:lineRule="exact"/>
        <w:rPr>
          <w:sz w:val="20"/>
          <w:szCs w:val="20"/>
          <w:color w:val="auto"/>
        </w:rPr>
      </w:pPr>
    </w:p>
    <w:p>
      <w:pPr>
        <w:ind w:left="620" w:right="139"/>
        <w:spacing w:after="0" w:line="501" w:lineRule="auto"/>
        <w:rPr>
          <w:sz w:val="20"/>
          <w:szCs w:val="20"/>
          <w:color w:val="auto"/>
        </w:rPr>
      </w:pPr>
      <w:r>
        <w:rPr>
          <w:rFonts w:ascii="Arial" w:cs="Arial" w:eastAsia="Arial" w:hAnsi="Arial"/>
          <w:sz w:val="18"/>
          <w:szCs w:val="18"/>
          <w:color w:val="auto"/>
        </w:rPr>
        <w:t>changes in accounting standards, such as revenue recognition, which we were required to adopt beginning in 2018; changes in tax laws, such as the Tax Cuts and Jobs Act of 2017 recently enacted;</w:t>
      </w:r>
    </w:p>
    <w:p>
      <w:pPr>
        <w:ind w:left="620" w:right="2059"/>
        <w:spacing w:after="0" w:line="530" w:lineRule="auto"/>
        <w:rPr>
          <w:sz w:val="20"/>
          <w:szCs w:val="20"/>
          <w:color w:val="auto"/>
        </w:rPr>
      </w:pPr>
      <w:r>
        <w:rPr>
          <w:rFonts w:ascii="Arial" w:cs="Arial" w:eastAsia="Arial" w:hAnsi="Arial"/>
          <w:sz w:val="17"/>
          <w:szCs w:val="17"/>
          <w:color w:val="auto"/>
        </w:rPr>
        <w:t>the length and unpredictability of the purchasing and budgeting cycles of our customers; loss of key personnel or the inability to attract qualified engineers; and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7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In addition, as the MRAM market opportunity grows, we expect new entrants such as Avalanche Technologies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relationships with our customers and other industry participants;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prices of our products and prices of our competitors’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develop innovative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competitors’ greater resources to make acquisitions;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obtain adequate capital to finance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sz w:val="20"/>
          <w:szCs w:val="20"/>
          <w:color w:val="auto"/>
        </w:rPr>
      </w:pPr>
    </w:p>
    <w:p>
      <w:pPr>
        <w:ind w:left="580" w:right="40" w:firstLine="29"/>
        <w:spacing w:after="0" w:line="277" w:lineRule="auto"/>
        <w:rPr>
          <w:sz w:val="20"/>
          <w:szCs w:val="20"/>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years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delays in development, manufacture and roll-out of new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additional development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or delays in, market acceptance;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technical and other resources from our other development efforts;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claims for damages by our customers or others against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increase product value.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substantial damages for infringement;</w:t>
      </w:r>
    </w:p>
    <w:p>
      <w:pPr>
        <w:spacing w:after="0" w:line="225" w:lineRule="exact"/>
        <w:rPr>
          <w:sz w:val="20"/>
          <w:szCs w:val="20"/>
          <w:color w:val="auto"/>
        </w:rPr>
      </w:pPr>
    </w:p>
    <w:p>
      <w:pPr>
        <w:ind w:left="580" w:right="640" w:firstLine="29"/>
        <w:spacing w:after="0" w:line="277" w:lineRule="auto"/>
        <w:rPr>
          <w:sz w:val="20"/>
          <w:szCs w:val="20"/>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sz w:val="20"/>
          <w:szCs w:val="20"/>
          <w:color w:val="auto"/>
        </w:rPr>
      </w:pPr>
    </w:p>
    <w:p>
      <w:pPr>
        <w:ind w:left="580" w:right="80" w:firstLine="29"/>
        <w:spacing w:after="0" w:line="277" w:lineRule="auto"/>
        <w:rPr>
          <w:sz w:val="20"/>
          <w:szCs w:val="20"/>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sz w:val="20"/>
          <w:szCs w:val="20"/>
          <w:color w:val="auto"/>
        </w:rPr>
      </w:pPr>
    </w:p>
    <w:p>
      <w:pPr>
        <w:ind w:left="580" w:right="300" w:firstLine="29"/>
        <w:spacing w:after="0" w:line="277" w:lineRule="auto"/>
        <w:rPr>
          <w:sz w:val="20"/>
          <w:szCs w:val="20"/>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sz w:val="20"/>
          <w:szCs w:val="20"/>
          <w:color w:val="auto"/>
        </w:rPr>
      </w:pPr>
    </w:p>
    <w:p>
      <w:pPr>
        <w:ind w:left="580" w:right="20" w:firstLine="29"/>
        <w:spacing w:after="0" w:line="277" w:lineRule="auto"/>
        <w:rPr>
          <w:sz w:val="20"/>
          <w:szCs w:val="20"/>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6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8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ERP system.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79"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0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and so we could only do so with the lender’s consent. If we were to pursue such acquisitions or investments, they could create risks for us, including:</w:t>
      </w:r>
    </w:p>
    <w:p>
      <w:pPr>
        <w:spacing w:after="0" w:line="154" w:lineRule="exact"/>
        <w:rPr>
          <w:sz w:val="20"/>
          <w:szCs w:val="20"/>
          <w:color w:val="auto"/>
        </w:rPr>
      </w:pPr>
    </w:p>
    <w:p>
      <w:pPr>
        <w:ind w:left="580" w:right="300" w:firstLine="29"/>
        <w:spacing w:after="0" w:line="312" w:lineRule="auto"/>
        <w:rPr>
          <w:sz w:val="20"/>
          <w:szCs w:val="20"/>
          <w:color w:val="auto"/>
        </w:rPr>
      </w:pPr>
      <w:r>
        <w:rPr>
          <w:rFonts w:ascii="Arial" w:cs="Arial" w:eastAsia="Arial" w:hAnsi="Arial"/>
          <w:sz w:val="16"/>
          <w:szCs w:val="16"/>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unanticipated costs or liabilities, including possible litigation, associated with the acquisition;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incurrence of acquisition-related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resources that are needed in other parts of our business;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substantial portions of our available cash to consummate an acquisition.</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47"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We may be unable to complete acquisitions at all or on commercially reasonable terms, which could limit our future growth. Acquisitions could also result in dilutive issuances of equity securities or the incurrence of additional debt,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maintain operations outside of the United States and intend to expand our international operations, which exposes us to significant risks.</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longer and more difficult customer qualification and credit checks;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greater difficulty collecting accounts receivable and longer payment cycles;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need for various local approvals to operate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compliance with local laws and regulations;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sz w:val="20"/>
          <w:szCs w:val="20"/>
          <w:color w:val="auto"/>
        </w:rPr>
      </w:pPr>
    </w:p>
    <w:p>
      <w:pPr>
        <w:ind w:left="580" w:right="600" w:firstLine="29"/>
        <w:spacing w:after="0" w:line="277" w:lineRule="auto"/>
        <w:rPr>
          <w:sz w:val="20"/>
          <w:szCs w:val="20"/>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sz w:val="20"/>
          <w:szCs w:val="20"/>
          <w:color w:val="auto"/>
        </w:rPr>
      </w:pPr>
    </w:p>
    <w:p>
      <w:pPr>
        <w:ind w:left="580" w:right="100" w:firstLine="29"/>
        <w:spacing w:after="0" w:line="259" w:lineRule="auto"/>
        <w:rPr>
          <w:sz w:val="20"/>
          <w:szCs w:val="20"/>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new and different sources of competition;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1" w:lineRule="exact"/>
        <w:rPr>
          <w:sz w:val="20"/>
          <w:szCs w:val="20"/>
          <w:color w:val="auto"/>
        </w:rPr>
      </w:pPr>
    </w:p>
    <w:p>
      <w:pPr>
        <w:ind w:right="600" w:firstLine="324"/>
        <w:spacing w:after="0" w:line="312"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9"/>
        <w:spacing w:after="0" w:line="288" w:lineRule="auto"/>
        <w:rPr>
          <w:sz w:val="20"/>
          <w:szCs w:val="20"/>
          <w:color w:val="auto"/>
        </w:rPr>
      </w:pPr>
      <w:r>
        <w:rPr>
          <w:rFonts w:ascii="Arial" w:cs="Arial" w:eastAsia="Arial" w:hAnsi="Arial"/>
          <w:sz w:val="16"/>
          <w:szCs w:val="16"/>
          <w:color w:val="auto"/>
        </w:rPr>
        <w:t>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69" w:lineRule="exact"/>
        <w:rPr>
          <w:sz w:val="20"/>
          <w:szCs w:val="20"/>
          <w:color w:val="auto"/>
        </w:rPr>
      </w:pPr>
    </w:p>
    <w:p>
      <w:pPr>
        <w:ind w:right="359"/>
        <w:spacing w:after="0" w:line="381"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1" w:lineRule="exact"/>
        <w:rPr>
          <w:sz w:val="20"/>
          <w:szCs w:val="20"/>
          <w:color w:val="auto"/>
        </w:rPr>
      </w:pPr>
    </w:p>
    <w:p>
      <w:pPr>
        <w:ind w:right="19" w:firstLine="324"/>
        <w:spacing w:after="0" w:line="255"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right="639" w:firstLine="324"/>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dispose of or sell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 or merge with other entities;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create liens on our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dividends;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make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enter into transactions with affiliates;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right="99" w:firstLine="324"/>
        <w:spacing w:after="0" w:line="270" w:lineRule="auto"/>
        <w:rPr>
          <w:sz w:val="20"/>
          <w:szCs w:val="20"/>
          <w:color w:val="auto"/>
        </w:rPr>
      </w:pPr>
      <w:r>
        <w:rPr>
          <w:rFonts w:ascii="Arial" w:cs="Arial" w:eastAsia="Arial" w:hAnsi="Arial"/>
          <w:sz w:val="17"/>
          <w:szCs w:val="17"/>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could adversely affect our business and financial condition.</w:t>
      </w:r>
    </w:p>
    <w:p>
      <w:pPr>
        <w:spacing w:after="0" w:line="22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In December 2017 the Tax Cuts and Jobs Act (2017 Tax Act) became law, which significantly amended the Internal Revenue Code of 1986. The 2017 Tax Act, among other things, reduced the corporate tax rate from a top marginal rate of 35% to a flat rate of 21%, limits the tax deduction for interest expense to 30% of adjusted earnings,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The rate reduction took effect on January 1, 2018. Interpretations of this legislation are being released by various regulatory agencies and it is possible that there could be significant changes in interpretations that we may not be yet aware of, and which could adversely impact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2018, we had federal net operating loss carryforwards of approximately $112.3 million of which $99.7 million will begin to expire in 2028 if not utilized, and $12.6 million will carryover indefinitely. As of December 31, 2018, we had state net operating loss carryforwards of approximately $44.3 million of which $43.5 million will begin to expire in 2023 if not utilized, and $0.8 million will carryover indefinitely. The federal NOLs generated prior to 2018 will continue to be governed by the NOL tax rules as they existed prior to the adoption of the new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will be carried forward and will not expire. There is no current impact to the us as we continue to be in a tax loss position for US tax purposes.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accounting and finance staff members to maintain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 disposal of personal data of employees and customers may result in regulatory penalties, enforcement actions, remediation obligations, litigation, fines and other sanctions.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We have a material weakness in our internal control over financial control which we are currently remediating, but 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54" w:lineRule="exact"/>
        <w:rPr>
          <w:sz w:val="20"/>
          <w:szCs w:val="20"/>
          <w:color w:val="auto"/>
        </w:rPr>
      </w:pPr>
    </w:p>
    <w:p>
      <w:pPr>
        <w:ind w:right="40" w:firstLine="401"/>
        <w:spacing w:after="0" w:line="270" w:lineRule="auto"/>
        <w:rPr>
          <w:sz w:val="20"/>
          <w:szCs w:val="20"/>
          <w:color w:val="auto"/>
        </w:rPr>
      </w:pPr>
      <w:r>
        <w:rPr>
          <w:rFonts w:ascii="Arial" w:cs="Arial" w:eastAsia="Arial" w:hAnsi="Arial"/>
          <w:sz w:val="17"/>
          <w:szCs w:val="17"/>
          <w:color w:val="auto"/>
        </w:rPr>
        <w:t>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 Our management has determined that we have a material weakness in our internal control over financial reporting, as further described in Part I, Item 4. of this Report. If we are unable to remediate this material weakness, or experience additional weaknesses, we may not be able to accurately report our financial condition or results of operations, which may adversely affect investor confidence in the accuracy and completeness of our financial reports, which could cause the price of our common stock to decline.</w:t>
      </w:r>
    </w:p>
    <w:p>
      <w:pPr>
        <w:spacing w:after="0" w:line="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issuance of new accounting standards or future interpretations of existing accounting standards could adversely affect our operating results.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For example, beginning with our first quarter of 2018, we adopted the new revenue recognition standard, which changed the way we recognize revenue.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Although our stock is currently traded on the Nasdaq Stock Market, an active trading market may not be 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liability claims or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earnings estimates or recommendations by securities analysts; and</w:t>
      </w:r>
    </w:p>
    <w:p>
      <w:pPr>
        <w:spacing w:after="0" w:line="225" w:lineRule="exact"/>
        <w:rPr>
          <w:sz w:val="20"/>
          <w:szCs w:val="20"/>
          <w:color w:val="auto"/>
        </w:rPr>
      </w:pPr>
    </w:p>
    <w:p>
      <w:pPr>
        <w:ind w:left="580" w:right="680" w:firstLine="29"/>
        <w:spacing w:after="0" w:line="277" w:lineRule="auto"/>
        <w:rPr>
          <w:sz w:val="20"/>
          <w:szCs w:val="20"/>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87"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trading market for our common stock is influenced to some extent by the research and reports that industry or financial analysts publish about us and our business.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6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may remain an “emerging growth company” until as late as December 31, 2021,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5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by our existing stockholders,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7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2" w:lineRule="exact"/>
        <w:rPr>
          <w:sz w:val="20"/>
          <w:szCs w:val="20"/>
          <w:color w:val="auto"/>
        </w:rPr>
      </w:pPr>
    </w:p>
    <w:p>
      <w:pPr>
        <w:ind w:left="580" w:right="60" w:firstLine="29"/>
        <w:spacing w:after="0" w:line="264" w:lineRule="auto"/>
        <w:rPr>
          <w:sz w:val="20"/>
          <w:szCs w:val="20"/>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580" w:right="59" w:firstLine="29"/>
        <w:spacing w:after="0" w:line="259" w:lineRule="auto"/>
        <w:rPr>
          <w:sz w:val="20"/>
          <w:szCs w:val="20"/>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7" w:lineRule="exact"/>
        <w:rPr>
          <w:sz w:val="20"/>
          <w:szCs w:val="20"/>
          <w:color w:val="auto"/>
        </w:rPr>
      </w:pPr>
    </w:p>
    <w:p>
      <w:pPr>
        <w:ind w:left="580" w:right="299" w:firstLine="29"/>
        <w:spacing w:after="0" w:line="277" w:lineRule="auto"/>
        <w:rPr>
          <w:sz w:val="20"/>
          <w:szCs w:val="20"/>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170" w:lineRule="exact"/>
        <w:rPr>
          <w:sz w:val="20"/>
          <w:szCs w:val="20"/>
          <w:color w:val="auto"/>
        </w:rPr>
      </w:pPr>
    </w:p>
    <w:p>
      <w:pPr>
        <w:ind w:left="580" w:right="59" w:firstLine="29"/>
        <w:spacing w:after="0" w:line="257" w:lineRule="auto"/>
        <w:rPr>
          <w:sz w:val="20"/>
          <w:szCs w:val="20"/>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188" w:lineRule="exact"/>
        <w:rPr>
          <w:sz w:val="20"/>
          <w:szCs w:val="20"/>
          <w:color w:val="auto"/>
        </w:rPr>
      </w:pPr>
    </w:p>
    <w:p>
      <w:pPr>
        <w:ind w:left="580" w:right="99" w:firstLine="29"/>
        <w:spacing w:after="0" w:line="259" w:lineRule="auto"/>
        <w:rPr>
          <w:sz w:val="20"/>
          <w:szCs w:val="20"/>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87" w:lineRule="exact"/>
        <w:rPr>
          <w:sz w:val="20"/>
          <w:szCs w:val="20"/>
          <w:color w:val="auto"/>
        </w:rPr>
      </w:pPr>
    </w:p>
    <w:p>
      <w:pPr>
        <w:jc w:val="both"/>
        <w:ind w:left="580" w:right="39" w:firstLine="29"/>
        <w:spacing w:after="0" w:line="286" w:lineRule="auto"/>
        <w:rPr>
          <w:sz w:val="20"/>
          <w:szCs w:val="20"/>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6" w:lineRule="exact"/>
        <w:rPr>
          <w:sz w:val="20"/>
          <w:szCs w:val="20"/>
          <w:color w:val="auto"/>
        </w:rPr>
      </w:pPr>
    </w:p>
    <w:p>
      <w:pPr>
        <w:ind w:right="99" w:firstLine="324"/>
        <w:spacing w:after="0" w:line="302"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16"/>
          </w:tcPr>
          <w:p>
            <w:pPr>
              <w:ind w:left="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0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0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2"/>
                <w:szCs w:val="22"/>
                <w:color w:val="auto"/>
              </w:rPr>
            </w:pPr>
          </w:p>
        </w:tc>
        <w:tc>
          <w:tcPr>
            <w:tcW w:w="4300" w:type="dxa"/>
            <w:vAlign w:val="bottom"/>
            <w:tcBorders>
              <w:top w:val="single" w:sz="8" w:color="auto"/>
            </w:tcBorders>
            <w:gridSpan w:val="22"/>
          </w:tcPr>
          <w:p>
            <w:pPr>
              <w:spacing w:after="0"/>
              <w:rPr>
                <w:rFonts w:ascii="Arial" w:cs="Arial" w:eastAsia="Arial" w:hAnsi="Arial"/>
                <w:sz w:val="18"/>
                <w:szCs w:val="18"/>
                <w:color w:val="0000EE"/>
              </w:rPr>
            </w:pPr>
            <w:hyperlink r:id="rId66">
              <w:r>
                <w:rPr>
                  <w:rFonts w:ascii="Arial" w:cs="Arial" w:eastAsia="Arial" w:hAnsi="Arial"/>
                  <w:sz w:val="18"/>
                  <w:szCs w:val="18"/>
                  <w:color w:val="0000EE"/>
                </w:rPr>
                <w:t>Amended and Restated Certificate of Incorporation.</w:t>
              </w:r>
            </w:hyperlink>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r:id="rId67">
              <w:r>
                <w:rPr>
                  <w:rFonts w:ascii="Arial" w:cs="Arial" w:eastAsia="Arial" w:hAnsi="Arial"/>
                  <w:sz w:val="18"/>
                  <w:szCs w:val="18"/>
                  <w:color w:val="0000EE"/>
                  <w:w w:val="93"/>
                </w:rPr>
                <w:t>Bylaws.</w:t>
              </w:r>
            </w:hyperlink>
          </w:p>
        </w:tc>
        <w:tc>
          <w:tcPr>
            <w:tcW w:w="3140" w:type="dxa"/>
            <w:vAlign w:val="bottom"/>
            <w:tcBorders>
              <w:top w:val="single" w:sz="8" w:color="0000EE"/>
            </w:tcBorders>
            <w:gridSpan w:val="7"/>
          </w:tcPr>
          <w:p>
            <w:pPr>
              <w:spacing w:after="0"/>
              <w:rPr>
                <w:sz w:val="24"/>
                <w:szCs w:val="24"/>
                <w:color w:val="auto"/>
              </w:rPr>
            </w:pPr>
          </w:p>
        </w:tc>
        <w:tc>
          <w:tcPr>
            <w:tcW w:w="5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300" w:type="dxa"/>
            <w:vAlign w:val="bottom"/>
            <w:gridSpan w:val="22"/>
          </w:tcPr>
          <w:p>
            <w:pPr>
              <w:spacing w:after="0"/>
              <w:rPr>
                <w:rFonts w:ascii="Arial" w:cs="Arial" w:eastAsia="Arial" w:hAnsi="Arial"/>
                <w:sz w:val="18"/>
                <w:szCs w:val="18"/>
                <w:color w:val="0000EE"/>
              </w:rPr>
            </w:pPr>
            <w:hyperlink r:id="rId68">
              <w:r>
                <w:rPr>
                  <w:rFonts w:ascii="Arial" w:cs="Arial" w:eastAsia="Arial" w:hAnsi="Arial"/>
                  <w:sz w:val="18"/>
                  <w:szCs w:val="18"/>
                  <w:color w:val="0000EE"/>
                </w:rPr>
                <w:t>Form of Common Stock Certificate of the Company.</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300" w:type="dxa"/>
            <w:vAlign w:val="bottom"/>
            <w:gridSpan w:val="22"/>
          </w:tcPr>
          <w:p>
            <w:pPr>
              <w:spacing w:after="0"/>
              <w:rPr>
                <w:rFonts w:ascii="Arial" w:cs="Arial" w:eastAsia="Arial" w:hAnsi="Arial"/>
                <w:sz w:val="18"/>
                <w:szCs w:val="18"/>
                <w:color w:val="0000EE"/>
                <w:w w:val="95"/>
              </w:rPr>
            </w:pPr>
            <w:hyperlink r:id="rId69">
              <w:r>
                <w:rPr>
                  <w:rFonts w:ascii="Arial" w:cs="Arial" w:eastAsia="Arial" w:hAnsi="Arial"/>
                  <w:sz w:val="18"/>
                  <w:szCs w:val="18"/>
                  <w:color w:val="0000EE"/>
                  <w:w w:val="95"/>
                </w:rPr>
                <w:t>Warrant to Purchase Common Stock, dated as of July 6,</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tcBorders>
              <w:top w:val="single" w:sz="8" w:color="0000EE"/>
            </w:tcBorders>
            <w:gridSpan w:val="15"/>
          </w:tcPr>
          <w:p>
            <w:pPr>
              <w:spacing w:after="0" w:line="19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2018, between the Company and Silicon Valley Bank.</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390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Reference is made to Exhibits 3.1 and 3.2.</w:t>
            </w:r>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3"/>
                <w:szCs w:val="23"/>
                <w:color w:val="auto"/>
              </w:rPr>
            </w:pPr>
          </w:p>
        </w:tc>
        <w:tc>
          <w:tcPr>
            <w:tcW w:w="39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Second Amendment to Loan and Security Agreement,</w:t>
              </w:r>
            </w:hyperlink>
          </w:p>
        </w:tc>
        <w:tc>
          <w:tcPr>
            <w:tcW w:w="38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dated as of January 29, 2019 by and between the registrant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and Silicon Valley Bank.</w:t>
              </w:r>
            </w:hyperlink>
          </w:p>
        </w:tc>
        <w:tc>
          <w:tcPr>
            <w:tcW w:w="25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41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Executive Employment Agreement, dated as of April 25,</w:t>
              </w:r>
            </w:hyperlink>
          </w:p>
        </w:tc>
        <w:tc>
          <w:tcPr>
            <w:tcW w:w="1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gridSpan w:val="2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2016 by and between the registrant and Jeff Winzeler</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42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Offer Letter, dated as of March 6, 2019 by and between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registrant and Troy Winslow.</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8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Non-employee Director Compensation.</w:t>
              </w:r>
            </w:hyperlink>
          </w:p>
        </w:tc>
        <w:tc>
          <w:tcPr>
            <w:tcW w:w="14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3700" w:type="dxa"/>
            <w:vAlign w:val="bottom"/>
            <w:tcBorders>
              <w:bottom w:val="single" w:sz="8" w:color="0000EE"/>
            </w:tcBorders>
            <w:gridSpan w:val="7"/>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Compensation arrangements with certain executive</w:t>
              </w:r>
            </w:hyperlink>
          </w:p>
        </w:tc>
        <w:tc>
          <w:tcPr>
            <w:tcW w:w="6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officers.</w:t>
              </w:r>
            </w:hyperlink>
          </w:p>
        </w:tc>
        <w:tc>
          <w:tcPr>
            <w:tcW w:w="37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400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Certification of Principal Executive Officer Pursuant to</w:t>
              </w:r>
            </w:hyperlink>
          </w:p>
        </w:tc>
        <w:tc>
          <w:tcPr>
            <w:tcW w:w="3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Rules 13a-14(a) and 15d-14(a) under the Securities</w:t>
              </w:r>
            </w:hyperlink>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gridSpan w:val="22"/>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Exchange Act of 1934, as Adopted Pursuant to Section 302</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4300" w:type="dxa"/>
            <w:vAlign w:val="bottom"/>
            <w:gridSpan w:val="2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Certification of Principal Financial Officer Pursuant to</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Rules 13a-14(a) and 15d-14(a) under the Securities</w:t>
              </w:r>
            </w:hyperlink>
          </w:p>
        </w:tc>
        <w:tc>
          <w:tcPr>
            <w:tcW w:w="240" w:type="dxa"/>
            <w:vAlign w:val="bottom"/>
            <w:tcBorders>
              <w:top w:val="single" w:sz="8" w:color="0000EE"/>
            </w:tcBorders>
            <w:gridSpan w:val="6"/>
          </w:tcPr>
          <w:p>
            <w:pPr>
              <w:spacing w:after="0"/>
              <w:rPr>
                <w:sz w:val="17"/>
                <w:szCs w:val="17"/>
                <w:color w:val="auto"/>
              </w:rPr>
            </w:pP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gridSpan w:val="22"/>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Exchange Act of 1934, as Adopted Pursuant to Section 302</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4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414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Certification of Principal Executive Officer and Principal</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gridSpan w:val="22"/>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Financial Officer Pursuant to 18 U.S.C. Section 1350, as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tcBorders>
              <w:top w:val="single" w:sz="8" w:color="0000EE"/>
            </w:tcBorders>
            <w:gridSpan w:val="17"/>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Adopted Pursuant to Section 906 of the Sarbanes-Oxley</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Act of 2002.</w:t>
              </w:r>
            </w:hyperlink>
          </w:p>
        </w:tc>
        <w:tc>
          <w:tcPr>
            <w:tcW w:w="3120" w:type="dxa"/>
            <w:vAlign w:val="bottom"/>
            <w:tcBorders>
              <w:top w:val="single" w:sz="8" w:color="0000EE"/>
            </w:tcBorders>
            <w:gridSpan w:val="14"/>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30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11"/>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30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30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0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30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0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11"/>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300" w:type="dxa"/>
            <w:vAlign w:val="bottom"/>
            <w:gridSpan w:val="22"/>
          </w:tcPr>
          <w:p>
            <w:pPr>
              <w:spacing w:after="0"/>
              <w:rPr>
                <w:sz w:val="20"/>
                <w:szCs w:val="20"/>
                <w:color w:val="auto"/>
              </w:rPr>
            </w:pPr>
            <w:r>
              <w:rPr>
                <w:rFonts w:ascii="Arial" w:cs="Arial" w:eastAsia="Arial" w:hAnsi="Arial"/>
                <w:sz w:val="18"/>
                <w:szCs w:val="18"/>
                <w:color w:val="auto"/>
                <w:w w:val="98"/>
              </w:rPr>
              <w:t>XBRL Taxonomy Extension Label Linkbase Document</w:t>
            </w: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30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0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hanging="317"/>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8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Incorporation By Reference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Borders>
              <w:top w:val="single" w:sz="8" w:color="auto"/>
            </w:tcBorders>
            <w:vMerge w:val="restart"/>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SEC File No.</w:t>
            </w:r>
          </w:p>
        </w:tc>
        <w:tc>
          <w:tcPr>
            <w:tcW w:w="160" w:type="dxa"/>
            <w:vAlign w:val="bottom"/>
            <w:tcBorders>
              <w:top w:val="single" w:sz="8" w:color="auto"/>
            </w:tcBorders>
            <w:vMerge w:val="restart"/>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4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311"/>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311"/>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311"/>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8/09/2018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tabs>
          <w:tab w:leader="none" w:pos="940" w:val="left"/>
          <w:tab w:leader="none" w:pos="1920" w:val="left"/>
          <w:tab w:leader="none" w:pos="2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001-37900</w:t>
        <w:tab/>
        <w:t>Item 5.02</w:t>
      </w:r>
      <w:r>
        <w:rPr>
          <w:sz w:val="20"/>
          <w:szCs w:val="20"/>
          <w:color w:val="auto"/>
        </w:rPr>
        <w:tab/>
      </w:r>
      <w:r>
        <w:rPr>
          <w:rFonts w:ascii="Arial" w:cs="Arial" w:eastAsia="Arial" w:hAnsi="Arial"/>
          <w:sz w:val="16"/>
          <w:szCs w:val="16"/>
          <w:color w:val="auto"/>
        </w:rPr>
        <w:t>1/25/2019</w:t>
      </w:r>
    </w:p>
    <w:p>
      <w:pPr>
        <w:sectPr>
          <w:pgSz w:w="11900" w:h="16838" w:orient="portrait"/>
          <w:cols w:equalWidth="0" w:num="2">
            <w:col w:w="5240" w:space="160"/>
            <w:col w:w="36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6160" w:type="dxa"/>
            <w:vAlign w:val="bottom"/>
            <w:gridSpan w:val="2"/>
          </w:tcPr>
          <w:p>
            <w:pPr>
              <w:ind w:left="2320"/>
              <w:spacing w:after="0"/>
              <w:rPr>
                <w:sz w:val="20"/>
                <w:szCs w:val="20"/>
                <w:color w:val="auto"/>
              </w:rPr>
            </w:pPr>
            <w:r>
              <w:rPr>
                <w:rFonts w:ascii="Arial" w:cs="Arial" w:eastAsia="Arial" w:hAnsi="Arial"/>
                <w:sz w:val="18"/>
                <w:szCs w:val="18"/>
                <w:color w:val="auto"/>
              </w:rPr>
              <w:t>Everspin Technologies, Inc.</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Date: May 8, 2019</w:t>
            </w:r>
          </w:p>
        </w:tc>
        <w:tc>
          <w:tcPr>
            <w:tcW w:w="6160" w:type="dxa"/>
            <w:vAlign w:val="bottom"/>
            <w:gridSpan w:val="2"/>
          </w:tcPr>
          <w:p>
            <w:pPr>
              <w:ind w:left="2320"/>
              <w:spacing w:after="0"/>
              <w:rPr>
                <w:sz w:val="20"/>
                <w:szCs w:val="20"/>
                <w:color w:val="auto"/>
              </w:rPr>
            </w:pPr>
            <w:r>
              <w:rPr>
                <w:rFonts w:ascii="Arial" w:cs="Arial" w:eastAsia="Arial" w:hAnsi="Arial"/>
                <w:sz w:val="18"/>
                <w:szCs w:val="18"/>
                <w:color w:val="auto"/>
              </w:rPr>
              <w:t>By: /s/ Kevin Conley</w:t>
            </w:r>
          </w:p>
        </w:tc>
      </w:tr>
      <w:tr>
        <w:trPr>
          <w:trHeight w:val="195"/>
        </w:trPr>
        <w:tc>
          <w:tcPr>
            <w:tcW w:w="29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Conley</w:t>
            </w:r>
          </w:p>
        </w:tc>
      </w:tr>
      <w:tr>
        <w:trPr>
          <w:trHeight w:val="216"/>
        </w:trPr>
        <w:tc>
          <w:tcPr>
            <w:tcW w:w="2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(Duly Authorized Officer and Principal</w:t>
            </w:r>
          </w:p>
        </w:tc>
      </w:tr>
      <w:tr>
        <w:trPr>
          <w:trHeight w:val="230"/>
        </w:trPr>
        <w:tc>
          <w:tcPr>
            <w:tcW w:w="29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32"/>
        </w:trPr>
        <w:tc>
          <w:tcPr>
            <w:tcW w:w="2900" w:type="dxa"/>
            <w:vAlign w:val="bottom"/>
          </w:tcPr>
          <w:p>
            <w:pPr>
              <w:spacing w:after="0"/>
              <w:rPr>
                <w:sz w:val="24"/>
                <w:szCs w:val="24"/>
                <w:color w:val="auto"/>
              </w:rPr>
            </w:pPr>
          </w:p>
        </w:tc>
        <w:tc>
          <w:tcPr>
            <w:tcW w:w="6160" w:type="dxa"/>
            <w:vAlign w:val="bottom"/>
            <w:gridSpan w:val="2"/>
          </w:tcPr>
          <w:p>
            <w:pPr>
              <w:ind w:left="2320"/>
              <w:spacing w:after="0"/>
              <w:rPr>
                <w:sz w:val="20"/>
                <w:szCs w:val="20"/>
                <w:color w:val="auto"/>
              </w:rPr>
            </w:pPr>
            <w:r>
              <w:rPr>
                <w:rFonts w:ascii="Arial" w:cs="Arial" w:eastAsia="Arial" w:hAnsi="Arial"/>
                <w:sz w:val="18"/>
                <w:szCs w:val="18"/>
                <w:color w:val="auto"/>
              </w:rPr>
              <w:t>Everspin Technologies, Inc.</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Date: May 8, 2019</w:t>
            </w:r>
          </w:p>
        </w:tc>
        <w:tc>
          <w:tcPr>
            <w:tcW w:w="6160" w:type="dxa"/>
            <w:vAlign w:val="bottom"/>
            <w:gridSpan w:val="2"/>
          </w:tcPr>
          <w:p>
            <w:pPr>
              <w:ind w:left="2320"/>
              <w:spacing w:after="0"/>
              <w:rPr>
                <w:sz w:val="20"/>
                <w:szCs w:val="20"/>
                <w:color w:val="auto"/>
              </w:rPr>
            </w:pPr>
            <w:r>
              <w:rPr>
                <w:rFonts w:ascii="Arial" w:cs="Arial" w:eastAsia="Arial" w:hAnsi="Arial"/>
                <w:sz w:val="18"/>
                <w:szCs w:val="18"/>
                <w:color w:val="auto"/>
              </w:rPr>
              <w:t>By: /s/ Jeffrey Winzeler</w:t>
            </w:r>
          </w:p>
        </w:tc>
      </w:tr>
      <w:tr>
        <w:trPr>
          <w:trHeight w:val="195"/>
        </w:trPr>
        <w:tc>
          <w:tcPr>
            <w:tcW w:w="29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Winzeler</w:t>
            </w:r>
          </w:p>
        </w:tc>
      </w:tr>
      <w:tr>
        <w:trPr>
          <w:trHeight w:val="216"/>
        </w:trPr>
        <w:tc>
          <w:tcPr>
            <w:tcW w:w="2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62"/>
        </w:trPr>
        <w:tc>
          <w:tcPr>
            <w:tcW w:w="2900" w:type="dxa"/>
            <w:vAlign w:val="bottom"/>
          </w:tcPr>
          <w:p>
            <w:pPr>
              <w:spacing w:after="0"/>
              <w:rPr>
                <w:sz w:val="24"/>
                <w:szCs w:val="24"/>
                <w:color w:val="auto"/>
              </w:rPr>
            </w:pPr>
          </w:p>
        </w:tc>
        <w:tc>
          <w:tcPr>
            <w:tcW w:w="2600" w:type="dxa"/>
            <w:vAlign w:val="bottom"/>
          </w:tcPr>
          <w:p>
            <w:pPr>
              <w:ind w:left="1540"/>
              <w:spacing w:after="0"/>
              <w:rPr>
                <w:sz w:val="20"/>
                <w:szCs w:val="20"/>
                <w:color w:val="auto"/>
              </w:rPr>
            </w:pPr>
            <w:r>
              <w:rPr>
                <w:rFonts w:ascii="Arial" w:cs="Arial" w:eastAsia="Arial" w:hAnsi="Arial"/>
                <w:sz w:val="18"/>
                <w:szCs w:val="18"/>
                <w:color w:val="auto"/>
              </w:rPr>
              <w:t>50</w:t>
            </w:r>
          </w:p>
        </w:tc>
        <w:tc>
          <w:tcPr>
            <w:tcW w:w="3560" w:type="dxa"/>
            <w:vAlign w:val="bottom"/>
          </w:tcPr>
          <w:p>
            <w:pPr>
              <w:spacing w:after="0"/>
              <w:rPr>
                <w:sz w:val="24"/>
                <w:szCs w:val="24"/>
                <w:color w:val="auto"/>
              </w:rPr>
            </w:pPr>
          </w:p>
        </w:tc>
      </w:tr>
      <w:tr>
        <w:trPr>
          <w:trHeight w:val="129"/>
        </w:trPr>
        <w:tc>
          <w:tcPr>
            <w:tcW w:w="290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50" w:name="page51"/>
    <w:bookmarkEnd w:id="50"/>
    <w:p>
      <w:pPr>
        <w:jc w:val="right"/>
        <w:ind w:right="139"/>
        <w:spacing w:after="0"/>
        <w:rPr>
          <w:sz w:val="20"/>
          <w:szCs w:val="20"/>
          <w:color w:val="auto"/>
        </w:rPr>
      </w:pPr>
      <w:r>
        <w:rPr>
          <w:rFonts w:ascii="Arial" w:cs="Arial" w:eastAsia="Arial" w:hAnsi="Arial"/>
          <w:sz w:val="20"/>
          <w:szCs w:val="20"/>
          <w:b w:val="1"/>
          <w:bCs w:val="1"/>
          <w:color w:val="auto"/>
        </w:rPr>
        <w:t>Exhibit 10.1</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SECOND AMENDMENT TO</w:t>
      </w:r>
    </w:p>
    <w:p>
      <w:pPr>
        <w:jc w:val="center"/>
        <w:ind w:right="-20"/>
        <w:spacing w:after="0"/>
        <w:rPr>
          <w:sz w:val="20"/>
          <w:szCs w:val="20"/>
          <w:color w:val="auto"/>
        </w:rPr>
      </w:pPr>
      <w:r>
        <w:rPr>
          <w:rFonts w:ascii="Arial" w:cs="Arial" w:eastAsia="Arial" w:hAnsi="Arial"/>
          <w:sz w:val="20"/>
          <w:szCs w:val="20"/>
          <w:b w:val="1"/>
          <w:bCs w:val="1"/>
          <w:color w:val="auto"/>
        </w:rPr>
        <w:t>LOAN AND SECURITY AGREEMENT</w:t>
      </w:r>
    </w:p>
    <w:p>
      <w:pPr>
        <w:spacing w:after="0" w:line="153" w:lineRule="exact"/>
        <w:rPr>
          <w:sz w:val="20"/>
          <w:szCs w:val="20"/>
          <w:color w:val="auto"/>
        </w:rPr>
      </w:pPr>
    </w:p>
    <w:p>
      <w:pPr>
        <w:jc w:val="both"/>
        <w:ind w:left="160" w:right="139" w:firstLine="648"/>
        <w:spacing w:after="0" w:line="232" w:lineRule="auto"/>
        <w:rPr>
          <w:sz w:val="20"/>
          <w:szCs w:val="20"/>
          <w:color w:val="auto"/>
        </w:rPr>
      </w:pPr>
      <w:r>
        <w:rPr>
          <w:rFonts w:ascii="Arial" w:cs="Arial" w:eastAsia="Arial" w:hAnsi="Arial"/>
          <w:sz w:val="19"/>
          <w:szCs w:val="19"/>
          <w:color w:val="auto"/>
        </w:rPr>
        <w:t>THIS SECOND AMENDMENT TO LOAN AND SECURITY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this 29th day of January 2019, by and between SILICON VALLEY BANK, a California corporation (“</w:t>
      </w:r>
      <w:r>
        <w:rPr>
          <w:rFonts w:ascii="Arial" w:cs="Arial" w:eastAsia="Arial" w:hAnsi="Arial"/>
          <w:sz w:val="19"/>
          <w:szCs w:val="19"/>
          <w:b w:val="1"/>
          <w:bCs w:val="1"/>
          <w:color w:val="auto"/>
        </w:rPr>
        <w:t>Bank</w:t>
      </w:r>
      <w:r>
        <w:rPr>
          <w:rFonts w:ascii="Arial" w:cs="Arial" w:eastAsia="Arial" w:hAnsi="Arial"/>
          <w:sz w:val="19"/>
          <w:szCs w:val="19"/>
          <w:color w:val="auto"/>
        </w:rPr>
        <w:t>”), and EVERSPIN TECHNOLOGIES, INC., a Delaware corporation (“</w:t>
      </w:r>
      <w:r>
        <w:rPr>
          <w:rFonts w:ascii="Arial" w:cs="Arial" w:eastAsia="Arial" w:hAnsi="Arial"/>
          <w:sz w:val="19"/>
          <w:szCs w:val="19"/>
          <w:b w:val="1"/>
          <w:bCs w:val="1"/>
          <w:color w:val="auto"/>
        </w:rPr>
        <w:t>Borrower</w:t>
      </w:r>
      <w:r>
        <w:rPr>
          <w:rFonts w:ascii="Arial" w:cs="Arial" w:eastAsia="Arial" w:hAnsi="Arial"/>
          <w:sz w:val="19"/>
          <w:szCs w:val="19"/>
          <w:color w:val="auto"/>
        </w:rPr>
        <w:t>”).</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RECITALS</w:t>
      </w:r>
    </w:p>
    <w:p>
      <w:pPr>
        <w:spacing w:after="0" w:line="181" w:lineRule="exact"/>
        <w:rPr>
          <w:sz w:val="20"/>
          <w:szCs w:val="20"/>
          <w:color w:val="auto"/>
        </w:rPr>
      </w:pPr>
    </w:p>
    <w:p>
      <w:pPr>
        <w:jc w:val="both"/>
        <w:ind w:left="160" w:right="159" w:firstLine="639"/>
        <w:spacing w:after="0" w:line="218" w:lineRule="auto"/>
        <w:tabs>
          <w:tab w:leader="none" w:pos="1235" w:val="left"/>
        </w:tabs>
        <w:numPr>
          <w:ilvl w:val="0"/>
          <w:numId w:val="6"/>
        </w:numPr>
        <w:rPr>
          <w:rFonts w:ascii="Arial" w:cs="Arial" w:eastAsia="Arial" w:hAnsi="Arial"/>
          <w:sz w:val="20"/>
          <w:szCs w:val="20"/>
          <w:color w:val="auto"/>
        </w:rPr>
      </w:pPr>
      <w:r>
        <w:rPr>
          <w:rFonts w:ascii="Arial" w:cs="Arial" w:eastAsia="Arial" w:hAnsi="Arial"/>
          <w:sz w:val="20"/>
          <w:szCs w:val="20"/>
          <w:color w:val="auto"/>
        </w:rPr>
        <w:t>Bank and Borrower have entered into that certain Loan and Security Agreement dated as of May 4, 2017 (as the same may from time to time be amended, modified, supplemented or restated, the “</w:t>
      </w:r>
      <w:r>
        <w:rPr>
          <w:rFonts w:ascii="Arial" w:cs="Arial" w:eastAsia="Arial" w:hAnsi="Arial"/>
          <w:sz w:val="20"/>
          <w:szCs w:val="20"/>
          <w:b w:val="1"/>
          <w:bCs w:val="1"/>
          <w:color w:val="auto"/>
        </w:rPr>
        <w:t>Loan</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left="1120" w:hanging="321"/>
        <w:spacing w:after="0"/>
        <w:tabs>
          <w:tab w:leader="none" w:pos="1120" w:val="left"/>
        </w:tabs>
        <w:numPr>
          <w:ilvl w:val="0"/>
          <w:numId w:val="6"/>
        </w:numPr>
        <w:rPr>
          <w:rFonts w:ascii="Arial" w:cs="Arial" w:eastAsia="Arial" w:hAnsi="Arial"/>
          <w:sz w:val="19"/>
          <w:szCs w:val="19"/>
          <w:color w:val="auto"/>
        </w:rPr>
      </w:pPr>
      <w:r>
        <w:rPr>
          <w:rFonts w:ascii="Arial" w:cs="Arial" w:eastAsia="Arial" w:hAnsi="Arial"/>
          <w:sz w:val="19"/>
          <w:szCs w:val="19"/>
          <w:color w:val="auto"/>
        </w:rPr>
        <w:t>Bank has extended credit to Borrower for the purposes permitted in the Loan Agreement.</w:t>
      </w:r>
    </w:p>
    <w:p>
      <w:pPr>
        <w:spacing w:after="0" w:line="186" w:lineRule="exact"/>
        <w:rPr>
          <w:rFonts w:ascii="Arial" w:cs="Arial" w:eastAsia="Arial" w:hAnsi="Arial"/>
          <w:sz w:val="19"/>
          <w:szCs w:val="19"/>
          <w:color w:val="auto"/>
        </w:rPr>
      </w:pPr>
    </w:p>
    <w:p>
      <w:pPr>
        <w:ind w:left="160" w:right="159" w:firstLine="639"/>
        <w:spacing w:after="0" w:line="229" w:lineRule="auto"/>
        <w:tabs>
          <w:tab w:leader="none" w:pos="1156" w:val="left"/>
        </w:tabs>
        <w:numPr>
          <w:ilvl w:val="0"/>
          <w:numId w:val="6"/>
        </w:numPr>
        <w:rPr>
          <w:rFonts w:ascii="Arial" w:cs="Arial" w:eastAsia="Arial" w:hAnsi="Arial"/>
          <w:sz w:val="20"/>
          <w:szCs w:val="20"/>
          <w:color w:val="auto"/>
        </w:rPr>
      </w:pPr>
      <w:r>
        <w:rPr>
          <w:rFonts w:ascii="Arial" w:cs="Arial" w:eastAsia="Arial" w:hAnsi="Arial"/>
          <w:sz w:val="20"/>
          <w:szCs w:val="20"/>
          <w:color w:val="auto"/>
        </w:rPr>
        <w:t>Borrower has requested that Bank amend the Loan Agreement to modify the financial covenants and make certain revisions to the Loan Agreement as more fully set forth herein.</w:t>
      </w:r>
    </w:p>
    <w:p>
      <w:pPr>
        <w:spacing w:after="0" w:line="155" w:lineRule="exact"/>
        <w:rPr>
          <w:rFonts w:ascii="Arial" w:cs="Arial" w:eastAsia="Arial" w:hAnsi="Arial"/>
          <w:sz w:val="20"/>
          <w:szCs w:val="20"/>
          <w:color w:val="auto"/>
        </w:rPr>
      </w:pPr>
    </w:p>
    <w:p>
      <w:pPr>
        <w:jc w:val="both"/>
        <w:ind w:left="160" w:right="139" w:firstLine="639"/>
        <w:spacing w:after="0" w:line="218" w:lineRule="auto"/>
        <w:tabs>
          <w:tab w:leader="none" w:pos="1218" w:val="left"/>
        </w:tabs>
        <w:numPr>
          <w:ilvl w:val="0"/>
          <w:numId w:val="6"/>
        </w:numPr>
        <w:rPr>
          <w:rFonts w:ascii="Arial" w:cs="Arial" w:eastAsia="Arial" w:hAnsi="Arial"/>
          <w:sz w:val="20"/>
          <w:szCs w:val="20"/>
          <w:color w:val="auto"/>
        </w:rPr>
      </w:pPr>
      <w:r>
        <w:rPr>
          <w:rFonts w:ascii="Arial" w:cs="Arial" w:eastAsia="Arial" w:hAnsi="Arial"/>
          <w:sz w:val="20"/>
          <w:szCs w:val="20"/>
          <w:color w:val="auto"/>
        </w:rPr>
        <w:t>Bank has agreed to modify the financial covenants and amend certain provisions of the Loan Agreement, but only to the extent, in accordance with the terms, subject to the conditions and in reliance upon the representations and warranties set forth below.</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AGREEMENT</w:t>
      </w:r>
    </w:p>
    <w:p>
      <w:pPr>
        <w:spacing w:after="0" w:line="175" w:lineRule="exact"/>
        <w:rPr>
          <w:sz w:val="20"/>
          <w:szCs w:val="20"/>
          <w:color w:val="auto"/>
        </w:rPr>
      </w:pPr>
    </w:p>
    <w:p>
      <w:pPr>
        <w:jc w:val="both"/>
        <w:ind w:left="160" w:right="139" w:firstLine="648"/>
        <w:spacing w:after="0" w:line="220"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foregoing recitals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adequacy of which is hereby acknowledged, and intending to be legally bound, the parties hereto agree as follows:</w:t>
      </w:r>
    </w:p>
    <w:p>
      <w:pPr>
        <w:spacing w:after="0" w:line="151" w:lineRule="exact"/>
        <w:rPr>
          <w:sz w:val="20"/>
          <w:szCs w:val="20"/>
          <w:color w:val="auto"/>
        </w:rPr>
      </w:pPr>
    </w:p>
    <w:p>
      <w:pPr>
        <w:ind w:left="160" w:right="139" w:firstLine="639"/>
        <w:spacing w:after="0" w:line="232" w:lineRule="auto"/>
        <w:tabs>
          <w:tab w:leader="none" w:pos="1708"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Capitalized terms used but not defined in this Amendment 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meanings given to them in the Loan Agreement.</w:t>
      </w:r>
    </w:p>
    <w:p>
      <w:pPr>
        <w:spacing w:after="0" w:line="149" w:lineRule="exact"/>
        <w:rPr>
          <w:rFonts w:ascii="Arial" w:cs="Arial" w:eastAsia="Arial" w:hAnsi="Arial"/>
          <w:sz w:val="20"/>
          <w:szCs w:val="20"/>
          <w:b w:val="1"/>
          <w:bCs w:val="1"/>
          <w:color w:val="auto"/>
        </w:rPr>
      </w:pPr>
    </w:p>
    <w:p>
      <w:pPr>
        <w:ind w:left="1440" w:hanging="641"/>
        <w:spacing w:after="0"/>
        <w:tabs>
          <w:tab w:leader="none" w:pos="14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Loan Agreement.</w:t>
      </w:r>
    </w:p>
    <w:p>
      <w:pPr>
        <w:spacing w:after="0" w:line="175" w:lineRule="exact"/>
        <w:rPr>
          <w:sz w:val="20"/>
          <w:szCs w:val="20"/>
          <w:color w:val="auto"/>
        </w:rPr>
      </w:pPr>
    </w:p>
    <w:p>
      <w:pPr>
        <w:ind w:left="160" w:right="159" w:firstLine="1296"/>
        <w:spacing w:after="0" w:line="232" w:lineRule="auto"/>
        <w:rPr>
          <w:sz w:val="20"/>
          <w:szCs w:val="20"/>
          <w:color w:val="auto"/>
        </w:rPr>
      </w:pPr>
      <w:r>
        <w:rPr>
          <w:rFonts w:ascii="Arial" w:cs="Arial" w:eastAsia="Arial" w:hAnsi="Arial"/>
          <w:sz w:val="20"/>
          <w:szCs w:val="20"/>
          <w:b w:val="1"/>
          <w:bCs w:val="1"/>
          <w:color w:val="auto"/>
        </w:rPr>
        <w:t>2.1 Financial Covenants</w:t>
      </w:r>
      <w:r>
        <w:rPr>
          <w:rFonts w:ascii="Arial" w:cs="Arial" w:eastAsia="Arial" w:hAnsi="Arial"/>
          <w:sz w:val="20"/>
          <w:szCs w:val="20"/>
          <w:color w:val="auto"/>
        </w:rPr>
        <w:t>. Section 6.7 of the Loan Agreement is hereby deleted in its</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and replaced with the following:</w:t>
      </w:r>
    </w:p>
    <w:p>
      <w:pPr>
        <w:spacing w:after="0" w:line="150" w:lineRule="exact"/>
        <w:rPr>
          <w:sz w:val="20"/>
          <w:szCs w:val="20"/>
          <w:color w:val="auto"/>
        </w:rPr>
      </w:pPr>
    </w:p>
    <w:p>
      <w:pPr>
        <w:jc w:val="both"/>
        <w:ind w:left="800" w:right="139" w:firstLine="1296"/>
        <w:spacing w:after="0" w:line="220" w:lineRule="auto"/>
        <w:rPr>
          <w:sz w:val="20"/>
          <w:szCs w:val="20"/>
          <w:color w:val="auto"/>
        </w:rPr>
      </w:pPr>
      <w:r>
        <w:rPr>
          <w:rFonts w:ascii="Arial" w:cs="Arial" w:eastAsia="Arial" w:hAnsi="Arial"/>
          <w:sz w:val="20"/>
          <w:szCs w:val="20"/>
          <w:b w:val="1"/>
          <w:bCs w:val="1"/>
          <w:color w:val="auto"/>
        </w:rPr>
        <w:t>6.7 Financial Covenants</w:t>
      </w:r>
      <w:r>
        <w:rPr>
          <w:rFonts w:ascii="Arial" w:cs="Arial" w:eastAsia="Arial" w:hAnsi="Arial"/>
          <w:sz w:val="20"/>
          <w:szCs w:val="20"/>
          <w:color w:val="auto"/>
        </w:rPr>
        <w:t>. Maintain at all times, subject to periodic reporting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last day of each month, unless otherwise noted, on a consolidated basis with respect to Borrower and its Subsidiaries:</w:t>
      </w:r>
    </w:p>
    <w:p>
      <w:pPr>
        <w:spacing w:after="0" w:line="155" w:lineRule="exact"/>
        <w:rPr>
          <w:sz w:val="20"/>
          <w:szCs w:val="20"/>
          <w:color w:val="auto"/>
        </w:rPr>
      </w:pPr>
    </w:p>
    <w:p>
      <w:pPr>
        <w:ind w:left="3440" w:hanging="696"/>
        <w:spacing w:after="0"/>
        <w:tabs>
          <w:tab w:leader="none" w:pos="34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Liquidity Ratio</w:t>
      </w:r>
      <w:r>
        <w:rPr>
          <w:rFonts w:ascii="Arial" w:cs="Arial" w:eastAsia="Arial" w:hAnsi="Arial"/>
          <w:sz w:val="18"/>
          <w:szCs w:val="18"/>
          <w:color w:val="auto"/>
        </w:rPr>
        <w:t>. As of the last day of each month, a Liquidity Ratio</w:t>
      </w:r>
    </w:p>
    <w:p>
      <w:pPr>
        <w:ind w:left="800"/>
        <w:spacing w:after="0"/>
        <w:rPr>
          <w:rFonts w:ascii="Arial" w:cs="Arial" w:eastAsia="Arial" w:hAnsi="Arial"/>
          <w:sz w:val="18"/>
          <w:szCs w:val="18"/>
          <w:color w:val="auto"/>
        </w:rPr>
      </w:pPr>
      <w:r>
        <w:rPr>
          <w:rFonts w:ascii="Arial" w:cs="Arial" w:eastAsia="Arial" w:hAnsi="Arial"/>
          <w:sz w:val="20"/>
          <w:szCs w:val="20"/>
          <w:color w:val="auto"/>
        </w:rPr>
        <w:t>of not less than 1.50:1.00.</w:t>
      </w:r>
    </w:p>
    <w:p>
      <w:pPr>
        <w:spacing w:after="0" w:line="157" w:lineRule="exact"/>
        <w:rPr>
          <w:rFonts w:ascii="Arial" w:cs="Arial" w:eastAsia="Arial" w:hAnsi="Arial"/>
          <w:sz w:val="18"/>
          <w:szCs w:val="18"/>
          <w:color w:val="auto"/>
        </w:rPr>
      </w:pPr>
    </w:p>
    <w:p>
      <w:pPr>
        <w:ind w:left="3480" w:hanging="736"/>
        <w:spacing w:after="0"/>
        <w:tabs>
          <w:tab w:leader="none" w:pos="34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Performance to Plan</w:t>
      </w:r>
      <w:r>
        <w:rPr>
          <w:rFonts w:ascii="Arial" w:cs="Arial" w:eastAsia="Arial" w:hAnsi="Arial"/>
          <w:sz w:val="18"/>
          <w:szCs w:val="18"/>
          <w:color w:val="auto"/>
        </w:rPr>
        <w:t>. As of the last day of each month, Borrower’s</w:t>
      </w:r>
    </w:p>
    <w:p>
      <w:pPr>
        <w:ind w:left="800"/>
        <w:spacing w:after="0"/>
        <w:rPr>
          <w:rFonts w:ascii="Arial" w:cs="Arial" w:eastAsia="Arial" w:hAnsi="Arial"/>
          <w:sz w:val="18"/>
          <w:szCs w:val="18"/>
          <w:color w:val="auto"/>
        </w:rPr>
      </w:pPr>
      <w:r>
        <w:rPr>
          <w:rFonts w:ascii="Arial" w:cs="Arial" w:eastAsia="Arial" w:hAnsi="Arial"/>
          <w:sz w:val="20"/>
          <w:szCs w:val="20"/>
          <w:color w:val="auto"/>
        </w:rPr>
        <w:t>TFS Revenue for such month calculated on a cumulative fiscal year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120650</wp:posOffset>
            </wp:positionV>
            <wp:extent cx="554863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1" w:name="page52"/>
    <w:bookmarkEnd w:id="51"/>
    <w:p>
      <w:pPr>
        <w:jc w:val="both"/>
        <w:ind w:left="800" w:right="159"/>
        <w:spacing w:after="0" w:line="230" w:lineRule="auto"/>
        <w:rPr>
          <w:sz w:val="20"/>
          <w:szCs w:val="20"/>
          <w:color w:val="auto"/>
        </w:rPr>
      </w:pPr>
      <w:r>
        <w:rPr>
          <w:rFonts w:ascii="Arial" w:cs="Arial" w:eastAsia="Arial" w:hAnsi="Arial"/>
          <w:sz w:val="20"/>
          <w:szCs w:val="20"/>
          <w:color w:val="auto"/>
        </w:rPr>
        <w:t xml:space="preserve">basis, shall be equal to or greater than the amount set forth for such month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of the Compliance Certificate.</w:t>
      </w:r>
    </w:p>
    <w:p>
      <w:pPr>
        <w:spacing w:after="0" w:line="155" w:lineRule="exact"/>
        <w:rPr>
          <w:sz w:val="20"/>
          <w:szCs w:val="20"/>
          <w:color w:val="auto"/>
        </w:rPr>
      </w:pPr>
    </w:p>
    <w:p>
      <w:pPr>
        <w:jc w:val="both"/>
        <w:ind w:left="800" w:right="139" w:firstLine="1945"/>
        <w:spacing w:after="0" w:line="216" w:lineRule="auto"/>
        <w:rPr>
          <w:sz w:val="20"/>
          <w:szCs w:val="20"/>
          <w:color w:val="auto"/>
        </w:rPr>
      </w:pPr>
      <w:r>
        <w:rPr>
          <w:rFonts w:ascii="Arial" w:cs="Arial" w:eastAsia="Arial" w:hAnsi="Arial"/>
          <w:sz w:val="19"/>
          <w:szCs w:val="19"/>
          <w:color w:val="auto"/>
        </w:rPr>
        <w:t>Commencing with the month ending January 31, 2020, the Performance to Plan financial covenant set forth in this Section shall be calculated based on the annual financial projections approved by Borrower’s Board of Directors and delivered and accepted by Bank for the 2020 fiscal year (the “</w:t>
      </w:r>
      <w:r>
        <w:rPr>
          <w:rFonts w:ascii="Arial" w:cs="Arial" w:eastAsia="Arial" w:hAnsi="Arial"/>
          <w:sz w:val="19"/>
          <w:szCs w:val="19"/>
          <w:b w:val="1"/>
          <w:bCs w:val="1"/>
          <w:color w:val="auto"/>
        </w:rPr>
        <w:t>2020 Performance to Plan Financial Covenant</w:t>
      </w:r>
      <w:r>
        <w:rPr>
          <w:rFonts w:ascii="Arial" w:cs="Arial" w:eastAsia="Arial" w:hAnsi="Arial"/>
          <w:sz w:val="19"/>
          <w:szCs w:val="19"/>
          <w:color w:val="auto"/>
        </w:rPr>
        <w:t>”). Borrower and Bank shall negotiate in good faith to reach an agreement on such 2020 Performance to Plan Financial Covenant and, upon reaching such agreement, will promptly execute and deliver to Bank an amendment to this Agreement which provides the terms for the 2020 Performance to Plan Financial Covenant no later than February 28, 2020.</w:t>
      </w:r>
    </w:p>
    <w:p>
      <w:pPr>
        <w:spacing w:after="0" w:line="150" w:lineRule="exact"/>
        <w:rPr>
          <w:sz w:val="20"/>
          <w:szCs w:val="20"/>
          <w:color w:val="auto"/>
        </w:rPr>
      </w:pPr>
    </w:p>
    <w:p>
      <w:pPr>
        <w:ind w:left="1440"/>
        <w:spacing w:after="0"/>
        <w:tabs>
          <w:tab w:leader="none" w:pos="20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181" w:lineRule="exact"/>
        <w:rPr>
          <w:sz w:val="20"/>
          <w:szCs w:val="20"/>
          <w:color w:val="auto"/>
        </w:rPr>
      </w:pPr>
    </w:p>
    <w:p>
      <w:pPr>
        <w:ind w:left="160" w:right="139" w:firstLine="1287"/>
        <w:spacing w:after="0" w:line="229" w:lineRule="auto"/>
        <w:tabs>
          <w:tab w:leader="none" w:pos="211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following term and its definition set forth in Section 13.1 of the Loan Agreement is hereby deleted in its entirety and replaced with the following:</w:t>
      </w:r>
    </w:p>
    <w:p>
      <w:pPr>
        <w:spacing w:after="0" w:line="149"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Number</w:t>
      </w:r>
      <w:r>
        <w:rPr>
          <w:rFonts w:ascii="Arial" w:cs="Arial" w:eastAsia="Arial" w:hAnsi="Arial"/>
          <w:sz w:val="20"/>
          <w:szCs w:val="20"/>
          <w:color w:val="auto"/>
        </w:rPr>
        <w:t>” means twenty-four (24).</w:t>
      </w:r>
    </w:p>
    <w:p>
      <w:pPr>
        <w:spacing w:after="0" w:line="175" w:lineRule="exact"/>
        <w:rPr>
          <w:sz w:val="20"/>
          <w:szCs w:val="20"/>
          <w:color w:val="auto"/>
        </w:rPr>
      </w:pPr>
    </w:p>
    <w:p>
      <w:pPr>
        <w:ind w:left="160" w:right="159" w:firstLine="1287"/>
        <w:spacing w:after="0" w:line="249" w:lineRule="auto"/>
        <w:tabs>
          <w:tab w:leader="none" w:pos="2362"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b w:val="1"/>
          <w:bCs w:val="1"/>
          <w:color w:val="auto"/>
        </w:rPr>
        <w:t>Extension Milestone</w:t>
      </w:r>
      <w:r>
        <w:rPr>
          <w:rFonts w:ascii="Arial" w:cs="Arial" w:eastAsia="Arial" w:hAnsi="Arial"/>
          <w:sz w:val="19"/>
          <w:szCs w:val="19"/>
          <w:color w:val="auto"/>
        </w:rPr>
        <w:t>” set forth in Section 13.1 of the Loan Agreement and all references thereto in the Loan Agreement are hereby deleted in their entirety.</w:t>
      </w:r>
    </w:p>
    <w:p>
      <w:pPr>
        <w:spacing w:after="0" w:line="141" w:lineRule="exact"/>
        <w:rPr>
          <w:sz w:val="20"/>
          <w:szCs w:val="20"/>
          <w:color w:val="auto"/>
        </w:rPr>
      </w:pPr>
    </w:p>
    <w:p>
      <w:pPr>
        <w:jc w:val="both"/>
        <w:ind w:left="160" w:right="139" w:firstLine="1296"/>
        <w:spacing w:after="0" w:line="220" w:lineRule="auto"/>
        <w:rPr>
          <w:sz w:val="20"/>
          <w:szCs w:val="20"/>
          <w:color w:val="auto"/>
        </w:rPr>
      </w:pPr>
      <w:r>
        <w:rPr>
          <w:rFonts w:ascii="Arial" w:cs="Arial" w:eastAsia="Arial" w:hAnsi="Arial"/>
          <w:sz w:val="20"/>
          <w:szCs w:val="20"/>
          <w:b w:val="1"/>
          <w:bCs w:val="1"/>
          <w:color w:val="auto"/>
        </w:rPr>
        <w:t>2.3 Compliance Certificate</w:t>
      </w:r>
      <w:r>
        <w:rPr>
          <w:rFonts w:ascii="Arial" w:cs="Arial" w:eastAsia="Arial" w:hAnsi="Arial"/>
          <w:sz w:val="20"/>
          <w:szCs w:val="20"/>
          <w:color w:val="auto"/>
        </w:rPr>
        <w:t>. From and after the date hereof,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B</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is replaced in its entirety with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and all references in the Loan Agreement to the Compliance Certificate shall be deemed to refer to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w:t>
      </w:r>
    </w:p>
    <w:p>
      <w:pPr>
        <w:spacing w:after="0" w:line="151" w:lineRule="exact"/>
        <w:rPr>
          <w:sz w:val="20"/>
          <w:szCs w:val="20"/>
          <w:color w:val="auto"/>
        </w:rPr>
      </w:pPr>
    </w:p>
    <w:p>
      <w:pPr>
        <w:ind w:left="1440" w:hanging="641"/>
        <w:spacing w:after="0"/>
        <w:tabs>
          <w:tab w:leader="none" w:pos="14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of Amendments.</w:t>
      </w:r>
    </w:p>
    <w:p>
      <w:pPr>
        <w:spacing w:after="0" w:line="175" w:lineRule="exact"/>
        <w:rPr>
          <w:sz w:val="20"/>
          <w:szCs w:val="20"/>
          <w:color w:val="auto"/>
        </w:rPr>
      </w:pPr>
    </w:p>
    <w:p>
      <w:pPr>
        <w:jc w:val="both"/>
        <w:ind w:left="160" w:right="139" w:firstLine="1296"/>
        <w:spacing w:after="0" w:line="211"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color w:val="auto"/>
        </w:rPr>
        <w:t>The amendments set forth in Section 2, above, are effective for the purposes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51" w:lineRule="exact"/>
        <w:rPr>
          <w:sz w:val="20"/>
          <w:szCs w:val="20"/>
          <w:color w:val="auto"/>
        </w:rPr>
      </w:pPr>
    </w:p>
    <w:p>
      <w:pPr>
        <w:jc w:val="both"/>
        <w:ind w:left="160" w:right="139" w:firstLine="1296"/>
        <w:spacing w:after="0" w:line="214"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color w:val="auto"/>
        </w:rPr>
        <w:t>This Amendment shall be construed in connection with and as part of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and all terms, conditions, representations, warranties, covenants and agreements set forth in the Loan Documents, except as herein amended, are hereby ratified and confirmed and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119380</wp:posOffset>
            </wp:positionV>
            <wp:extent cx="554863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2" w:name="page53"/>
    <w:bookmarkEnd w:id="52"/>
    <w:p>
      <w:pPr>
        <w:ind w:left="160" w:right="159" w:firstLine="639"/>
        <w:spacing w:after="0" w:line="232" w:lineRule="auto"/>
        <w:tabs>
          <w:tab w:leader="none" w:pos="1485"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To induce Bank to enter into this Amendment,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hereby represents and warrants to Bank as follows:</w:t>
      </w:r>
    </w:p>
    <w:p>
      <w:pPr>
        <w:spacing w:after="0" w:line="149" w:lineRule="exact"/>
        <w:rPr>
          <w:sz w:val="20"/>
          <w:szCs w:val="20"/>
          <w:color w:val="auto"/>
        </w:rPr>
      </w:pPr>
    </w:p>
    <w:p>
      <w:pPr>
        <w:jc w:val="both"/>
        <w:ind w:left="160" w:right="139" w:firstLine="1296"/>
        <w:spacing w:after="0" w:line="238"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51" w:lineRule="exact"/>
        <w:rPr>
          <w:sz w:val="20"/>
          <w:szCs w:val="20"/>
          <w:color w:val="auto"/>
        </w:rPr>
      </w:pPr>
    </w:p>
    <w:p>
      <w:pPr>
        <w:jc w:val="both"/>
        <w:ind w:left="160" w:right="139" w:firstLine="1296"/>
        <w:spacing w:after="0" w:line="232"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color w:val="auto"/>
        </w:rPr>
        <w:t>Borrower has the power and authority to execute and deliver this Amendment and to</w:t>
      </w:r>
      <w:r>
        <w:rPr>
          <w:rFonts w:ascii="Arial" w:cs="Arial" w:eastAsia="Arial" w:hAnsi="Arial"/>
          <w:sz w:val="20"/>
          <w:szCs w:val="20"/>
          <w:b w:val="1"/>
          <w:bCs w:val="1"/>
          <w:color w:val="auto"/>
        </w:rPr>
        <w:t xml:space="preserve"> </w:t>
      </w:r>
      <w:r>
        <w:rPr>
          <w:rFonts w:ascii="Arial" w:cs="Arial" w:eastAsia="Arial" w:hAnsi="Arial"/>
          <w:sz w:val="20"/>
          <w:szCs w:val="20"/>
          <w:color w:val="auto"/>
        </w:rPr>
        <w:t>perform its obligations under the Loan Agreement, as amended by this Amendment;</w:t>
      </w:r>
    </w:p>
    <w:p>
      <w:pPr>
        <w:spacing w:after="0" w:line="150" w:lineRule="exact"/>
        <w:rPr>
          <w:sz w:val="20"/>
          <w:szCs w:val="20"/>
          <w:color w:val="auto"/>
        </w:rPr>
      </w:pPr>
    </w:p>
    <w:p>
      <w:pPr>
        <w:jc w:val="both"/>
        <w:ind w:left="160" w:right="139" w:firstLine="1296"/>
        <w:spacing w:after="0" w:line="220"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color w:val="auto"/>
        </w:rPr>
        <w:t>The organizational documents of Borrower delivered to Bank on the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remain true, accurate and complete and have not been amended, supplemented or restated and are and continue to be in full force and effect;</w:t>
      </w:r>
    </w:p>
    <w:p>
      <w:pPr>
        <w:spacing w:after="0" w:line="151" w:lineRule="exact"/>
        <w:rPr>
          <w:sz w:val="20"/>
          <w:szCs w:val="20"/>
          <w:color w:val="auto"/>
        </w:rPr>
      </w:pPr>
    </w:p>
    <w:p>
      <w:pPr>
        <w:jc w:val="both"/>
        <w:ind w:left="160" w:right="139" w:firstLine="1296"/>
        <w:spacing w:after="0" w:line="220"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color w:val="auto"/>
        </w:rPr>
        <w:t>The execution and delivery by Borrower of this Amendment and the performance by</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of its obligations under the Loan Agreement, as amended by this Amendment, have been duly authorized;</w:t>
      </w:r>
    </w:p>
    <w:p>
      <w:pPr>
        <w:spacing w:after="0" w:line="151" w:lineRule="exact"/>
        <w:rPr>
          <w:sz w:val="20"/>
          <w:szCs w:val="20"/>
          <w:color w:val="auto"/>
        </w:rPr>
      </w:pPr>
    </w:p>
    <w:p>
      <w:pPr>
        <w:jc w:val="both"/>
        <w:ind w:left="160" w:right="139" w:firstLine="1296"/>
        <w:spacing w:after="0" w:line="209" w:lineRule="auto"/>
        <w:rPr>
          <w:sz w:val="20"/>
          <w:szCs w:val="20"/>
          <w:color w:val="auto"/>
        </w:rPr>
      </w:pPr>
      <w:r>
        <w:rPr>
          <w:rFonts w:ascii="Arial" w:cs="Arial" w:eastAsia="Arial" w:hAnsi="Arial"/>
          <w:sz w:val="20"/>
          <w:szCs w:val="20"/>
          <w:b w:val="1"/>
          <w:bCs w:val="1"/>
          <w:color w:val="auto"/>
        </w:rPr>
        <w:t xml:space="preserve">4.5 </w:t>
      </w:r>
      <w:r>
        <w:rPr>
          <w:rFonts w:ascii="Arial" w:cs="Arial" w:eastAsia="Arial" w:hAnsi="Arial"/>
          <w:sz w:val="20"/>
          <w:szCs w:val="20"/>
          <w:color w:val="auto"/>
        </w:rPr>
        <w:t>The execution and delivery by Borrower of this Amendment and the performance by</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49" w:lineRule="exact"/>
        <w:rPr>
          <w:sz w:val="20"/>
          <w:szCs w:val="20"/>
          <w:color w:val="auto"/>
        </w:rPr>
      </w:pPr>
    </w:p>
    <w:p>
      <w:pPr>
        <w:jc w:val="both"/>
        <w:ind w:left="160" w:right="139" w:firstLine="1296"/>
        <w:spacing w:after="0" w:line="211" w:lineRule="auto"/>
        <w:rPr>
          <w:sz w:val="20"/>
          <w:szCs w:val="20"/>
          <w:color w:val="auto"/>
        </w:rPr>
      </w:pPr>
      <w:r>
        <w:rPr>
          <w:rFonts w:ascii="Arial" w:cs="Arial" w:eastAsia="Arial" w:hAnsi="Arial"/>
          <w:sz w:val="20"/>
          <w:szCs w:val="20"/>
          <w:b w:val="1"/>
          <w:bCs w:val="1"/>
          <w:color w:val="auto"/>
        </w:rPr>
        <w:t xml:space="preserve">4.6 </w:t>
      </w:r>
      <w:r>
        <w:rPr>
          <w:rFonts w:ascii="Arial" w:cs="Arial" w:eastAsia="Arial" w:hAnsi="Arial"/>
          <w:sz w:val="20"/>
          <w:szCs w:val="20"/>
          <w:color w:val="auto"/>
        </w:rPr>
        <w:t>The execution and delivery by Borrower of this Amendment and the performance by</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51" w:lineRule="exact"/>
        <w:rPr>
          <w:sz w:val="20"/>
          <w:szCs w:val="20"/>
          <w:color w:val="auto"/>
        </w:rPr>
      </w:pPr>
    </w:p>
    <w:p>
      <w:pPr>
        <w:jc w:val="both"/>
        <w:ind w:left="160" w:right="139" w:firstLine="1296"/>
        <w:spacing w:after="0" w:line="226" w:lineRule="auto"/>
        <w:rPr>
          <w:sz w:val="20"/>
          <w:szCs w:val="20"/>
          <w:color w:val="auto"/>
        </w:rPr>
      </w:pPr>
      <w:r>
        <w:rPr>
          <w:rFonts w:ascii="Arial" w:cs="Arial" w:eastAsia="Arial" w:hAnsi="Arial"/>
          <w:sz w:val="19"/>
          <w:szCs w:val="19"/>
          <w:b w:val="1"/>
          <w:bCs w:val="1"/>
          <w:color w:val="auto"/>
        </w:rPr>
        <w:t xml:space="preserve">4.7 </w:t>
      </w:r>
      <w:r>
        <w:rPr>
          <w:rFonts w:ascii="Arial" w:cs="Arial" w:eastAsia="Arial" w:hAnsi="Arial"/>
          <w:sz w:val="19"/>
          <w:szCs w:val="19"/>
          <w:color w:val="auto"/>
        </w:rPr>
        <w:t>This Amendment has been duly executed and delivered by Borrower and is the</w:t>
      </w:r>
      <w:r>
        <w:rPr>
          <w:rFonts w:ascii="Arial" w:cs="Arial" w:eastAsia="Arial" w:hAnsi="Arial"/>
          <w:sz w:val="19"/>
          <w:szCs w:val="19"/>
          <w:b w:val="1"/>
          <w:bCs w:val="1"/>
          <w:color w:val="auto"/>
        </w:rPr>
        <w:t xml:space="preserve"> </w:t>
      </w:r>
      <w:r>
        <w:rPr>
          <w:rFonts w:ascii="Arial" w:cs="Arial" w:eastAsia="Arial" w:hAnsi="Arial"/>
          <w:sz w:val="19"/>
          <w:szCs w:val="19"/>
          <w:color w:val="auto"/>
        </w:rPr>
        <w:t>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49" w:lineRule="exact"/>
        <w:rPr>
          <w:sz w:val="20"/>
          <w:szCs w:val="20"/>
          <w:color w:val="auto"/>
        </w:rPr>
      </w:pPr>
    </w:p>
    <w:p>
      <w:pPr>
        <w:jc w:val="both"/>
        <w:ind w:left="160" w:right="139" w:firstLine="639"/>
        <w:spacing w:after="0" w:line="220" w:lineRule="auto"/>
        <w:tabs>
          <w:tab w:leader="none" w:pos="1668"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Integration</w:t>
      </w:r>
      <w:r>
        <w:rPr>
          <w:rFonts w:ascii="Arial" w:cs="Arial" w:eastAsia="Arial" w:hAnsi="Arial"/>
          <w:sz w:val="20"/>
          <w:szCs w:val="20"/>
          <w:color w:val="auto"/>
        </w:rPr>
        <w:t>. This Amendment and the Loan Documents represent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about this subject matter and supersede prior negotiations or agreements. All prior agreements, understandings, representations, warranties, and negotiations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118745</wp:posOffset>
            </wp:positionV>
            <wp:extent cx="554863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3" w:name="page54"/>
    <w:bookmarkEnd w:id="53"/>
    <w:p>
      <w:pPr>
        <w:ind w:left="160" w:right="139"/>
        <w:spacing w:after="0" w:line="230" w:lineRule="auto"/>
        <w:rPr>
          <w:sz w:val="20"/>
          <w:szCs w:val="20"/>
          <w:color w:val="auto"/>
        </w:rPr>
      </w:pPr>
      <w:r>
        <w:rPr>
          <w:rFonts w:ascii="Arial" w:cs="Arial" w:eastAsia="Arial" w:hAnsi="Arial"/>
          <w:sz w:val="20"/>
          <w:szCs w:val="20"/>
          <w:color w:val="auto"/>
        </w:rPr>
        <w:t>about the subject matter of this Amendment and the Loan Documents merge into this Amendment and the Loan Documents.</w:t>
      </w:r>
    </w:p>
    <w:p>
      <w:pPr>
        <w:spacing w:after="0" w:line="149" w:lineRule="exact"/>
        <w:rPr>
          <w:sz w:val="20"/>
          <w:szCs w:val="20"/>
          <w:color w:val="auto"/>
        </w:rPr>
      </w:pPr>
    </w:p>
    <w:p>
      <w:pPr>
        <w:ind w:left="160" w:right="139" w:firstLine="639"/>
        <w:spacing w:after="0" w:line="249" w:lineRule="auto"/>
        <w:tabs>
          <w:tab w:leader="none" w:pos="1506"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This Amendment may be executed in any number of counterparts and all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counterparts taken together shall be deemed to constitute one and the same instrument.</w:t>
      </w:r>
    </w:p>
    <w:p>
      <w:pPr>
        <w:spacing w:after="0" w:line="140" w:lineRule="exact"/>
        <w:rPr>
          <w:rFonts w:ascii="Arial" w:cs="Arial" w:eastAsia="Arial" w:hAnsi="Arial"/>
          <w:sz w:val="19"/>
          <w:szCs w:val="19"/>
          <w:b w:val="1"/>
          <w:bCs w:val="1"/>
          <w:color w:val="auto"/>
        </w:rPr>
      </w:pPr>
    </w:p>
    <w:p>
      <w:pPr>
        <w:jc w:val="both"/>
        <w:ind w:left="160" w:right="139" w:firstLine="639"/>
        <w:spacing w:after="0" w:line="211" w:lineRule="auto"/>
        <w:tabs>
          <w:tab w:leader="none" w:pos="156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Effectiveness</w:t>
      </w:r>
      <w:r>
        <w:rPr>
          <w:rFonts w:ascii="Arial" w:cs="Arial" w:eastAsia="Arial" w:hAnsi="Arial"/>
          <w:sz w:val="20"/>
          <w:szCs w:val="20"/>
          <w:color w:val="auto"/>
        </w:rPr>
        <w:t>. This Amendment shall be deemed effective upon (a) the due execution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delivery to Bank of this Amendment by each party hereto, (b) Borrower’s payment of a fully earned, non-refundable, amendment fee in an amount equal to Twenty Thousand Dollars ($20,000), and (c)Borrower’s payment of Bank’s legal fees and expenses incurred in connection with the negotiation and preparation of this Agreement.</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130810</wp:posOffset>
            </wp:positionV>
            <wp:extent cx="554863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4" w:name="page55"/>
    <w:bookmarkEnd w:id="54"/>
    <w:p>
      <w:pPr>
        <w:ind w:left="160" w:right="159" w:firstLine="648"/>
        <w:spacing w:after="0" w:line="232"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Amendment to be duly executed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as of the date first written above.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BORROWER:</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EVERSPIN TECHNOLOGIES, INC.</w:t>
      </w:r>
    </w:p>
    <w:p>
      <w:pPr>
        <w:spacing w:after="0" w:line="32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By:/s/ Jeff Winzeler</w:t>
      </w:r>
    </w:p>
    <w:p>
      <w:pPr>
        <w:ind w:left="460"/>
        <w:spacing w:after="0" w:line="197" w:lineRule="auto"/>
        <w:rPr>
          <w:sz w:val="20"/>
          <w:szCs w:val="20"/>
          <w:color w:val="auto"/>
        </w:rPr>
      </w:pPr>
      <w:r>
        <w:rPr>
          <w:rFonts w:ascii="Arial" w:cs="Arial" w:eastAsia="Arial" w:hAnsi="Arial"/>
          <w:sz w:val="20"/>
          <w:szCs w:val="20"/>
          <w:color w:val="auto"/>
        </w:rPr>
        <w:t>Name: Jeff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-118745</wp:posOffset>
            </wp:positionV>
            <wp:extent cx="26327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0"/>
          <w:szCs w:val="20"/>
          <w:color w:val="auto"/>
        </w:rPr>
        <w:t>Title: Chief Financial Officer</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BANK:</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SILICON VALLEY BANK</w:t>
      </w:r>
    </w:p>
    <w:p>
      <w:pPr>
        <w:spacing w:after="0" w:line="32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By:/s/ Ian Kay</w:t>
      </w:r>
    </w:p>
    <w:p>
      <w:pPr>
        <w:ind w:left="460"/>
        <w:spacing w:after="0" w:line="197" w:lineRule="auto"/>
        <w:rPr>
          <w:sz w:val="20"/>
          <w:szCs w:val="20"/>
          <w:color w:val="auto"/>
        </w:rPr>
      </w:pPr>
      <w:r>
        <w:rPr>
          <w:rFonts w:ascii="Arial" w:cs="Arial" w:eastAsia="Arial" w:hAnsi="Arial"/>
          <w:sz w:val="20"/>
          <w:szCs w:val="20"/>
          <w:color w:val="auto"/>
        </w:rPr>
        <w:t>Name: Ian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-118745</wp:posOffset>
            </wp:positionV>
            <wp:extent cx="26327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240665</wp:posOffset>
            </wp:positionV>
            <wp:extent cx="554863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b w:val="1"/>
          <w:bCs w:val="1"/>
          <w:u w:val="single" w:color="auto"/>
          <w:color w:val="auto"/>
        </w:rPr>
        <w:t>EXHIBIT B</w:t>
      </w:r>
    </w:p>
    <w:p>
      <w:pPr>
        <w:jc w:val="center"/>
        <w:spacing w:after="0"/>
        <w:rPr>
          <w:sz w:val="20"/>
          <w:szCs w:val="20"/>
          <w:color w:val="auto"/>
        </w:rPr>
      </w:pPr>
      <w:r>
        <w:rPr>
          <w:rFonts w:ascii="Arial" w:cs="Arial" w:eastAsia="Arial" w:hAnsi="Arial"/>
          <w:sz w:val="20"/>
          <w:szCs w:val="20"/>
          <w:b w:val="1"/>
          <w:bCs w:val="1"/>
          <w:u w:val="single" w:color="auto"/>
          <w:color w:val="auto"/>
        </w:rPr>
        <w:t>COMPLIANCE CERTIFICATE</w:t>
      </w:r>
    </w:p>
    <w:p>
      <w:pPr>
        <w:spacing w:after="0" w:line="146" w:lineRule="exact"/>
        <w:rPr>
          <w:sz w:val="20"/>
          <w:szCs w:val="20"/>
          <w:color w:val="auto"/>
        </w:rPr>
      </w:pPr>
    </w:p>
    <w:p>
      <w:pPr>
        <w:ind w:left="800"/>
        <w:spacing w:after="0"/>
        <w:tabs>
          <w:tab w:leader="none" w:pos="5960" w:val="left"/>
        </w:tabs>
        <w:rPr>
          <w:sz w:val="20"/>
          <w:szCs w:val="20"/>
          <w:color w:val="auto"/>
        </w:rPr>
      </w:pPr>
      <w:r>
        <w:rPr>
          <w:rFonts w:ascii="Arial" w:cs="Arial" w:eastAsia="Arial" w:hAnsi="Arial"/>
          <w:sz w:val="20"/>
          <w:szCs w:val="20"/>
          <w:color w:val="auto"/>
        </w:rPr>
        <w:t>TO: SILICON VALLEY BANK</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-6350</wp:posOffset>
            </wp:positionV>
            <wp:extent cx="9950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FROM: EVERSPIN TECHNOLOGIES, INC.</w:t>
      </w:r>
    </w:p>
    <w:p>
      <w:pPr>
        <w:spacing w:after="0" w:line="175" w:lineRule="exact"/>
        <w:rPr>
          <w:sz w:val="20"/>
          <w:szCs w:val="20"/>
          <w:color w:val="auto"/>
        </w:rPr>
      </w:pPr>
    </w:p>
    <w:p>
      <w:pPr>
        <w:jc w:val="both"/>
        <w:ind w:left="160" w:right="159" w:firstLine="648"/>
        <w:spacing w:after="0" w:line="218" w:lineRule="auto"/>
        <w:rPr>
          <w:sz w:val="20"/>
          <w:szCs w:val="20"/>
          <w:color w:val="auto"/>
        </w:rPr>
      </w:pPr>
      <w:r>
        <w:rPr>
          <w:rFonts w:ascii="Arial" w:cs="Arial" w:eastAsia="Arial" w:hAnsi="Arial"/>
          <w:sz w:val="20"/>
          <w:szCs w:val="20"/>
          <w:color w:val="auto"/>
        </w:rPr>
        <w:t>The undersigned authorized officer of EVERSPIN TECHNOLOGIES, INC.,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 certifies that under the terms and conditions of the Loan and Security Agreement between Borrower and Bank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57" w:lineRule="exact"/>
        <w:rPr>
          <w:sz w:val="20"/>
          <w:szCs w:val="20"/>
          <w:color w:val="auto"/>
        </w:rPr>
      </w:pPr>
    </w:p>
    <w:p>
      <w:pPr>
        <w:jc w:val="both"/>
        <w:ind w:left="160" w:right="139" w:firstLine="639"/>
        <w:spacing w:after="0" w:line="213" w:lineRule="auto"/>
        <w:tabs>
          <w:tab w:leader="none" w:pos="1112" w:val="left"/>
        </w:tabs>
        <w:numPr>
          <w:ilvl w:val="0"/>
          <w:numId w:val="15"/>
        </w:numPr>
        <w:rPr>
          <w:rFonts w:ascii="Arial" w:cs="Arial" w:eastAsia="Arial" w:hAnsi="Arial"/>
          <w:sz w:val="19"/>
          <w:szCs w:val="19"/>
          <w:color w:val="auto"/>
        </w:rPr>
      </w:pPr>
      <w:r>
        <w:rPr>
          <w:rFonts w:ascii="Arial" w:cs="Arial" w:eastAsia="Arial" w:hAnsi="Arial"/>
          <w:sz w:val="19"/>
          <w:szCs w:val="19"/>
          <w:color w:val="auto"/>
        </w:rPr>
        <w:t>Borrower is in complete compliance for the period ending _______________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58" w:lineRule="exact"/>
        <w:rPr>
          <w:sz w:val="20"/>
          <w:szCs w:val="20"/>
          <w:color w:val="auto"/>
        </w:rPr>
      </w:pPr>
    </w:p>
    <w:p>
      <w:pPr>
        <w:jc w:val="both"/>
        <w:ind w:left="160" w:right="139" w:firstLine="648"/>
        <w:spacing w:after="0" w:line="231"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Please indicate compliance status by circling Yes/No under “Complies” column.</w:t>
      </w:r>
    </w:p>
    <w:p>
      <w:pPr>
        <w:spacing w:after="0" w:line="164"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40" w:type="dxa"/>
            <w:vAlign w:val="bottom"/>
            <w:tcBorders>
              <w:right w:val="single" w:sz="8" w:color="auto"/>
            </w:tcBorders>
          </w:tcPr>
          <w:p>
            <w:pPr>
              <w:spacing w:after="0"/>
              <w:rPr>
                <w:sz w:val="16"/>
                <w:szCs w:val="16"/>
                <w:color w:val="auto"/>
              </w:rPr>
            </w:pPr>
          </w:p>
        </w:tc>
        <w:tc>
          <w:tcPr>
            <w:tcW w:w="4060" w:type="dxa"/>
            <w:vAlign w:val="bottom"/>
            <w:tcBorders>
              <w:top w:val="single" w:sz="8" w:color="auto"/>
              <w:right w:val="single" w:sz="8" w:color="auto"/>
            </w:tcBorders>
            <w:gridSpan w:val="3"/>
          </w:tcPr>
          <w:p>
            <w:pPr>
              <w:ind w:left="100"/>
              <w:spacing w:after="0" w:line="190" w:lineRule="exact"/>
              <w:rPr>
                <w:sz w:val="20"/>
                <w:szCs w:val="20"/>
                <w:color w:val="auto"/>
              </w:rPr>
            </w:pPr>
            <w:r>
              <w:rPr>
                <w:rFonts w:ascii="Arial" w:cs="Arial" w:eastAsia="Arial" w:hAnsi="Arial"/>
                <w:sz w:val="20"/>
                <w:szCs w:val="20"/>
                <w:b w:val="1"/>
                <w:bCs w:val="1"/>
                <w:color w:val="auto"/>
              </w:rPr>
              <w:t>Reporting Covenants</w:t>
            </w:r>
          </w:p>
        </w:tc>
        <w:tc>
          <w:tcPr>
            <w:tcW w:w="1020" w:type="dxa"/>
            <w:vAlign w:val="bottom"/>
            <w:tcBorders>
              <w:top w:val="single" w:sz="8" w:color="auto"/>
            </w:tcBorders>
          </w:tcPr>
          <w:p>
            <w:pPr>
              <w:spacing w:after="0"/>
              <w:rPr>
                <w:sz w:val="16"/>
                <w:szCs w:val="16"/>
                <w:color w:val="auto"/>
              </w:rPr>
            </w:pPr>
          </w:p>
        </w:tc>
        <w:tc>
          <w:tcPr>
            <w:tcW w:w="1880" w:type="dxa"/>
            <w:vAlign w:val="bottom"/>
            <w:tcBorders>
              <w:top w:val="single" w:sz="8" w:color="auto"/>
              <w:right w:val="single" w:sz="8" w:color="auto"/>
            </w:tcBorders>
            <w:gridSpan w:val="2"/>
          </w:tcPr>
          <w:p>
            <w:pPr>
              <w:spacing w:after="0" w:line="190" w:lineRule="exact"/>
              <w:rPr>
                <w:sz w:val="20"/>
                <w:szCs w:val="20"/>
                <w:color w:val="auto"/>
              </w:rPr>
            </w:pPr>
            <w:r>
              <w:rPr>
                <w:rFonts w:ascii="Arial" w:cs="Arial" w:eastAsia="Arial" w:hAnsi="Arial"/>
                <w:sz w:val="20"/>
                <w:szCs w:val="20"/>
                <w:b w:val="1"/>
                <w:bCs w:val="1"/>
                <w:color w:val="auto"/>
              </w:rPr>
              <w:t>Required</w:t>
            </w:r>
          </w:p>
        </w:tc>
        <w:tc>
          <w:tcPr>
            <w:tcW w:w="460" w:type="dxa"/>
            <w:vAlign w:val="bottom"/>
            <w:tcBorders>
              <w:top w:val="single" w:sz="8" w:color="auto"/>
            </w:tcBorders>
          </w:tcPr>
          <w:p>
            <w:pPr>
              <w:spacing w:after="0"/>
              <w:rPr>
                <w:sz w:val="16"/>
                <w:szCs w:val="16"/>
                <w:color w:val="auto"/>
              </w:rPr>
            </w:pPr>
          </w:p>
        </w:tc>
        <w:tc>
          <w:tcPr>
            <w:tcW w:w="1280" w:type="dxa"/>
            <w:vAlign w:val="bottom"/>
            <w:tcBorders>
              <w:top w:val="single" w:sz="8" w:color="auto"/>
              <w:right w:val="single" w:sz="8" w:color="auto"/>
            </w:tcBorders>
            <w:gridSpan w:val="3"/>
          </w:tcPr>
          <w:p>
            <w:pPr>
              <w:spacing w:after="0" w:line="190" w:lineRule="exact"/>
              <w:rPr>
                <w:sz w:val="20"/>
                <w:szCs w:val="20"/>
                <w:color w:val="auto"/>
              </w:rPr>
            </w:pPr>
            <w:r>
              <w:rPr>
                <w:rFonts w:ascii="Arial" w:cs="Arial" w:eastAsia="Arial" w:hAnsi="Arial"/>
                <w:sz w:val="20"/>
                <w:szCs w:val="20"/>
                <w:b w:val="1"/>
                <w:bCs w:val="1"/>
                <w:color w:val="auto"/>
              </w:rPr>
              <w:t>Complies</w:t>
            </w:r>
          </w:p>
        </w:tc>
      </w:tr>
      <w:tr>
        <w:trPr>
          <w:trHeight w:val="102"/>
        </w:trPr>
        <w:tc>
          <w:tcPr>
            <w:tcW w:w="40" w:type="dxa"/>
            <w:vAlign w:val="bottom"/>
            <w:tcBorders>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0" w:type="dxa"/>
            <w:vAlign w:val="bottom"/>
            <w:tcBorders>
              <w:top w:val="single" w:sz="8" w:color="auto"/>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4060" w:type="dxa"/>
            <w:vAlign w:val="bottom"/>
            <w:tcBorders>
              <w:right w:val="single" w:sz="8" w:color="auto"/>
            </w:tcBorders>
            <w:gridSpan w:val="3"/>
          </w:tcPr>
          <w:p>
            <w:pPr>
              <w:ind w:left="100"/>
              <w:spacing w:after="0" w:line="156" w:lineRule="exact"/>
              <w:rPr>
                <w:sz w:val="20"/>
                <w:szCs w:val="20"/>
                <w:color w:val="auto"/>
              </w:rPr>
            </w:pPr>
            <w:r>
              <w:rPr>
                <w:rFonts w:ascii="Arial" w:cs="Arial" w:eastAsia="Arial" w:hAnsi="Arial"/>
                <w:sz w:val="18"/>
                <w:szCs w:val="18"/>
                <w:color w:val="auto"/>
              </w:rPr>
              <w:t>Monthly financial statements with Compliance</w:t>
            </w:r>
          </w:p>
        </w:tc>
        <w:tc>
          <w:tcPr>
            <w:tcW w:w="2900" w:type="dxa"/>
            <w:vAlign w:val="bottom"/>
            <w:tcBorders>
              <w:right w:val="single" w:sz="8" w:color="auto"/>
            </w:tcBorders>
            <w:gridSpan w:val="3"/>
          </w:tcPr>
          <w:p>
            <w:pPr>
              <w:ind w:left="100"/>
              <w:spacing w:after="0" w:line="156" w:lineRule="exact"/>
              <w:rPr>
                <w:sz w:val="20"/>
                <w:szCs w:val="20"/>
                <w:color w:val="auto"/>
              </w:rPr>
            </w:pPr>
            <w:r>
              <w:rPr>
                <w:rFonts w:ascii="Arial" w:cs="Arial" w:eastAsia="Arial" w:hAnsi="Arial"/>
                <w:sz w:val="18"/>
                <w:szCs w:val="18"/>
                <w:color w:val="auto"/>
              </w:rPr>
              <w:t>Monthly within 30 days</w:t>
            </w:r>
          </w:p>
        </w:tc>
        <w:tc>
          <w:tcPr>
            <w:tcW w:w="460" w:type="dxa"/>
            <w:vAlign w:val="bottom"/>
          </w:tcPr>
          <w:p>
            <w:pPr>
              <w:spacing w:after="0"/>
              <w:rPr>
                <w:sz w:val="13"/>
                <w:szCs w:val="13"/>
                <w:color w:val="auto"/>
              </w:rPr>
            </w:pPr>
          </w:p>
        </w:tc>
        <w:tc>
          <w:tcPr>
            <w:tcW w:w="420" w:type="dxa"/>
            <w:vAlign w:val="bottom"/>
          </w:tcPr>
          <w:p>
            <w:pPr>
              <w:ind w:left="60"/>
              <w:spacing w:after="0" w:line="156" w:lineRule="exact"/>
              <w:rPr>
                <w:sz w:val="20"/>
                <w:szCs w:val="20"/>
                <w:color w:val="auto"/>
              </w:rPr>
            </w:pPr>
            <w:r>
              <w:rPr>
                <w:rFonts w:ascii="Arial" w:cs="Arial" w:eastAsia="Arial" w:hAnsi="Arial"/>
                <w:sz w:val="18"/>
                <w:szCs w:val="18"/>
                <w:color w:val="auto"/>
              </w:rPr>
              <w:t>Yes</w:t>
            </w:r>
          </w:p>
        </w:tc>
        <w:tc>
          <w:tcPr>
            <w:tcW w:w="860" w:type="dxa"/>
            <w:vAlign w:val="bottom"/>
            <w:tcBorders>
              <w:right w:val="single" w:sz="8" w:color="auto"/>
            </w:tcBorders>
            <w:gridSpan w:val="2"/>
          </w:tcPr>
          <w:p>
            <w:pPr>
              <w:ind w:left="60"/>
              <w:spacing w:after="0" w:line="156" w:lineRule="exact"/>
              <w:rPr>
                <w:sz w:val="20"/>
                <w:szCs w:val="20"/>
                <w:color w:val="auto"/>
              </w:rPr>
            </w:pPr>
            <w:r>
              <w:rPr>
                <w:rFonts w:ascii="Arial" w:cs="Arial" w:eastAsia="Arial" w:hAnsi="Arial"/>
                <w:sz w:val="18"/>
                <w:szCs w:val="18"/>
                <w:color w:val="auto"/>
              </w:rPr>
              <w:t>No</w:t>
            </w:r>
          </w:p>
        </w:tc>
      </w:tr>
      <w:tr>
        <w:trPr>
          <w:trHeight w:val="250"/>
        </w:trPr>
        <w:tc>
          <w:tcPr>
            <w:tcW w:w="40" w:type="dxa"/>
            <w:vAlign w:val="bottom"/>
            <w:tcBorders>
              <w:right w:val="single" w:sz="8" w:color="auto"/>
            </w:tcBorders>
          </w:tcPr>
          <w:p>
            <w:pPr>
              <w:spacing w:after="0"/>
              <w:rPr>
                <w:sz w:val="21"/>
                <w:szCs w:val="21"/>
                <w:color w:val="auto"/>
              </w:rPr>
            </w:pPr>
          </w:p>
        </w:tc>
        <w:tc>
          <w:tcPr>
            <w:tcW w:w="40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Certificate</w:t>
            </w: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r>
      <w:tr>
        <w:trPr>
          <w:trHeight w:val="74"/>
        </w:trPr>
        <w:tc>
          <w:tcPr>
            <w:tcW w:w="4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40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Annual financial statement (CPA Audited)</w:t>
            </w:r>
          </w:p>
        </w:tc>
        <w:tc>
          <w:tcPr>
            <w:tcW w:w="290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FYE within 150 days</w:t>
            </w:r>
          </w:p>
        </w:tc>
        <w:tc>
          <w:tcPr>
            <w:tcW w:w="46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Arial" w:cs="Arial" w:eastAsia="Arial" w:hAnsi="Arial"/>
                <w:sz w:val="20"/>
                <w:szCs w:val="20"/>
                <w:color w:val="auto"/>
                <w:w w:val="98"/>
              </w:rPr>
              <w:t>Yes</w:t>
            </w:r>
          </w:p>
        </w:tc>
        <w:tc>
          <w:tcPr>
            <w:tcW w:w="86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No</w:t>
            </w:r>
          </w:p>
        </w:tc>
      </w:tr>
      <w:tr>
        <w:trPr>
          <w:trHeight w:val="47"/>
        </w:trPr>
        <w:tc>
          <w:tcPr>
            <w:tcW w:w="40" w:type="dxa"/>
            <w:vAlign w:val="bottom"/>
            <w:tcBorders>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4060" w:type="dxa"/>
            <w:vAlign w:val="bottom"/>
            <w:tcBorders>
              <w:right w:val="single" w:sz="8" w:color="auto"/>
            </w:tcBorders>
            <w:gridSpan w:val="3"/>
          </w:tcPr>
          <w:p>
            <w:pPr>
              <w:ind w:left="100"/>
              <w:spacing w:after="0" w:line="156" w:lineRule="exact"/>
              <w:rPr>
                <w:sz w:val="20"/>
                <w:szCs w:val="20"/>
                <w:color w:val="auto"/>
              </w:rPr>
            </w:pPr>
            <w:r>
              <w:rPr>
                <w:rFonts w:ascii="Arial" w:cs="Arial" w:eastAsia="Arial" w:hAnsi="Arial"/>
                <w:sz w:val="18"/>
                <w:szCs w:val="18"/>
                <w:color w:val="auto"/>
              </w:rPr>
              <w:t>Board Projections</w:t>
            </w:r>
          </w:p>
        </w:tc>
        <w:tc>
          <w:tcPr>
            <w:tcW w:w="2900" w:type="dxa"/>
            <w:vAlign w:val="bottom"/>
            <w:tcBorders>
              <w:right w:val="single" w:sz="8" w:color="auto"/>
            </w:tcBorders>
            <w:gridSpan w:val="3"/>
          </w:tcPr>
          <w:p>
            <w:pPr>
              <w:ind w:left="100"/>
              <w:spacing w:after="0" w:line="156" w:lineRule="exact"/>
              <w:rPr>
                <w:sz w:val="20"/>
                <w:szCs w:val="20"/>
                <w:color w:val="auto"/>
              </w:rPr>
            </w:pPr>
            <w:r>
              <w:rPr>
                <w:rFonts w:ascii="Arial" w:cs="Arial" w:eastAsia="Arial" w:hAnsi="Arial"/>
                <w:sz w:val="18"/>
                <w:szCs w:val="18"/>
                <w:color w:val="auto"/>
              </w:rPr>
              <w:t>Earlier of (i) 15 days after</w:t>
            </w:r>
          </w:p>
        </w:tc>
        <w:tc>
          <w:tcPr>
            <w:tcW w:w="460" w:type="dxa"/>
            <w:vAlign w:val="bottom"/>
          </w:tcPr>
          <w:p>
            <w:pPr>
              <w:spacing w:after="0"/>
              <w:rPr>
                <w:sz w:val="13"/>
                <w:szCs w:val="13"/>
                <w:color w:val="auto"/>
              </w:rPr>
            </w:pPr>
          </w:p>
        </w:tc>
        <w:tc>
          <w:tcPr>
            <w:tcW w:w="420" w:type="dxa"/>
            <w:vAlign w:val="bottom"/>
          </w:tcPr>
          <w:p>
            <w:pPr>
              <w:ind w:left="60"/>
              <w:spacing w:after="0" w:line="156" w:lineRule="exact"/>
              <w:rPr>
                <w:sz w:val="20"/>
                <w:szCs w:val="20"/>
                <w:color w:val="auto"/>
              </w:rPr>
            </w:pPr>
            <w:r>
              <w:rPr>
                <w:rFonts w:ascii="Arial" w:cs="Arial" w:eastAsia="Arial" w:hAnsi="Arial"/>
                <w:sz w:val="18"/>
                <w:szCs w:val="18"/>
                <w:color w:val="auto"/>
              </w:rPr>
              <w:t>Yes</w:t>
            </w:r>
          </w:p>
        </w:tc>
        <w:tc>
          <w:tcPr>
            <w:tcW w:w="860" w:type="dxa"/>
            <w:vAlign w:val="bottom"/>
            <w:tcBorders>
              <w:right w:val="single" w:sz="8" w:color="auto"/>
            </w:tcBorders>
            <w:gridSpan w:val="2"/>
          </w:tcPr>
          <w:p>
            <w:pPr>
              <w:ind w:left="60"/>
              <w:spacing w:after="0" w:line="156" w:lineRule="exact"/>
              <w:rPr>
                <w:sz w:val="20"/>
                <w:szCs w:val="20"/>
                <w:color w:val="auto"/>
              </w:rPr>
            </w:pPr>
            <w:r>
              <w:rPr>
                <w:rFonts w:ascii="Arial" w:cs="Arial" w:eastAsia="Arial" w:hAnsi="Arial"/>
                <w:sz w:val="18"/>
                <w:szCs w:val="18"/>
                <w:color w:val="auto"/>
              </w:rPr>
              <w:t>No</w:t>
            </w:r>
          </w:p>
        </w:tc>
      </w:tr>
      <w:tr>
        <w:trPr>
          <w:trHeight w:val="189"/>
        </w:trPr>
        <w:tc>
          <w:tcPr>
            <w:tcW w:w="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2900" w:type="dxa"/>
            <w:vAlign w:val="bottom"/>
            <w:tcBorders>
              <w:right w:val="single" w:sz="8" w:color="auto"/>
            </w:tcBorders>
            <w:gridSpan w:val="3"/>
          </w:tcPr>
          <w:p>
            <w:pPr>
              <w:ind w:left="100"/>
              <w:spacing w:after="0" w:line="189" w:lineRule="exact"/>
              <w:rPr>
                <w:sz w:val="20"/>
                <w:szCs w:val="20"/>
                <w:color w:val="auto"/>
              </w:rPr>
            </w:pPr>
            <w:r>
              <w:rPr>
                <w:rFonts w:ascii="Arial" w:cs="Arial" w:eastAsia="Arial" w:hAnsi="Arial"/>
                <w:sz w:val="20"/>
                <w:szCs w:val="20"/>
                <w:color w:val="auto"/>
              </w:rPr>
              <w:t>board approval or (ii) February</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90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28th of each calendar year</w:t>
            </w: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r>
      <w:tr>
        <w:trPr>
          <w:trHeight w:val="74"/>
        </w:trPr>
        <w:tc>
          <w:tcPr>
            <w:tcW w:w="4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r>
      <w:tr>
        <w:trPr>
          <w:trHeight w:val="554"/>
        </w:trPr>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4" w:right="1440" w:bottom="1440" w:gutter="0" w:footer="0" w:header="0"/>
        </w:sectPr>
      </w:pPr>
    </w:p>
    <w:bookmarkStart w:id="56" w:name="page57"/>
    <w:bookmarkEnd w:id="56"/>
    <w:p>
      <w:pPr>
        <w:spacing w:after="0" w:line="1" w:lineRule="exact"/>
        <w:rPr>
          <w:sz w:val="20"/>
          <w:szCs w:val="20"/>
          <w:color w:val="auto"/>
        </w:rPr>
      </w:pPr>
    </w:p>
    <w:tbl>
      <w:tblPr>
        <w:tblLayout w:type="fixed"/>
        <w:tblInd w:w="170" w:type="dxa"/>
        <w:tblCellMar>
          <w:top w:w="0" w:type="dxa"/>
          <w:left w:w="0" w:type="dxa"/>
          <w:bottom w:w="0" w:type="dxa"/>
          <w:right w:w="0" w:type="dxa"/>
        </w:tblCellMar>
      </w:tblPr>
      <w:tr>
        <w:trPr>
          <w:trHeight w:val="176"/>
        </w:trPr>
        <w:tc>
          <w:tcPr>
            <w:tcW w:w="4100" w:type="dxa"/>
            <w:vAlign w:val="bottom"/>
            <w:tcBorders>
              <w:top w:val="single" w:sz="8" w:color="auto"/>
              <w:left w:val="single" w:sz="8" w:color="auto"/>
              <w:right w:val="single" w:sz="8" w:color="auto"/>
            </w:tcBorders>
            <w:gridSpan w:val="3"/>
          </w:tcPr>
          <w:p>
            <w:pPr>
              <w:ind w:left="120"/>
              <w:spacing w:after="0" w:line="176" w:lineRule="exact"/>
              <w:rPr>
                <w:sz w:val="20"/>
                <w:szCs w:val="20"/>
                <w:color w:val="auto"/>
              </w:rPr>
            </w:pPr>
            <w:r>
              <w:rPr>
                <w:rFonts w:ascii="Arial" w:cs="Arial" w:eastAsia="Arial" w:hAnsi="Arial"/>
                <w:sz w:val="20"/>
                <w:szCs w:val="20"/>
                <w:color w:val="auto"/>
              </w:rPr>
              <w:t>10</w:t>
            </w:r>
            <w:r>
              <w:rPr>
                <w:rFonts w:ascii="MS PGothic" w:cs="MS PGothic" w:eastAsia="MS PGothic" w:hAnsi="MS PGothic"/>
                <w:sz w:val="20"/>
                <w:szCs w:val="20"/>
                <w:color w:val="auto"/>
              </w:rPr>
              <w:t>‑</w:t>
            </w:r>
            <w:r>
              <w:rPr>
                <w:rFonts w:ascii="Arial" w:cs="Arial" w:eastAsia="Arial" w:hAnsi="Arial"/>
                <w:sz w:val="20"/>
                <w:szCs w:val="20"/>
                <w:color w:val="auto"/>
              </w:rPr>
              <w:t>Q, 10</w:t>
            </w:r>
            <w:r>
              <w:rPr>
                <w:rFonts w:ascii="MS PGothic" w:cs="MS PGothic" w:eastAsia="MS PGothic" w:hAnsi="MS PGothic"/>
                <w:sz w:val="20"/>
                <w:szCs w:val="20"/>
                <w:color w:val="auto"/>
              </w:rPr>
              <w:t>‑</w:t>
            </w:r>
            <w:r>
              <w:rPr>
                <w:rFonts w:ascii="Arial" w:cs="Arial" w:eastAsia="Arial" w:hAnsi="Arial"/>
                <w:sz w:val="20"/>
                <w:szCs w:val="20"/>
                <w:color w:val="auto"/>
              </w:rPr>
              <w:t>K and 8-K</w:t>
            </w:r>
          </w:p>
        </w:tc>
        <w:tc>
          <w:tcPr>
            <w:tcW w:w="2860" w:type="dxa"/>
            <w:vAlign w:val="bottom"/>
            <w:tcBorders>
              <w:top w:val="single" w:sz="8" w:color="auto"/>
              <w:right w:val="single" w:sz="8" w:color="auto"/>
            </w:tcBorders>
            <w:gridSpan w:val="7"/>
          </w:tcPr>
          <w:p>
            <w:pPr>
              <w:ind w:left="80"/>
              <w:spacing w:after="0" w:line="176" w:lineRule="exact"/>
              <w:rPr>
                <w:sz w:val="20"/>
                <w:szCs w:val="20"/>
                <w:color w:val="auto"/>
              </w:rPr>
            </w:pPr>
            <w:r>
              <w:rPr>
                <w:rFonts w:ascii="Arial" w:cs="Arial" w:eastAsia="Arial" w:hAnsi="Arial"/>
                <w:sz w:val="20"/>
                <w:szCs w:val="20"/>
                <w:color w:val="auto"/>
              </w:rPr>
              <w:t>Within 5 days after filing with</w:t>
            </w: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ind w:left="220"/>
              <w:spacing w:after="0" w:line="176" w:lineRule="exact"/>
              <w:rPr>
                <w:sz w:val="20"/>
                <w:szCs w:val="20"/>
                <w:color w:val="auto"/>
              </w:rPr>
            </w:pPr>
            <w:r>
              <w:rPr>
                <w:rFonts w:ascii="Arial" w:cs="Arial" w:eastAsia="Arial" w:hAnsi="Arial"/>
                <w:sz w:val="20"/>
                <w:szCs w:val="20"/>
                <w:color w:val="auto"/>
              </w:rPr>
              <w:t>Yes</w:t>
            </w:r>
          </w:p>
        </w:tc>
        <w:tc>
          <w:tcPr>
            <w:tcW w:w="80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20"/>
                <w:szCs w:val="20"/>
                <w:color w:val="auto"/>
              </w:rPr>
              <w:t>No</w:t>
            </w:r>
          </w:p>
        </w:tc>
      </w:tr>
      <w:tr>
        <w:trPr>
          <w:trHeight w:val="216"/>
        </w:trPr>
        <w:tc>
          <w:tcPr>
            <w:tcW w:w="12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gridSpan w:val="4"/>
          </w:tcPr>
          <w:p>
            <w:pPr>
              <w:ind w:left="80"/>
              <w:spacing w:after="0" w:line="216" w:lineRule="exact"/>
              <w:rPr>
                <w:sz w:val="20"/>
                <w:szCs w:val="20"/>
                <w:color w:val="auto"/>
              </w:rPr>
            </w:pPr>
            <w:r>
              <w:rPr>
                <w:rFonts w:ascii="Arial" w:cs="Arial" w:eastAsia="Arial" w:hAnsi="Arial"/>
                <w:sz w:val="20"/>
                <w:szCs w:val="20"/>
                <w:color w:val="auto"/>
              </w:rPr>
              <w:t>SEC</w:t>
            </w: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r>
      <w:tr>
        <w:trPr>
          <w:trHeight w:val="244"/>
        </w:trPr>
        <w:tc>
          <w:tcPr>
            <w:tcW w:w="410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20"/>
                <w:szCs w:val="20"/>
                <w:color w:val="auto"/>
              </w:rPr>
              <w:t>Board Projections</w:t>
            </w:r>
          </w:p>
        </w:tc>
        <w:tc>
          <w:tcPr>
            <w:tcW w:w="1680" w:type="dxa"/>
            <w:vAlign w:val="bottom"/>
            <w:gridSpan w:val="4"/>
          </w:tcPr>
          <w:p>
            <w:pPr>
              <w:ind w:left="80"/>
              <w:spacing w:after="0"/>
              <w:rPr>
                <w:sz w:val="20"/>
                <w:szCs w:val="20"/>
                <w:color w:val="auto"/>
              </w:rPr>
            </w:pPr>
            <w:r>
              <w:rPr>
                <w:rFonts w:ascii="Arial" w:cs="Arial" w:eastAsia="Arial" w:hAnsi="Arial"/>
                <w:sz w:val="20"/>
                <w:szCs w:val="20"/>
                <w:color w:val="auto"/>
                <w:w w:val="92"/>
              </w:rPr>
              <w:t>FYE within 30 days</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gridSpan w:val="2"/>
          </w:tcPr>
          <w:p>
            <w:pPr>
              <w:ind w:left="220"/>
              <w:spacing w:after="0"/>
              <w:rPr>
                <w:sz w:val="20"/>
                <w:szCs w:val="20"/>
                <w:color w:val="auto"/>
              </w:rPr>
            </w:pPr>
            <w:r>
              <w:rPr>
                <w:rFonts w:ascii="Arial" w:cs="Arial" w:eastAsia="Arial" w:hAnsi="Arial"/>
                <w:sz w:val="20"/>
                <w:szCs w:val="20"/>
                <w:color w:val="auto"/>
              </w:rPr>
              <w:t>Yes</w:t>
            </w: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No</w:t>
            </w:r>
          </w:p>
        </w:tc>
      </w:tr>
      <w:tr>
        <w:trPr>
          <w:trHeight w:val="47"/>
        </w:trPr>
        <w:tc>
          <w:tcPr>
            <w:tcW w:w="1220" w:type="dxa"/>
            <w:vAlign w:val="bottom"/>
            <w:tcBorders>
              <w:left w:val="single" w:sz="8" w:color="auto"/>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r>
      <w:tr>
        <w:trPr>
          <w:trHeight w:val="183"/>
        </w:trPr>
        <w:tc>
          <w:tcPr>
            <w:tcW w:w="1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r>
      <w:tr>
        <w:trPr>
          <w:trHeight w:val="196"/>
        </w:trPr>
        <w:tc>
          <w:tcPr>
            <w:tcW w:w="1220" w:type="dxa"/>
            <w:vAlign w:val="bottom"/>
            <w:tcBorders>
              <w:left w:val="single" w:sz="8" w:color="auto"/>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r>
      <w:tr>
        <w:trPr>
          <w:trHeight w:val="169"/>
        </w:trPr>
        <w:tc>
          <w:tcPr>
            <w:tcW w:w="4100" w:type="dxa"/>
            <w:vAlign w:val="bottom"/>
            <w:tcBorders>
              <w:left w:val="single" w:sz="8" w:color="auto"/>
              <w:right w:val="single" w:sz="8" w:color="auto"/>
            </w:tcBorders>
            <w:gridSpan w:val="3"/>
          </w:tcPr>
          <w:p>
            <w:pPr>
              <w:ind w:left="1220"/>
              <w:spacing w:after="0" w:line="169" w:lineRule="exact"/>
              <w:rPr>
                <w:sz w:val="20"/>
                <w:szCs w:val="20"/>
                <w:color w:val="auto"/>
              </w:rPr>
            </w:pPr>
            <w:r>
              <w:rPr>
                <w:rFonts w:ascii="Arial" w:cs="Arial" w:eastAsia="Arial" w:hAnsi="Arial"/>
                <w:sz w:val="19"/>
                <w:szCs w:val="19"/>
                <w:b w:val="1"/>
                <w:bCs w:val="1"/>
                <w:color w:val="auto"/>
              </w:rPr>
              <w:t>Financial Covenant</w:t>
            </w:r>
          </w:p>
        </w:tc>
        <w:tc>
          <w:tcPr>
            <w:tcW w:w="120" w:type="dxa"/>
            <w:vAlign w:val="bottom"/>
          </w:tcPr>
          <w:p>
            <w:pPr>
              <w:spacing w:after="0"/>
              <w:rPr>
                <w:sz w:val="14"/>
                <w:szCs w:val="14"/>
                <w:color w:val="auto"/>
              </w:rPr>
            </w:pPr>
          </w:p>
        </w:tc>
        <w:tc>
          <w:tcPr>
            <w:tcW w:w="14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9"/>
                <w:szCs w:val="19"/>
                <w:b w:val="1"/>
                <w:bCs w:val="1"/>
                <w:color w:val="auto"/>
              </w:rPr>
              <w:t>Required</w:t>
            </w:r>
          </w:p>
        </w:tc>
        <w:tc>
          <w:tcPr>
            <w:tcW w:w="100" w:type="dxa"/>
            <w:vAlign w:val="bottom"/>
          </w:tcPr>
          <w:p>
            <w:pPr>
              <w:spacing w:after="0"/>
              <w:rPr>
                <w:sz w:val="14"/>
                <w:szCs w:val="14"/>
                <w:color w:val="auto"/>
              </w:rPr>
            </w:pPr>
          </w:p>
        </w:tc>
        <w:tc>
          <w:tcPr>
            <w:tcW w:w="1180" w:type="dxa"/>
            <w:vAlign w:val="bottom"/>
            <w:gridSpan w:val="3"/>
          </w:tcPr>
          <w:p>
            <w:pPr>
              <w:ind w:left="20"/>
              <w:spacing w:after="0" w:line="169" w:lineRule="exact"/>
              <w:rPr>
                <w:sz w:val="20"/>
                <w:szCs w:val="20"/>
                <w:color w:val="auto"/>
              </w:rPr>
            </w:pPr>
            <w:r>
              <w:rPr>
                <w:rFonts w:ascii="Arial" w:cs="Arial" w:eastAsia="Arial" w:hAnsi="Arial"/>
                <w:sz w:val="19"/>
                <w:szCs w:val="19"/>
                <w:b w:val="1"/>
                <w:bCs w:val="1"/>
                <w:color w:val="auto"/>
              </w:rPr>
              <w:t>Actual</w:t>
            </w:r>
          </w:p>
        </w:tc>
        <w:tc>
          <w:tcPr>
            <w:tcW w:w="3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9"/>
                <w:szCs w:val="19"/>
                <w:b w:val="1"/>
                <w:bCs w:val="1"/>
                <w:color w:val="auto"/>
              </w:rPr>
              <w:t>Complies</w:t>
            </w:r>
          </w:p>
        </w:tc>
      </w:tr>
      <w:tr>
        <w:trPr>
          <w:trHeight w:val="102"/>
        </w:trPr>
        <w:tc>
          <w:tcPr>
            <w:tcW w:w="1220" w:type="dxa"/>
            <w:vAlign w:val="bottom"/>
            <w:tcBorders>
              <w:left w:val="single" w:sz="8" w:color="auto"/>
              <w:bottom w:val="single" w:sz="8" w:color="auto"/>
            </w:tcBorders>
          </w:tcPr>
          <w:p>
            <w:pPr>
              <w:spacing w:after="0"/>
              <w:rPr>
                <w:sz w:val="8"/>
                <w:szCs w:val="8"/>
                <w:color w:val="auto"/>
              </w:rPr>
            </w:pPr>
          </w:p>
        </w:tc>
        <w:tc>
          <w:tcPr>
            <w:tcW w:w="1640" w:type="dxa"/>
            <w:vAlign w:val="bottom"/>
            <w:tcBorders>
              <w:top w:val="single" w:sz="8" w:color="auto"/>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r>
      <w:tr>
        <w:trPr>
          <w:trHeight w:val="196"/>
        </w:trPr>
        <w:tc>
          <w:tcPr>
            <w:tcW w:w="1220" w:type="dxa"/>
            <w:vAlign w:val="bottom"/>
            <w:tcBorders>
              <w:left w:val="single" w:sz="8" w:color="auto"/>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r>
      <w:tr>
        <w:trPr>
          <w:trHeight w:val="244"/>
        </w:trPr>
        <w:tc>
          <w:tcPr>
            <w:tcW w:w="410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20"/>
                <w:szCs w:val="20"/>
                <w:color w:val="auto"/>
              </w:rPr>
              <w:t>Maintain on a Monthly Basis:</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47"/>
        </w:trPr>
        <w:tc>
          <w:tcPr>
            <w:tcW w:w="1220" w:type="dxa"/>
            <w:vAlign w:val="bottom"/>
            <w:tcBorders>
              <w:left w:val="single" w:sz="8" w:color="auto"/>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r>
      <w:tr>
        <w:trPr>
          <w:trHeight w:val="244"/>
        </w:trPr>
        <w:tc>
          <w:tcPr>
            <w:tcW w:w="4100" w:type="dxa"/>
            <w:vAlign w:val="bottom"/>
            <w:tcBorders>
              <w:left w:val="single" w:sz="8" w:color="auto"/>
              <w:right w:val="single" w:sz="8" w:color="auto"/>
            </w:tcBorders>
            <w:gridSpan w:val="3"/>
          </w:tcPr>
          <w:p>
            <w:pPr>
              <w:ind w:left="260"/>
              <w:spacing w:after="0"/>
              <w:rPr>
                <w:sz w:val="20"/>
                <w:szCs w:val="20"/>
                <w:color w:val="auto"/>
              </w:rPr>
            </w:pPr>
            <w:r>
              <w:rPr>
                <w:rFonts w:ascii="Arial" w:cs="Arial" w:eastAsia="Arial" w:hAnsi="Arial"/>
                <w:sz w:val="20"/>
                <w:szCs w:val="20"/>
                <w:color w:val="auto"/>
              </w:rPr>
              <w:t>Liquidity Ratio</w:t>
            </w:r>
          </w:p>
        </w:tc>
        <w:tc>
          <w:tcPr>
            <w:tcW w:w="900" w:type="dxa"/>
            <w:vAlign w:val="bottom"/>
            <w:gridSpan w:val="2"/>
          </w:tcPr>
          <w:p>
            <w:pPr>
              <w:ind w:left="120"/>
              <w:spacing w:after="0"/>
              <w:rPr>
                <w:sz w:val="20"/>
                <w:szCs w:val="20"/>
                <w:color w:val="auto"/>
              </w:rPr>
            </w:pPr>
            <w:r>
              <w:rPr>
                <w:rFonts w:ascii="Arial" w:cs="Arial" w:eastAsia="Arial" w:hAnsi="Arial"/>
                <w:sz w:val="20"/>
                <w:szCs w:val="20"/>
                <w:color w:val="auto"/>
                <w:w w:val="91"/>
              </w:rPr>
              <w:t>1.50:1.00</w:t>
            </w:r>
          </w:p>
        </w:tc>
        <w:tc>
          <w:tcPr>
            <w:tcW w:w="6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Arial" w:cs="Arial" w:eastAsia="Arial" w:hAnsi="Arial"/>
                <w:sz w:val="20"/>
                <w:szCs w:val="20"/>
                <w:color w:val="auto"/>
              </w:rPr>
              <w:t>____ to 1.00</w:t>
            </w:r>
          </w:p>
        </w:tc>
        <w:tc>
          <w:tcPr>
            <w:tcW w:w="3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w w:val="75"/>
              </w:rPr>
              <w:t>Yes</w:t>
            </w:r>
          </w:p>
        </w:tc>
        <w:tc>
          <w:tcPr>
            <w:tcW w:w="800" w:type="dxa"/>
            <w:vAlign w:val="bottom"/>
            <w:tcBorders>
              <w:right w:val="single" w:sz="8" w:color="auto"/>
            </w:tcBorders>
            <w:gridSpan w:val="2"/>
          </w:tcPr>
          <w:p>
            <w:pPr>
              <w:ind w:left="160"/>
              <w:spacing w:after="0"/>
              <w:rPr>
                <w:sz w:val="20"/>
                <w:szCs w:val="20"/>
                <w:color w:val="auto"/>
              </w:rPr>
            </w:pPr>
            <w:r>
              <w:rPr>
                <w:rFonts w:ascii="Arial" w:cs="Arial" w:eastAsia="Arial" w:hAnsi="Arial"/>
                <w:sz w:val="20"/>
                <w:szCs w:val="20"/>
                <w:color w:val="auto"/>
              </w:rPr>
              <w:t>No</w:t>
            </w:r>
          </w:p>
        </w:tc>
      </w:tr>
      <w:tr>
        <w:trPr>
          <w:trHeight w:val="47"/>
        </w:trPr>
        <w:tc>
          <w:tcPr>
            <w:tcW w:w="1220" w:type="dxa"/>
            <w:vAlign w:val="bottom"/>
            <w:tcBorders>
              <w:left w:val="single" w:sz="8" w:color="auto"/>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r>
      <w:tr>
        <w:trPr>
          <w:trHeight w:val="244"/>
        </w:trPr>
        <w:tc>
          <w:tcPr>
            <w:tcW w:w="4100" w:type="dxa"/>
            <w:vAlign w:val="bottom"/>
            <w:tcBorders>
              <w:left w:val="single" w:sz="8" w:color="auto"/>
              <w:right w:val="single" w:sz="8" w:color="auto"/>
            </w:tcBorders>
            <w:gridSpan w:val="3"/>
          </w:tcPr>
          <w:p>
            <w:pPr>
              <w:ind w:left="260"/>
              <w:spacing w:after="0"/>
              <w:rPr>
                <w:sz w:val="20"/>
                <w:szCs w:val="20"/>
                <w:color w:val="auto"/>
              </w:rPr>
            </w:pPr>
            <w:r>
              <w:rPr>
                <w:rFonts w:ascii="Arial" w:cs="Arial" w:eastAsia="Arial" w:hAnsi="Arial"/>
                <w:sz w:val="20"/>
                <w:szCs w:val="20"/>
                <w:color w:val="auto"/>
              </w:rPr>
              <w:t>TFS Revenue</w:t>
            </w:r>
          </w:p>
        </w:tc>
        <w:tc>
          <w:tcPr>
            <w:tcW w:w="120" w:type="dxa"/>
            <w:vAlign w:val="bottom"/>
          </w:tcPr>
          <w:p>
            <w:pPr>
              <w:spacing w:after="0"/>
              <w:rPr>
                <w:sz w:val="21"/>
                <w:szCs w:val="21"/>
                <w:color w:val="auto"/>
              </w:rPr>
            </w:pPr>
          </w:p>
        </w:tc>
        <w:tc>
          <w:tcPr>
            <w:tcW w:w="14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See Schedule 1</w:t>
            </w:r>
          </w:p>
        </w:tc>
        <w:tc>
          <w:tcPr>
            <w:tcW w:w="10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Arial" w:cs="Arial" w:eastAsia="Arial" w:hAnsi="Arial"/>
                <w:sz w:val="20"/>
                <w:szCs w:val="20"/>
                <w:color w:val="auto"/>
              </w:rPr>
              <w:t>$_____</w:t>
            </w:r>
          </w:p>
        </w:tc>
        <w:tc>
          <w:tcPr>
            <w:tcW w:w="3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w w:val="75"/>
              </w:rPr>
              <w:t>Yes</w:t>
            </w:r>
          </w:p>
        </w:tc>
        <w:tc>
          <w:tcPr>
            <w:tcW w:w="800" w:type="dxa"/>
            <w:vAlign w:val="bottom"/>
            <w:tcBorders>
              <w:right w:val="single" w:sz="8" w:color="auto"/>
            </w:tcBorders>
            <w:gridSpan w:val="2"/>
          </w:tcPr>
          <w:p>
            <w:pPr>
              <w:ind w:left="160"/>
              <w:spacing w:after="0"/>
              <w:rPr>
                <w:sz w:val="20"/>
                <w:szCs w:val="20"/>
                <w:color w:val="auto"/>
              </w:rPr>
            </w:pPr>
            <w:r>
              <w:rPr>
                <w:rFonts w:ascii="Arial" w:cs="Arial" w:eastAsia="Arial" w:hAnsi="Arial"/>
                <w:sz w:val="20"/>
                <w:szCs w:val="20"/>
                <w:color w:val="auto"/>
              </w:rPr>
              <w:t>No</w:t>
            </w:r>
          </w:p>
        </w:tc>
      </w:tr>
      <w:tr>
        <w:trPr>
          <w:trHeight w:val="47"/>
        </w:trPr>
        <w:tc>
          <w:tcPr>
            <w:tcW w:w="1220" w:type="dxa"/>
            <w:vAlign w:val="bottom"/>
            <w:tcBorders>
              <w:left w:val="single" w:sz="8" w:color="auto"/>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r>
    </w:tbl>
    <w:p>
      <w:pPr>
        <w:spacing w:after="0" w:line="159" w:lineRule="exact"/>
        <w:rPr>
          <w:sz w:val="20"/>
          <w:szCs w:val="20"/>
          <w:color w:val="auto"/>
        </w:rPr>
      </w:pPr>
    </w:p>
    <w:p>
      <w:pPr>
        <w:jc w:val="both"/>
        <w:ind w:left="160" w:right="139" w:firstLine="324"/>
        <w:spacing w:after="0" w:line="229" w:lineRule="auto"/>
        <w:rPr>
          <w:sz w:val="20"/>
          <w:szCs w:val="20"/>
          <w:color w:val="auto"/>
        </w:rPr>
      </w:pPr>
      <w:r>
        <w:rPr>
          <w:rFonts w:ascii="Arial" w:cs="Arial" w:eastAsia="Arial" w:hAnsi="Arial"/>
          <w:sz w:val="20"/>
          <w:szCs w:val="20"/>
          <w:color w:val="auto"/>
        </w:rPr>
        <w:t>The following financial covenant analysis and information set forth in Schedule 1 attached hereto are true and accurate as of the date of this Certificate.</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u w:val="single" w:color="auto"/>
          <w:color w:val="auto"/>
        </w:rPr>
        <w:t>Other Matters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Have there been any amendments of or other changes to the capitalization</w:t>
      </w:r>
    </w:p>
    <w:p>
      <w:pPr>
        <w:ind w:left="160" w:right="679"/>
        <w:spacing w:after="0" w:line="187" w:lineRule="auto"/>
        <w:rPr>
          <w:sz w:val="20"/>
          <w:szCs w:val="20"/>
          <w:color w:val="auto"/>
        </w:rPr>
      </w:pPr>
      <w:r>
        <w:rPr>
          <w:rFonts w:ascii="Arial" w:cs="Arial" w:eastAsia="Arial" w:hAnsi="Arial"/>
          <w:sz w:val="15"/>
          <w:szCs w:val="15"/>
          <w:color w:val="auto"/>
        </w:rPr>
        <w:t xml:space="preserve">table of Borrower and to the Operating Documents of Borrower or any of its </w:t>
      </w:r>
      <w:r>
        <w:rPr>
          <w:rFonts w:ascii="Arial" w:cs="Arial" w:eastAsia="Arial" w:hAnsi="Arial"/>
          <w:sz w:val="27"/>
          <w:szCs w:val="27"/>
          <w:color w:val="auto"/>
          <w:vertAlign w:val="subscript"/>
        </w:rPr>
        <w:t>Yes No</w:t>
      </w:r>
      <w:r>
        <w:rPr>
          <w:rFonts w:ascii="Arial" w:cs="Arial" w:eastAsia="Arial" w:hAnsi="Arial"/>
          <w:sz w:val="15"/>
          <w:szCs w:val="15"/>
          <w:color w:val="auto"/>
        </w:rPr>
        <w:t xml:space="preserve"> Subsidiaries? If yes, provide copies of any such amendments or changes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with this Compliance Certificate.</w:t>
      </w:r>
    </w:p>
    <w:p>
      <w:pPr>
        <w:spacing w:after="0" w:line="132" w:lineRule="exact"/>
        <w:rPr>
          <w:sz w:val="20"/>
          <w:szCs w:val="20"/>
          <w:color w:val="auto"/>
        </w:rPr>
      </w:pPr>
    </w:p>
    <w:p>
      <w:pPr>
        <w:ind w:left="160" w:right="139" w:firstLine="324"/>
        <w:spacing w:after="0" w:line="229" w:lineRule="auto"/>
        <w:rPr>
          <w:sz w:val="20"/>
          <w:szCs w:val="20"/>
          <w:color w:val="auto"/>
        </w:rPr>
      </w:pPr>
      <w:r>
        <w:rPr>
          <w:rFonts w:ascii="Arial" w:cs="Arial" w:eastAsia="Arial" w:hAnsi="Arial"/>
          <w:sz w:val="20"/>
          <w:szCs w:val="20"/>
          <w:color w:val="auto"/>
        </w:rPr>
        <w:t>The following are the exceptions with respect to the certification above: (If no exceptions exist, state “No exceptions to note.”)</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9"/>
          <w:szCs w:val="19"/>
          <w:color w:val="auto"/>
        </w:rPr>
        <w:t>------------------------------------------------------------------------------------------------------------------------------------</w:t>
      </w:r>
    </w:p>
    <w:p>
      <w:pPr>
        <w:ind w:left="160"/>
        <w:spacing w:after="0" w:line="207" w:lineRule="auto"/>
        <w:rPr>
          <w:sz w:val="20"/>
          <w:szCs w:val="20"/>
          <w:color w:val="auto"/>
        </w:rPr>
      </w:pPr>
      <w:r>
        <w:rPr>
          <w:rFonts w:ascii="Arial" w:cs="Arial" w:eastAsia="Arial" w:hAnsi="Arial"/>
          <w:sz w:val="19"/>
          <w:szCs w:val="19"/>
          <w:color w:val="auto"/>
        </w:rPr>
        <w: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t>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256"/>
        </w:trPr>
        <w:tc>
          <w:tcPr>
            <w:tcW w:w="4300" w:type="dxa"/>
            <w:vAlign w:val="bottom"/>
            <w:gridSpan w:val="2"/>
          </w:tcPr>
          <w:p>
            <w:pPr>
              <w:ind w:left="20"/>
              <w:spacing w:after="0"/>
              <w:rPr>
                <w:sz w:val="20"/>
                <w:szCs w:val="20"/>
                <w:color w:val="auto"/>
              </w:rPr>
            </w:pPr>
            <w:r>
              <w:rPr>
                <w:rFonts w:ascii="Arial" w:cs="Arial" w:eastAsia="Arial" w:hAnsi="Arial"/>
                <w:sz w:val="20"/>
                <w:szCs w:val="20"/>
                <w:color w:val="auto"/>
              </w:rPr>
              <w:t>EVERSPIN TECHNOLOGIES, INC.</w:t>
            </w:r>
          </w:p>
        </w:tc>
        <w:tc>
          <w:tcPr>
            <w:tcW w:w="2000" w:type="dxa"/>
            <w:vAlign w:val="bottom"/>
          </w:tcPr>
          <w:p>
            <w:pPr>
              <w:ind w:left="240"/>
              <w:spacing w:after="0"/>
              <w:rPr>
                <w:sz w:val="20"/>
                <w:szCs w:val="20"/>
                <w:color w:val="auto"/>
              </w:rPr>
            </w:pPr>
            <w:r>
              <w:rPr>
                <w:rFonts w:ascii="Arial" w:cs="Arial" w:eastAsia="Arial" w:hAnsi="Arial"/>
                <w:sz w:val="20"/>
                <w:szCs w:val="20"/>
                <w:b w:val="1"/>
                <w:bCs w:val="1"/>
                <w:color w:val="auto"/>
              </w:rPr>
              <w:t>BANK USE ONLY</w:t>
            </w: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440" w:type="dxa"/>
            <w:vAlign w:val="bottom"/>
            <w:gridSpan w:val="2"/>
          </w:tcPr>
          <w:p>
            <w:pPr>
              <w:ind w:left="240"/>
              <w:spacing w:after="0"/>
              <w:rPr>
                <w:sz w:val="20"/>
                <w:szCs w:val="20"/>
                <w:color w:val="auto"/>
              </w:rPr>
            </w:pPr>
            <w:r>
              <w:rPr>
                <w:rFonts w:ascii="Arial" w:cs="Arial" w:eastAsia="Arial" w:hAnsi="Arial"/>
                <w:sz w:val="20"/>
                <w:szCs w:val="20"/>
                <w:color w:val="auto"/>
                <w:w w:val="99"/>
              </w:rPr>
              <w:t>Received by: ___________________________</w:t>
            </w:r>
          </w:p>
        </w:tc>
        <w:tc>
          <w:tcPr>
            <w:tcW w:w="0" w:type="dxa"/>
            <w:vAlign w:val="bottom"/>
          </w:tcPr>
          <w:p>
            <w:pPr>
              <w:spacing w:after="0"/>
              <w:rPr>
                <w:sz w:val="1"/>
                <w:szCs w:val="1"/>
                <w:color w:val="auto"/>
              </w:rPr>
            </w:pPr>
          </w:p>
        </w:tc>
      </w:tr>
      <w:tr>
        <w:trPr>
          <w:trHeight w:val="351"/>
        </w:trPr>
        <w:tc>
          <w:tcPr>
            <w:tcW w:w="560" w:type="dxa"/>
            <w:vAlign w:val="bottom"/>
          </w:tcPr>
          <w:p>
            <w:pPr>
              <w:ind w:left="20"/>
              <w:spacing w:after="0"/>
              <w:rPr>
                <w:sz w:val="20"/>
                <w:szCs w:val="20"/>
                <w:color w:val="auto"/>
              </w:rPr>
            </w:pPr>
            <w:r>
              <w:rPr>
                <w:rFonts w:ascii="Arial" w:cs="Arial" w:eastAsia="Arial" w:hAnsi="Arial"/>
                <w:sz w:val="20"/>
                <w:szCs w:val="20"/>
                <w:color w:val="auto"/>
              </w:rPr>
              <w:t>By:</w:t>
            </w:r>
          </w:p>
        </w:tc>
        <w:tc>
          <w:tcPr>
            <w:tcW w:w="3740" w:type="dxa"/>
            <w:vAlign w:val="bottom"/>
          </w:tcPr>
          <w:p>
            <w:pPr>
              <w:jc w:val="right"/>
              <w:ind w:right="241"/>
              <w:spacing w:after="0"/>
              <w:rPr>
                <w:sz w:val="20"/>
                <w:szCs w:val="20"/>
                <w:color w:val="auto"/>
              </w:rPr>
            </w:pPr>
            <w:r>
              <w:rPr>
                <w:rFonts w:ascii="Arial" w:cs="Arial" w:eastAsia="Arial" w:hAnsi="Arial"/>
                <w:sz w:val="20"/>
                <w:szCs w:val="20"/>
                <w:color w:val="auto"/>
                <w:w w:val="89"/>
              </w:rPr>
              <w:t>__________________________________</w:t>
            </w:r>
          </w:p>
        </w:tc>
        <w:tc>
          <w:tcPr>
            <w:tcW w:w="4440" w:type="dxa"/>
            <w:vAlign w:val="bottom"/>
            <w:gridSpan w:val="2"/>
          </w:tcPr>
          <w:p>
            <w:pPr>
              <w:ind w:left="1320"/>
              <w:spacing w:after="0"/>
              <w:rPr>
                <w:sz w:val="20"/>
                <w:szCs w:val="20"/>
                <w:color w:val="auto"/>
              </w:rPr>
            </w:pPr>
            <w:r>
              <w:rPr>
                <w:rFonts w:ascii="Arial" w:cs="Arial" w:eastAsia="Arial" w:hAnsi="Arial"/>
                <w:sz w:val="20"/>
                <w:szCs w:val="20"/>
                <w:color w:val="auto"/>
              </w:rPr>
              <w:t>AUTHORIZED SIGNER</w:t>
            </w:r>
          </w:p>
        </w:tc>
        <w:tc>
          <w:tcPr>
            <w:tcW w:w="0" w:type="dxa"/>
            <w:vAlign w:val="bottom"/>
          </w:tcPr>
          <w:p>
            <w:pPr>
              <w:spacing w:after="0"/>
              <w:rPr>
                <w:sz w:val="1"/>
                <w:szCs w:val="1"/>
                <w:color w:val="auto"/>
              </w:rPr>
            </w:pPr>
          </w:p>
        </w:tc>
      </w:tr>
      <w:tr>
        <w:trPr>
          <w:trHeight w:val="351"/>
        </w:trPr>
        <w:tc>
          <w:tcPr>
            <w:tcW w:w="560" w:type="dxa"/>
            <w:vAlign w:val="bottom"/>
          </w:tcPr>
          <w:p>
            <w:pPr>
              <w:ind w:left="20"/>
              <w:spacing w:after="0"/>
              <w:rPr>
                <w:sz w:val="20"/>
                <w:szCs w:val="20"/>
                <w:color w:val="auto"/>
              </w:rPr>
            </w:pPr>
            <w:r>
              <w:rPr>
                <w:rFonts w:ascii="Arial" w:cs="Arial" w:eastAsia="Arial" w:hAnsi="Arial"/>
                <w:sz w:val="20"/>
                <w:szCs w:val="20"/>
                <w:color w:val="auto"/>
                <w:w w:val="88"/>
              </w:rPr>
              <w:t>Name:</w:t>
            </w:r>
          </w:p>
        </w:tc>
        <w:tc>
          <w:tcPr>
            <w:tcW w:w="3740" w:type="dxa"/>
            <w:vAlign w:val="bottom"/>
          </w:tcPr>
          <w:p>
            <w:pPr>
              <w:jc w:val="right"/>
              <w:ind w:right="141"/>
              <w:spacing w:after="0"/>
              <w:rPr>
                <w:sz w:val="20"/>
                <w:szCs w:val="20"/>
                <w:color w:val="auto"/>
              </w:rPr>
            </w:pPr>
            <w:r>
              <w:rPr>
                <w:rFonts w:ascii="Arial" w:cs="Arial" w:eastAsia="Arial" w:hAnsi="Arial"/>
                <w:sz w:val="20"/>
                <w:szCs w:val="20"/>
                <w:color w:val="auto"/>
                <w:w w:val="92"/>
              </w:rPr>
              <w:t>__________________________________</w:t>
            </w:r>
          </w:p>
        </w:tc>
        <w:tc>
          <w:tcPr>
            <w:tcW w:w="4440" w:type="dxa"/>
            <w:vAlign w:val="bottom"/>
            <w:gridSpan w:val="2"/>
          </w:tcPr>
          <w:p>
            <w:pPr>
              <w:ind w:left="240"/>
              <w:spacing w:after="0"/>
              <w:rPr>
                <w:sz w:val="20"/>
                <w:szCs w:val="20"/>
                <w:color w:val="auto"/>
              </w:rPr>
            </w:pPr>
            <w:r>
              <w:rPr>
                <w:rFonts w:ascii="Arial" w:cs="Arial" w:eastAsia="Arial" w:hAnsi="Arial"/>
                <w:sz w:val="20"/>
                <w:szCs w:val="20"/>
                <w:color w:val="auto"/>
              </w:rPr>
              <w:t>Date:  ________________________________</w:t>
            </w:r>
          </w:p>
        </w:tc>
        <w:tc>
          <w:tcPr>
            <w:tcW w:w="0" w:type="dxa"/>
            <w:vAlign w:val="bottom"/>
          </w:tcPr>
          <w:p>
            <w:pPr>
              <w:spacing w:after="0"/>
              <w:rPr>
                <w:sz w:val="1"/>
                <w:szCs w:val="1"/>
                <w:color w:val="auto"/>
              </w:rPr>
            </w:pPr>
          </w:p>
        </w:tc>
      </w:tr>
      <w:tr>
        <w:trPr>
          <w:trHeight w:val="351"/>
        </w:trPr>
        <w:tc>
          <w:tcPr>
            <w:tcW w:w="560" w:type="dxa"/>
            <w:vAlign w:val="bottom"/>
          </w:tcPr>
          <w:p>
            <w:pPr>
              <w:ind w:left="20"/>
              <w:spacing w:after="0"/>
              <w:rPr>
                <w:sz w:val="20"/>
                <w:szCs w:val="20"/>
                <w:color w:val="auto"/>
              </w:rPr>
            </w:pPr>
            <w:r>
              <w:rPr>
                <w:rFonts w:ascii="Arial" w:cs="Arial" w:eastAsia="Arial" w:hAnsi="Arial"/>
                <w:sz w:val="20"/>
                <w:szCs w:val="20"/>
                <w:color w:val="auto"/>
              </w:rPr>
              <w:t>Title:</w:t>
            </w:r>
          </w:p>
        </w:tc>
        <w:tc>
          <w:tcPr>
            <w:tcW w:w="3740" w:type="dxa"/>
            <w:vAlign w:val="bottom"/>
          </w:tcPr>
          <w:p>
            <w:pPr>
              <w:jc w:val="right"/>
              <w:ind w:right="201"/>
              <w:spacing w:after="0"/>
              <w:rPr>
                <w:sz w:val="20"/>
                <w:szCs w:val="20"/>
                <w:color w:val="auto"/>
              </w:rPr>
            </w:pPr>
            <w:r>
              <w:rPr>
                <w:rFonts w:ascii="Arial" w:cs="Arial" w:eastAsia="Arial" w:hAnsi="Arial"/>
                <w:sz w:val="20"/>
                <w:szCs w:val="20"/>
                <w:color w:val="auto"/>
                <w:w w:val="90"/>
              </w:rPr>
              <w:t>__________________________________</w:t>
            </w:r>
          </w:p>
        </w:tc>
        <w:tc>
          <w:tcPr>
            <w:tcW w:w="4440" w:type="dxa"/>
            <w:vAlign w:val="bottom"/>
            <w:gridSpan w:val="2"/>
            <w:vMerge w:val="restart"/>
          </w:tcPr>
          <w:p>
            <w:pPr>
              <w:ind w:left="240"/>
              <w:spacing w:after="0"/>
              <w:rPr>
                <w:sz w:val="20"/>
                <w:szCs w:val="20"/>
                <w:color w:val="auto"/>
              </w:rPr>
            </w:pPr>
            <w:r>
              <w:rPr>
                <w:rFonts w:ascii="Arial" w:cs="Arial" w:eastAsia="Arial" w:hAnsi="Arial"/>
                <w:sz w:val="20"/>
                <w:szCs w:val="20"/>
                <w:color w:val="auto"/>
                <w:w w:val="98"/>
              </w:rPr>
              <w:t>Verified: _______________________________</w:t>
            </w: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440" w:type="dxa"/>
            <w:vAlign w:val="bottom"/>
            <w:gridSpan w:val="2"/>
          </w:tcPr>
          <w:p>
            <w:pPr>
              <w:ind w:left="1320"/>
              <w:spacing w:after="0"/>
              <w:rPr>
                <w:sz w:val="20"/>
                <w:szCs w:val="20"/>
                <w:color w:val="auto"/>
              </w:rPr>
            </w:pPr>
            <w:r>
              <w:rPr>
                <w:rFonts w:ascii="Arial" w:cs="Arial" w:eastAsia="Arial" w:hAnsi="Arial"/>
                <w:sz w:val="20"/>
                <w:szCs w:val="20"/>
                <w:color w:val="auto"/>
              </w:rPr>
              <w:t>AUTHORIZED SIGNER</w:t>
            </w: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440" w:type="dxa"/>
            <w:vAlign w:val="bottom"/>
            <w:gridSpan w:val="2"/>
          </w:tcPr>
          <w:p>
            <w:pPr>
              <w:ind w:left="240"/>
              <w:spacing w:after="0"/>
              <w:rPr>
                <w:sz w:val="20"/>
                <w:szCs w:val="20"/>
                <w:color w:val="auto"/>
              </w:rPr>
            </w:pPr>
            <w:r>
              <w:rPr>
                <w:rFonts w:ascii="Arial" w:cs="Arial" w:eastAsia="Arial" w:hAnsi="Arial"/>
                <w:sz w:val="20"/>
                <w:szCs w:val="20"/>
                <w:color w:val="auto"/>
                <w:w w:val="98"/>
              </w:rPr>
              <w:t>Date:  _________________________________</w:t>
            </w:r>
          </w:p>
        </w:tc>
        <w:tc>
          <w:tcPr>
            <w:tcW w:w="0" w:type="dxa"/>
            <w:vAlign w:val="bottom"/>
          </w:tcPr>
          <w:p>
            <w:pPr>
              <w:spacing w:after="0"/>
              <w:rPr>
                <w:sz w:val="1"/>
                <w:szCs w:val="1"/>
                <w:color w:val="auto"/>
              </w:rPr>
            </w:pPr>
          </w:p>
        </w:tc>
      </w:tr>
      <w:tr>
        <w:trPr>
          <w:trHeight w:val="513"/>
        </w:trPr>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0" w:type="dxa"/>
            <w:vAlign w:val="bottom"/>
          </w:tcPr>
          <w:p>
            <w:pPr>
              <w:ind w:left="240"/>
              <w:spacing w:after="0"/>
              <w:rPr>
                <w:sz w:val="20"/>
                <w:szCs w:val="20"/>
                <w:color w:val="auto"/>
              </w:rPr>
            </w:pPr>
            <w:r>
              <w:rPr>
                <w:rFonts w:ascii="Arial" w:cs="Arial" w:eastAsia="Arial" w:hAnsi="Arial"/>
                <w:sz w:val="20"/>
                <w:szCs w:val="20"/>
                <w:color w:val="auto"/>
              </w:rPr>
              <w:t>Compliance Status:</w:t>
            </w:r>
          </w:p>
        </w:tc>
        <w:tc>
          <w:tcPr>
            <w:tcW w:w="2440" w:type="dxa"/>
            <w:vAlign w:val="bottom"/>
          </w:tcPr>
          <w:p>
            <w:pPr>
              <w:ind w:left="160"/>
              <w:spacing w:after="0"/>
              <w:rPr>
                <w:sz w:val="20"/>
                <w:szCs w:val="20"/>
                <w:color w:val="auto"/>
              </w:rPr>
            </w:pPr>
            <w:r>
              <w:rPr>
                <w:rFonts w:ascii="Arial" w:cs="Arial" w:eastAsia="Arial" w:hAnsi="Arial"/>
                <w:sz w:val="20"/>
                <w:szCs w:val="20"/>
                <w:color w:val="auto"/>
              </w:rPr>
              <w:t>Yes   No</w:t>
            </w:r>
          </w:p>
        </w:tc>
        <w:tc>
          <w:tcPr>
            <w:tcW w:w="0" w:type="dxa"/>
            <w:vAlign w:val="bottom"/>
          </w:tcPr>
          <w:p>
            <w:pPr>
              <w:spacing w:after="0"/>
              <w:rPr>
                <w:sz w:val="1"/>
                <w:szCs w:val="1"/>
                <w:color w:val="auto"/>
              </w:rPr>
            </w:pPr>
          </w:p>
        </w:tc>
      </w:tr>
      <w:tr>
        <w:trPr>
          <w:trHeight w:val="192"/>
        </w:trPr>
        <w:tc>
          <w:tcPr>
            <w:tcW w:w="5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0"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u w:val="single" w:color="auto"/>
          <w:color w:val="auto"/>
        </w:rPr>
        <w:t>Schedule 1 to Compliance Certificate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Financial Covenants of Borrower</w:t>
      </w:r>
    </w:p>
    <w:p>
      <w:pPr>
        <w:spacing w:after="0" w:line="154" w:lineRule="exact"/>
        <w:rPr>
          <w:sz w:val="20"/>
          <w:szCs w:val="20"/>
          <w:color w:val="auto"/>
        </w:rPr>
      </w:pPr>
    </w:p>
    <w:p>
      <w:pPr>
        <w:ind w:left="160" w:right="659" w:firstLine="648"/>
        <w:spacing w:after="0" w:line="229" w:lineRule="auto"/>
        <w:rPr>
          <w:sz w:val="20"/>
          <w:szCs w:val="20"/>
          <w:color w:val="auto"/>
        </w:rPr>
      </w:pPr>
      <w:r>
        <w:rPr>
          <w:rFonts w:ascii="Arial" w:cs="Arial" w:eastAsia="Arial" w:hAnsi="Arial"/>
          <w:sz w:val="20"/>
          <w:szCs w:val="20"/>
          <w:color w:val="auto"/>
        </w:rPr>
        <w:t>In the event of a conflict between this Schedule and the Loan Agreement, the terms of the Loan Agreement shall govern.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Dated:  ____________________</w:t>
      </w:r>
    </w:p>
    <w:p>
      <w:pPr>
        <w:spacing w:after="0" w:line="142" w:lineRule="exact"/>
        <w:rPr>
          <w:sz w:val="20"/>
          <w:szCs w:val="20"/>
          <w:color w:val="auto"/>
        </w:rPr>
      </w:pPr>
    </w:p>
    <w:p>
      <w:pPr>
        <w:ind w:left="820" w:hanging="669"/>
        <w:spacing w:after="0"/>
        <w:tabs>
          <w:tab w:leader="none" w:pos="8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Liquidity Ratio </w:t>
      </w:r>
      <w:r>
        <w:rPr>
          <w:rFonts w:ascii="Arial" w:cs="Arial" w:eastAsia="Arial" w:hAnsi="Arial"/>
          <w:sz w:val="20"/>
          <w:szCs w:val="20"/>
          <w:color w:val="auto"/>
        </w:rPr>
        <w:t>(Section 6.7(a))</w:t>
      </w:r>
    </w:p>
    <w:p>
      <w:pPr>
        <w:spacing w:after="0" w:line="181"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840" w:type="dxa"/>
            <w:vAlign w:val="bottom"/>
            <w:gridSpan w:val="3"/>
          </w:tcPr>
          <w:p>
            <w:pPr>
              <w:ind w:left="20"/>
              <w:spacing w:after="0"/>
              <w:rPr>
                <w:sz w:val="20"/>
                <w:szCs w:val="20"/>
                <w:color w:val="auto"/>
              </w:rPr>
            </w:pPr>
            <w:r>
              <w:rPr>
                <w:rFonts w:ascii="Arial" w:cs="Arial" w:eastAsia="Arial" w:hAnsi="Arial"/>
                <w:sz w:val="20"/>
                <w:szCs w:val="20"/>
                <w:color w:val="auto"/>
                <w:w w:val="92"/>
              </w:rPr>
              <w:t>Required:</w:t>
            </w:r>
          </w:p>
        </w:tc>
        <w:tc>
          <w:tcPr>
            <w:tcW w:w="7900" w:type="dxa"/>
            <w:vAlign w:val="bottom"/>
            <w:gridSpan w:val="6"/>
          </w:tcPr>
          <w:p>
            <w:pPr>
              <w:jc w:val="right"/>
              <w:ind w:right="1201"/>
              <w:spacing w:after="0"/>
              <w:rPr>
                <w:sz w:val="20"/>
                <w:szCs w:val="20"/>
                <w:color w:val="auto"/>
              </w:rPr>
            </w:pPr>
            <w:r>
              <w:rPr>
                <w:rFonts w:ascii="Arial" w:cs="Arial" w:eastAsia="Arial" w:hAnsi="Arial"/>
                <w:sz w:val="20"/>
                <w:szCs w:val="20"/>
                <w:color w:val="auto"/>
                <w:w w:val="97"/>
              </w:rPr>
              <w:t>As of the last day of each month, a Liquidity Ratio of not less than 1.50:1.00.</w:t>
            </w:r>
          </w:p>
        </w:tc>
      </w:tr>
      <w:tr>
        <w:trPr>
          <w:trHeight w:val="297"/>
        </w:trPr>
        <w:tc>
          <w:tcPr>
            <w:tcW w:w="840" w:type="dxa"/>
            <w:vAlign w:val="bottom"/>
            <w:gridSpan w:val="3"/>
          </w:tcPr>
          <w:p>
            <w:pPr>
              <w:ind w:left="20"/>
              <w:spacing w:after="0"/>
              <w:rPr>
                <w:sz w:val="20"/>
                <w:szCs w:val="20"/>
                <w:color w:val="auto"/>
              </w:rPr>
            </w:pPr>
            <w:r>
              <w:rPr>
                <w:rFonts w:ascii="Arial" w:cs="Arial" w:eastAsia="Arial" w:hAnsi="Arial"/>
                <w:sz w:val="20"/>
                <w:szCs w:val="20"/>
                <w:color w:val="auto"/>
              </w:rPr>
              <w:t>Actual:</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58"/>
        </w:trPr>
        <w:tc>
          <w:tcPr>
            <w:tcW w:w="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80" w:type="dxa"/>
            <w:vAlign w:val="bottom"/>
          </w:tcPr>
          <w:p>
            <w:pPr>
              <w:spacing w:after="0"/>
              <w:rPr>
                <w:sz w:val="21"/>
                <w:szCs w:val="21"/>
                <w:color w:val="auto"/>
              </w:rPr>
            </w:pPr>
          </w:p>
        </w:tc>
        <w:tc>
          <w:tcPr>
            <w:tcW w:w="5120" w:type="dxa"/>
            <w:vAlign w:val="bottom"/>
            <w:gridSpan w:val="4"/>
          </w:tcPr>
          <w:p>
            <w:pPr>
              <w:ind w:left="40"/>
              <w:spacing w:after="0"/>
              <w:rPr>
                <w:sz w:val="20"/>
                <w:szCs w:val="20"/>
                <w:color w:val="auto"/>
              </w:rPr>
            </w:pPr>
            <w:r>
              <w:rPr>
                <w:rFonts w:ascii="Arial" w:cs="Arial" w:eastAsia="Arial" w:hAnsi="Arial"/>
                <w:sz w:val="20"/>
                <w:szCs w:val="20"/>
                <w:color w:val="auto"/>
                <w:w w:val="95"/>
              </w:rPr>
              <w:t>Unrestricted cash and Cash Equivalents maintained at Bank</w:t>
            </w:r>
          </w:p>
        </w:tc>
        <w:tc>
          <w:tcPr>
            <w:tcW w:w="104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$________</w:t>
            </w:r>
          </w:p>
        </w:tc>
      </w:tr>
      <w:tr>
        <w:trPr>
          <w:trHeight w:val="155"/>
        </w:trPr>
        <w:tc>
          <w:tcPr>
            <w:tcW w:w="40" w:type="dxa"/>
            <w:vAlign w:val="bottom"/>
            <w:tcBorders>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80" w:type="dxa"/>
            <w:vAlign w:val="bottom"/>
          </w:tcPr>
          <w:p>
            <w:pPr>
              <w:spacing w:after="0"/>
              <w:rPr>
                <w:sz w:val="21"/>
                <w:szCs w:val="21"/>
                <w:color w:val="auto"/>
              </w:rPr>
            </w:pPr>
          </w:p>
        </w:tc>
        <w:tc>
          <w:tcPr>
            <w:tcW w:w="5120" w:type="dxa"/>
            <w:vAlign w:val="bottom"/>
            <w:gridSpan w:val="4"/>
          </w:tcPr>
          <w:p>
            <w:pPr>
              <w:ind w:left="40"/>
              <w:spacing w:after="0"/>
              <w:rPr>
                <w:sz w:val="20"/>
                <w:szCs w:val="20"/>
                <w:color w:val="auto"/>
              </w:rPr>
            </w:pPr>
            <w:r>
              <w:rPr>
                <w:rFonts w:ascii="Arial" w:cs="Arial" w:eastAsia="Arial" w:hAnsi="Arial"/>
                <w:sz w:val="20"/>
                <w:szCs w:val="20"/>
                <w:color w:val="auto"/>
              </w:rPr>
              <w:t>Net accounts receivable</w:t>
            </w:r>
          </w:p>
        </w:tc>
        <w:tc>
          <w:tcPr>
            <w:tcW w:w="104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$________</w:t>
            </w:r>
          </w:p>
        </w:tc>
      </w:tr>
      <w:tr>
        <w:trPr>
          <w:trHeight w:val="155"/>
        </w:trPr>
        <w:tc>
          <w:tcPr>
            <w:tcW w:w="40" w:type="dxa"/>
            <w:vAlign w:val="bottom"/>
            <w:tcBorders>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w:t>
            </w:r>
          </w:p>
        </w:tc>
        <w:tc>
          <w:tcPr>
            <w:tcW w:w="80" w:type="dxa"/>
            <w:vAlign w:val="bottom"/>
          </w:tcPr>
          <w:p>
            <w:pPr>
              <w:spacing w:after="0"/>
              <w:rPr>
                <w:sz w:val="21"/>
                <w:szCs w:val="21"/>
                <w:color w:val="auto"/>
              </w:rPr>
            </w:pPr>
          </w:p>
        </w:tc>
        <w:tc>
          <w:tcPr>
            <w:tcW w:w="5120" w:type="dxa"/>
            <w:vAlign w:val="bottom"/>
            <w:gridSpan w:val="4"/>
          </w:tcPr>
          <w:p>
            <w:pPr>
              <w:ind w:left="40"/>
              <w:spacing w:after="0"/>
              <w:rPr>
                <w:sz w:val="20"/>
                <w:szCs w:val="20"/>
                <w:color w:val="auto"/>
              </w:rPr>
            </w:pPr>
            <w:r>
              <w:rPr>
                <w:rFonts w:ascii="Arial" w:cs="Arial" w:eastAsia="Arial" w:hAnsi="Arial"/>
                <w:sz w:val="20"/>
                <w:szCs w:val="20"/>
                <w:color w:val="auto"/>
              </w:rPr>
              <w:t>Liquidity (line A, plus line B)</w:t>
            </w:r>
          </w:p>
        </w:tc>
        <w:tc>
          <w:tcPr>
            <w:tcW w:w="104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$________</w:t>
            </w:r>
          </w:p>
        </w:tc>
      </w:tr>
      <w:tr>
        <w:trPr>
          <w:trHeight w:val="155"/>
        </w:trPr>
        <w:tc>
          <w:tcPr>
            <w:tcW w:w="40" w:type="dxa"/>
            <w:vAlign w:val="bottom"/>
            <w:tcBorders>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w:t>
            </w:r>
          </w:p>
        </w:tc>
        <w:tc>
          <w:tcPr>
            <w:tcW w:w="80" w:type="dxa"/>
            <w:vAlign w:val="bottom"/>
          </w:tcPr>
          <w:p>
            <w:pPr>
              <w:spacing w:after="0"/>
              <w:rPr>
                <w:sz w:val="21"/>
                <w:szCs w:val="21"/>
                <w:color w:val="auto"/>
              </w:rPr>
            </w:pPr>
          </w:p>
        </w:tc>
        <w:tc>
          <w:tcPr>
            <w:tcW w:w="5120" w:type="dxa"/>
            <w:vAlign w:val="bottom"/>
            <w:gridSpan w:val="4"/>
          </w:tcPr>
          <w:p>
            <w:pPr>
              <w:ind w:left="40"/>
              <w:spacing w:after="0"/>
              <w:rPr>
                <w:sz w:val="20"/>
                <w:szCs w:val="20"/>
                <w:color w:val="auto"/>
              </w:rPr>
            </w:pPr>
            <w:r>
              <w:rPr>
                <w:rFonts w:ascii="Arial" w:cs="Arial" w:eastAsia="Arial" w:hAnsi="Arial"/>
                <w:sz w:val="20"/>
                <w:szCs w:val="20"/>
                <w:color w:val="auto"/>
              </w:rPr>
              <w:t>Outstanding Obligations</w:t>
            </w:r>
          </w:p>
        </w:tc>
        <w:tc>
          <w:tcPr>
            <w:tcW w:w="104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$________</w:t>
            </w:r>
          </w:p>
        </w:tc>
      </w:tr>
      <w:tr>
        <w:trPr>
          <w:trHeight w:val="155"/>
        </w:trPr>
        <w:tc>
          <w:tcPr>
            <w:tcW w:w="40" w:type="dxa"/>
            <w:vAlign w:val="bottom"/>
            <w:tcBorders>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w:t>
            </w:r>
          </w:p>
        </w:tc>
        <w:tc>
          <w:tcPr>
            <w:tcW w:w="80" w:type="dxa"/>
            <w:vAlign w:val="bottom"/>
          </w:tcPr>
          <w:p>
            <w:pPr>
              <w:spacing w:after="0"/>
              <w:rPr>
                <w:sz w:val="21"/>
                <w:szCs w:val="21"/>
                <w:color w:val="auto"/>
              </w:rPr>
            </w:pPr>
          </w:p>
        </w:tc>
        <w:tc>
          <w:tcPr>
            <w:tcW w:w="5120" w:type="dxa"/>
            <w:vAlign w:val="bottom"/>
            <w:gridSpan w:val="4"/>
          </w:tcPr>
          <w:p>
            <w:pPr>
              <w:ind w:left="40"/>
              <w:spacing w:after="0"/>
              <w:rPr>
                <w:sz w:val="20"/>
                <w:szCs w:val="20"/>
                <w:color w:val="auto"/>
              </w:rPr>
            </w:pPr>
            <w:r>
              <w:rPr>
                <w:rFonts w:ascii="Arial" w:cs="Arial" w:eastAsia="Arial" w:hAnsi="Arial"/>
                <w:sz w:val="20"/>
                <w:szCs w:val="20"/>
                <w:color w:val="auto"/>
              </w:rPr>
              <w:t>Liquidity Ratio (line C, divided by line D)</w:t>
            </w:r>
          </w:p>
        </w:tc>
        <w:tc>
          <w:tcPr>
            <w:tcW w:w="104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______</w:t>
            </w:r>
          </w:p>
        </w:tc>
      </w:tr>
      <w:tr>
        <w:trPr>
          <w:trHeight w:val="155"/>
        </w:trPr>
        <w:tc>
          <w:tcPr>
            <w:tcW w:w="40" w:type="dxa"/>
            <w:vAlign w:val="bottom"/>
            <w:tcBorders>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gridSpan w:val="2"/>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r>
      <w:tr>
        <w:trPr>
          <w:trHeight w:val="403"/>
        </w:trPr>
        <w:tc>
          <w:tcPr>
            <w:tcW w:w="5960" w:type="dxa"/>
            <w:vAlign w:val="bottom"/>
            <w:gridSpan w:val="7"/>
          </w:tcPr>
          <w:p>
            <w:pPr>
              <w:ind w:left="20"/>
              <w:spacing w:after="0"/>
              <w:rPr>
                <w:sz w:val="20"/>
                <w:szCs w:val="20"/>
                <w:color w:val="auto"/>
              </w:rPr>
            </w:pPr>
            <w:r>
              <w:rPr>
                <w:rFonts w:ascii="Arial" w:cs="Arial" w:eastAsia="Arial" w:hAnsi="Arial"/>
                <w:sz w:val="20"/>
                <w:szCs w:val="20"/>
                <w:color w:val="auto"/>
              </w:rPr>
              <w:t>Is line E equal to or greater than 1.50:1.00?</w:t>
            </w: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47"/>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80" w:type="dxa"/>
            <w:vAlign w:val="bottom"/>
            <w:gridSpan w:val="3"/>
          </w:tcPr>
          <w:p>
            <w:pPr>
              <w:ind w:left="780"/>
              <w:spacing w:after="0"/>
              <w:rPr>
                <w:sz w:val="20"/>
                <w:szCs w:val="20"/>
                <w:color w:val="auto"/>
              </w:rPr>
            </w:pPr>
            <w:r>
              <w:rPr>
                <w:rFonts w:ascii="Arial" w:cs="Arial" w:eastAsia="Arial" w:hAnsi="Arial"/>
                <w:sz w:val="20"/>
                <w:szCs w:val="20"/>
                <w:color w:val="auto"/>
              </w:rPr>
              <w:t>No, not in compliance</w:t>
            </w:r>
          </w:p>
        </w:tc>
        <w:tc>
          <w:tcPr>
            <w:tcW w:w="2780" w:type="dxa"/>
            <w:vAlign w:val="bottom"/>
            <w:gridSpan w:val="2"/>
          </w:tcPr>
          <w:p>
            <w:pPr>
              <w:jc w:val="right"/>
              <w:ind w:right="1161"/>
              <w:spacing w:after="0"/>
              <w:rPr>
                <w:sz w:val="20"/>
                <w:szCs w:val="20"/>
                <w:color w:val="auto"/>
              </w:rPr>
            </w:pPr>
            <w:r>
              <w:rPr>
                <w:rFonts w:ascii="Arial" w:cs="Arial" w:eastAsia="Arial" w:hAnsi="Arial"/>
                <w:sz w:val="20"/>
                <w:szCs w:val="20"/>
                <w:color w:val="auto"/>
                <w:w w:val="89"/>
              </w:rPr>
              <w:t>Yes, in compliance</w:t>
            </w:r>
          </w:p>
        </w:tc>
      </w:tr>
      <w:tr>
        <w:trPr>
          <w:trHeight w:val="419"/>
        </w:trPr>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4" w:right="1440" w:bottom="1440" w:gutter="0" w:footer="0" w:header="0"/>
        </w:sectPr>
      </w:pPr>
    </w:p>
    <w:bookmarkStart w:id="58" w:name="page59"/>
    <w:bookmarkEnd w:id="58"/>
    <w:p>
      <w:pPr>
        <w:ind w:left="820" w:hanging="669"/>
        <w:spacing w:after="0"/>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 xml:space="preserve">Performance to Plan </w:t>
      </w:r>
      <w:r>
        <w:rPr>
          <w:rFonts w:ascii="Arial" w:cs="Arial" w:eastAsia="Arial" w:hAnsi="Arial"/>
          <w:sz w:val="20"/>
          <w:szCs w:val="20"/>
          <w:color w:val="auto"/>
        </w:rPr>
        <w:t>(Section 6.7(b))</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Required TFS Revenue of Borrower for such month (calculated on a cumulative fiscal year to date basis):</w:t>
      </w:r>
    </w:p>
    <w:p>
      <w:pPr>
        <w:spacing w:after="0" w:line="397" w:lineRule="exact"/>
        <w:rPr>
          <w:sz w:val="20"/>
          <w:szCs w:val="20"/>
          <w:color w:val="auto"/>
        </w:rPr>
      </w:pPr>
    </w:p>
    <w:tbl>
      <w:tblPr>
        <w:tblLayout w:type="fixed"/>
        <w:tblInd w:w="2120" w:type="dxa"/>
        <w:tblCellMar>
          <w:top w:w="0" w:type="dxa"/>
          <w:left w:w="0" w:type="dxa"/>
          <w:bottom w:w="0" w:type="dxa"/>
          <w:right w:w="0" w:type="dxa"/>
        </w:tblCellMar>
      </w:tblPr>
      <w:tr>
        <w:trPr>
          <w:trHeight w:val="250"/>
        </w:trPr>
        <w:tc>
          <w:tcPr>
            <w:tcW w:w="2460" w:type="dxa"/>
            <w:vAlign w:val="bottom"/>
          </w:tcPr>
          <w:p>
            <w:pPr>
              <w:jc w:val="center"/>
              <w:ind w:right="761"/>
              <w:spacing w:after="0"/>
              <w:rPr>
                <w:sz w:val="20"/>
                <w:szCs w:val="20"/>
                <w:color w:val="auto"/>
              </w:rPr>
            </w:pPr>
            <w:r>
              <w:rPr>
                <w:rFonts w:ascii="Arial" w:cs="Arial" w:eastAsia="Arial" w:hAnsi="Arial"/>
                <w:sz w:val="20"/>
                <w:szCs w:val="20"/>
                <w:u w:val="single" w:color="auto"/>
                <w:color w:val="auto"/>
                <w:w w:val="93"/>
              </w:rPr>
              <w:t>Month Ending</w:t>
            </w:r>
          </w:p>
        </w:tc>
        <w:tc>
          <w:tcPr>
            <w:tcW w:w="2780" w:type="dxa"/>
            <w:vAlign w:val="bottom"/>
          </w:tcPr>
          <w:p>
            <w:pPr>
              <w:ind w:left="860"/>
              <w:spacing w:after="0"/>
              <w:rPr>
                <w:sz w:val="20"/>
                <w:szCs w:val="20"/>
                <w:color w:val="auto"/>
              </w:rPr>
            </w:pPr>
            <w:r>
              <w:rPr>
                <w:rFonts w:ascii="Arial" w:cs="Arial" w:eastAsia="Arial" w:hAnsi="Arial"/>
                <w:sz w:val="20"/>
                <w:szCs w:val="20"/>
                <w:u w:val="single" w:color="auto"/>
                <w:color w:val="auto"/>
                <w:w w:val="90"/>
              </w:rPr>
              <w:t>Minimum TFS Revenue</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88"/>
              </w:rPr>
              <w:t>December 31, 2018</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9"/>
              </w:rPr>
              <w:t>$40,498,000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87"/>
              </w:rPr>
              <w:t>January 31,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7"/>
              </w:rPr>
              <w:t>$1,487,000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88"/>
              </w:rPr>
              <w:t>February 28,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7"/>
              </w:rPr>
              <w:t>$4,956,000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89"/>
              </w:rPr>
              <w:t>March 31,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7"/>
              </w:rPr>
              <w:t>$9,913,000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93"/>
              </w:rPr>
              <w:t>April 30, 2019</w:t>
            </w:r>
          </w:p>
        </w:tc>
        <w:tc>
          <w:tcPr>
            <w:tcW w:w="2780" w:type="dxa"/>
            <w:vAlign w:val="bottom"/>
          </w:tcPr>
          <w:p>
            <w:pPr>
              <w:jc w:val="center"/>
              <w:ind w:left="741"/>
              <w:spacing w:after="0"/>
              <w:rPr>
                <w:sz w:val="20"/>
                <w:szCs w:val="20"/>
                <w:color w:val="auto"/>
              </w:rPr>
            </w:pPr>
            <w:r>
              <w:rPr>
                <w:rFonts w:ascii="Arial" w:cs="Arial" w:eastAsia="Arial" w:hAnsi="Arial"/>
                <w:sz w:val="20"/>
                <w:szCs w:val="20"/>
                <w:color w:val="auto"/>
                <w:w w:val="88"/>
              </w:rPr>
              <w:t>$11,520,000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92"/>
              </w:rPr>
              <w:t>May 31,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9"/>
              </w:rPr>
              <w:t>$15,268,000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88"/>
              </w:rPr>
              <w:t>June 30,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9"/>
              </w:rPr>
              <w:t>$20,624,000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90"/>
              </w:rPr>
              <w:t>July 31,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9"/>
              </w:rPr>
              <w:t>$22,539,000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90"/>
              </w:rPr>
              <w:t>August 31,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9"/>
              </w:rPr>
              <w:t>$27,007,000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88"/>
              </w:rPr>
              <w:t>September 30,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9"/>
              </w:rPr>
              <w:t>$33,390,000</w:t>
            </w:r>
          </w:p>
        </w:tc>
      </w:tr>
      <w:tr>
        <w:trPr>
          <w:trHeight w:val="351"/>
        </w:trPr>
        <w:tc>
          <w:tcPr>
            <w:tcW w:w="2460" w:type="dxa"/>
            <w:vAlign w:val="bottom"/>
          </w:tcPr>
          <w:p>
            <w:pPr>
              <w:jc w:val="center"/>
              <w:ind w:right="741"/>
              <w:spacing w:after="0"/>
              <w:rPr>
                <w:sz w:val="20"/>
                <w:szCs w:val="20"/>
                <w:color w:val="auto"/>
              </w:rPr>
            </w:pPr>
            <w:r>
              <w:rPr>
                <w:rFonts w:ascii="Arial" w:cs="Arial" w:eastAsia="Arial" w:hAnsi="Arial"/>
                <w:sz w:val="20"/>
                <w:szCs w:val="20"/>
                <w:color w:val="auto"/>
                <w:w w:val="89"/>
              </w:rPr>
              <w:t>October 31,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9"/>
              </w:rPr>
              <w:t>$35,784,000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88"/>
              </w:rPr>
              <w:t>November 30,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9"/>
              </w:rPr>
              <w:t>$41,368,000</w:t>
            </w:r>
          </w:p>
        </w:tc>
      </w:tr>
      <w:tr>
        <w:trPr>
          <w:trHeight w:val="351"/>
        </w:trPr>
        <w:tc>
          <w:tcPr>
            <w:tcW w:w="2460" w:type="dxa"/>
            <w:vAlign w:val="bottom"/>
          </w:tcPr>
          <w:p>
            <w:pPr>
              <w:jc w:val="center"/>
              <w:ind w:right="761"/>
              <w:spacing w:after="0"/>
              <w:rPr>
                <w:sz w:val="20"/>
                <w:szCs w:val="20"/>
                <w:color w:val="auto"/>
              </w:rPr>
            </w:pPr>
            <w:r>
              <w:rPr>
                <w:rFonts w:ascii="Arial" w:cs="Arial" w:eastAsia="Arial" w:hAnsi="Arial"/>
                <w:sz w:val="20"/>
                <w:szCs w:val="20"/>
                <w:color w:val="auto"/>
                <w:w w:val="88"/>
              </w:rPr>
              <w:t>December 31, 2019</w:t>
            </w:r>
          </w:p>
        </w:tc>
        <w:tc>
          <w:tcPr>
            <w:tcW w:w="2780" w:type="dxa"/>
            <w:vAlign w:val="bottom"/>
          </w:tcPr>
          <w:p>
            <w:pPr>
              <w:jc w:val="center"/>
              <w:ind w:left="761"/>
              <w:spacing w:after="0"/>
              <w:rPr>
                <w:sz w:val="20"/>
                <w:szCs w:val="20"/>
                <w:color w:val="auto"/>
              </w:rPr>
            </w:pPr>
            <w:r>
              <w:rPr>
                <w:rFonts w:ascii="Arial" w:cs="Arial" w:eastAsia="Arial" w:hAnsi="Arial"/>
                <w:sz w:val="20"/>
                <w:szCs w:val="20"/>
                <w:color w:val="auto"/>
                <w:w w:val="89"/>
              </w:rPr>
              <w:t>$49,346,000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-3046095</wp:posOffset>
            </wp:positionV>
            <wp:extent cx="4425315" cy="3129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4425315" cy="3129915"/>
                    </a:xfrm>
                    <a:prstGeom prst="rect">
                      <a:avLst/>
                    </a:prstGeom>
                    <a:noFill/>
                  </pic:spPr>
                </pic:pic>
              </a:graphicData>
            </a:graphic>
          </wp:anchor>
        </w:drawing>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Actual:</w:t>
      </w:r>
    </w:p>
    <w:p>
      <w:pPr>
        <w:spacing w:after="0" w:line="285" w:lineRule="exact"/>
        <w:rPr>
          <w:sz w:val="20"/>
          <w:szCs w:val="20"/>
          <w:color w:val="auto"/>
        </w:rPr>
      </w:pPr>
    </w:p>
    <w:p>
      <w:pPr>
        <w:ind w:left="1760" w:hanging="600"/>
        <w:spacing w:after="0"/>
        <w:tabs>
          <w:tab w:leader="none" w:pos="17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Actual TFS Revenue of Borrower for such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-118745</wp:posOffset>
            </wp:positionV>
            <wp:extent cx="4425315"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4425315" cy="37719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90"/>
        </w:trPr>
        <w:tc>
          <w:tcPr>
            <w:tcW w:w="4320" w:type="dxa"/>
            <w:vAlign w:val="bottom"/>
          </w:tcPr>
          <w:p>
            <w:pPr>
              <w:spacing w:after="0" w:line="190" w:lineRule="exact"/>
              <w:rPr>
                <w:sz w:val="20"/>
                <w:szCs w:val="20"/>
                <w:color w:val="auto"/>
              </w:rPr>
            </w:pPr>
            <w:r>
              <w:rPr>
                <w:rFonts w:ascii="Arial" w:cs="Arial" w:eastAsia="Arial" w:hAnsi="Arial"/>
                <w:sz w:val="20"/>
                <w:szCs w:val="20"/>
                <w:color w:val="auto"/>
              </w:rPr>
              <w:t>(calculated on a cumulative year to date basis):</w:t>
            </w:r>
          </w:p>
        </w:tc>
        <w:tc>
          <w:tcPr>
            <w:tcW w:w="1780" w:type="dxa"/>
            <w:vAlign w:val="bottom"/>
            <w:gridSpan w:val="2"/>
          </w:tcPr>
          <w:p>
            <w:pPr>
              <w:jc w:val="right"/>
              <w:spacing w:after="0" w:line="190" w:lineRule="exact"/>
              <w:rPr>
                <w:sz w:val="20"/>
                <w:szCs w:val="20"/>
                <w:color w:val="auto"/>
              </w:rPr>
            </w:pPr>
            <w:r>
              <w:rPr>
                <w:rFonts w:ascii="Arial" w:cs="Arial" w:eastAsia="Arial" w:hAnsi="Arial"/>
                <w:sz w:val="20"/>
                <w:szCs w:val="20"/>
                <w:color w:val="auto"/>
              </w:rPr>
              <w:t>$___________</w:t>
            </w:r>
          </w:p>
        </w:tc>
      </w:tr>
      <w:tr>
        <w:trPr>
          <w:trHeight w:val="20"/>
        </w:trPr>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36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Is line A equal to or greater than the amount required above?</w:t>
      </w:r>
    </w:p>
    <w:p>
      <w:pPr>
        <w:spacing w:after="0" w:line="148" w:lineRule="exact"/>
        <w:rPr>
          <w:sz w:val="20"/>
          <w:szCs w:val="20"/>
          <w:color w:val="auto"/>
        </w:rPr>
      </w:pPr>
    </w:p>
    <w:p>
      <w:pPr>
        <w:ind w:left="2600"/>
        <w:spacing w:after="0"/>
        <w:tabs>
          <w:tab w:leader="none" w:pos="6080" w:val="left"/>
        </w:tabs>
        <w:rPr>
          <w:sz w:val="20"/>
          <w:szCs w:val="20"/>
          <w:color w:val="auto"/>
        </w:rPr>
      </w:pPr>
      <w:r>
        <w:rPr>
          <w:rFonts w:ascii="Arial" w:cs="Arial" w:eastAsia="Arial" w:hAnsi="Arial"/>
          <w:sz w:val="20"/>
          <w:szCs w:val="20"/>
          <w:color w:val="auto"/>
        </w:rPr>
        <w:t>No, not in compliance</w:t>
      </w:r>
      <w:r>
        <w:rPr>
          <w:sz w:val="20"/>
          <w:szCs w:val="20"/>
          <w:color w:val="auto"/>
        </w:rPr>
        <w:tab/>
      </w:r>
      <w:r>
        <w:rPr>
          <w:rFonts w:ascii="Arial" w:cs="Arial" w:eastAsia="Arial" w:hAnsi="Arial"/>
          <w:sz w:val="18"/>
          <w:szCs w:val="18"/>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-6350</wp:posOffset>
            </wp:positionV>
            <wp:extent cx="5143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-6350</wp:posOffset>
            </wp:positionV>
            <wp:extent cx="5060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9" w:name="page60"/>
    <w:bookmarkEnd w:id="59"/>
    <w:p>
      <w:pPr>
        <w:jc w:val="right"/>
        <w:ind w:right="139"/>
        <w:spacing w:after="0"/>
        <w:rPr>
          <w:sz w:val="20"/>
          <w:szCs w:val="20"/>
          <w:color w:val="auto"/>
        </w:rPr>
      </w:pPr>
      <w:r>
        <w:rPr>
          <w:rFonts w:ascii="Arial" w:cs="Arial" w:eastAsia="Arial" w:hAnsi="Arial"/>
          <w:sz w:val="20"/>
          <w:szCs w:val="20"/>
          <w:b w:val="1"/>
          <w:bCs w:val="1"/>
          <w:color w:val="313131"/>
        </w:rPr>
        <w:t>Exhibit 10.2</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313131"/>
        </w:rPr>
        <w:t>EXECUTIVE EMPLOYMENT AGREEMENT</w:t>
      </w:r>
    </w:p>
    <w:p>
      <w:pPr>
        <w:jc w:val="center"/>
        <w:ind w:right="-20"/>
        <w:spacing w:after="0"/>
        <w:rPr>
          <w:sz w:val="20"/>
          <w:szCs w:val="20"/>
          <w:color w:val="auto"/>
        </w:rPr>
      </w:pPr>
      <w:r>
        <w:rPr>
          <w:rFonts w:ascii="Arial" w:cs="Arial" w:eastAsia="Arial" w:hAnsi="Arial"/>
          <w:sz w:val="20"/>
          <w:szCs w:val="20"/>
          <w:b w:val="1"/>
          <w:bCs w:val="1"/>
          <w:color w:val="313131"/>
        </w:rPr>
        <w:t>for</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313131"/>
        </w:rPr>
        <w:t>Jeff Winzeler</w:t>
      </w:r>
    </w:p>
    <w:p>
      <w:pPr>
        <w:spacing w:after="0" w:line="148" w:lineRule="exact"/>
        <w:rPr>
          <w:sz w:val="20"/>
          <w:szCs w:val="20"/>
          <w:color w:val="auto"/>
        </w:rPr>
      </w:pPr>
    </w:p>
    <w:p>
      <w:pPr>
        <w:jc w:val="both"/>
        <w:ind w:left="160" w:right="139" w:firstLine="656"/>
        <w:spacing w:after="0" w:line="220" w:lineRule="auto"/>
        <w:rPr>
          <w:sz w:val="20"/>
          <w:szCs w:val="20"/>
          <w:color w:val="auto"/>
        </w:rPr>
      </w:pPr>
      <w:r>
        <w:rPr>
          <w:rFonts w:ascii="Arial" w:cs="Arial" w:eastAsia="Arial" w:hAnsi="Arial"/>
          <w:sz w:val="20"/>
          <w:szCs w:val="20"/>
          <w:color w:val="313131"/>
        </w:rPr>
        <w:t xml:space="preserve">This Executive Employment Agreement </w:t>
      </w:r>
      <w:r>
        <w:rPr>
          <w:rFonts w:ascii="Arial" w:cs="Arial" w:eastAsia="Arial" w:hAnsi="Arial"/>
          <w:sz w:val="20"/>
          <w:szCs w:val="20"/>
          <w:b w:val="1"/>
          <w:bCs w:val="1"/>
          <w:color w:val="313131"/>
        </w:rPr>
        <w:t>(“Agreement”),</w:t>
      </w:r>
      <w:r>
        <w:rPr>
          <w:rFonts w:ascii="Arial" w:cs="Arial" w:eastAsia="Arial" w:hAnsi="Arial"/>
          <w:sz w:val="20"/>
          <w:szCs w:val="20"/>
          <w:color w:val="313131"/>
        </w:rPr>
        <w:t xml:space="preserve"> made between Everspin Technologies, Inc. (the </w:t>
      </w:r>
      <w:r>
        <w:rPr>
          <w:rFonts w:ascii="Arial" w:cs="Arial" w:eastAsia="Arial" w:hAnsi="Arial"/>
          <w:sz w:val="20"/>
          <w:szCs w:val="20"/>
          <w:b w:val="1"/>
          <w:bCs w:val="1"/>
          <w:color w:val="313131"/>
        </w:rPr>
        <w:t>“Company”)</w:t>
      </w:r>
      <w:r>
        <w:rPr>
          <w:rFonts w:ascii="Arial" w:cs="Arial" w:eastAsia="Arial" w:hAnsi="Arial"/>
          <w:sz w:val="20"/>
          <w:szCs w:val="20"/>
          <w:color w:val="313131"/>
        </w:rPr>
        <w:t xml:space="preserve"> and </w:t>
      </w:r>
      <w:r>
        <w:rPr>
          <w:rFonts w:ascii="Arial" w:cs="Arial" w:eastAsia="Arial" w:hAnsi="Arial"/>
          <w:sz w:val="20"/>
          <w:szCs w:val="20"/>
          <w:b w:val="1"/>
          <w:bCs w:val="1"/>
          <w:color w:val="313131"/>
        </w:rPr>
        <w:t>Jeff Winzeler (''Executive")</w:t>
      </w:r>
      <w:r>
        <w:rPr>
          <w:rFonts w:ascii="Arial" w:cs="Arial" w:eastAsia="Arial" w:hAnsi="Arial"/>
          <w:sz w:val="20"/>
          <w:szCs w:val="20"/>
          <w:color w:val="313131"/>
        </w:rPr>
        <w:t xml:space="preserve"> (collectively, the </w:t>
      </w:r>
      <w:r>
        <w:rPr>
          <w:rFonts w:ascii="Arial" w:cs="Arial" w:eastAsia="Arial" w:hAnsi="Arial"/>
          <w:sz w:val="20"/>
          <w:szCs w:val="20"/>
          <w:b w:val="1"/>
          <w:bCs w:val="1"/>
          <w:color w:val="313131"/>
        </w:rPr>
        <w:t>“Parties”),</w:t>
      </w:r>
      <w:r>
        <w:rPr>
          <w:rFonts w:ascii="Arial" w:cs="Arial" w:eastAsia="Arial" w:hAnsi="Arial"/>
          <w:sz w:val="20"/>
          <w:szCs w:val="20"/>
          <w:color w:val="313131"/>
        </w:rPr>
        <w:t xml:space="preserve"> is effective as of </w:t>
      </w:r>
      <w:r>
        <w:rPr>
          <w:rFonts w:ascii="Arial" w:cs="Arial" w:eastAsia="Arial" w:hAnsi="Arial"/>
          <w:sz w:val="20"/>
          <w:szCs w:val="20"/>
          <w:b w:val="1"/>
          <w:bCs w:val="1"/>
          <w:color w:val="313131"/>
        </w:rPr>
        <w:t>April 25,</w:t>
      </w:r>
      <w:r>
        <w:rPr>
          <w:rFonts w:ascii="Arial" w:cs="Arial" w:eastAsia="Arial" w:hAnsi="Arial"/>
          <w:sz w:val="20"/>
          <w:szCs w:val="20"/>
          <w:color w:val="313131"/>
        </w:rPr>
        <w:t xml:space="preserve"> </w:t>
      </w:r>
      <w:r>
        <w:rPr>
          <w:rFonts w:ascii="Arial" w:cs="Arial" w:eastAsia="Arial" w:hAnsi="Arial"/>
          <w:sz w:val="20"/>
          <w:szCs w:val="20"/>
          <w:b w:val="1"/>
          <w:bCs w:val="1"/>
          <w:color w:val="313131"/>
        </w:rPr>
        <w:t>2016.</w:t>
      </w:r>
    </w:p>
    <w:p>
      <w:pPr>
        <w:spacing w:after="0" w:line="124" w:lineRule="exact"/>
        <w:rPr>
          <w:sz w:val="20"/>
          <w:szCs w:val="20"/>
          <w:color w:val="auto"/>
        </w:rPr>
      </w:pPr>
    </w:p>
    <w:p>
      <w:pPr>
        <w:jc w:val="both"/>
        <w:ind w:left="160" w:right="139" w:firstLine="661"/>
        <w:spacing w:after="0" w:line="232" w:lineRule="auto"/>
        <w:rPr>
          <w:sz w:val="20"/>
          <w:szCs w:val="20"/>
          <w:color w:val="auto"/>
        </w:rPr>
      </w:pPr>
      <w:r>
        <w:rPr>
          <w:rFonts w:ascii="Arial" w:cs="Arial" w:eastAsia="Arial" w:hAnsi="Arial"/>
          <w:sz w:val="20"/>
          <w:szCs w:val="20"/>
          <w:b w:val="1"/>
          <w:bCs w:val="1"/>
          <w:color w:val="313131"/>
        </w:rPr>
        <w:t xml:space="preserve">WHEREAS, </w:t>
      </w:r>
      <w:r>
        <w:rPr>
          <w:rFonts w:ascii="Arial" w:cs="Arial" w:eastAsia="Arial" w:hAnsi="Arial"/>
          <w:sz w:val="20"/>
          <w:szCs w:val="20"/>
          <w:color w:val="313131"/>
        </w:rPr>
        <w:t>Executive has been performing services for the Company pursuant to the terms of an</w:t>
      </w:r>
      <w:r>
        <w:rPr>
          <w:rFonts w:ascii="Arial" w:cs="Arial" w:eastAsia="Arial" w:hAnsi="Arial"/>
          <w:sz w:val="20"/>
          <w:szCs w:val="20"/>
          <w:b w:val="1"/>
          <w:bCs w:val="1"/>
          <w:color w:val="313131"/>
        </w:rPr>
        <w:t xml:space="preserve"> </w:t>
      </w:r>
      <w:r>
        <w:rPr>
          <w:rFonts w:ascii="Arial" w:cs="Arial" w:eastAsia="Arial" w:hAnsi="Arial"/>
          <w:sz w:val="20"/>
          <w:szCs w:val="20"/>
          <w:color w:val="313131"/>
        </w:rPr>
        <w:t xml:space="preserve">offer letter from the Company dated March 20, 2015 (the </w:t>
      </w:r>
      <w:r>
        <w:rPr>
          <w:rFonts w:ascii="Arial" w:cs="Arial" w:eastAsia="Arial" w:hAnsi="Arial"/>
          <w:sz w:val="20"/>
          <w:szCs w:val="20"/>
          <w:b w:val="1"/>
          <w:bCs w:val="1"/>
          <w:color w:val="313131"/>
        </w:rPr>
        <w:t>“Offer Letter”);</w:t>
      </w:r>
      <w:r>
        <w:rPr>
          <w:rFonts w:ascii="Arial" w:cs="Arial" w:eastAsia="Arial" w:hAnsi="Arial"/>
          <w:sz w:val="20"/>
          <w:szCs w:val="20"/>
          <w:color w:val="313131"/>
        </w:rPr>
        <w:t xml:space="preserve"> and</w:t>
      </w:r>
    </w:p>
    <w:p>
      <w:pPr>
        <w:spacing w:after="0" w:line="123" w:lineRule="exact"/>
        <w:rPr>
          <w:sz w:val="20"/>
          <w:szCs w:val="20"/>
          <w:color w:val="auto"/>
        </w:rPr>
      </w:pPr>
    </w:p>
    <w:p>
      <w:pPr>
        <w:jc w:val="both"/>
        <w:ind w:left="160" w:right="139" w:firstLine="661"/>
        <w:spacing w:after="0" w:line="214" w:lineRule="auto"/>
        <w:rPr>
          <w:sz w:val="20"/>
          <w:szCs w:val="20"/>
          <w:color w:val="auto"/>
        </w:rPr>
      </w:pPr>
      <w:r>
        <w:rPr>
          <w:rFonts w:ascii="Arial" w:cs="Arial" w:eastAsia="Arial" w:hAnsi="Arial"/>
          <w:sz w:val="20"/>
          <w:szCs w:val="20"/>
          <w:b w:val="1"/>
          <w:bCs w:val="1"/>
          <w:color w:val="313131"/>
        </w:rPr>
        <w:t xml:space="preserve">WHEREAS, </w:t>
      </w:r>
      <w:r>
        <w:rPr>
          <w:rFonts w:ascii="Arial" w:cs="Arial" w:eastAsia="Arial" w:hAnsi="Arial"/>
          <w:sz w:val="20"/>
          <w:szCs w:val="20"/>
          <w:color w:val="313131"/>
        </w:rPr>
        <w:t>the Company desires for Executive to continue providing services to the Company, and</w:t>
      </w:r>
      <w:r>
        <w:rPr>
          <w:rFonts w:ascii="Arial" w:cs="Arial" w:eastAsia="Arial" w:hAnsi="Arial"/>
          <w:sz w:val="20"/>
          <w:szCs w:val="20"/>
          <w:b w:val="1"/>
          <w:bCs w:val="1"/>
          <w:color w:val="313131"/>
        </w:rPr>
        <w:t xml:space="preserve"> </w:t>
      </w:r>
      <w:r>
        <w:rPr>
          <w:rFonts w:ascii="Arial" w:cs="Arial" w:eastAsia="Arial" w:hAnsi="Arial"/>
          <w:sz w:val="20"/>
          <w:szCs w:val="20"/>
          <w:color w:val="313131"/>
        </w:rPr>
        <w:t>Executive is willing to continue such employment by the Company, on the amended and restated terms and conditions set forth in this Agreement, which terms shall replace and supersede the terms of the Offer Letter in their entirety;</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313131"/>
        </w:rPr>
        <w:t xml:space="preserve">Now, </w:t>
      </w:r>
      <w:r>
        <w:rPr>
          <w:rFonts w:ascii="Arial" w:cs="Arial" w:eastAsia="Arial" w:hAnsi="Arial"/>
          <w:sz w:val="16"/>
          <w:szCs w:val="16"/>
          <w:color w:val="000000"/>
        </w:rPr>
        <w:t>THEREFORE,</w:t>
      </w:r>
      <w:r>
        <w:rPr>
          <w:rFonts w:ascii="Arial" w:cs="Arial" w:eastAsia="Arial" w:hAnsi="Arial"/>
          <w:sz w:val="18"/>
          <w:szCs w:val="18"/>
          <w:b w:val="1"/>
          <w:bCs w:val="1"/>
          <w:color w:val="313131"/>
        </w:rPr>
        <w:t xml:space="preserve"> </w:t>
      </w:r>
      <w:r>
        <w:rPr>
          <w:rFonts w:ascii="Arial" w:cs="Arial" w:eastAsia="Arial" w:hAnsi="Arial"/>
          <w:sz w:val="18"/>
          <w:szCs w:val="18"/>
          <w:color w:val="313131"/>
        </w:rPr>
        <w:t>in consideration of the mutual promises and covenants contained herein and for</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color w:val="313131"/>
        </w:rPr>
        <w:t>other good and valuable consideration, the receipt and sufficiency of which is hereby acknowledged, the</w:t>
      </w:r>
    </w:p>
    <w:p>
      <w:pPr>
        <w:ind w:left="160"/>
        <w:spacing w:after="0"/>
        <w:rPr>
          <w:sz w:val="20"/>
          <w:szCs w:val="20"/>
          <w:color w:val="auto"/>
        </w:rPr>
      </w:pPr>
      <w:r>
        <w:rPr>
          <w:rFonts w:ascii="Arial" w:cs="Arial" w:eastAsia="Arial" w:hAnsi="Arial"/>
          <w:sz w:val="20"/>
          <w:szCs w:val="20"/>
          <w:color w:val="313131"/>
        </w:rPr>
        <w:t>Parties hereto agree as follows:</w:t>
      </w:r>
    </w:p>
    <w:p>
      <w:pPr>
        <w:spacing w:after="0" w:line="126" w:lineRule="exact"/>
        <w:rPr>
          <w:sz w:val="20"/>
          <w:szCs w:val="20"/>
          <w:color w:val="auto"/>
        </w:rPr>
      </w:pPr>
    </w:p>
    <w:p>
      <w:pPr>
        <w:ind w:left="1440" w:hanging="641"/>
        <w:spacing w:after="0"/>
        <w:tabs>
          <w:tab w:leader="none" w:pos="1440" w:val="left"/>
        </w:tabs>
        <w:numPr>
          <w:ilvl w:val="0"/>
          <w:numId w:val="19"/>
        </w:numPr>
        <w:rPr>
          <w:rFonts w:ascii="Arial" w:cs="Arial" w:eastAsia="Arial" w:hAnsi="Arial"/>
          <w:sz w:val="20"/>
          <w:szCs w:val="20"/>
          <w:b w:val="1"/>
          <w:bCs w:val="1"/>
          <w:color w:val="313131"/>
        </w:rPr>
      </w:pPr>
      <w:r>
        <w:rPr>
          <w:rFonts w:ascii="Arial" w:cs="Arial" w:eastAsia="Arial" w:hAnsi="Arial"/>
          <w:sz w:val="20"/>
          <w:szCs w:val="20"/>
          <w:b w:val="1"/>
          <w:bCs w:val="1"/>
          <w:color w:val="313131"/>
        </w:rPr>
        <w:t>Employment by the Company.</w:t>
      </w:r>
    </w:p>
    <w:p>
      <w:pPr>
        <w:spacing w:after="0" w:line="148" w:lineRule="exact"/>
        <w:rPr>
          <w:sz w:val="20"/>
          <w:szCs w:val="20"/>
          <w:color w:val="auto"/>
        </w:rPr>
      </w:pPr>
    </w:p>
    <w:p>
      <w:pPr>
        <w:jc w:val="both"/>
        <w:ind w:left="160" w:right="139" w:firstLine="1310"/>
        <w:spacing w:after="0" w:line="211" w:lineRule="auto"/>
        <w:rPr>
          <w:sz w:val="20"/>
          <w:szCs w:val="20"/>
          <w:color w:val="auto"/>
        </w:rPr>
      </w:pPr>
      <w:r>
        <w:rPr>
          <w:rFonts w:ascii="Arial" w:cs="Arial" w:eastAsia="Arial" w:hAnsi="Arial"/>
          <w:sz w:val="20"/>
          <w:szCs w:val="20"/>
          <w:b w:val="1"/>
          <w:bCs w:val="1"/>
          <w:color w:val="313131"/>
        </w:rPr>
        <w:t xml:space="preserve">1.1 Position. </w:t>
      </w:r>
      <w:r>
        <w:rPr>
          <w:rFonts w:ascii="Arial" w:cs="Arial" w:eastAsia="Arial" w:hAnsi="Arial"/>
          <w:sz w:val="20"/>
          <w:szCs w:val="20"/>
          <w:color w:val="313131"/>
        </w:rPr>
        <w:t>E</w:t>
      </w:r>
      <w:r>
        <w:rPr>
          <w:rFonts w:ascii="Arial" w:cs="Arial" w:eastAsia="Arial" w:hAnsi="Arial"/>
          <w:sz w:val="20"/>
          <w:szCs w:val="20"/>
          <w:color w:val="545454"/>
        </w:rPr>
        <w:t>x</w:t>
      </w:r>
      <w:r>
        <w:rPr>
          <w:rFonts w:ascii="Arial" w:cs="Arial" w:eastAsia="Arial" w:hAnsi="Arial"/>
          <w:sz w:val="20"/>
          <w:szCs w:val="20"/>
          <w:color w:val="313131"/>
        </w:rPr>
        <w:t>ecutive shall continue to serve as the Company's</w:t>
      </w:r>
      <w:r>
        <w:rPr>
          <w:rFonts w:ascii="Arial" w:cs="Arial" w:eastAsia="Arial" w:hAnsi="Arial"/>
          <w:sz w:val="20"/>
          <w:szCs w:val="20"/>
          <w:b w:val="1"/>
          <w:bCs w:val="1"/>
          <w:color w:val="313131"/>
        </w:rPr>
        <w:t xml:space="preserve"> Chief Financial Officer. </w:t>
      </w:r>
      <w:r>
        <w:rPr>
          <w:rFonts w:ascii="Arial" w:cs="Arial" w:eastAsia="Arial" w:hAnsi="Arial"/>
          <w:sz w:val="20"/>
          <w:szCs w:val="20"/>
          <w:color w:val="313131"/>
        </w:rPr>
        <w:t>During Executive's employment with the Company, Executive will devote Executive's best efforts</w:t>
      </w:r>
      <w:r>
        <w:rPr>
          <w:rFonts w:ascii="Arial" w:cs="Arial" w:eastAsia="Arial" w:hAnsi="Arial"/>
          <w:sz w:val="20"/>
          <w:szCs w:val="20"/>
          <w:b w:val="1"/>
          <w:bCs w:val="1"/>
          <w:color w:val="313131"/>
        </w:rPr>
        <w:t xml:space="preserve"> </w:t>
      </w:r>
      <w:r>
        <w:rPr>
          <w:rFonts w:ascii="Arial" w:cs="Arial" w:eastAsia="Arial" w:hAnsi="Arial"/>
          <w:sz w:val="20"/>
          <w:szCs w:val="20"/>
          <w:color w:val="313131"/>
        </w:rPr>
        <w:t>and substantially all of Executive's business time and attention to the business of the Company. except for approved vacation periods and reasonable periods of illness or other incapacities permitted by the Company's general employment policies.</w:t>
      </w:r>
    </w:p>
    <w:p>
      <w:pPr>
        <w:spacing w:after="0" w:line="123" w:lineRule="exact"/>
        <w:rPr>
          <w:sz w:val="20"/>
          <w:szCs w:val="20"/>
          <w:color w:val="auto"/>
        </w:rPr>
      </w:pPr>
    </w:p>
    <w:p>
      <w:pPr>
        <w:jc w:val="both"/>
        <w:ind w:left="160" w:right="139" w:firstLine="1327"/>
        <w:spacing w:after="0" w:line="207" w:lineRule="auto"/>
        <w:rPr>
          <w:sz w:val="20"/>
          <w:szCs w:val="20"/>
          <w:color w:val="auto"/>
        </w:rPr>
      </w:pPr>
      <w:r>
        <w:rPr>
          <w:rFonts w:ascii="Arial" w:cs="Arial" w:eastAsia="Arial" w:hAnsi="Arial"/>
          <w:sz w:val="20"/>
          <w:szCs w:val="20"/>
          <w:b w:val="1"/>
          <w:bCs w:val="1"/>
          <w:color w:val="313131"/>
        </w:rPr>
        <w:t xml:space="preserve">1.2 Duties and Location. </w:t>
      </w:r>
      <w:r>
        <w:rPr>
          <w:rFonts w:ascii="Arial" w:cs="Arial" w:eastAsia="Arial" w:hAnsi="Arial"/>
          <w:sz w:val="20"/>
          <w:szCs w:val="20"/>
          <w:color w:val="313131"/>
        </w:rPr>
        <w:t>Executive shall continue to perform such duties as are</w:t>
      </w:r>
      <w:r>
        <w:rPr>
          <w:rFonts w:ascii="Arial" w:cs="Arial" w:eastAsia="Arial" w:hAnsi="Arial"/>
          <w:sz w:val="20"/>
          <w:szCs w:val="20"/>
          <w:b w:val="1"/>
          <w:bCs w:val="1"/>
          <w:color w:val="313131"/>
        </w:rPr>
        <w:t xml:space="preserve"> </w:t>
      </w:r>
      <w:r>
        <w:rPr>
          <w:rFonts w:ascii="Arial" w:cs="Arial" w:eastAsia="Arial" w:hAnsi="Arial"/>
          <w:sz w:val="20"/>
          <w:szCs w:val="20"/>
          <w:color w:val="313131"/>
        </w:rPr>
        <w:t>required by the Company's President and Chief Executive Officer, to whom Executive will report. Executive's primary work location shall continue to be the Company's headquarters in Chandler, Arizona. The Company reserves the right to reasonably require Executive to perform Executive's duties at places other than Executive's primary office location from time to time, and to require reasonable business travel. The Company may modify Executive's job title and duties as it deems necessary and appropriate in light of the Company's needs and interests from time to time.</w:t>
      </w:r>
    </w:p>
    <w:p>
      <w:pPr>
        <w:spacing w:after="0" w:line="124" w:lineRule="exact"/>
        <w:rPr>
          <w:sz w:val="20"/>
          <w:szCs w:val="20"/>
          <w:color w:val="auto"/>
        </w:rPr>
      </w:pPr>
    </w:p>
    <w:p>
      <w:pPr>
        <w:jc w:val="both"/>
        <w:ind w:left="160" w:right="159" w:firstLine="1316"/>
        <w:spacing w:after="0" w:line="214" w:lineRule="auto"/>
        <w:rPr>
          <w:sz w:val="20"/>
          <w:szCs w:val="20"/>
          <w:color w:val="auto"/>
        </w:rPr>
      </w:pPr>
      <w:r>
        <w:rPr>
          <w:rFonts w:ascii="Arial" w:cs="Arial" w:eastAsia="Arial" w:hAnsi="Arial"/>
          <w:sz w:val="20"/>
          <w:szCs w:val="20"/>
          <w:b w:val="1"/>
          <w:bCs w:val="1"/>
          <w:color w:val="313131"/>
        </w:rPr>
        <w:t xml:space="preserve">1.3 Policies and Procedures. </w:t>
      </w:r>
      <w:r>
        <w:rPr>
          <w:rFonts w:ascii="Arial" w:cs="Arial" w:eastAsia="Arial" w:hAnsi="Arial"/>
          <w:sz w:val="20"/>
          <w:szCs w:val="20"/>
          <w:color w:val="313131"/>
        </w:rPr>
        <w:t>The employment relationship between the Parties shall</w:t>
      </w:r>
      <w:r>
        <w:rPr>
          <w:rFonts w:ascii="Arial" w:cs="Arial" w:eastAsia="Arial" w:hAnsi="Arial"/>
          <w:sz w:val="20"/>
          <w:szCs w:val="20"/>
          <w:b w:val="1"/>
          <w:bCs w:val="1"/>
          <w:color w:val="313131"/>
        </w:rPr>
        <w:t xml:space="preserve"> </w:t>
      </w:r>
      <w:r>
        <w:rPr>
          <w:rFonts w:ascii="Arial" w:cs="Arial" w:eastAsia="Arial" w:hAnsi="Arial"/>
          <w:sz w:val="20"/>
          <w:szCs w:val="20"/>
          <w:color w:val="313131"/>
        </w:rPr>
        <w:t>continue to be governed by the general employment policies and practices of the Company, except that when the terms of this Agreement differ from or in conflict with the Company's general employment policies or practices</w:t>
      </w:r>
      <w:r>
        <w:rPr>
          <w:rFonts w:ascii="Arial" w:cs="Arial" w:eastAsia="Arial" w:hAnsi="Arial"/>
          <w:sz w:val="20"/>
          <w:szCs w:val="20"/>
          <w:color w:val="545454"/>
        </w:rPr>
        <w:t>,</w:t>
      </w:r>
      <w:r>
        <w:rPr>
          <w:rFonts w:ascii="Arial" w:cs="Arial" w:eastAsia="Arial" w:hAnsi="Arial"/>
          <w:sz w:val="20"/>
          <w:szCs w:val="20"/>
          <w:color w:val="313131"/>
        </w:rPr>
        <w:t xml:space="preserve"> this Agreement shall control.</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0" w:name="page61"/>
    <w:bookmarkEnd w:id="60"/>
    <w:p>
      <w:pPr>
        <w:ind w:left="1440" w:hanging="641"/>
        <w:spacing w:after="0"/>
        <w:tabs>
          <w:tab w:leader="none" w:pos="1440" w:val="left"/>
        </w:tabs>
        <w:numPr>
          <w:ilvl w:val="0"/>
          <w:numId w:val="20"/>
        </w:numPr>
        <w:rPr>
          <w:rFonts w:ascii="Arial" w:cs="Arial" w:eastAsia="Arial" w:hAnsi="Arial"/>
          <w:sz w:val="20"/>
          <w:szCs w:val="20"/>
          <w:b w:val="1"/>
          <w:bCs w:val="1"/>
          <w:color w:val="313131"/>
        </w:rPr>
      </w:pPr>
      <w:r>
        <w:rPr>
          <w:rFonts w:ascii="Arial" w:cs="Arial" w:eastAsia="Arial" w:hAnsi="Arial"/>
          <w:sz w:val="20"/>
          <w:szCs w:val="20"/>
          <w:b w:val="1"/>
          <w:bCs w:val="1"/>
          <w:color w:val="313131"/>
        </w:rPr>
        <w:t>Compensation.</w:t>
      </w:r>
    </w:p>
    <w:p>
      <w:pPr>
        <w:spacing w:after="0" w:line="148" w:lineRule="exact"/>
        <w:rPr>
          <w:sz w:val="20"/>
          <w:szCs w:val="20"/>
          <w:color w:val="auto"/>
        </w:rPr>
      </w:pPr>
    </w:p>
    <w:p>
      <w:pPr>
        <w:jc w:val="both"/>
        <w:ind w:left="160" w:right="139" w:firstLine="1302"/>
        <w:spacing w:after="0" w:line="232" w:lineRule="auto"/>
        <w:rPr>
          <w:sz w:val="20"/>
          <w:szCs w:val="20"/>
          <w:color w:val="auto"/>
        </w:rPr>
      </w:pPr>
      <w:r>
        <w:rPr>
          <w:rFonts w:ascii="Arial" w:cs="Arial" w:eastAsia="Arial" w:hAnsi="Arial"/>
          <w:sz w:val="18"/>
          <w:szCs w:val="18"/>
          <w:b w:val="1"/>
          <w:bCs w:val="1"/>
          <w:color w:val="313131"/>
        </w:rPr>
        <w:t xml:space="preserve">2.1 Salary. </w:t>
      </w:r>
      <w:r>
        <w:rPr>
          <w:rFonts w:ascii="Arial" w:cs="Arial" w:eastAsia="Arial" w:hAnsi="Arial"/>
          <w:sz w:val="18"/>
          <w:szCs w:val="18"/>
          <w:color w:val="313131"/>
        </w:rPr>
        <w:t>For services to be rendered hereunder, Executive shall continue to receive a</w:t>
      </w:r>
      <w:r>
        <w:rPr>
          <w:rFonts w:ascii="Arial" w:cs="Arial" w:eastAsia="Arial" w:hAnsi="Arial"/>
          <w:sz w:val="18"/>
          <w:szCs w:val="18"/>
          <w:b w:val="1"/>
          <w:bCs w:val="1"/>
          <w:color w:val="313131"/>
        </w:rPr>
        <w:t xml:space="preserve"> </w:t>
      </w:r>
      <w:r>
        <w:rPr>
          <w:rFonts w:ascii="Arial" w:cs="Arial" w:eastAsia="Arial" w:hAnsi="Arial"/>
          <w:sz w:val="18"/>
          <w:szCs w:val="18"/>
          <w:color w:val="313131"/>
        </w:rPr>
        <w:t xml:space="preserve">base salary at the rate of two hundred thousand dollars ($200,000) per year (the </w:t>
      </w:r>
      <w:r>
        <w:rPr>
          <w:rFonts w:ascii="Arial" w:cs="Arial" w:eastAsia="Arial" w:hAnsi="Arial"/>
          <w:sz w:val="18"/>
          <w:szCs w:val="18"/>
          <w:b w:val="1"/>
          <w:bCs w:val="1"/>
          <w:color w:val="313131"/>
        </w:rPr>
        <w:t>“Base Salary”),</w:t>
      </w:r>
      <w:r>
        <w:rPr>
          <w:rFonts w:ascii="Arial" w:cs="Arial" w:eastAsia="Arial" w:hAnsi="Arial"/>
          <w:sz w:val="18"/>
          <w:szCs w:val="18"/>
          <w:color w:val="313131"/>
        </w:rPr>
        <w:t xml:space="preserve"> subject to standard payroll deductions and withholdings and payable in accordance with the Company's regular payroll schedule. Effective upon the Company's initial public offering of its common stock, Executive's Base Salary shall be increased to two hundred thirty thousand dollars ($230,000) per year. Thereafter, Executive's Base Salary shall be reviewed by the Board of Directors (the </w:t>
      </w:r>
      <w:r>
        <w:rPr>
          <w:rFonts w:ascii="Arial" w:cs="Arial" w:eastAsia="Arial" w:hAnsi="Arial"/>
          <w:sz w:val="18"/>
          <w:szCs w:val="18"/>
          <w:b w:val="1"/>
          <w:bCs w:val="1"/>
          <w:color w:val="313131"/>
        </w:rPr>
        <w:t>“Board”)</w:t>
      </w:r>
      <w:r>
        <w:rPr>
          <w:rFonts w:ascii="Arial" w:cs="Arial" w:eastAsia="Arial" w:hAnsi="Arial"/>
          <w:sz w:val="18"/>
          <w:szCs w:val="18"/>
          <w:color w:val="313131"/>
        </w:rPr>
        <w:t xml:space="preserve"> for possible adjustment annually.</w:t>
      </w:r>
    </w:p>
    <w:p>
      <w:pPr>
        <w:spacing w:after="0" w:line="123" w:lineRule="exact"/>
        <w:rPr>
          <w:sz w:val="20"/>
          <w:szCs w:val="20"/>
          <w:color w:val="auto"/>
        </w:rPr>
      </w:pPr>
    </w:p>
    <w:p>
      <w:pPr>
        <w:jc w:val="both"/>
        <w:ind w:left="160" w:right="139" w:firstLine="1314"/>
        <w:spacing w:after="0" w:line="215" w:lineRule="auto"/>
        <w:rPr>
          <w:sz w:val="20"/>
          <w:szCs w:val="20"/>
          <w:color w:val="auto"/>
        </w:rPr>
      </w:pPr>
      <w:r>
        <w:rPr>
          <w:rFonts w:ascii="Arial" w:cs="Arial" w:eastAsia="Arial" w:hAnsi="Arial"/>
          <w:sz w:val="19"/>
          <w:szCs w:val="19"/>
          <w:b w:val="1"/>
          <w:bCs w:val="1"/>
          <w:color w:val="313131"/>
        </w:rPr>
        <w:t xml:space="preserve">2.2 Bonus. </w:t>
      </w:r>
      <w:r>
        <w:rPr>
          <w:rFonts w:ascii="Arial" w:cs="Arial" w:eastAsia="Arial" w:hAnsi="Arial"/>
          <w:sz w:val="19"/>
          <w:szCs w:val="19"/>
          <w:color w:val="313131"/>
        </w:rPr>
        <w:t>Executive will be eligible for an annual discretionary bonus of up to 35% of</w:t>
      </w:r>
      <w:r>
        <w:rPr>
          <w:rFonts w:ascii="Arial" w:cs="Arial" w:eastAsia="Arial" w:hAnsi="Arial"/>
          <w:sz w:val="19"/>
          <w:szCs w:val="19"/>
          <w:b w:val="1"/>
          <w:bCs w:val="1"/>
          <w:color w:val="313131"/>
        </w:rPr>
        <w:t xml:space="preserve"> </w:t>
      </w:r>
      <w:r>
        <w:rPr>
          <w:rFonts w:ascii="Arial" w:cs="Arial" w:eastAsia="Arial" w:hAnsi="Arial"/>
          <w:sz w:val="19"/>
          <w:szCs w:val="19"/>
          <w:color w:val="313131"/>
        </w:rPr>
        <w:t>Executive's Base Salary. Executive's annual target bonus percentage, whether Executive receives an annual bonus for any given year, and the amount of any such annual bonus, will be determined by the Board in its sole discretion based upon the Company's and Executive's achievement of objectives and milestones to be determined on an annual basis by the Board in consultation with Executive. Bonuses are generally paid by March 15 following the applicable bonus year, and Executive must be an active employee on the date any Annual Bonus is paid in order to earn any such Annual Bonus. Executive will not be eligible for, and will not earn, any Annual Bonus (including a prorated bonus) if Executive's employment terminates for any reason before the date Annual Bonuses are paid.</w:t>
      </w:r>
    </w:p>
    <w:p>
      <w:pPr>
        <w:spacing w:after="0" w:line="129" w:lineRule="exact"/>
        <w:rPr>
          <w:sz w:val="20"/>
          <w:szCs w:val="20"/>
          <w:color w:val="auto"/>
        </w:rPr>
      </w:pPr>
    </w:p>
    <w:p>
      <w:pPr>
        <w:jc w:val="both"/>
        <w:ind w:left="160" w:right="139" w:firstLine="1314"/>
        <w:spacing w:after="0" w:line="214" w:lineRule="auto"/>
        <w:rPr>
          <w:sz w:val="20"/>
          <w:szCs w:val="20"/>
          <w:color w:val="auto"/>
        </w:rPr>
      </w:pPr>
      <w:r>
        <w:rPr>
          <w:rFonts w:ascii="Arial" w:cs="Arial" w:eastAsia="Arial" w:hAnsi="Arial"/>
          <w:sz w:val="20"/>
          <w:szCs w:val="20"/>
          <w:b w:val="1"/>
          <w:bCs w:val="1"/>
          <w:color w:val="313131"/>
        </w:rPr>
        <w:t xml:space="preserve">2.3 Standard Company Benefits. </w:t>
      </w:r>
      <w:r>
        <w:rPr>
          <w:rFonts w:ascii="Arial" w:cs="Arial" w:eastAsia="Arial" w:hAnsi="Arial"/>
          <w:sz w:val="20"/>
          <w:szCs w:val="20"/>
          <w:color w:val="313131"/>
        </w:rPr>
        <w:t>Executive shall continue to be entitled to participate</w:t>
      </w:r>
      <w:r>
        <w:rPr>
          <w:rFonts w:ascii="Arial" w:cs="Arial" w:eastAsia="Arial" w:hAnsi="Arial"/>
          <w:sz w:val="20"/>
          <w:szCs w:val="20"/>
          <w:b w:val="1"/>
          <w:bCs w:val="1"/>
          <w:color w:val="313131"/>
        </w:rPr>
        <w:t xml:space="preserve"> </w:t>
      </w:r>
      <w:r>
        <w:rPr>
          <w:rFonts w:ascii="Arial" w:cs="Arial" w:eastAsia="Arial" w:hAnsi="Arial"/>
          <w:sz w:val="20"/>
          <w:szCs w:val="20"/>
          <w:color w:val="313131"/>
        </w:rPr>
        <w:t>in all employee benefit programs for which Executive is eligible under the terms and conditions of the benefit plans that may be in effect from time to time. The Company reserves the right to cancel or change the benefit plans or programs it offers to its employees at any time.</w:t>
      </w:r>
    </w:p>
    <w:p>
      <w:pPr>
        <w:spacing w:after="0" w:line="125" w:lineRule="exact"/>
        <w:rPr>
          <w:sz w:val="20"/>
          <w:szCs w:val="20"/>
          <w:color w:val="auto"/>
        </w:rPr>
      </w:pPr>
    </w:p>
    <w:p>
      <w:pPr>
        <w:jc w:val="both"/>
        <w:ind w:left="160" w:right="139" w:firstLine="1311"/>
        <w:spacing w:after="0" w:line="226" w:lineRule="auto"/>
        <w:rPr>
          <w:sz w:val="20"/>
          <w:szCs w:val="20"/>
          <w:color w:val="auto"/>
        </w:rPr>
      </w:pPr>
      <w:r>
        <w:rPr>
          <w:rFonts w:ascii="Arial" w:cs="Arial" w:eastAsia="Arial" w:hAnsi="Arial"/>
          <w:sz w:val="19"/>
          <w:szCs w:val="19"/>
          <w:b w:val="1"/>
          <w:bCs w:val="1"/>
          <w:color w:val="313131"/>
        </w:rPr>
        <w:t xml:space="preserve">2.4 Expenses. </w:t>
      </w:r>
      <w:r>
        <w:rPr>
          <w:rFonts w:ascii="Arial" w:cs="Arial" w:eastAsia="Arial" w:hAnsi="Arial"/>
          <w:sz w:val="19"/>
          <w:szCs w:val="19"/>
          <w:color w:val="313131"/>
        </w:rPr>
        <w:t>The Company will reimburse Executive for reasonable travel,</w:t>
      </w:r>
      <w:r>
        <w:rPr>
          <w:rFonts w:ascii="Arial" w:cs="Arial" w:eastAsia="Arial" w:hAnsi="Arial"/>
          <w:sz w:val="19"/>
          <w:szCs w:val="19"/>
          <w:b w:val="1"/>
          <w:bCs w:val="1"/>
          <w:color w:val="313131"/>
        </w:rPr>
        <w:t xml:space="preserve"> </w:t>
      </w:r>
      <w:r>
        <w:rPr>
          <w:rFonts w:ascii="Arial" w:cs="Arial" w:eastAsia="Arial" w:hAnsi="Arial"/>
          <w:sz w:val="19"/>
          <w:szCs w:val="19"/>
          <w:color w:val="313131"/>
        </w:rPr>
        <w:t>entertainment or other expenses incurred by Executive in furtherance or in connection with the performance of Executive's duties hereunder, in accordance with the Company's expense reimbursement policy and requirements of the Internal Revenue Service as in effect from time to time.</w:t>
      </w:r>
    </w:p>
    <w:p>
      <w:pPr>
        <w:spacing w:after="0" w:line="122" w:lineRule="exact"/>
        <w:rPr>
          <w:sz w:val="20"/>
          <w:szCs w:val="20"/>
          <w:color w:val="auto"/>
        </w:rPr>
      </w:pPr>
    </w:p>
    <w:p>
      <w:pPr>
        <w:jc w:val="both"/>
        <w:ind w:left="160" w:right="139" w:firstLine="1314"/>
        <w:spacing w:after="0" w:line="226" w:lineRule="auto"/>
        <w:rPr>
          <w:sz w:val="20"/>
          <w:szCs w:val="20"/>
          <w:color w:val="auto"/>
        </w:rPr>
      </w:pPr>
      <w:r>
        <w:rPr>
          <w:rFonts w:ascii="Arial" w:cs="Arial" w:eastAsia="Arial" w:hAnsi="Arial"/>
          <w:sz w:val="19"/>
          <w:szCs w:val="19"/>
          <w:b w:val="1"/>
          <w:bCs w:val="1"/>
          <w:color w:val="313131"/>
        </w:rPr>
        <w:t xml:space="preserve">2.5 Equity. </w:t>
      </w:r>
      <w:r>
        <w:rPr>
          <w:rFonts w:ascii="Arial" w:cs="Arial" w:eastAsia="Arial" w:hAnsi="Arial"/>
          <w:sz w:val="19"/>
          <w:szCs w:val="19"/>
          <w:color w:val="313131"/>
        </w:rPr>
        <w:t>Executive has been granted options to purchase shares of the Company's</w:t>
      </w:r>
      <w:r>
        <w:rPr>
          <w:rFonts w:ascii="Arial" w:cs="Arial" w:eastAsia="Arial" w:hAnsi="Arial"/>
          <w:sz w:val="19"/>
          <w:szCs w:val="19"/>
          <w:b w:val="1"/>
          <w:bCs w:val="1"/>
          <w:color w:val="313131"/>
        </w:rPr>
        <w:t xml:space="preserve"> </w:t>
      </w:r>
      <w:r>
        <w:rPr>
          <w:rFonts w:ascii="Arial" w:cs="Arial" w:eastAsia="Arial" w:hAnsi="Arial"/>
          <w:sz w:val="19"/>
          <w:szCs w:val="19"/>
          <w:color w:val="313131"/>
        </w:rPr>
        <w:t xml:space="preserve">Common Stock (the </w:t>
      </w:r>
      <w:r>
        <w:rPr>
          <w:rFonts w:ascii="Arial" w:cs="Arial" w:eastAsia="Arial" w:hAnsi="Arial"/>
          <w:sz w:val="19"/>
          <w:szCs w:val="19"/>
          <w:b w:val="1"/>
          <w:bCs w:val="1"/>
          <w:color w:val="313131"/>
        </w:rPr>
        <w:t>“Options”),</w:t>
      </w:r>
      <w:r>
        <w:rPr>
          <w:rFonts w:ascii="Arial" w:cs="Arial" w:eastAsia="Arial" w:hAnsi="Arial"/>
          <w:sz w:val="19"/>
          <w:szCs w:val="19"/>
          <w:color w:val="313131"/>
        </w:rPr>
        <w:t xml:space="preserve"> the terms of which shall continue to be governed in all respects by the governing plan documents, grant notices and stock option agreements. Executive shall be eligible to receive further stock grants and/or stock option awards in the sole discretion of the Board.</w:t>
      </w:r>
    </w:p>
    <w:p>
      <w:pPr>
        <w:spacing w:after="0" w:line="122" w:lineRule="exact"/>
        <w:rPr>
          <w:sz w:val="20"/>
          <w:szCs w:val="20"/>
          <w:color w:val="auto"/>
        </w:rPr>
      </w:pPr>
    </w:p>
    <w:p>
      <w:pPr>
        <w:ind w:left="1440" w:hanging="641"/>
        <w:spacing w:after="0"/>
        <w:tabs>
          <w:tab w:leader="none" w:pos="1440" w:val="left"/>
        </w:tabs>
        <w:numPr>
          <w:ilvl w:val="0"/>
          <w:numId w:val="21"/>
        </w:numPr>
        <w:rPr>
          <w:rFonts w:ascii="Arial" w:cs="Arial" w:eastAsia="Arial" w:hAnsi="Arial"/>
          <w:sz w:val="20"/>
          <w:szCs w:val="20"/>
          <w:b w:val="1"/>
          <w:bCs w:val="1"/>
          <w:color w:val="313131"/>
        </w:rPr>
      </w:pPr>
      <w:r>
        <w:rPr>
          <w:rFonts w:ascii="Arial" w:cs="Arial" w:eastAsia="Arial" w:hAnsi="Arial"/>
          <w:sz w:val="20"/>
          <w:szCs w:val="20"/>
          <w:b w:val="1"/>
          <w:bCs w:val="1"/>
          <w:color w:val="313131"/>
        </w:rPr>
        <w:t>Termination of Employment; Severance.</w:t>
      </w:r>
    </w:p>
    <w:p>
      <w:pPr>
        <w:spacing w:after="0" w:line="148" w:lineRule="exact"/>
        <w:rPr>
          <w:sz w:val="20"/>
          <w:szCs w:val="20"/>
          <w:color w:val="auto"/>
        </w:rPr>
      </w:pPr>
    </w:p>
    <w:p>
      <w:pPr>
        <w:jc w:val="both"/>
        <w:ind w:left="160" w:right="139" w:firstLine="1297"/>
        <w:spacing w:after="0" w:line="220" w:lineRule="auto"/>
        <w:rPr>
          <w:sz w:val="20"/>
          <w:szCs w:val="20"/>
          <w:color w:val="auto"/>
        </w:rPr>
      </w:pPr>
      <w:r>
        <w:rPr>
          <w:rFonts w:ascii="Arial" w:cs="Arial" w:eastAsia="Arial" w:hAnsi="Arial"/>
          <w:sz w:val="20"/>
          <w:szCs w:val="20"/>
          <w:b w:val="1"/>
          <w:bCs w:val="1"/>
          <w:color w:val="313131"/>
        </w:rPr>
        <w:t xml:space="preserve">3.1 At-Will Employment. </w:t>
      </w:r>
      <w:r>
        <w:rPr>
          <w:rFonts w:ascii="Arial" w:cs="Arial" w:eastAsia="Arial" w:hAnsi="Arial"/>
          <w:sz w:val="20"/>
          <w:szCs w:val="20"/>
          <w:color w:val="313131"/>
        </w:rPr>
        <w:t>Executive's employment relationship is at- will. Either</w:t>
      </w:r>
      <w:r>
        <w:rPr>
          <w:rFonts w:ascii="Arial" w:cs="Arial" w:eastAsia="Arial" w:hAnsi="Arial"/>
          <w:sz w:val="20"/>
          <w:szCs w:val="20"/>
          <w:b w:val="1"/>
          <w:bCs w:val="1"/>
          <w:color w:val="313131"/>
        </w:rPr>
        <w:t xml:space="preserve"> </w:t>
      </w:r>
      <w:r>
        <w:rPr>
          <w:rFonts w:ascii="Arial" w:cs="Arial" w:eastAsia="Arial" w:hAnsi="Arial"/>
          <w:sz w:val="20"/>
          <w:szCs w:val="20"/>
          <w:color w:val="313131"/>
        </w:rPr>
        <w:t>Executive or the Company may terminate the employment relationship at any time, with or without Cause or advance notice.</w:t>
      </w:r>
    </w:p>
    <w:p>
      <w:pPr>
        <w:spacing w:after="0" w:line="124" w:lineRule="exact"/>
        <w:rPr>
          <w:sz w:val="20"/>
          <w:szCs w:val="20"/>
          <w:color w:val="auto"/>
        </w:rPr>
      </w:pPr>
    </w:p>
    <w:p>
      <w:pPr>
        <w:ind w:left="1440"/>
        <w:spacing w:after="0"/>
        <w:tabs>
          <w:tab w:leader="none" w:pos="2060" w:val="left"/>
        </w:tabs>
        <w:rPr>
          <w:sz w:val="20"/>
          <w:szCs w:val="20"/>
          <w:color w:val="auto"/>
        </w:rPr>
      </w:pPr>
      <w:r>
        <w:rPr>
          <w:rFonts w:ascii="Arial" w:cs="Arial" w:eastAsia="Arial" w:hAnsi="Arial"/>
          <w:sz w:val="20"/>
          <w:szCs w:val="20"/>
          <w:b w:val="1"/>
          <w:bCs w:val="1"/>
          <w:color w:val="313131"/>
        </w:rPr>
        <w:t>3.2</w:t>
      </w:r>
      <w:r>
        <w:rPr>
          <w:sz w:val="20"/>
          <w:szCs w:val="20"/>
          <w:color w:val="auto"/>
        </w:rPr>
        <w:tab/>
      </w:r>
      <w:r>
        <w:rPr>
          <w:rFonts w:ascii="Arial" w:cs="Arial" w:eastAsia="Arial" w:hAnsi="Arial"/>
          <w:sz w:val="16"/>
          <w:szCs w:val="16"/>
          <w:b w:val="1"/>
          <w:bCs w:val="1"/>
          <w:color w:val="313131"/>
        </w:rPr>
        <w:t>Termination Without Cause; Resignation for Good Reason.</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1" w:name="page62"/>
    <w:bookmarkEnd w:id="61"/>
    <w:p>
      <w:pPr>
        <w:jc w:val="both"/>
        <w:ind w:left="160" w:right="139" w:firstLine="1936"/>
        <w:spacing w:after="0" w:line="219" w:lineRule="auto"/>
        <w:tabs>
          <w:tab w:leader="none" w:pos="2826" w:val="left"/>
        </w:tabs>
        <w:numPr>
          <w:ilvl w:val="1"/>
          <w:numId w:val="22"/>
        </w:numPr>
        <w:rPr>
          <w:rFonts w:ascii="Arial" w:cs="Arial" w:eastAsia="Arial" w:hAnsi="Arial"/>
          <w:sz w:val="20"/>
          <w:szCs w:val="20"/>
          <w:color w:val="333333"/>
        </w:rPr>
      </w:pPr>
      <w:r>
        <w:rPr>
          <w:rFonts w:ascii="Arial" w:cs="Arial" w:eastAsia="Arial" w:hAnsi="Arial"/>
          <w:sz w:val="20"/>
          <w:szCs w:val="20"/>
          <w:color w:val="333333"/>
        </w:rPr>
        <w:t>The Company may terminate Executive's employment with the Company at any time without Cause (as defined below). Further, Executive may resign at any time for Good Reason (as defined below).</w:t>
      </w:r>
    </w:p>
    <w:p>
      <w:pPr>
        <w:spacing w:after="0" w:line="128" w:lineRule="exact"/>
        <w:rPr>
          <w:rFonts w:ascii="Arial" w:cs="Arial" w:eastAsia="Arial" w:hAnsi="Arial"/>
          <w:sz w:val="20"/>
          <w:szCs w:val="20"/>
          <w:color w:val="333333"/>
        </w:rPr>
      </w:pPr>
    </w:p>
    <w:p>
      <w:pPr>
        <w:jc w:val="both"/>
        <w:ind w:left="160" w:right="139" w:firstLine="1955"/>
        <w:spacing w:after="0" w:line="231" w:lineRule="auto"/>
        <w:tabs>
          <w:tab w:leader="none" w:pos="2790" w:val="left"/>
        </w:tabs>
        <w:numPr>
          <w:ilvl w:val="2"/>
          <w:numId w:val="22"/>
        </w:numPr>
        <w:rPr>
          <w:rFonts w:ascii="Arial" w:cs="Arial" w:eastAsia="Arial" w:hAnsi="Arial"/>
          <w:sz w:val="18"/>
          <w:szCs w:val="18"/>
          <w:color w:val="333333"/>
        </w:rPr>
      </w:pPr>
      <w:r>
        <w:rPr>
          <w:rFonts w:ascii="Arial" w:cs="Arial" w:eastAsia="Arial" w:hAnsi="Arial"/>
          <w:sz w:val="18"/>
          <w:szCs w:val="18"/>
          <w:color w:val="333333"/>
        </w:rPr>
        <w:t xml:space="preserve">In the event Executive's employment with the Company is terminated by the Company without Cause, or Executive resigns for Good Reason, then provided such termination constitutes a “separation from service” (as defined under Treasury Regulation Section 1.409A-1(h), without regard to any alternative definition thereunder, a </w:t>
      </w:r>
      <w:r>
        <w:rPr>
          <w:rFonts w:ascii="Arial" w:cs="Arial" w:eastAsia="Arial" w:hAnsi="Arial"/>
          <w:sz w:val="18"/>
          <w:szCs w:val="18"/>
          <w:b w:val="1"/>
          <w:bCs w:val="1"/>
          <w:color w:val="333333"/>
        </w:rPr>
        <w:t>“Separation from Service”),</w:t>
      </w:r>
      <w:r>
        <w:rPr>
          <w:rFonts w:ascii="Arial" w:cs="Arial" w:eastAsia="Arial" w:hAnsi="Arial"/>
          <w:sz w:val="18"/>
          <w:szCs w:val="18"/>
          <w:color w:val="333333"/>
        </w:rPr>
        <w:t xml:space="preserve"> and provided Executive remains in compliance with all contractual obligations to the Company, then the Company shall provide Executive with the following severance benefits, subject to the terms and conditions set forth in Section 4:</w:t>
      </w:r>
    </w:p>
    <w:p>
      <w:pPr>
        <w:spacing w:after="0" w:line="128" w:lineRule="exact"/>
        <w:rPr>
          <w:rFonts w:ascii="Arial" w:cs="Arial" w:eastAsia="Arial" w:hAnsi="Arial"/>
          <w:sz w:val="18"/>
          <w:szCs w:val="18"/>
          <w:color w:val="333333"/>
        </w:rPr>
      </w:pPr>
    </w:p>
    <w:p>
      <w:pPr>
        <w:jc w:val="both"/>
        <w:ind w:left="160" w:right="139" w:firstLine="2596"/>
        <w:spacing w:after="0" w:line="204" w:lineRule="auto"/>
        <w:tabs>
          <w:tab w:leader="none" w:pos="3805" w:val="left"/>
        </w:tabs>
        <w:numPr>
          <w:ilvl w:val="3"/>
          <w:numId w:val="22"/>
        </w:numPr>
        <w:rPr>
          <w:rFonts w:ascii="Arial" w:cs="Arial" w:eastAsia="Arial" w:hAnsi="Arial"/>
          <w:sz w:val="20"/>
          <w:szCs w:val="20"/>
          <w:color w:val="333333"/>
        </w:rPr>
      </w:pPr>
      <w:r>
        <w:rPr>
          <w:rFonts w:ascii="Arial" w:cs="Arial" w:eastAsia="Arial" w:hAnsi="Arial"/>
          <w:sz w:val="20"/>
          <w:szCs w:val="20"/>
          <w:color w:val="333333"/>
        </w:rPr>
        <w:t xml:space="preserve">The Company shall pay Executive severance in the form of continuation of Executive's Base Salary for six (6) months after the date of Executive's Separation from Service. These salary continuation payments will be paid on the Company's regular payroll schedule, subject to standard deductions and withholdings, over the six (6) month period following Executive's Separation from Service; </w:t>
      </w:r>
      <w:r>
        <w:rPr>
          <w:rFonts w:ascii="Arial" w:cs="Arial" w:eastAsia="Arial" w:hAnsi="Arial"/>
          <w:sz w:val="20"/>
          <w:szCs w:val="20"/>
          <w:i w:val="1"/>
          <w:iCs w:val="1"/>
          <w:color w:val="333333"/>
        </w:rPr>
        <w:t>provided, however, that</w:t>
      </w:r>
      <w:r>
        <w:rPr>
          <w:rFonts w:ascii="Arial" w:cs="Arial" w:eastAsia="Arial" w:hAnsi="Arial"/>
          <w:sz w:val="20"/>
          <w:szCs w:val="20"/>
          <w:color w:val="333333"/>
        </w:rPr>
        <w:t xml:space="preserve"> no payments will be made prior to the 60th day following Executive's Separation from Service. On the 60th day following Executive’s Separation from Service, the Company will pay Executive in a lump sum the salary continuation payments that Executive would ha e received on or prior to such date under the original schedule with the balance of the cash se</w:t>
      </w:r>
      <w:r>
        <w:rPr>
          <w:rFonts w:ascii="Arial" w:cs="Arial" w:eastAsia="Arial" w:hAnsi="Arial"/>
          <w:sz w:val="20"/>
          <w:szCs w:val="20"/>
          <w:color w:val="606060"/>
        </w:rPr>
        <w:t>v</w:t>
      </w:r>
      <w:r>
        <w:rPr>
          <w:rFonts w:ascii="Arial" w:cs="Arial" w:eastAsia="Arial" w:hAnsi="Arial"/>
          <w:sz w:val="20"/>
          <w:szCs w:val="20"/>
          <w:color w:val="333333"/>
        </w:rPr>
        <w:t>erance being paid as originally scheduled.</w:t>
      </w:r>
    </w:p>
    <w:p>
      <w:pPr>
        <w:spacing w:after="0" w:line="131" w:lineRule="exact"/>
        <w:rPr>
          <w:rFonts w:ascii="Arial" w:cs="Arial" w:eastAsia="Arial" w:hAnsi="Arial"/>
          <w:sz w:val="20"/>
          <w:szCs w:val="20"/>
          <w:color w:val="333333"/>
        </w:rPr>
      </w:pPr>
    </w:p>
    <w:p>
      <w:pPr>
        <w:jc w:val="both"/>
        <w:ind w:left="160" w:right="139" w:firstLine="2626"/>
        <w:spacing w:after="0" w:line="223" w:lineRule="auto"/>
        <w:tabs>
          <w:tab w:leader="none" w:pos="3638" w:val="left"/>
        </w:tabs>
        <w:numPr>
          <w:ilvl w:val="4"/>
          <w:numId w:val="22"/>
        </w:numPr>
        <w:rPr>
          <w:rFonts w:ascii="Arial" w:cs="Arial" w:eastAsia="Arial" w:hAnsi="Arial"/>
          <w:sz w:val="18"/>
          <w:szCs w:val="18"/>
          <w:color w:val="333333"/>
        </w:rPr>
      </w:pPr>
      <w:r>
        <w:rPr>
          <w:rFonts w:ascii="Arial" w:cs="Arial" w:eastAsia="Arial" w:hAnsi="Arial"/>
          <w:sz w:val="18"/>
          <w:szCs w:val="18"/>
          <w:color w:val="333333"/>
        </w:rPr>
        <w:t xml:space="preserve">Provided that Executive timely elects continued coverage under COBRA, the Company shall pay Executive's COBRA premiums to continue Executive's coverage (including coverage for eligible dependents, if applicable) </w:t>
      </w:r>
      <w:r>
        <w:rPr>
          <w:rFonts w:ascii="Arial" w:cs="Arial" w:eastAsia="Arial" w:hAnsi="Arial"/>
          <w:sz w:val="18"/>
          <w:szCs w:val="18"/>
          <w:b w:val="1"/>
          <w:bCs w:val="1"/>
          <w:color w:val="333333"/>
        </w:rPr>
        <w:t>(“COBRA Premiums”)</w:t>
      </w:r>
      <w:r>
        <w:rPr>
          <w:rFonts w:ascii="Arial" w:cs="Arial" w:eastAsia="Arial" w:hAnsi="Arial"/>
          <w:sz w:val="18"/>
          <w:szCs w:val="18"/>
          <w:color w:val="333333"/>
        </w:rPr>
        <w:t xml:space="preserve"> through the period (the </w:t>
      </w:r>
      <w:r>
        <w:rPr>
          <w:rFonts w:ascii="Arial" w:cs="Arial" w:eastAsia="Arial" w:hAnsi="Arial"/>
          <w:sz w:val="18"/>
          <w:szCs w:val="18"/>
          <w:b w:val="1"/>
          <w:bCs w:val="1"/>
          <w:color w:val="333333"/>
        </w:rPr>
        <w:t>“COBRA</w:t>
      </w:r>
      <w:r>
        <w:rPr>
          <w:rFonts w:ascii="Arial" w:cs="Arial" w:eastAsia="Arial" w:hAnsi="Arial"/>
          <w:sz w:val="18"/>
          <w:szCs w:val="18"/>
          <w:color w:val="333333"/>
        </w:rPr>
        <w:t xml:space="preserve"> </w:t>
      </w:r>
      <w:r>
        <w:rPr>
          <w:rFonts w:ascii="Arial" w:cs="Arial" w:eastAsia="Arial" w:hAnsi="Arial"/>
          <w:sz w:val="18"/>
          <w:szCs w:val="18"/>
          <w:b w:val="1"/>
          <w:bCs w:val="1"/>
          <w:color w:val="333333"/>
        </w:rPr>
        <w:t xml:space="preserve">Premium Period”) </w:t>
      </w:r>
      <w:r>
        <w:rPr>
          <w:rFonts w:ascii="Arial" w:cs="Arial" w:eastAsia="Arial" w:hAnsi="Arial"/>
          <w:sz w:val="18"/>
          <w:szCs w:val="18"/>
          <w:color w:val="333333"/>
        </w:rPr>
        <w:t>starting on the Executive's Separation from Service and ending on the earliest to occur of:</w:t>
      </w:r>
    </w:p>
    <w:p>
      <w:pPr>
        <w:spacing w:after="0" w:line="3" w:lineRule="exact"/>
        <w:rPr>
          <w:rFonts w:ascii="Arial" w:cs="Arial" w:eastAsia="Arial" w:hAnsi="Arial"/>
          <w:sz w:val="18"/>
          <w:szCs w:val="18"/>
          <w:color w:val="333333"/>
        </w:rPr>
      </w:pPr>
    </w:p>
    <w:p>
      <w:pPr>
        <w:jc w:val="both"/>
        <w:ind w:left="160" w:right="139" w:hanging="9"/>
        <w:spacing w:after="0" w:line="224" w:lineRule="auto"/>
        <w:tabs>
          <w:tab w:leader="none" w:pos="401" w:val="left"/>
        </w:tabs>
        <w:numPr>
          <w:ilvl w:val="0"/>
          <w:numId w:val="23"/>
        </w:numPr>
        <w:rPr>
          <w:rFonts w:ascii="Arial" w:cs="Arial" w:eastAsia="Arial" w:hAnsi="Arial"/>
          <w:sz w:val="18"/>
          <w:szCs w:val="18"/>
          <w:color w:val="333333"/>
        </w:rPr>
      </w:pPr>
      <w:r>
        <w:rPr>
          <w:rFonts w:ascii="Arial" w:cs="Arial" w:eastAsia="Arial" w:hAnsi="Arial"/>
          <w:sz w:val="18"/>
          <w:szCs w:val="18"/>
          <w:color w:val="333333"/>
        </w:rPr>
        <w:t>six (6) months following Executive's Separation from Service;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 to be eligible for COBRA during the COBRA Premium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remaining in the COBRA Premium Period, a fully taxable cash payment equal to the applicable COBRA premiums for that month, subject to applicable tax withholdings, which Executive may, but is not obligated to, use toward the cost of COBRA premiums.</w:t>
      </w:r>
    </w:p>
    <w:p>
      <w:pPr>
        <w:spacing w:after="0" w:line="131" w:lineRule="exact"/>
        <w:rPr>
          <w:rFonts w:ascii="Arial" w:cs="Arial" w:eastAsia="Arial" w:hAnsi="Arial"/>
          <w:sz w:val="18"/>
          <w:szCs w:val="18"/>
          <w:color w:val="333333"/>
        </w:rPr>
      </w:pPr>
    </w:p>
    <w:p>
      <w:pPr>
        <w:jc w:val="both"/>
        <w:ind w:left="160" w:right="139" w:firstLine="2603"/>
        <w:spacing w:after="0" w:line="210" w:lineRule="auto"/>
        <w:tabs>
          <w:tab w:leader="none" w:pos="3447" w:val="left"/>
        </w:tabs>
        <w:numPr>
          <w:ilvl w:val="3"/>
          <w:numId w:val="23"/>
        </w:numPr>
        <w:rPr>
          <w:rFonts w:ascii="Arial" w:cs="Arial" w:eastAsia="Arial" w:hAnsi="Arial"/>
          <w:sz w:val="20"/>
          <w:szCs w:val="20"/>
          <w:color w:val="333333"/>
        </w:rPr>
      </w:pPr>
      <w:r>
        <w:rPr>
          <w:rFonts w:ascii="Arial" w:cs="Arial" w:eastAsia="Arial" w:hAnsi="Arial"/>
          <w:sz w:val="20"/>
          <w:szCs w:val="20"/>
          <w:color w:val="333333"/>
        </w:rPr>
        <w:t xml:space="preserve">The vesting of Executive's Options shall be accelerated such that the shares subject to the Options that would have vested in the six (6) month period following Executive's Separation from Service shall be deemed immediately vested and exercisable as of Executive's last day of employment; </w:t>
      </w:r>
      <w:r>
        <w:rPr>
          <w:rFonts w:ascii="Arial" w:cs="Arial" w:eastAsia="Arial" w:hAnsi="Arial"/>
          <w:sz w:val="20"/>
          <w:szCs w:val="20"/>
          <w:i w:val="1"/>
          <w:iCs w:val="1"/>
          <w:color w:val="333333"/>
        </w:rPr>
        <w:t>provided, however, that</w:t>
      </w:r>
      <w:r>
        <w:rPr>
          <w:rFonts w:ascii="Arial" w:cs="Arial" w:eastAsia="Arial" w:hAnsi="Arial"/>
          <w:sz w:val="20"/>
          <w:szCs w:val="20"/>
          <w:color w:val="333333"/>
        </w:rPr>
        <w:t xml:space="preserve"> if Executive's termination without Cause or resignation for Good Reason occurs within</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2" w:name="page63"/>
    <w:bookmarkEnd w:id="62"/>
    <w:p>
      <w:pPr>
        <w:jc w:val="both"/>
        <w:ind w:left="160" w:right="139" w:firstLine="12"/>
        <w:spacing w:after="0" w:line="219" w:lineRule="auto"/>
        <w:rPr>
          <w:sz w:val="20"/>
          <w:szCs w:val="20"/>
          <w:color w:val="auto"/>
        </w:rPr>
      </w:pPr>
      <w:r>
        <w:rPr>
          <w:rFonts w:ascii="Arial" w:cs="Arial" w:eastAsia="Arial" w:hAnsi="Arial"/>
          <w:sz w:val="20"/>
          <w:szCs w:val="20"/>
          <w:color w:val="333333"/>
        </w:rPr>
        <w:t>twelve (12) months following the effective date of a Change in Control (as defined below), then the Company will accelerate the vesting of the Options such that I 0 0</w:t>
      </w:r>
      <w:r>
        <w:rPr>
          <w:rFonts w:ascii="Arial" w:cs="Arial" w:eastAsia="Arial" w:hAnsi="Arial"/>
          <w:sz w:val="20"/>
          <w:szCs w:val="20"/>
          <w:color w:val="505050"/>
        </w:rPr>
        <w:t>%</w:t>
      </w:r>
      <w:r>
        <w:rPr>
          <w:rFonts w:ascii="Arial" w:cs="Arial" w:eastAsia="Arial" w:hAnsi="Arial"/>
          <w:sz w:val="20"/>
          <w:szCs w:val="20"/>
          <w:color w:val="333333"/>
        </w:rPr>
        <w:t xml:space="preserve"> of the shares subject to the Options will vest and be immediately exercisable.</w:t>
      </w:r>
    </w:p>
    <w:p>
      <w:pPr>
        <w:spacing w:after="0" w:line="122" w:lineRule="exact"/>
        <w:rPr>
          <w:sz w:val="20"/>
          <w:szCs w:val="20"/>
          <w:color w:val="auto"/>
        </w:rPr>
      </w:pPr>
    </w:p>
    <w:p>
      <w:pPr>
        <w:ind w:left="1440"/>
        <w:spacing w:after="0"/>
        <w:tabs>
          <w:tab w:leader="none" w:pos="2120" w:val="left"/>
        </w:tabs>
        <w:rPr>
          <w:sz w:val="20"/>
          <w:szCs w:val="20"/>
          <w:color w:val="auto"/>
        </w:rPr>
      </w:pPr>
      <w:r>
        <w:rPr>
          <w:rFonts w:ascii="Arial" w:cs="Arial" w:eastAsia="Arial" w:hAnsi="Arial"/>
          <w:sz w:val="20"/>
          <w:szCs w:val="20"/>
          <w:b w:val="1"/>
          <w:bCs w:val="1"/>
          <w:color w:val="333333"/>
        </w:rPr>
        <w:t>3.3</w:t>
      </w:r>
      <w:r>
        <w:rPr>
          <w:sz w:val="20"/>
          <w:szCs w:val="20"/>
          <w:color w:val="auto"/>
        </w:rPr>
        <w:tab/>
      </w:r>
      <w:r>
        <w:rPr>
          <w:rFonts w:ascii="Arial" w:cs="Arial" w:eastAsia="Arial" w:hAnsi="Arial"/>
          <w:sz w:val="18"/>
          <w:szCs w:val="18"/>
          <w:b w:val="1"/>
          <w:bCs w:val="1"/>
          <w:color w:val="333333"/>
        </w:rPr>
        <w:t>Termination for Cause; Resignation Without Good Reason; Death or Disability.</w:t>
      </w:r>
    </w:p>
    <w:p>
      <w:pPr>
        <w:spacing w:after="0" w:line="154" w:lineRule="exact"/>
        <w:rPr>
          <w:sz w:val="20"/>
          <w:szCs w:val="20"/>
          <w:color w:val="auto"/>
        </w:rPr>
      </w:pPr>
    </w:p>
    <w:p>
      <w:pPr>
        <w:jc w:val="both"/>
        <w:ind w:left="160" w:right="139" w:firstLine="1950"/>
        <w:spacing w:after="0" w:line="244" w:lineRule="auto"/>
        <w:tabs>
          <w:tab w:leader="none" w:pos="2809" w:val="left"/>
        </w:tabs>
        <w:numPr>
          <w:ilvl w:val="1"/>
          <w:numId w:val="24"/>
        </w:numPr>
        <w:rPr>
          <w:rFonts w:ascii="Arial" w:cs="Arial" w:eastAsia="Arial" w:hAnsi="Arial"/>
          <w:sz w:val="18"/>
          <w:szCs w:val="18"/>
          <w:color w:val="333333"/>
        </w:rPr>
      </w:pPr>
      <w:r>
        <w:rPr>
          <w:rFonts w:ascii="Arial" w:cs="Arial" w:eastAsia="Arial" w:hAnsi="Arial"/>
          <w:sz w:val="18"/>
          <w:szCs w:val="18"/>
          <w:color w:val="333333"/>
        </w:rPr>
        <w:t>The Company may terminate Executive's employment with the Company at any time for Cause. Further, Executive may resign at any time without Good Reason. Executive's employment with the Company may also be terminated due to Executive's death or disability.</w:t>
      </w:r>
    </w:p>
    <w:p>
      <w:pPr>
        <w:spacing w:after="0" w:line="124" w:lineRule="exact"/>
        <w:rPr>
          <w:rFonts w:ascii="Arial" w:cs="Arial" w:eastAsia="Arial" w:hAnsi="Arial"/>
          <w:sz w:val="18"/>
          <w:szCs w:val="18"/>
          <w:color w:val="333333"/>
        </w:rPr>
      </w:pPr>
    </w:p>
    <w:p>
      <w:pPr>
        <w:jc w:val="both"/>
        <w:ind w:left="160" w:right="139" w:firstLine="1960"/>
        <w:spacing w:after="0" w:line="216" w:lineRule="auto"/>
        <w:tabs>
          <w:tab w:leader="none" w:pos="3008" w:val="left"/>
        </w:tabs>
        <w:numPr>
          <w:ilvl w:val="1"/>
          <w:numId w:val="24"/>
        </w:numPr>
        <w:rPr>
          <w:rFonts w:ascii="Arial" w:cs="Arial" w:eastAsia="Arial" w:hAnsi="Arial"/>
          <w:sz w:val="19"/>
          <w:szCs w:val="19"/>
          <w:color w:val="333333"/>
        </w:rPr>
      </w:pPr>
      <w:r>
        <w:rPr>
          <w:rFonts w:ascii="Arial" w:cs="Arial" w:eastAsia="Arial" w:hAnsi="Arial"/>
          <w:sz w:val="19"/>
          <w:szCs w:val="19"/>
          <w:color w:val="333333"/>
        </w:rPr>
        <w:t>If Executive resigns without Good Reason, or the Company terminates Executive's employment for Cause, or upon Executive's death or disability, then (i) Executive will no longer vest in the Options, (ii) all payments of compensation by the Company to Executive hereunder will terminate immediately (except as to amounts already earned), and (c) Executive will not be entitled to any severance benefits, including (without limitation) the Severance, COBRA Premiums, Special Cash Payments or Accelerated Vesting. In addition, Executive shall resign from all positions and terminate any relationships as an employee, advisor, officer or director with the Company and any of its affiliates, each effective on the date of termination.</w:t>
      </w:r>
    </w:p>
    <w:p>
      <w:pPr>
        <w:spacing w:after="0" w:line="122" w:lineRule="exact"/>
        <w:rPr>
          <w:rFonts w:ascii="Arial" w:cs="Arial" w:eastAsia="Arial" w:hAnsi="Arial"/>
          <w:sz w:val="19"/>
          <w:szCs w:val="19"/>
          <w:color w:val="333333"/>
        </w:rPr>
      </w:pPr>
    </w:p>
    <w:p>
      <w:pPr>
        <w:jc w:val="both"/>
        <w:ind w:left="160" w:right="139" w:firstLine="654"/>
        <w:spacing w:after="0" w:line="232" w:lineRule="auto"/>
        <w:tabs>
          <w:tab w:leader="none" w:pos="1517" w:val="left"/>
        </w:tabs>
        <w:numPr>
          <w:ilvl w:val="0"/>
          <w:numId w:val="25"/>
        </w:numPr>
        <w:rPr>
          <w:rFonts w:ascii="Arial" w:cs="Arial" w:eastAsia="Arial" w:hAnsi="Arial"/>
          <w:sz w:val="18"/>
          <w:szCs w:val="18"/>
          <w:b w:val="1"/>
          <w:bCs w:val="1"/>
          <w:color w:val="333333"/>
        </w:rPr>
      </w:pPr>
      <w:r>
        <w:rPr>
          <w:rFonts w:ascii="Arial" w:cs="Arial" w:eastAsia="Arial" w:hAnsi="Arial"/>
          <w:sz w:val="18"/>
          <w:szCs w:val="18"/>
          <w:b w:val="1"/>
          <w:bCs w:val="1"/>
          <w:color w:val="333333"/>
        </w:rPr>
        <w:t xml:space="preserve">Conditions to Receipt of Severance Benefits. </w:t>
      </w:r>
      <w:r>
        <w:rPr>
          <w:rFonts w:ascii="Arial" w:cs="Arial" w:eastAsia="Arial" w:hAnsi="Arial"/>
          <w:sz w:val="18"/>
          <w:szCs w:val="18"/>
          <w:color w:val="333333"/>
        </w:rPr>
        <w:t>Executive’s receipt of the se</w:t>
      </w:r>
      <w:r>
        <w:rPr>
          <w:rFonts w:ascii="Arial" w:cs="Arial" w:eastAsia="Arial" w:hAnsi="Arial"/>
          <w:sz w:val="18"/>
          <w:szCs w:val="18"/>
          <w:color w:val="505050"/>
        </w:rPr>
        <w:t>v</w:t>
      </w:r>
      <w:r>
        <w:rPr>
          <w:rFonts w:ascii="Arial" w:cs="Arial" w:eastAsia="Arial" w:hAnsi="Arial"/>
          <w:sz w:val="18"/>
          <w:szCs w:val="18"/>
          <w:color w:val="333333"/>
        </w:rPr>
        <w:t>erance benefits</w:t>
      </w:r>
      <w:r>
        <w:rPr>
          <w:rFonts w:ascii="Arial" w:cs="Arial" w:eastAsia="Arial" w:hAnsi="Arial"/>
          <w:sz w:val="18"/>
          <w:szCs w:val="18"/>
          <w:b w:val="1"/>
          <w:bCs w:val="1"/>
          <w:color w:val="333333"/>
        </w:rPr>
        <w:t xml:space="preserve"> </w:t>
      </w:r>
      <w:r>
        <w:rPr>
          <w:rFonts w:ascii="Arial" w:cs="Arial" w:eastAsia="Arial" w:hAnsi="Arial"/>
          <w:sz w:val="18"/>
          <w:szCs w:val="18"/>
          <w:color w:val="333333"/>
        </w:rPr>
        <w:t xml:space="preserve">described in Section 3.2 is contingent upon Executive signing and not revoking a separation agreement and release of claims in a form reasonably satisfactory to the Company (the </w:t>
      </w:r>
      <w:r>
        <w:rPr>
          <w:rFonts w:ascii="Arial" w:cs="Arial" w:eastAsia="Arial" w:hAnsi="Arial"/>
          <w:sz w:val="18"/>
          <w:szCs w:val="18"/>
          <w:b w:val="1"/>
          <w:bCs w:val="1"/>
          <w:color w:val="333333"/>
        </w:rPr>
        <w:t>“Separation Agreement”).</w:t>
      </w:r>
      <w:r>
        <w:rPr>
          <w:rFonts w:ascii="Arial" w:cs="Arial" w:eastAsia="Arial" w:hAnsi="Arial"/>
          <w:sz w:val="18"/>
          <w:szCs w:val="18"/>
          <w:color w:val="333333"/>
        </w:rPr>
        <w:t xml:space="preserve"> No severance benefits will be paid or provided until the Separation Agreement becomes effective. Executive shall also resign from all positions and terminate any relationships as an employee, advisor, officer or director with the Company and any of its affiliates, each effective on the date of termination.</w:t>
      </w:r>
    </w:p>
    <w:p>
      <w:pPr>
        <w:spacing w:after="0" w:line="123" w:lineRule="exact"/>
        <w:rPr>
          <w:rFonts w:ascii="Arial" w:cs="Arial" w:eastAsia="Arial" w:hAnsi="Arial"/>
          <w:sz w:val="18"/>
          <w:szCs w:val="18"/>
          <w:b w:val="1"/>
          <w:bCs w:val="1"/>
          <w:color w:val="333333"/>
        </w:rPr>
      </w:pPr>
    </w:p>
    <w:p>
      <w:pPr>
        <w:jc w:val="both"/>
        <w:ind w:left="160" w:right="139" w:firstLine="658"/>
        <w:spacing w:after="0" w:line="254" w:lineRule="auto"/>
        <w:tabs>
          <w:tab w:leader="none" w:pos="1594" w:val="left"/>
        </w:tabs>
        <w:numPr>
          <w:ilvl w:val="0"/>
          <w:numId w:val="25"/>
        </w:numPr>
        <w:rPr>
          <w:rFonts w:ascii="Arial" w:cs="Arial" w:eastAsia="Arial" w:hAnsi="Arial"/>
          <w:sz w:val="16"/>
          <w:szCs w:val="16"/>
          <w:b w:val="1"/>
          <w:bCs w:val="1"/>
          <w:color w:val="333333"/>
        </w:rPr>
      </w:pPr>
      <w:r>
        <w:rPr>
          <w:rFonts w:ascii="Arial" w:cs="Arial" w:eastAsia="Arial" w:hAnsi="Arial"/>
          <w:sz w:val="16"/>
          <w:szCs w:val="16"/>
          <w:b w:val="1"/>
          <w:bCs w:val="1"/>
          <w:color w:val="333333"/>
        </w:rPr>
        <w:t xml:space="preserve">Section 409A. </w:t>
      </w:r>
      <w:r>
        <w:rPr>
          <w:rFonts w:ascii="Arial" w:cs="Arial" w:eastAsia="Arial" w:hAnsi="Arial"/>
          <w:sz w:val="16"/>
          <w:szCs w:val="16"/>
          <w:color w:val="333333"/>
        </w:rPr>
        <w:t>It is intended that all of the severance benefits and other payments payable</w:t>
      </w:r>
      <w:r>
        <w:rPr>
          <w:rFonts w:ascii="Arial" w:cs="Arial" w:eastAsia="Arial" w:hAnsi="Arial"/>
          <w:sz w:val="16"/>
          <w:szCs w:val="16"/>
          <w:b w:val="1"/>
          <w:bCs w:val="1"/>
          <w:color w:val="333333"/>
        </w:rPr>
        <w:t xml:space="preserve"> </w:t>
      </w:r>
      <w:r>
        <w:rPr>
          <w:rFonts w:ascii="Arial" w:cs="Arial" w:eastAsia="Arial" w:hAnsi="Arial"/>
          <w:sz w:val="16"/>
          <w:szCs w:val="16"/>
          <w:color w:val="333333"/>
        </w:rPr>
        <w:t>under this Agreement satisfy, to the greatest extent possible, the exemptions from the application of Internal Revenue Code Section 409A provided under Treasury Regulations 1.409A-l(b)(4), 1.409A-l(b)(5) and 1.409A-l(b)(9). and this Agreement will be construed to the greatest extent possible as consistent with those provisions, and to the extent no so exempt, this Agreement (and any definitions hereunder) will be construed in a manner that complies with Section 409A. For purposes of Code Section 409A (including. without limitation, for purposes of Treasury Regulation Section l.409A-2(b)(2)(iii)), E</w:t>
      </w:r>
      <w:r>
        <w:rPr>
          <w:rFonts w:ascii="Arial" w:cs="Arial" w:eastAsia="Arial" w:hAnsi="Arial"/>
          <w:sz w:val="16"/>
          <w:szCs w:val="16"/>
          <w:color w:val="505050"/>
        </w:rPr>
        <w:t>x</w:t>
      </w:r>
      <w:r>
        <w:rPr>
          <w:rFonts w:ascii="Arial" w:cs="Arial" w:eastAsia="Arial" w:hAnsi="Arial"/>
          <w:sz w:val="16"/>
          <w:szCs w:val="16"/>
          <w:color w:val="333333"/>
        </w:rPr>
        <w:t>ecutive 's right to receive any installment payments under this Agreement (whether se</w:t>
      </w:r>
      <w:r>
        <w:rPr>
          <w:rFonts w:ascii="Arial" w:cs="Arial" w:eastAsia="Arial" w:hAnsi="Arial"/>
          <w:sz w:val="16"/>
          <w:szCs w:val="16"/>
          <w:color w:val="505050"/>
        </w:rPr>
        <w:t>v</w:t>
      </w:r>
      <w:r>
        <w:rPr>
          <w:rFonts w:ascii="Arial" w:cs="Arial" w:eastAsia="Arial" w:hAnsi="Arial"/>
          <w:sz w:val="16"/>
          <w:szCs w:val="16"/>
          <w:color w:val="333333"/>
        </w:rPr>
        <w:t>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Separation from Service to be a “specified employee” for purposes of Code Section 409A(a)(2)(8)(i), and if any of the payments upon Separation from Service set forth herein and</w:t>
      </w:r>
      <w:r>
        <w:rPr>
          <w:rFonts w:ascii="Arial" w:cs="Arial" w:eastAsia="Arial" w:hAnsi="Arial"/>
          <w:sz w:val="16"/>
          <w:szCs w:val="16"/>
          <w:color w:val="828282"/>
        </w:rPr>
        <w:t>/</w:t>
      </w:r>
      <w:r>
        <w:rPr>
          <w:rFonts w:ascii="Arial" w:cs="Arial" w:eastAsia="Arial" w:hAnsi="Arial"/>
          <w:sz w:val="16"/>
          <w:szCs w:val="16"/>
          <w:color w:val="333333"/>
        </w:rPr>
        <w:t>or under any other agreement with the</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3" w:name="page64"/>
    <w:bookmarkEnd w:id="63"/>
    <w:p>
      <w:pPr>
        <w:jc w:val="both"/>
        <w:ind w:left="160" w:right="139" w:firstLine="12"/>
        <w:spacing w:after="0" w:line="229" w:lineRule="auto"/>
        <w:rPr>
          <w:sz w:val="20"/>
          <w:szCs w:val="20"/>
          <w:color w:val="auto"/>
        </w:rPr>
      </w:pPr>
      <w:r>
        <w:rPr>
          <w:rFonts w:ascii="Arial" w:cs="Arial" w:eastAsia="Arial" w:hAnsi="Arial"/>
          <w:sz w:val="18"/>
          <w:szCs w:val="18"/>
          <w:color w:val="343434"/>
        </w:rPr>
        <w:t>Company are deemed to be “deferred compensation”, then to the extent delayed commencement of any portion of such payments is required in order to avoid a prohibited distribution under Code Section 409A(a)</w:t>
      </w:r>
    </w:p>
    <w:p>
      <w:pPr>
        <w:spacing w:after="0" w:line="1" w:lineRule="exact"/>
        <w:rPr>
          <w:sz w:val="20"/>
          <w:szCs w:val="20"/>
          <w:color w:val="auto"/>
        </w:rPr>
      </w:pPr>
    </w:p>
    <w:p>
      <w:pPr>
        <w:jc w:val="both"/>
        <w:ind w:left="160" w:right="139"/>
        <w:spacing w:after="0" w:line="203" w:lineRule="auto"/>
        <w:rPr>
          <w:sz w:val="20"/>
          <w:szCs w:val="20"/>
          <w:color w:val="auto"/>
        </w:rPr>
      </w:pPr>
      <w:r>
        <w:rPr>
          <w:rFonts w:ascii="Arial" w:cs="Arial" w:eastAsia="Arial" w:hAnsi="Arial"/>
          <w:sz w:val="20"/>
          <w:szCs w:val="20"/>
          <w:color w:val="343434"/>
        </w:rPr>
        <w:t>(2)(B)(i) and the related adverse taxation under Section 409A, such payments shall not be provided to Executive prior to the earliest of (i) the expiration of the six-month period measured from 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w:t>
      </w:r>
      <w:r>
        <w:rPr>
          <w:rFonts w:ascii="Arial" w:cs="Arial" w:eastAsia="Arial" w:hAnsi="Arial"/>
          <w:sz w:val="20"/>
          <w:szCs w:val="20"/>
          <w:color w:val="4F4F4F"/>
        </w:rPr>
        <w:t>y</w:t>
      </w:r>
      <w:r>
        <w:rPr>
          <w:rFonts w:ascii="Arial" w:cs="Arial" w:eastAsia="Arial" w:hAnsi="Arial"/>
          <w:sz w:val="20"/>
          <w:szCs w:val="20"/>
          <w:color w:val="343434"/>
        </w:rPr>
        <w:t xml:space="preserve"> amounts so deferred.</w:t>
      </w:r>
    </w:p>
    <w:p>
      <w:pPr>
        <w:spacing w:after="0" w:line="123" w:lineRule="exact"/>
        <w:rPr>
          <w:sz w:val="20"/>
          <w:szCs w:val="20"/>
          <w:color w:val="auto"/>
        </w:rPr>
      </w:pPr>
    </w:p>
    <w:p>
      <w:pPr>
        <w:ind w:left="1500" w:hanging="701"/>
        <w:spacing w:after="0"/>
        <w:tabs>
          <w:tab w:leader="none" w:pos="1500" w:val="left"/>
        </w:tabs>
        <w:numPr>
          <w:ilvl w:val="0"/>
          <w:numId w:val="26"/>
        </w:numPr>
        <w:rPr>
          <w:rFonts w:ascii="Arial" w:cs="Arial" w:eastAsia="Arial" w:hAnsi="Arial"/>
          <w:sz w:val="20"/>
          <w:szCs w:val="20"/>
          <w:b w:val="1"/>
          <w:bCs w:val="1"/>
          <w:color w:val="343434"/>
        </w:rPr>
      </w:pPr>
      <w:r>
        <w:rPr>
          <w:rFonts w:ascii="Arial" w:cs="Arial" w:eastAsia="Arial" w:hAnsi="Arial"/>
          <w:sz w:val="20"/>
          <w:szCs w:val="20"/>
          <w:b w:val="1"/>
          <w:bCs w:val="1"/>
          <w:color w:val="343434"/>
        </w:rPr>
        <w:t>Definitions.</w:t>
      </w:r>
    </w:p>
    <w:p>
      <w:pPr>
        <w:spacing w:after="0" w:line="148" w:lineRule="exact"/>
        <w:rPr>
          <w:sz w:val="20"/>
          <w:szCs w:val="20"/>
          <w:color w:val="auto"/>
        </w:rPr>
      </w:pPr>
    </w:p>
    <w:p>
      <w:pPr>
        <w:jc w:val="both"/>
        <w:ind w:left="160" w:right="139" w:firstLine="1309"/>
        <w:spacing w:after="0" w:line="224" w:lineRule="auto"/>
        <w:rPr>
          <w:sz w:val="20"/>
          <w:szCs w:val="20"/>
          <w:color w:val="auto"/>
        </w:rPr>
      </w:pPr>
      <w:r>
        <w:rPr>
          <w:rFonts w:ascii="Arial" w:cs="Arial" w:eastAsia="Arial" w:hAnsi="Arial"/>
          <w:sz w:val="18"/>
          <w:szCs w:val="18"/>
          <w:b w:val="1"/>
          <w:bCs w:val="1"/>
          <w:color w:val="343434"/>
        </w:rPr>
        <w:t xml:space="preserve">6.1 Cause. </w:t>
      </w:r>
      <w:r>
        <w:rPr>
          <w:rFonts w:ascii="Arial" w:cs="Arial" w:eastAsia="Arial" w:hAnsi="Arial"/>
          <w:sz w:val="18"/>
          <w:szCs w:val="18"/>
          <w:color w:val="343434"/>
        </w:rPr>
        <w:t>For purposes of this Agreement,</w:t>
      </w:r>
      <w:r>
        <w:rPr>
          <w:rFonts w:ascii="Arial" w:cs="Arial" w:eastAsia="Arial" w:hAnsi="Arial"/>
          <w:sz w:val="18"/>
          <w:szCs w:val="18"/>
          <w:b w:val="1"/>
          <w:bCs w:val="1"/>
          <w:color w:val="343434"/>
        </w:rPr>
        <w:t xml:space="preserve"> “Cause” </w:t>
      </w:r>
      <w:r>
        <w:rPr>
          <w:rFonts w:ascii="Arial" w:cs="Arial" w:eastAsia="Arial" w:hAnsi="Arial"/>
          <w:sz w:val="18"/>
          <w:szCs w:val="18"/>
          <w:color w:val="343434"/>
        </w:rPr>
        <w:t>for termination of Executive's</w:t>
      </w:r>
      <w:r>
        <w:rPr>
          <w:rFonts w:ascii="Arial" w:cs="Arial" w:eastAsia="Arial" w:hAnsi="Arial"/>
          <w:sz w:val="18"/>
          <w:szCs w:val="18"/>
          <w:b w:val="1"/>
          <w:bCs w:val="1"/>
          <w:color w:val="343434"/>
        </w:rPr>
        <w:t xml:space="preserve"> </w:t>
      </w:r>
      <w:r>
        <w:rPr>
          <w:rFonts w:ascii="Arial" w:cs="Arial" w:eastAsia="Arial" w:hAnsi="Arial"/>
          <w:sz w:val="18"/>
          <w:szCs w:val="18"/>
          <w:color w:val="343434"/>
        </w:rPr>
        <w:t>employment will mean: (a) commission of any felony or crime involving fraud</w:t>
      </w:r>
      <w:r>
        <w:rPr>
          <w:rFonts w:ascii="Arial" w:cs="Arial" w:eastAsia="Arial" w:hAnsi="Arial"/>
          <w:sz w:val="18"/>
          <w:szCs w:val="18"/>
          <w:color w:val="4F4F4F"/>
        </w:rPr>
        <w:t>,</w:t>
      </w:r>
      <w:r>
        <w:rPr>
          <w:rFonts w:ascii="Arial" w:cs="Arial" w:eastAsia="Arial" w:hAnsi="Arial"/>
          <w:sz w:val="18"/>
          <w:szCs w:val="18"/>
          <w:color w:val="343434"/>
        </w:rPr>
        <w:t xml:space="preserve"> dishonesty or moral turpitude under the laws of the United States or any state thereof; (b) attempted commission of</w:t>
      </w:r>
      <w:r>
        <w:rPr>
          <w:rFonts w:ascii="Arial" w:cs="Arial" w:eastAsia="Arial" w:hAnsi="Arial"/>
          <w:sz w:val="18"/>
          <w:szCs w:val="18"/>
          <w:color w:val="4F4F4F"/>
        </w:rPr>
        <w:t>,</w:t>
      </w:r>
      <w:r>
        <w:rPr>
          <w:rFonts w:ascii="Arial" w:cs="Arial" w:eastAsia="Arial" w:hAnsi="Arial"/>
          <w:sz w:val="18"/>
          <w:szCs w:val="18"/>
          <w:color w:val="343434"/>
        </w:rPr>
        <w:t xml:space="preserve"> or participation in, a fraud or act of dishonesty against the Company; (c) intentional, material violation of any contract or agreement between Executive and the Company or of any statutory duty owed to the Company;</w:t>
      </w:r>
    </w:p>
    <w:p>
      <w:pPr>
        <w:spacing w:after="0" w:line="1" w:lineRule="exact"/>
        <w:rPr>
          <w:sz w:val="20"/>
          <w:szCs w:val="20"/>
          <w:color w:val="auto"/>
        </w:rPr>
      </w:pPr>
    </w:p>
    <w:p>
      <w:pPr>
        <w:ind w:left="160" w:right="159" w:hanging="9"/>
        <w:spacing w:after="0" w:line="220" w:lineRule="auto"/>
        <w:tabs>
          <w:tab w:leader="none" w:pos="464" w:val="left"/>
        </w:tabs>
        <w:numPr>
          <w:ilvl w:val="0"/>
          <w:numId w:val="27"/>
        </w:numPr>
        <w:rPr>
          <w:rFonts w:ascii="Arial" w:cs="Arial" w:eastAsia="Arial" w:hAnsi="Arial"/>
          <w:sz w:val="20"/>
          <w:szCs w:val="20"/>
          <w:color w:val="343434"/>
        </w:rPr>
      </w:pPr>
      <w:r>
        <w:rPr>
          <w:rFonts w:ascii="Arial" w:cs="Arial" w:eastAsia="Arial" w:hAnsi="Arial"/>
          <w:sz w:val="20"/>
          <w:szCs w:val="20"/>
          <w:color w:val="343434"/>
        </w:rPr>
        <w:t>unauthorized use or disclosure of the Company's confidential information or trade secrets; or (e) gross misconduct.</w:t>
      </w:r>
    </w:p>
    <w:p>
      <w:pPr>
        <w:spacing w:after="0" w:line="124" w:lineRule="exact"/>
        <w:rPr>
          <w:sz w:val="20"/>
          <w:szCs w:val="20"/>
          <w:color w:val="auto"/>
        </w:rPr>
      </w:pPr>
    </w:p>
    <w:p>
      <w:pPr>
        <w:jc w:val="both"/>
        <w:ind w:left="160" w:right="139" w:firstLine="1322"/>
        <w:spacing w:after="0" w:line="212" w:lineRule="auto"/>
        <w:rPr>
          <w:sz w:val="20"/>
          <w:szCs w:val="20"/>
          <w:color w:val="auto"/>
        </w:rPr>
      </w:pPr>
      <w:r>
        <w:rPr>
          <w:rFonts w:ascii="Arial" w:cs="Arial" w:eastAsia="Arial" w:hAnsi="Arial"/>
          <w:sz w:val="19"/>
          <w:szCs w:val="19"/>
          <w:b w:val="1"/>
          <w:bCs w:val="1"/>
          <w:color w:val="343434"/>
        </w:rPr>
        <w:t xml:space="preserve">6.2 Good Reason. </w:t>
      </w:r>
      <w:r>
        <w:rPr>
          <w:rFonts w:ascii="Arial" w:cs="Arial" w:eastAsia="Arial" w:hAnsi="Arial"/>
          <w:sz w:val="19"/>
          <w:szCs w:val="19"/>
          <w:color w:val="343434"/>
        </w:rPr>
        <w:t>For purposes of this Agreement, Executive shall have</w:t>
      </w:r>
      <w:r>
        <w:rPr>
          <w:rFonts w:ascii="Arial" w:cs="Arial" w:eastAsia="Arial" w:hAnsi="Arial"/>
          <w:sz w:val="19"/>
          <w:szCs w:val="19"/>
          <w:b w:val="1"/>
          <w:bCs w:val="1"/>
          <w:color w:val="343434"/>
        </w:rPr>
        <w:t xml:space="preserve"> “Good Reason” </w:t>
      </w:r>
      <w:r>
        <w:rPr>
          <w:rFonts w:ascii="Arial" w:cs="Arial" w:eastAsia="Arial" w:hAnsi="Arial"/>
          <w:sz w:val="19"/>
          <w:szCs w:val="19"/>
          <w:color w:val="343434"/>
        </w:rPr>
        <w:t>for resignation from employment with the Company if any of the following actions are taken by the</w:t>
      </w:r>
      <w:r>
        <w:rPr>
          <w:rFonts w:ascii="Arial" w:cs="Arial" w:eastAsia="Arial" w:hAnsi="Arial"/>
          <w:sz w:val="19"/>
          <w:szCs w:val="19"/>
          <w:b w:val="1"/>
          <w:bCs w:val="1"/>
          <w:color w:val="343434"/>
        </w:rPr>
        <w:t xml:space="preserve"> </w:t>
      </w:r>
      <w:r>
        <w:rPr>
          <w:rFonts w:ascii="Arial" w:cs="Arial" w:eastAsia="Arial" w:hAnsi="Arial"/>
          <w:sz w:val="19"/>
          <w:szCs w:val="19"/>
          <w:color w:val="343434"/>
        </w:rPr>
        <w:t>Company or a successor corporation or entity without Executive's prior written consent: (a) a material reduction in Executive's base salary, which the Parties agree is a reduction of at least 10</w:t>
      </w:r>
      <w:r>
        <w:rPr>
          <w:rFonts w:ascii="Arial" w:cs="Arial" w:eastAsia="Arial" w:hAnsi="Arial"/>
          <w:sz w:val="19"/>
          <w:szCs w:val="19"/>
          <w:color w:val="4F4F4F"/>
        </w:rPr>
        <w:t>%</w:t>
      </w:r>
      <w:r>
        <w:rPr>
          <w:rFonts w:ascii="Arial" w:cs="Arial" w:eastAsia="Arial" w:hAnsi="Arial"/>
          <w:sz w:val="19"/>
          <w:szCs w:val="19"/>
          <w:color w:val="343434"/>
        </w:rPr>
        <w:t xml:space="preserve"> of Executive's Base Salary (unless pursuant to a salary reduction program applicable generally to the Company's similarly situated employees); (b) a material reduction in Executive's duties (including responsibilities and/or authorities), </w:t>
      </w:r>
      <w:r>
        <w:rPr>
          <w:rFonts w:ascii="Arial" w:cs="Arial" w:eastAsia="Arial" w:hAnsi="Arial"/>
          <w:sz w:val="19"/>
          <w:szCs w:val="19"/>
          <w:i w:val="1"/>
          <w:iCs w:val="1"/>
          <w:color w:val="343434"/>
        </w:rPr>
        <w:t>provided, however, that</w:t>
      </w:r>
      <w:r>
        <w:rPr>
          <w:rFonts w:ascii="Arial" w:cs="Arial" w:eastAsia="Arial" w:hAnsi="Arial"/>
          <w:sz w:val="19"/>
          <w:szCs w:val="19"/>
          <w:color w:val="343434"/>
        </w:rPr>
        <w:t xml:space="preserve"> a change in job position (including a change in title) shall not be deemed a “material reduction” in and of itself unless Executive's new duties are materially reduced from the prior duties; or (c) relocation of E</w:t>
      </w:r>
      <w:r>
        <w:rPr>
          <w:rFonts w:ascii="Arial" w:cs="Arial" w:eastAsia="Arial" w:hAnsi="Arial"/>
          <w:sz w:val="19"/>
          <w:szCs w:val="19"/>
          <w:color w:val="4F4F4F"/>
        </w:rPr>
        <w:t>x</w:t>
      </w:r>
      <w:r>
        <w:rPr>
          <w:rFonts w:ascii="Arial" w:cs="Arial" w:eastAsia="Arial" w:hAnsi="Arial"/>
          <w:sz w:val="19"/>
          <w:szCs w:val="19"/>
          <w:color w:val="343434"/>
        </w:rPr>
        <w:t>ecutive' s principal place of employment to a place that increases Executive's one-way commute by more than thirty-five (35) miles as compared to E</w:t>
      </w:r>
      <w:r>
        <w:rPr>
          <w:rFonts w:ascii="Arial" w:cs="Arial" w:eastAsia="Arial" w:hAnsi="Arial"/>
          <w:sz w:val="19"/>
          <w:szCs w:val="19"/>
          <w:color w:val="4F4F4F"/>
        </w:rPr>
        <w:t>x</w:t>
      </w:r>
      <w:r>
        <w:rPr>
          <w:rFonts w:ascii="Arial" w:cs="Arial" w:eastAsia="Arial" w:hAnsi="Arial"/>
          <w:sz w:val="19"/>
          <w:szCs w:val="19"/>
          <w:color w:val="343434"/>
        </w:rPr>
        <w:t>ecutive' s principal place of employment immediately prior to such relocation. In order to resign for Good Reason, Executive must provide written notice to the Board within 30 days after the first occurrence of the event giving rise to Good Reason setting forth the basis for Executive's resignation, allow the Company at least 30 days from receipt of such written notice to cure such event</w:t>
      </w:r>
      <w:r>
        <w:rPr>
          <w:rFonts w:ascii="Arial" w:cs="Arial" w:eastAsia="Arial" w:hAnsi="Arial"/>
          <w:sz w:val="19"/>
          <w:szCs w:val="19"/>
          <w:color w:val="4F4F4F"/>
        </w:rPr>
        <w:t>,</w:t>
      </w:r>
      <w:r>
        <w:rPr>
          <w:rFonts w:ascii="Arial" w:cs="Arial" w:eastAsia="Arial" w:hAnsi="Arial"/>
          <w:sz w:val="19"/>
          <w:szCs w:val="19"/>
          <w:color w:val="343434"/>
        </w:rPr>
        <w:t xml:space="preserve"> and if such event is not reasonably cured within such period, Executive must resign from all positions Executive then holds with the Company not later than 30 days after the expiration of the cure period.</w:t>
      </w:r>
    </w:p>
    <w:p>
      <w:pPr>
        <w:spacing w:after="0" w:line="126" w:lineRule="exact"/>
        <w:rPr>
          <w:sz w:val="20"/>
          <w:szCs w:val="20"/>
          <w:color w:val="auto"/>
        </w:rPr>
      </w:pPr>
    </w:p>
    <w:p>
      <w:pPr>
        <w:jc w:val="both"/>
        <w:ind w:left="160" w:right="139" w:firstLine="1299"/>
        <w:spacing w:after="0" w:line="232" w:lineRule="auto"/>
        <w:rPr>
          <w:sz w:val="20"/>
          <w:szCs w:val="20"/>
          <w:color w:val="auto"/>
        </w:rPr>
      </w:pPr>
      <w:r>
        <w:rPr>
          <w:rFonts w:ascii="Arial" w:cs="Arial" w:eastAsia="Arial" w:hAnsi="Arial"/>
          <w:sz w:val="20"/>
          <w:szCs w:val="20"/>
          <w:b w:val="1"/>
          <w:bCs w:val="1"/>
          <w:color w:val="343434"/>
        </w:rPr>
        <w:t xml:space="preserve">6.3 Change of Control. </w:t>
      </w:r>
      <w:r>
        <w:rPr>
          <w:rFonts w:ascii="Arial" w:cs="Arial" w:eastAsia="Arial" w:hAnsi="Arial"/>
          <w:sz w:val="20"/>
          <w:szCs w:val="20"/>
          <w:color w:val="343434"/>
        </w:rPr>
        <w:t>For purposes of this Agreement,</w:t>
      </w:r>
      <w:r>
        <w:rPr>
          <w:rFonts w:ascii="Arial" w:cs="Arial" w:eastAsia="Arial" w:hAnsi="Arial"/>
          <w:sz w:val="20"/>
          <w:szCs w:val="20"/>
          <w:b w:val="1"/>
          <w:bCs w:val="1"/>
          <w:color w:val="343434"/>
        </w:rPr>
        <w:t xml:space="preserve"> “Change of Control” </w:t>
      </w:r>
      <w:r>
        <w:rPr>
          <w:rFonts w:ascii="Arial" w:cs="Arial" w:eastAsia="Arial" w:hAnsi="Arial"/>
          <w:sz w:val="20"/>
          <w:szCs w:val="20"/>
          <w:color w:val="343434"/>
        </w:rPr>
        <w:t>shall be</w:t>
      </w:r>
      <w:r>
        <w:rPr>
          <w:rFonts w:ascii="Arial" w:cs="Arial" w:eastAsia="Arial" w:hAnsi="Arial"/>
          <w:sz w:val="20"/>
          <w:szCs w:val="20"/>
          <w:b w:val="1"/>
          <w:bCs w:val="1"/>
          <w:color w:val="343434"/>
        </w:rPr>
        <w:t xml:space="preserve"> </w:t>
      </w:r>
      <w:r>
        <w:rPr>
          <w:rFonts w:ascii="Arial" w:cs="Arial" w:eastAsia="Arial" w:hAnsi="Arial"/>
          <w:sz w:val="20"/>
          <w:szCs w:val="20"/>
          <w:color w:val="343434"/>
        </w:rPr>
        <w:t>as defined in the Everspin 2008 Equity Incentive Plan.</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4" w:name="page65"/>
    <w:bookmarkEnd w:id="64"/>
    <w:p>
      <w:pPr>
        <w:jc w:val="both"/>
        <w:ind w:left="160" w:right="139" w:firstLine="639"/>
        <w:spacing w:after="0" w:line="220" w:lineRule="auto"/>
        <w:tabs>
          <w:tab w:leader="none" w:pos="1607" w:val="left"/>
        </w:tabs>
        <w:numPr>
          <w:ilvl w:val="0"/>
          <w:numId w:val="28"/>
        </w:numPr>
        <w:rPr>
          <w:rFonts w:ascii="Arial" w:cs="Arial" w:eastAsia="Arial" w:hAnsi="Arial"/>
          <w:sz w:val="20"/>
          <w:szCs w:val="20"/>
          <w:b w:val="1"/>
          <w:bCs w:val="1"/>
          <w:color w:val="333333"/>
        </w:rPr>
      </w:pPr>
      <w:r>
        <w:rPr>
          <w:rFonts w:ascii="Arial" w:cs="Arial" w:eastAsia="Arial" w:hAnsi="Arial"/>
          <w:sz w:val="20"/>
          <w:szCs w:val="20"/>
          <w:b w:val="1"/>
          <w:bCs w:val="1"/>
          <w:color w:val="333333"/>
        </w:rPr>
        <w:t xml:space="preserve">Proprietary Information Obligations. </w:t>
      </w:r>
      <w:r>
        <w:rPr>
          <w:rFonts w:ascii="Arial" w:cs="Arial" w:eastAsia="Arial" w:hAnsi="Arial"/>
          <w:sz w:val="20"/>
          <w:szCs w:val="20"/>
          <w:color w:val="333333"/>
        </w:rPr>
        <w:t>Executive shall remain bound by the terms of the</w:t>
      </w:r>
      <w:r>
        <w:rPr>
          <w:rFonts w:ascii="Arial" w:cs="Arial" w:eastAsia="Arial" w:hAnsi="Arial"/>
          <w:sz w:val="20"/>
          <w:szCs w:val="20"/>
          <w:b w:val="1"/>
          <w:bCs w:val="1"/>
          <w:color w:val="333333"/>
        </w:rPr>
        <w:t xml:space="preserve"> </w:t>
      </w:r>
      <w:r>
        <w:rPr>
          <w:rFonts w:ascii="Arial" w:cs="Arial" w:eastAsia="Arial" w:hAnsi="Arial"/>
          <w:sz w:val="20"/>
          <w:szCs w:val="20"/>
          <w:color w:val="333333"/>
        </w:rPr>
        <w:t>Employee Proprietary information and Inventions Assignment Agreement that Executive previously executed.</w:t>
      </w:r>
    </w:p>
    <w:p>
      <w:pPr>
        <w:spacing w:after="0" w:line="123" w:lineRule="exact"/>
        <w:rPr>
          <w:rFonts w:ascii="Arial" w:cs="Arial" w:eastAsia="Arial" w:hAnsi="Arial"/>
          <w:sz w:val="20"/>
          <w:szCs w:val="20"/>
          <w:b w:val="1"/>
          <w:bCs w:val="1"/>
          <w:color w:val="333333"/>
        </w:rPr>
      </w:pPr>
    </w:p>
    <w:p>
      <w:pPr>
        <w:ind w:left="1440" w:hanging="641"/>
        <w:spacing w:after="0"/>
        <w:tabs>
          <w:tab w:leader="none" w:pos="1440" w:val="left"/>
        </w:tabs>
        <w:numPr>
          <w:ilvl w:val="0"/>
          <w:numId w:val="28"/>
        </w:numPr>
        <w:rPr>
          <w:rFonts w:ascii="Arial" w:cs="Arial" w:eastAsia="Arial" w:hAnsi="Arial"/>
          <w:sz w:val="20"/>
          <w:szCs w:val="20"/>
          <w:b w:val="1"/>
          <w:bCs w:val="1"/>
          <w:color w:val="333333"/>
        </w:rPr>
      </w:pPr>
      <w:r>
        <w:rPr>
          <w:rFonts w:ascii="Arial" w:cs="Arial" w:eastAsia="Arial" w:hAnsi="Arial"/>
          <w:sz w:val="20"/>
          <w:szCs w:val="20"/>
          <w:b w:val="1"/>
          <w:bCs w:val="1"/>
          <w:color w:val="333333"/>
        </w:rPr>
        <w:t>Outside Activities During Employment.</w:t>
      </w:r>
    </w:p>
    <w:p>
      <w:pPr>
        <w:spacing w:after="0" w:line="148" w:lineRule="exact"/>
        <w:rPr>
          <w:sz w:val="20"/>
          <w:szCs w:val="20"/>
          <w:color w:val="auto"/>
        </w:rPr>
      </w:pPr>
    </w:p>
    <w:p>
      <w:pPr>
        <w:jc w:val="both"/>
        <w:ind w:left="160" w:right="139" w:firstLine="1297"/>
        <w:spacing w:after="0" w:line="211" w:lineRule="auto"/>
        <w:rPr>
          <w:sz w:val="20"/>
          <w:szCs w:val="20"/>
          <w:color w:val="auto"/>
        </w:rPr>
      </w:pPr>
      <w:r>
        <w:rPr>
          <w:rFonts w:ascii="Arial" w:cs="Arial" w:eastAsia="Arial" w:hAnsi="Arial"/>
          <w:sz w:val="20"/>
          <w:szCs w:val="20"/>
          <w:b w:val="1"/>
          <w:bCs w:val="1"/>
          <w:color w:val="333333"/>
        </w:rPr>
        <w:t xml:space="preserve">8.1 Non-Company Business. </w:t>
      </w:r>
      <w:r>
        <w:rPr>
          <w:rFonts w:ascii="Arial" w:cs="Arial" w:eastAsia="Arial" w:hAnsi="Arial"/>
          <w:sz w:val="20"/>
          <w:szCs w:val="20"/>
          <w:color w:val="333333"/>
        </w:rPr>
        <w:t>Except with the prior written consent of the Board,</w:t>
      </w:r>
      <w:r>
        <w:rPr>
          <w:rFonts w:ascii="Arial" w:cs="Arial" w:eastAsia="Arial" w:hAnsi="Arial"/>
          <w:sz w:val="20"/>
          <w:szCs w:val="20"/>
          <w:b w:val="1"/>
          <w:bCs w:val="1"/>
          <w:color w:val="333333"/>
        </w:rPr>
        <w:t xml:space="preserve"> </w:t>
      </w:r>
      <w:r>
        <w:rPr>
          <w:rFonts w:ascii="Arial" w:cs="Arial" w:eastAsia="Arial" w:hAnsi="Arial"/>
          <w:sz w:val="20"/>
          <w:szCs w:val="20"/>
          <w:color w:val="333333"/>
        </w:rPr>
        <w:t xml:space="preserve">Executive will not during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t>
      </w:r>
      <w:r>
        <w:rPr>
          <w:rFonts w:ascii="Arial" w:cs="Arial" w:eastAsia="Arial" w:hAnsi="Arial"/>
          <w:sz w:val="20"/>
          <w:szCs w:val="20"/>
          <w:b w:val="1"/>
          <w:bCs w:val="1"/>
          <w:color w:val="333333"/>
        </w:rPr>
        <w:t>with</w:t>
      </w:r>
      <w:r>
        <w:rPr>
          <w:rFonts w:ascii="Arial" w:cs="Arial" w:eastAsia="Arial" w:hAnsi="Arial"/>
          <w:sz w:val="20"/>
          <w:szCs w:val="20"/>
          <w:color w:val="333333"/>
        </w:rPr>
        <w:t xml:space="preserve"> the performance of Executive's duties hereunder.</w:t>
      </w:r>
    </w:p>
    <w:p>
      <w:pPr>
        <w:spacing w:after="0" w:line="123" w:lineRule="exact"/>
        <w:rPr>
          <w:sz w:val="20"/>
          <w:szCs w:val="20"/>
          <w:color w:val="auto"/>
        </w:rPr>
      </w:pPr>
    </w:p>
    <w:p>
      <w:pPr>
        <w:jc w:val="both"/>
        <w:ind w:left="160" w:right="139" w:firstLine="1302"/>
        <w:spacing w:after="0" w:line="220" w:lineRule="auto"/>
        <w:rPr>
          <w:sz w:val="20"/>
          <w:szCs w:val="20"/>
          <w:color w:val="auto"/>
        </w:rPr>
      </w:pPr>
      <w:r>
        <w:rPr>
          <w:rFonts w:ascii="Arial" w:cs="Arial" w:eastAsia="Arial" w:hAnsi="Arial"/>
          <w:sz w:val="20"/>
          <w:szCs w:val="20"/>
          <w:b w:val="1"/>
          <w:bCs w:val="1"/>
          <w:color w:val="333333"/>
        </w:rPr>
        <w:t xml:space="preserve">8.2 No Adverse Interests. </w:t>
      </w:r>
      <w:r>
        <w:rPr>
          <w:rFonts w:ascii="Arial" w:cs="Arial" w:eastAsia="Arial" w:hAnsi="Arial"/>
          <w:sz w:val="20"/>
          <w:szCs w:val="20"/>
          <w:color w:val="333333"/>
        </w:rPr>
        <w:t>Executive agrees not to acquire, assume or part1c1pate in,</w:t>
      </w:r>
      <w:r>
        <w:rPr>
          <w:rFonts w:ascii="Arial" w:cs="Arial" w:eastAsia="Arial" w:hAnsi="Arial"/>
          <w:sz w:val="20"/>
          <w:szCs w:val="20"/>
          <w:b w:val="1"/>
          <w:bCs w:val="1"/>
          <w:color w:val="333333"/>
        </w:rPr>
        <w:t xml:space="preserve"> </w:t>
      </w:r>
      <w:r>
        <w:rPr>
          <w:rFonts w:ascii="Arial" w:cs="Arial" w:eastAsia="Arial" w:hAnsi="Arial"/>
          <w:sz w:val="20"/>
          <w:szCs w:val="20"/>
          <w:color w:val="333333"/>
        </w:rPr>
        <w:t>directly or indirectly, any position, investment or interest known to be adverse or antagonistic to the Company, its business or prospects, financial or otherwise.</w:t>
      </w:r>
    </w:p>
    <w:p>
      <w:pPr>
        <w:spacing w:after="0" w:line="124" w:lineRule="exact"/>
        <w:rPr>
          <w:sz w:val="20"/>
          <w:szCs w:val="20"/>
          <w:color w:val="auto"/>
        </w:rPr>
      </w:pPr>
    </w:p>
    <w:p>
      <w:pPr>
        <w:jc w:val="both"/>
        <w:ind w:left="160" w:right="139" w:firstLine="665"/>
        <w:spacing w:after="0" w:line="222" w:lineRule="auto"/>
        <w:tabs>
          <w:tab w:leader="none" w:pos="1590" w:val="left"/>
        </w:tabs>
        <w:numPr>
          <w:ilvl w:val="0"/>
          <w:numId w:val="29"/>
        </w:numPr>
        <w:rPr>
          <w:rFonts w:ascii="Arial" w:cs="Arial" w:eastAsia="Arial" w:hAnsi="Arial"/>
          <w:sz w:val="18"/>
          <w:szCs w:val="18"/>
          <w:b w:val="1"/>
          <w:bCs w:val="1"/>
          <w:color w:val="333333"/>
        </w:rPr>
      </w:pPr>
      <w:r>
        <w:rPr>
          <w:rFonts w:ascii="Arial" w:cs="Arial" w:eastAsia="Arial" w:hAnsi="Arial"/>
          <w:sz w:val="18"/>
          <w:szCs w:val="18"/>
          <w:b w:val="1"/>
          <w:bCs w:val="1"/>
          <w:color w:val="333333"/>
        </w:rPr>
        <w:t xml:space="preserve">Dispute Resolution. </w:t>
      </w:r>
      <w:r>
        <w:rPr>
          <w:rFonts w:ascii="Arial" w:cs="Arial" w:eastAsia="Arial" w:hAnsi="Arial"/>
          <w:sz w:val="18"/>
          <w:szCs w:val="18"/>
          <w:color w:val="333333"/>
        </w:rPr>
        <w:t>To ensure timely and economical resolution of any disputes that may</w:t>
      </w:r>
      <w:r>
        <w:rPr>
          <w:rFonts w:ascii="Arial" w:cs="Arial" w:eastAsia="Arial" w:hAnsi="Arial"/>
          <w:sz w:val="18"/>
          <w:szCs w:val="18"/>
          <w:b w:val="1"/>
          <w:bCs w:val="1"/>
          <w:color w:val="333333"/>
        </w:rPr>
        <w:t xml:space="preserve"> </w:t>
      </w:r>
      <w:r>
        <w:rPr>
          <w:rFonts w:ascii="Arial" w:cs="Arial" w:eastAsia="Arial" w:hAnsi="Arial"/>
          <w:sz w:val="18"/>
          <w:szCs w:val="18"/>
          <w:color w:val="333333"/>
        </w:rPr>
        <w:t xml:space="preserve">arise in connection with Executive's employment with the Company, as a condition of Executive's employment, Executive and the Company hereby agree that any and all claims, disputes or controversies of any nature whatsoever arising out of, or relating to, this letter, or its interpretation, enforcement, breach, performance or execution, Executive's employment with the Company, or the termination of such employment, shall be resolved. to the fullest extent permitted by law, by final. binding and confidential arbitration conducted before a single arbitrator by the American Arbitration Association </w:t>
      </w:r>
      <w:r>
        <w:rPr>
          <w:rFonts w:ascii="Arial" w:cs="Arial" w:eastAsia="Arial" w:hAnsi="Arial"/>
          <w:sz w:val="18"/>
          <w:szCs w:val="18"/>
          <w:b w:val="1"/>
          <w:bCs w:val="1"/>
          <w:color w:val="333333"/>
        </w:rPr>
        <w:t>(“AAA”)</w:t>
      </w:r>
      <w:r>
        <w:rPr>
          <w:rFonts w:ascii="Arial" w:cs="Arial" w:eastAsia="Arial" w:hAnsi="Arial"/>
          <w:sz w:val="18"/>
          <w:szCs w:val="18"/>
          <w:color w:val="333333"/>
        </w:rPr>
        <w:t xml:space="preserve"> under the then-applicable AAA employment arbitration rules (which can be found at </w:t>
      </w:r>
      <w:r>
        <w:rPr>
          <w:rFonts w:ascii="Arial" w:cs="Arial" w:eastAsia="Arial" w:hAnsi="Arial"/>
          <w:sz w:val="18"/>
          <w:szCs w:val="18"/>
          <w:u w:val="single" w:color="auto"/>
          <w:color w:val="333333"/>
        </w:rPr>
        <w:t>http://www.adr.org/)</w:t>
      </w:r>
      <w:r>
        <w:rPr>
          <w:rFonts w:ascii="Arial" w:cs="Arial" w:eastAsia="Arial" w:hAnsi="Arial"/>
          <w:sz w:val="18"/>
          <w:szCs w:val="18"/>
          <w:color w:val="333333"/>
        </w:rPr>
        <w:t xml:space="preserve">. The arbitration shall take place in Phoenix. Arizona; </w:t>
      </w:r>
      <w:r>
        <w:rPr>
          <w:rFonts w:ascii="Arial" w:cs="Arial" w:eastAsia="Arial" w:hAnsi="Arial"/>
          <w:sz w:val="18"/>
          <w:szCs w:val="18"/>
          <w:i w:val="1"/>
          <w:iCs w:val="1"/>
          <w:color w:val="333333"/>
        </w:rPr>
        <w:t>provided, however, that</w:t>
      </w:r>
      <w:r>
        <w:rPr>
          <w:rFonts w:ascii="Arial" w:cs="Arial" w:eastAsia="Arial" w:hAnsi="Arial"/>
          <w:sz w:val="18"/>
          <w:szCs w:val="18"/>
          <w:color w:val="333333"/>
        </w:rPr>
        <w:t xml:space="preserve"> if the arbitrator determines there will be an undue hardship to Executive to have the arbitration in such location, the arbitrator will choose an alternative appropriate location. </w:t>
      </w:r>
      <w:r>
        <w:rPr>
          <w:rFonts w:ascii="Arial" w:cs="Arial" w:eastAsia="Arial" w:hAnsi="Arial"/>
          <w:sz w:val="18"/>
          <w:szCs w:val="18"/>
          <w:b w:val="1"/>
          <w:bCs w:val="1"/>
          <w:color w:val="333333"/>
        </w:rPr>
        <w:t>Executive and the Company each acknowledge that by agreeing to this</w:t>
      </w:r>
      <w:r>
        <w:rPr>
          <w:rFonts w:ascii="Arial" w:cs="Arial" w:eastAsia="Arial" w:hAnsi="Arial"/>
          <w:sz w:val="18"/>
          <w:szCs w:val="18"/>
          <w:color w:val="333333"/>
        </w:rPr>
        <w:t xml:space="preserve"> </w:t>
      </w:r>
      <w:r>
        <w:rPr>
          <w:rFonts w:ascii="Arial" w:cs="Arial" w:eastAsia="Arial" w:hAnsi="Arial"/>
          <w:sz w:val="18"/>
          <w:szCs w:val="18"/>
          <w:b w:val="1"/>
          <w:bCs w:val="1"/>
          <w:color w:val="333333"/>
        </w:rPr>
        <w:t xml:space="preserve">arbitration procedure, both Executive and the Company waive the right to resolve any such dispute, claim or demand through a trial by jury or judge or by administrative proceeding. </w:t>
      </w:r>
      <w:r>
        <w:rPr>
          <w:rFonts w:ascii="Arial" w:cs="Arial" w:eastAsia="Arial" w:hAnsi="Arial"/>
          <w:sz w:val="18"/>
          <w:szCs w:val="18"/>
          <w:color w:val="333333"/>
        </w:rPr>
        <w:t>Executive will have</w:t>
      </w:r>
      <w:r>
        <w:rPr>
          <w:rFonts w:ascii="Arial" w:cs="Arial" w:eastAsia="Arial" w:hAnsi="Arial"/>
          <w:sz w:val="18"/>
          <w:szCs w:val="18"/>
          <w:b w:val="1"/>
          <w:bCs w:val="1"/>
          <w:color w:val="333333"/>
        </w:rPr>
        <w:t xml:space="preserve"> </w:t>
      </w:r>
      <w:r>
        <w:rPr>
          <w:rFonts w:ascii="Arial" w:cs="Arial" w:eastAsia="Arial" w:hAnsi="Arial"/>
          <w:sz w:val="18"/>
          <w:szCs w:val="18"/>
          <w:color w:val="333333"/>
        </w:rPr>
        <w:t>the right to be represented by legal counsel at Executive's expense at any arbitration proceeding. The arbitrator shall: (i) have the authority to compel adequate discovery for the resolution of the dispute and to award such relief as would otherwise be available under applicable law in a court proceeding; and (ii) issue a written statement signed by the arbitrator regarding the disposition of each claim and the relief, if any, awarded as to each claim, the reasons for the award, and the arbitrator's essential findings and conclusions on which the award is based. The arbitrator, and not a court. shall also be authorized to determine whether the provisions of this paragraph apply to a dispute, controversy, or claim sought to be resolved in accordance with these arbitration procedures. The Company shall pay all costs and fees in excess of the amount of court fees that Executive would be required to incur if the dispute were filed or decided in a court of law. Nothing in this Agreement is intended to prevent either Executive or the Company from obtaining injunctive relief in court to prevent irreparable harm pending the conclusion of any arbitration.</w:t>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5" w:name="page66"/>
    <w:bookmarkEnd w:id="65"/>
    <w:p>
      <w:pPr>
        <w:ind w:left="800" w:hanging="649"/>
        <w:spacing w:after="0"/>
        <w:tabs>
          <w:tab w:leader="none" w:pos="800" w:val="left"/>
        </w:tabs>
        <w:numPr>
          <w:ilvl w:val="0"/>
          <w:numId w:val="30"/>
        </w:numPr>
        <w:rPr>
          <w:rFonts w:ascii="Arial" w:cs="Arial" w:eastAsia="Arial" w:hAnsi="Arial"/>
          <w:sz w:val="20"/>
          <w:szCs w:val="20"/>
          <w:b w:val="1"/>
          <w:bCs w:val="1"/>
          <w:color w:val="343434"/>
        </w:rPr>
      </w:pPr>
      <w:r>
        <w:rPr>
          <w:rFonts w:ascii="Arial" w:cs="Arial" w:eastAsia="Arial" w:hAnsi="Arial"/>
          <w:sz w:val="20"/>
          <w:szCs w:val="20"/>
          <w:b w:val="1"/>
          <w:bCs w:val="1"/>
          <w:color w:val="343434"/>
        </w:rPr>
        <w:t>General Provisions.</w:t>
      </w:r>
    </w:p>
    <w:p>
      <w:pPr>
        <w:spacing w:after="0" w:line="148" w:lineRule="exact"/>
        <w:rPr>
          <w:sz w:val="20"/>
          <w:szCs w:val="20"/>
          <w:color w:val="auto"/>
        </w:rPr>
      </w:pPr>
    </w:p>
    <w:p>
      <w:pPr>
        <w:jc w:val="both"/>
        <w:ind w:left="160" w:right="159" w:firstLine="1312"/>
        <w:spacing w:after="0" w:line="214" w:lineRule="auto"/>
        <w:rPr>
          <w:sz w:val="20"/>
          <w:szCs w:val="20"/>
          <w:color w:val="auto"/>
        </w:rPr>
      </w:pPr>
      <w:r>
        <w:rPr>
          <w:rFonts w:ascii="Arial" w:cs="Arial" w:eastAsia="Arial" w:hAnsi="Arial"/>
          <w:sz w:val="20"/>
          <w:szCs w:val="20"/>
          <w:b w:val="1"/>
          <w:bCs w:val="1"/>
          <w:color w:val="343434"/>
        </w:rPr>
        <w:t xml:space="preserve">10.1 Notices. </w:t>
      </w:r>
      <w:r>
        <w:rPr>
          <w:rFonts w:ascii="Arial" w:cs="Arial" w:eastAsia="Arial" w:hAnsi="Arial"/>
          <w:sz w:val="20"/>
          <w:szCs w:val="20"/>
          <w:color w:val="343434"/>
        </w:rPr>
        <w:t>Any notices provided must be in writing and will be deemed effective upon</w:t>
      </w:r>
      <w:r>
        <w:rPr>
          <w:rFonts w:ascii="Arial" w:cs="Arial" w:eastAsia="Arial" w:hAnsi="Arial"/>
          <w:sz w:val="20"/>
          <w:szCs w:val="20"/>
          <w:b w:val="1"/>
          <w:bCs w:val="1"/>
          <w:color w:val="343434"/>
        </w:rPr>
        <w:t xml:space="preserve"> </w:t>
      </w:r>
      <w:r>
        <w:rPr>
          <w:rFonts w:ascii="Arial" w:cs="Arial" w:eastAsia="Arial" w:hAnsi="Arial"/>
          <w:sz w:val="20"/>
          <w:szCs w:val="20"/>
          <w:color w:val="343434"/>
        </w:rPr>
        <w:t>the earlier of personal delivery (including personal delivery by fax) or the next day after sending by overnight carrier, to the Company at its primary office location and to Executive at the address as listed on the Company payroll.</w:t>
      </w:r>
    </w:p>
    <w:p>
      <w:pPr>
        <w:spacing w:after="0" w:line="125" w:lineRule="exact"/>
        <w:rPr>
          <w:sz w:val="20"/>
          <w:szCs w:val="20"/>
          <w:color w:val="auto"/>
        </w:rPr>
      </w:pPr>
    </w:p>
    <w:p>
      <w:pPr>
        <w:jc w:val="both"/>
        <w:ind w:left="160" w:right="139" w:firstLine="1325"/>
        <w:spacing w:after="0" w:line="209" w:lineRule="auto"/>
        <w:rPr>
          <w:sz w:val="20"/>
          <w:szCs w:val="20"/>
          <w:color w:val="auto"/>
        </w:rPr>
      </w:pPr>
      <w:r>
        <w:rPr>
          <w:rFonts w:ascii="Arial" w:cs="Arial" w:eastAsia="Arial" w:hAnsi="Arial"/>
          <w:sz w:val="20"/>
          <w:szCs w:val="20"/>
          <w:b w:val="1"/>
          <w:bCs w:val="1"/>
          <w:color w:val="343434"/>
        </w:rPr>
        <w:t xml:space="preserve">10.2 Severability. </w:t>
      </w:r>
      <w:r>
        <w:rPr>
          <w:rFonts w:ascii="Arial" w:cs="Arial" w:eastAsia="Arial" w:hAnsi="Arial"/>
          <w:sz w:val="20"/>
          <w:szCs w:val="20"/>
          <w:color w:val="343434"/>
        </w:rPr>
        <w:t>Whenever possible, each provision of this Agreement will be</w:t>
      </w:r>
      <w:r>
        <w:rPr>
          <w:rFonts w:ascii="Arial" w:cs="Arial" w:eastAsia="Arial" w:hAnsi="Arial"/>
          <w:sz w:val="20"/>
          <w:szCs w:val="20"/>
          <w:b w:val="1"/>
          <w:bCs w:val="1"/>
          <w:color w:val="343434"/>
        </w:rPr>
        <w:t xml:space="preserve"> </w:t>
      </w:r>
      <w:r>
        <w:rPr>
          <w:rFonts w:ascii="Arial" w:cs="Arial" w:eastAsia="Arial" w:hAnsi="Arial"/>
          <w:sz w:val="20"/>
          <w:szCs w:val="20"/>
          <w:color w:val="343434"/>
        </w:rPr>
        <w:t>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22" w:lineRule="exact"/>
        <w:rPr>
          <w:sz w:val="20"/>
          <w:szCs w:val="20"/>
          <w:color w:val="auto"/>
        </w:rPr>
      </w:pPr>
    </w:p>
    <w:p>
      <w:pPr>
        <w:jc w:val="both"/>
        <w:ind w:left="160" w:right="139" w:firstLine="1304"/>
        <w:spacing w:after="0" w:line="220" w:lineRule="auto"/>
        <w:rPr>
          <w:sz w:val="20"/>
          <w:szCs w:val="20"/>
          <w:color w:val="auto"/>
        </w:rPr>
      </w:pPr>
      <w:r>
        <w:rPr>
          <w:rFonts w:ascii="Arial" w:cs="Arial" w:eastAsia="Arial" w:hAnsi="Arial"/>
          <w:sz w:val="20"/>
          <w:szCs w:val="20"/>
          <w:b w:val="1"/>
          <w:bCs w:val="1"/>
          <w:color w:val="343434"/>
        </w:rPr>
        <w:t xml:space="preserve">10.3 Waiver. </w:t>
      </w:r>
      <w:r>
        <w:rPr>
          <w:rFonts w:ascii="Arial" w:cs="Arial" w:eastAsia="Arial" w:hAnsi="Arial"/>
          <w:sz w:val="20"/>
          <w:szCs w:val="20"/>
          <w:color w:val="343434"/>
        </w:rPr>
        <w:t>Any waiver of any breach of any provisions of this Agreement must be in</w:t>
      </w:r>
      <w:r>
        <w:rPr>
          <w:rFonts w:ascii="Arial" w:cs="Arial" w:eastAsia="Arial" w:hAnsi="Arial"/>
          <w:sz w:val="20"/>
          <w:szCs w:val="20"/>
          <w:b w:val="1"/>
          <w:bCs w:val="1"/>
          <w:color w:val="343434"/>
        </w:rPr>
        <w:t xml:space="preserve"> </w:t>
      </w:r>
      <w:r>
        <w:rPr>
          <w:rFonts w:ascii="Arial" w:cs="Arial" w:eastAsia="Arial" w:hAnsi="Arial"/>
          <w:sz w:val="20"/>
          <w:szCs w:val="20"/>
          <w:color w:val="343434"/>
        </w:rPr>
        <w:t>writing to be effective</w:t>
      </w:r>
      <w:r>
        <w:rPr>
          <w:rFonts w:ascii="Arial" w:cs="Arial" w:eastAsia="Arial" w:hAnsi="Arial"/>
          <w:sz w:val="20"/>
          <w:szCs w:val="20"/>
          <w:color w:val="4D4D4D"/>
        </w:rPr>
        <w:t>,</w:t>
      </w:r>
      <w:r>
        <w:rPr>
          <w:rFonts w:ascii="Arial" w:cs="Arial" w:eastAsia="Arial" w:hAnsi="Arial"/>
          <w:sz w:val="20"/>
          <w:szCs w:val="20"/>
          <w:color w:val="343434"/>
        </w:rPr>
        <w:t xml:space="preserve"> and it shall not thereby be deemed to have waived any preceding or succeeding breach of the same or any other provision of this Agreement.</w:t>
      </w:r>
    </w:p>
    <w:p>
      <w:pPr>
        <w:spacing w:after="0" w:line="124" w:lineRule="exact"/>
        <w:rPr>
          <w:sz w:val="20"/>
          <w:szCs w:val="20"/>
          <w:color w:val="auto"/>
        </w:rPr>
      </w:pPr>
    </w:p>
    <w:p>
      <w:pPr>
        <w:jc w:val="both"/>
        <w:ind w:left="160" w:right="139" w:firstLine="1316"/>
        <w:spacing w:after="0" w:line="206" w:lineRule="auto"/>
        <w:rPr>
          <w:sz w:val="20"/>
          <w:szCs w:val="20"/>
          <w:color w:val="auto"/>
        </w:rPr>
      </w:pPr>
      <w:r>
        <w:rPr>
          <w:rFonts w:ascii="Arial" w:cs="Arial" w:eastAsia="Arial" w:hAnsi="Arial"/>
          <w:sz w:val="20"/>
          <w:szCs w:val="20"/>
          <w:b w:val="1"/>
          <w:bCs w:val="1"/>
          <w:color w:val="343434"/>
        </w:rPr>
        <w:t xml:space="preserve">10.4 Complete Agreement. </w:t>
      </w:r>
      <w:r>
        <w:rPr>
          <w:rFonts w:ascii="Arial" w:cs="Arial" w:eastAsia="Arial" w:hAnsi="Arial"/>
          <w:sz w:val="20"/>
          <w:szCs w:val="20"/>
          <w:color w:val="343434"/>
        </w:rPr>
        <w:t>This Agreement constitutes the entire agreement between</w:t>
      </w:r>
      <w:r>
        <w:rPr>
          <w:rFonts w:ascii="Arial" w:cs="Arial" w:eastAsia="Arial" w:hAnsi="Arial"/>
          <w:sz w:val="20"/>
          <w:szCs w:val="20"/>
          <w:b w:val="1"/>
          <w:bCs w:val="1"/>
          <w:color w:val="343434"/>
        </w:rPr>
        <w:t xml:space="preserve"> </w:t>
      </w:r>
      <w:r>
        <w:rPr>
          <w:rFonts w:ascii="Arial" w:cs="Arial" w:eastAsia="Arial" w:hAnsi="Arial"/>
          <w:sz w:val="20"/>
          <w:szCs w:val="20"/>
          <w:color w:val="343434"/>
        </w:rPr>
        <w:t>Executive and the Company with regard to this subject matter and is the complete, final. and exclusive embodiment of the Parties’ agreement with regard to this subject matter. This Agreement is entered into without reliance on an</w:t>
      </w:r>
      <w:r>
        <w:rPr>
          <w:rFonts w:ascii="Arial" w:cs="Arial" w:eastAsia="Arial" w:hAnsi="Arial"/>
          <w:sz w:val="20"/>
          <w:szCs w:val="20"/>
          <w:color w:val="4D4D4D"/>
        </w:rPr>
        <w:t>y</w:t>
      </w:r>
      <w:r>
        <w:rPr>
          <w:rFonts w:ascii="Arial" w:cs="Arial" w:eastAsia="Arial" w:hAnsi="Arial"/>
          <w:sz w:val="20"/>
          <w:szCs w:val="20"/>
          <w:color w:val="343434"/>
        </w:rPr>
        <w:t xml:space="preserve"> promise or representation, written or oral, other than those expressly contained herein, and it supersedes any other such promises, warranties or representations</w:t>
      </w:r>
      <w:r>
        <w:rPr>
          <w:rFonts w:ascii="Arial" w:cs="Arial" w:eastAsia="Arial" w:hAnsi="Arial"/>
          <w:sz w:val="20"/>
          <w:szCs w:val="20"/>
          <w:color w:val="4D4D4D"/>
        </w:rPr>
        <w:t>,</w:t>
      </w:r>
      <w:r>
        <w:rPr>
          <w:rFonts w:ascii="Arial" w:cs="Arial" w:eastAsia="Arial" w:hAnsi="Arial"/>
          <w:sz w:val="20"/>
          <w:szCs w:val="20"/>
          <w:color w:val="343434"/>
        </w:rPr>
        <w:t xml:space="preserve"> including (without limitation) the Offer Letter. It is entered into without reliance on any promise or representation other than those expressly contained herein, and it cannot be modified or amended except in a writing signed by a duly authorized officer of the Company.</w:t>
      </w:r>
    </w:p>
    <w:p>
      <w:pPr>
        <w:spacing w:after="0" w:line="122" w:lineRule="exact"/>
        <w:rPr>
          <w:sz w:val="20"/>
          <w:szCs w:val="20"/>
          <w:color w:val="auto"/>
        </w:rPr>
      </w:pPr>
    </w:p>
    <w:p>
      <w:pPr>
        <w:jc w:val="both"/>
        <w:ind w:left="160" w:right="139" w:firstLine="1314"/>
        <w:spacing w:after="0" w:line="220" w:lineRule="auto"/>
        <w:rPr>
          <w:sz w:val="20"/>
          <w:szCs w:val="20"/>
          <w:color w:val="auto"/>
        </w:rPr>
      </w:pPr>
      <w:r>
        <w:rPr>
          <w:rFonts w:ascii="Arial" w:cs="Arial" w:eastAsia="Arial" w:hAnsi="Arial"/>
          <w:sz w:val="20"/>
          <w:szCs w:val="20"/>
          <w:b w:val="1"/>
          <w:bCs w:val="1"/>
          <w:color w:val="343434"/>
        </w:rPr>
        <w:t xml:space="preserve">10.5 Counterparts. </w:t>
      </w:r>
      <w:r>
        <w:rPr>
          <w:rFonts w:ascii="Arial" w:cs="Arial" w:eastAsia="Arial" w:hAnsi="Arial"/>
          <w:sz w:val="20"/>
          <w:szCs w:val="20"/>
          <w:color w:val="343434"/>
        </w:rPr>
        <w:t>This Agreement may be executed in separate counterparts, any one of</w:t>
      </w:r>
      <w:r>
        <w:rPr>
          <w:rFonts w:ascii="Arial" w:cs="Arial" w:eastAsia="Arial" w:hAnsi="Arial"/>
          <w:sz w:val="20"/>
          <w:szCs w:val="20"/>
          <w:b w:val="1"/>
          <w:bCs w:val="1"/>
          <w:color w:val="343434"/>
        </w:rPr>
        <w:t xml:space="preserve"> </w:t>
      </w:r>
      <w:r>
        <w:rPr>
          <w:rFonts w:ascii="Arial" w:cs="Arial" w:eastAsia="Arial" w:hAnsi="Arial"/>
          <w:sz w:val="20"/>
          <w:szCs w:val="20"/>
          <w:color w:val="343434"/>
        </w:rPr>
        <w:t>which need not contain signatures of more than one party, but all of which taken together will constitute one and the same Agreement.</w:t>
      </w:r>
    </w:p>
    <w:p>
      <w:pPr>
        <w:spacing w:after="0" w:line="124" w:lineRule="exact"/>
        <w:rPr>
          <w:sz w:val="20"/>
          <w:szCs w:val="20"/>
          <w:color w:val="auto"/>
        </w:rPr>
      </w:pPr>
    </w:p>
    <w:p>
      <w:pPr>
        <w:jc w:val="both"/>
        <w:ind w:left="160" w:right="159" w:firstLine="1322"/>
        <w:spacing w:after="0" w:line="249" w:lineRule="auto"/>
        <w:rPr>
          <w:sz w:val="20"/>
          <w:szCs w:val="20"/>
          <w:color w:val="auto"/>
        </w:rPr>
      </w:pPr>
      <w:r>
        <w:rPr>
          <w:rFonts w:ascii="Arial" w:cs="Arial" w:eastAsia="Arial" w:hAnsi="Arial"/>
          <w:sz w:val="19"/>
          <w:szCs w:val="19"/>
          <w:b w:val="1"/>
          <w:bCs w:val="1"/>
          <w:color w:val="343434"/>
        </w:rPr>
        <w:t xml:space="preserve">10.6 Headings. </w:t>
      </w:r>
      <w:r>
        <w:rPr>
          <w:rFonts w:ascii="Arial" w:cs="Arial" w:eastAsia="Arial" w:hAnsi="Arial"/>
          <w:sz w:val="19"/>
          <w:szCs w:val="19"/>
          <w:color w:val="343434"/>
        </w:rPr>
        <w:t>The headings of the paragraphs hereof are inserted for convenience only</w:t>
      </w:r>
      <w:r>
        <w:rPr>
          <w:rFonts w:ascii="Arial" w:cs="Arial" w:eastAsia="Arial" w:hAnsi="Arial"/>
          <w:sz w:val="19"/>
          <w:szCs w:val="19"/>
          <w:b w:val="1"/>
          <w:bCs w:val="1"/>
          <w:color w:val="343434"/>
        </w:rPr>
        <w:t xml:space="preserve"> </w:t>
      </w:r>
      <w:r>
        <w:rPr>
          <w:rFonts w:ascii="Arial" w:cs="Arial" w:eastAsia="Arial" w:hAnsi="Arial"/>
          <w:sz w:val="19"/>
          <w:szCs w:val="19"/>
          <w:color w:val="343434"/>
        </w:rPr>
        <w:t>and shall not be deemed to constitute a part hereof nor to affect the meaning thereof.</w:t>
      </w:r>
    </w:p>
    <w:p>
      <w:pPr>
        <w:spacing w:after="0" w:line="114" w:lineRule="exact"/>
        <w:rPr>
          <w:sz w:val="20"/>
          <w:szCs w:val="20"/>
          <w:color w:val="auto"/>
        </w:rPr>
      </w:pPr>
    </w:p>
    <w:p>
      <w:pPr>
        <w:jc w:val="both"/>
        <w:ind w:left="160" w:right="139" w:firstLine="1322"/>
        <w:spacing w:after="0" w:line="211" w:lineRule="auto"/>
        <w:rPr>
          <w:sz w:val="20"/>
          <w:szCs w:val="20"/>
          <w:color w:val="auto"/>
        </w:rPr>
      </w:pPr>
      <w:r>
        <w:rPr>
          <w:rFonts w:ascii="Arial" w:cs="Arial" w:eastAsia="Arial" w:hAnsi="Arial"/>
          <w:sz w:val="20"/>
          <w:szCs w:val="20"/>
          <w:b w:val="1"/>
          <w:bCs w:val="1"/>
          <w:color w:val="343434"/>
        </w:rPr>
        <w:t xml:space="preserve">10.7 Successors and Assigns. </w:t>
      </w:r>
      <w:r>
        <w:rPr>
          <w:rFonts w:ascii="Arial" w:cs="Arial" w:eastAsia="Arial" w:hAnsi="Arial"/>
          <w:sz w:val="20"/>
          <w:szCs w:val="20"/>
          <w:color w:val="343434"/>
        </w:rPr>
        <w:t>This Agreement is intended to bind and inure to the benefit</w:t>
      </w:r>
      <w:r>
        <w:rPr>
          <w:rFonts w:ascii="Arial" w:cs="Arial" w:eastAsia="Arial" w:hAnsi="Arial"/>
          <w:sz w:val="20"/>
          <w:szCs w:val="20"/>
          <w:b w:val="1"/>
          <w:bCs w:val="1"/>
          <w:color w:val="343434"/>
        </w:rPr>
        <w:t xml:space="preserve"> </w:t>
      </w:r>
      <w:r>
        <w:rPr>
          <w:rFonts w:ascii="Arial" w:cs="Arial" w:eastAsia="Arial" w:hAnsi="Arial"/>
          <w:sz w:val="20"/>
          <w:szCs w:val="20"/>
          <w:color w:val="343434"/>
        </w:rPr>
        <w:t>of and be enforceable by Executive and the Company, and their respective successors</w:t>
      </w:r>
      <w:r>
        <w:rPr>
          <w:rFonts w:ascii="Arial" w:cs="Arial" w:eastAsia="Arial" w:hAnsi="Arial"/>
          <w:sz w:val="20"/>
          <w:szCs w:val="20"/>
          <w:color w:val="4D4D4D"/>
        </w:rPr>
        <w:t>,</w:t>
      </w:r>
      <w:r>
        <w:rPr>
          <w:rFonts w:ascii="Arial" w:cs="Arial" w:eastAsia="Arial" w:hAnsi="Arial"/>
          <w:sz w:val="20"/>
          <w:szCs w:val="20"/>
          <w:color w:val="343434"/>
        </w:rPr>
        <w:t xml:space="preserve">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23" w:lineRule="exact"/>
        <w:rPr>
          <w:sz w:val="20"/>
          <w:szCs w:val="20"/>
          <w:color w:val="auto"/>
        </w:rPr>
      </w:pPr>
    </w:p>
    <w:p>
      <w:pPr>
        <w:jc w:val="both"/>
        <w:ind w:left="160" w:right="139" w:firstLine="1309"/>
        <w:spacing w:after="0" w:line="220" w:lineRule="auto"/>
        <w:rPr>
          <w:sz w:val="20"/>
          <w:szCs w:val="20"/>
          <w:color w:val="auto"/>
        </w:rPr>
      </w:pPr>
      <w:r>
        <w:rPr>
          <w:rFonts w:ascii="Arial" w:cs="Arial" w:eastAsia="Arial" w:hAnsi="Arial"/>
          <w:sz w:val="20"/>
          <w:szCs w:val="20"/>
          <w:b w:val="1"/>
          <w:bCs w:val="1"/>
          <w:color w:val="343434"/>
        </w:rPr>
        <w:t xml:space="preserve">10.8 Tax Withholding and Indemnification. </w:t>
      </w:r>
      <w:r>
        <w:rPr>
          <w:rFonts w:ascii="Arial" w:cs="Arial" w:eastAsia="Arial" w:hAnsi="Arial"/>
          <w:sz w:val="20"/>
          <w:szCs w:val="20"/>
          <w:color w:val="343434"/>
        </w:rPr>
        <w:t>All payments and awards contemplated or</w:t>
      </w:r>
      <w:r>
        <w:rPr>
          <w:rFonts w:ascii="Arial" w:cs="Arial" w:eastAsia="Arial" w:hAnsi="Arial"/>
          <w:sz w:val="20"/>
          <w:szCs w:val="20"/>
          <w:b w:val="1"/>
          <w:bCs w:val="1"/>
          <w:color w:val="343434"/>
        </w:rPr>
        <w:t xml:space="preserve"> </w:t>
      </w:r>
      <w:r>
        <w:rPr>
          <w:rFonts w:ascii="Arial" w:cs="Arial" w:eastAsia="Arial" w:hAnsi="Arial"/>
          <w:sz w:val="20"/>
          <w:szCs w:val="20"/>
          <w:color w:val="343434"/>
        </w:rPr>
        <w:t>made pursuant to this Agreement will be subject to withholdings of applicable taxes in compliance with all relevant laws and regulations of all appropriate</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6" w:name="page67"/>
    <w:bookmarkEnd w:id="66"/>
    <w:p>
      <w:pPr>
        <w:jc w:val="both"/>
        <w:ind w:left="160" w:right="139" w:firstLine="5"/>
        <w:spacing w:after="0" w:line="210" w:lineRule="auto"/>
        <w:rPr>
          <w:sz w:val="20"/>
          <w:szCs w:val="20"/>
          <w:color w:val="auto"/>
        </w:rPr>
      </w:pPr>
      <w:r>
        <w:rPr>
          <w:rFonts w:ascii="Arial" w:cs="Arial" w:eastAsia="Arial" w:hAnsi="Arial"/>
          <w:sz w:val="20"/>
          <w:szCs w:val="20"/>
          <w:color w:val="2F3631"/>
        </w:rPr>
        <w:t>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24" w:lineRule="exact"/>
        <w:rPr>
          <w:sz w:val="20"/>
          <w:szCs w:val="20"/>
          <w:color w:val="auto"/>
        </w:rPr>
      </w:pPr>
    </w:p>
    <w:p>
      <w:pPr>
        <w:jc w:val="both"/>
        <w:ind w:left="160" w:right="139" w:firstLine="1318"/>
        <w:spacing w:after="0" w:line="232" w:lineRule="auto"/>
        <w:rPr>
          <w:sz w:val="20"/>
          <w:szCs w:val="20"/>
          <w:color w:val="auto"/>
        </w:rPr>
      </w:pPr>
      <w:r>
        <w:rPr>
          <w:rFonts w:ascii="Arial" w:cs="Arial" w:eastAsia="Arial" w:hAnsi="Arial"/>
          <w:sz w:val="20"/>
          <w:szCs w:val="20"/>
          <w:b w:val="1"/>
          <w:bCs w:val="1"/>
          <w:color w:val="2F3631"/>
        </w:rPr>
        <w:t xml:space="preserve">10.9 Choice of Law. </w:t>
      </w:r>
      <w:r>
        <w:rPr>
          <w:rFonts w:ascii="Arial" w:cs="Arial" w:eastAsia="Arial" w:hAnsi="Arial"/>
          <w:sz w:val="20"/>
          <w:szCs w:val="20"/>
          <w:color w:val="2F3631"/>
        </w:rPr>
        <w:t>All questions concerning the construction, validity and interpretation</w:t>
      </w:r>
      <w:r>
        <w:rPr>
          <w:rFonts w:ascii="Arial" w:cs="Arial" w:eastAsia="Arial" w:hAnsi="Arial"/>
          <w:sz w:val="20"/>
          <w:szCs w:val="20"/>
          <w:b w:val="1"/>
          <w:bCs w:val="1"/>
          <w:color w:val="2F3631"/>
        </w:rPr>
        <w:t xml:space="preserve"> </w:t>
      </w:r>
      <w:r>
        <w:rPr>
          <w:rFonts w:ascii="Arial" w:cs="Arial" w:eastAsia="Arial" w:hAnsi="Arial"/>
          <w:sz w:val="20"/>
          <w:szCs w:val="20"/>
          <w:color w:val="2F3631"/>
        </w:rPr>
        <w:t>of this Agreement will be governed by the laws of the State of Arizona.</w:t>
      </w:r>
    </w:p>
    <w:p>
      <w:pPr>
        <w:spacing w:after="0" w:line="129" w:lineRule="exact"/>
        <w:rPr>
          <w:sz w:val="20"/>
          <w:szCs w:val="20"/>
          <w:color w:val="auto"/>
        </w:rPr>
      </w:pPr>
    </w:p>
    <w:p>
      <w:pPr>
        <w:jc w:val="both"/>
        <w:ind w:left="160" w:right="159" w:firstLine="661"/>
        <w:spacing w:after="0" w:line="229" w:lineRule="auto"/>
        <w:rPr>
          <w:sz w:val="20"/>
          <w:szCs w:val="20"/>
          <w:color w:val="auto"/>
        </w:rPr>
      </w:pPr>
      <w:r>
        <w:rPr>
          <w:rFonts w:ascii="Arial" w:cs="Arial" w:eastAsia="Arial" w:hAnsi="Arial"/>
          <w:sz w:val="20"/>
          <w:szCs w:val="20"/>
          <w:color w:val="2F3631"/>
        </w:rPr>
        <w:t>IN WITNESS WHERE OF</w:t>
      </w:r>
      <w:r>
        <w:rPr>
          <w:rFonts w:ascii="Arial" w:cs="Arial" w:eastAsia="Arial" w:hAnsi="Arial"/>
          <w:sz w:val="20"/>
          <w:szCs w:val="20"/>
          <w:color w:val="525654"/>
        </w:rPr>
        <w:t>,</w:t>
      </w:r>
      <w:r>
        <w:rPr>
          <w:rFonts w:ascii="Arial" w:cs="Arial" w:eastAsia="Arial" w:hAnsi="Arial"/>
          <w:sz w:val="20"/>
          <w:szCs w:val="20"/>
          <w:color w:val="2F3631"/>
        </w:rPr>
        <w:t xml:space="preserve"> the Parties have e</w:t>
      </w:r>
      <w:r>
        <w:rPr>
          <w:rFonts w:ascii="Arial" w:cs="Arial" w:eastAsia="Arial" w:hAnsi="Arial"/>
          <w:sz w:val="20"/>
          <w:szCs w:val="20"/>
          <w:color w:val="525654"/>
        </w:rPr>
        <w:t>x</w:t>
      </w:r>
      <w:r>
        <w:rPr>
          <w:rFonts w:ascii="Arial" w:cs="Arial" w:eastAsia="Arial" w:hAnsi="Arial"/>
          <w:sz w:val="20"/>
          <w:szCs w:val="20"/>
          <w:color w:val="2F3631"/>
        </w:rPr>
        <w:t xml:space="preserve">ecuted this Agreement on the day and </w:t>
      </w:r>
      <w:r>
        <w:rPr>
          <w:rFonts w:ascii="Arial" w:cs="Arial" w:eastAsia="Arial" w:hAnsi="Arial"/>
          <w:sz w:val="20"/>
          <w:szCs w:val="20"/>
          <w:color w:val="525654"/>
        </w:rPr>
        <w:t>y</w:t>
      </w:r>
      <w:r>
        <w:rPr>
          <w:rFonts w:ascii="Arial" w:cs="Arial" w:eastAsia="Arial" w:hAnsi="Arial"/>
          <w:sz w:val="20"/>
          <w:szCs w:val="20"/>
          <w:color w:val="2F3631"/>
        </w:rPr>
        <w:t>ear first written above.</w:t>
      </w:r>
    </w:p>
    <w:p>
      <w:pPr>
        <w:spacing w:after="0" w:line="31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EVERSPIN TECHNOLOGIES, INC.</w:t>
      </w:r>
    </w:p>
    <w:p>
      <w:pPr>
        <w:spacing w:after="0" w:line="33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b w:val="1"/>
          <w:bCs w:val="1"/>
          <w:color w:val="auto"/>
        </w:rPr>
        <w:t>/s/ Phillip LoPresti</w:t>
      </w:r>
    </w:p>
    <w:p>
      <w:pPr>
        <w:ind w:left="4800"/>
        <w:spacing w:after="0"/>
        <w:rPr>
          <w:sz w:val="20"/>
          <w:szCs w:val="20"/>
          <w:color w:val="auto"/>
        </w:rPr>
      </w:pPr>
      <w:r>
        <w:rPr>
          <w:rFonts w:ascii="Arial" w:cs="Arial" w:eastAsia="Arial" w:hAnsi="Arial"/>
          <w:sz w:val="20"/>
          <w:szCs w:val="20"/>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-144780</wp:posOffset>
            </wp:positionV>
            <wp:extent cx="25812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95"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EXECUTIVE</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/s/ Jeff Winzeler</w:t>
      </w:r>
    </w:p>
    <w:p>
      <w:pPr>
        <w:ind w:left="4520"/>
        <w:spacing w:after="0"/>
        <w:rPr>
          <w:sz w:val="20"/>
          <w:szCs w:val="20"/>
          <w:color w:val="auto"/>
        </w:rPr>
      </w:pPr>
      <w:r>
        <w:rPr>
          <w:rFonts w:ascii="Arial" w:cs="Arial" w:eastAsia="Arial" w:hAnsi="Arial"/>
          <w:sz w:val="20"/>
          <w:szCs w:val="20"/>
          <w:b w:val="1"/>
          <w:bCs w:val="1"/>
          <w:color w:val="auto"/>
        </w:rPr>
        <w:t>Jeff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-144780</wp:posOffset>
            </wp:positionV>
            <wp:extent cx="27616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7" w:name="page68"/>
    <w:bookmarkEnd w:id="67"/>
    <w:p>
      <w:pPr>
        <w:ind w:left="7780"/>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128270</wp:posOffset>
            </wp:positionV>
            <wp:extent cx="1835150" cy="574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183515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0"/>
        <w:spacing w:after="0"/>
        <w:rPr>
          <w:sz w:val="20"/>
          <w:szCs w:val="20"/>
          <w:color w:val="auto"/>
        </w:rPr>
      </w:pPr>
      <w:r>
        <w:rPr>
          <w:rFonts w:ascii="Arial" w:cs="Arial" w:eastAsia="Arial" w:hAnsi="Arial"/>
          <w:sz w:val="21"/>
          <w:szCs w:val="21"/>
          <w:color w:val="080508"/>
        </w:rPr>
        <w:t>March 6, 2019</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20"/>
          <w:szCs w:val="20"/>
          <w:color w:val="080508"/>
        </w:rPr>
        <w:t>Mr</w:t>
      </w:r>
      <w:r>
        <w:rPr>
          <w:rFonts w:ascii="Arial" w:cs="Arial" w:eastAsia="Arial" w:hAnsi="Arial"/>
          <w:sz w:val="20"/>
          <w:szCs w:val="20"/>
          <w:color w:val="1F1C21"/>
        </w:rPr>
        <w:t>.</w:t>
      </w:r>
      <w:r>
        <w:rPr>
          <w:rFonts w:ascii="Arial" w:cs="Arial" w:eastAsia="Arial" w:hAnsi="Arial"/>
          <w:sz w:val="20"/>
          <w:szCs w:val="20"/>
          <w:color w:val="080508"/>
        </w:rPr>
        <w:t xml:space="preserve"> Troy Winslow</w:t>
      </w:r>
    </w:p>
    <w:p>
      <w:pPr>
        <w:ind w:left="560"/>
        <w:spacing w:after="0"/>
        <w:rPr>
          <w:sz w:val="20"/>
          <w:szCs w:val="20"/>
          <w:color w:val="auto"/>
        </w:rPr>
      </w:pPr>
      <w:r>
        <w:rPr>
          <w:rFonts w:ascii="Arial" w:cs="Arial" w:eastAsia="Arial" w:hAnsi="Arial"/>
          <w:sz w:val="20"/>
          <w:szCs w:val="20"/>
          <w:color w:val="080508"/>
        </w:rPr>
        <w:t>5409 Ravine Creek Way Elk Grove, CA 95758</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0"/>
          <w:szCs w:val="20"/>
          <w:color w:val="080508"/>
        </w:rPr>
        <w:t>Dear Troy,</w:t>
      </w:r>
    </w:p>
    <w:p>
      <w:pPr>
        <w:spacing w:after="0" w:line="148" w:lineRule="exact"/>
        <w:rPr>
          <w:sz w:val="20"/>
          <w:szCs w:val="20"/>
          <w:color w:val="auto"/>
        </w:rPr>
      </w:pPr>
    </w:p>
    <w:p>
      <w:pPr>
        <w:jc w:val="both"/>
        <w:ind w:left="560" w:right="139" w:firstLine="1"/>
        <w:spacing w:after="0" w:line="222" w:lineRule="auto"/>
        <w:rPr>
          <w:sz w:val="20"/>
          <w:szCs w:val="20"/>
          <w:color w:val="auto"/>
        </w:rPr>
      </w:pPr>
      <w:r>
        <w:rPr>
          <w:rFonts w:ascii="Arial" w:cs="Arial" w:eastAsia="Arial" w:hAnsi="Arial"/>
          <w:sz w:val="20"/>
          <w:szCs w:val="20"/>
          <w:color w:val="080508"/>
        </w:rPr>
        <w:t>I am pleased to provide you this offer to join Everspin Technolog</w:t>
      </w:r>
      <w:r>
        <w:rPr>
          <w:rFonts w:ascii="Arial" w:cs="Arial" w:eastAsia="Arial" w:hAnsi="Arial"/>
          <w:sz w:val="20"/>
          <w:szCs w:val="20"/>
          <w:color w:val="1F1C21"/>
        </w:rPr>
        <w:t>i</w:t>
      </w:r>
      <w:r>
        <w:rPr>
          <w:rFonts w:ascii="Arial" w:cs="Arial" w:eastAsia="Arial" w:hAnsi="Arial"/>
          <w:sz w:val="20"/>
          <w:szCs w:val="20"/>
          <w:color w:val="080508"/>
        </w:rPr>
        <w:t>es, Inc. as Vice President of Global Sales reporting to Kevin Conley, President and CEO.</w:t>
      </w:r>
    </w:p>
    <w:p>
      <w:pPr>
        <w:spacing w:after="0" w:line="142" w:lineRule="exact"/>
        <w:rPr>
          <w:sz w:val="20"/>
          <w:szCs w:val="20"/>
          <w:color w:val="auto"/>
        </w:rPr>
      </w:pPr>
    </w:p>
    <w:p>
      <w:pPr>
        <w:jc w:val="both"/>
        <w:ind w:left="560" w:right="139" w:firstLine="8"/>
        <w:spacing w:after="0" w:line="205" w:lineRule="auto"/>
        <w:rPr>
          <w:sz w:val="20"/>
          <w:szCs w:val="20"/>
          <w:color w:val="auto"/>
        </w:rPr>
      </w:pPr>
      <w:r>
        <w:rPr>
          <w:rFonts w:ascii="Arial" w:cs="Arial" w:eastAsia="Arial" w:hAnsi="Arial"/>
          <w:sz w:val="20"/>
          <w:szCs w:val="20"/>
          <w:color w:val="080508"/>
        </w:rPr>
        <w:t>Your base salary will be $250,000.00 annually, payable bi-weekly, and subject to deductions for taxes and other withholdings as required by US law or the policies of the company. You will also be eligible to participate in the Everspin Execut</w:t>
      </w:r>
      <w:r>
        <w:rPr>
          <w:rFonts w:ascii="Arial" w:cs="Arial" w:eastAsia="Arial" w:hAnsi="Arial"/>
          <w:sz w:val="20"/>
          <w:szCs w:val="20"/>
          <w:color w:val="1F1C21"/>
        </w:rPr>
        <w:t>i</w:t>
      </w:r>
      <w:r>
        <w:rPr>
          <w:rFonts w:ascii="Arial" w:cs="Arial" w:eastAsia="Arial" w:hAnsi="Arial"/>
          <w:sz w:val="20"/>
          <w:szCs w:val="20"/>
          <w:color w:val="080508"/>
        </w:rPr>
        <w:t>ve Bonus plan w</w:t>
      </w:r>
      <w:r>
        <w:rPr>
          <w:rFonts w:ascii="Arial" w:cs="Arial" w:eastAsia="Arial" w:hAnsi="Arial"/>
          <w:sz w:val="20"/>
          <w:szCs w:val="20"/>
          <w:color w:val="1F1C21"/>
        </w:rPr>
        <w:t>i</w:t>
      </w:r>
      <w:r>
        <w:rPr>
          <w:rFonts w:ascii="Arial" w:cs="Arial" w:eastAsia="Arial" w:hAnsi="Arial"/>
          <w:sz w:val="20"/>
          <w:szCs w:val="20"/>
          <w:color w:val="080508"/>
        </w:rPr>
        <w:t xml:space="preserve">th a target payout of 35% of your base pay. This bonus will be pro-rated based on the amount of time you've been employed with Everspin through the 2019 calendar year. You will also receive a one-time sign on bonus </w:t>
      </w:r>
      <w:r>
        <w:rPr>
          <w:rFonts w:ascii="Arial" w:cs="Arial" w:eastAsia="Arial" w:hAnsi="Arial"/>
          <w:sz w:val="20"/>
          <w:szCs w:val="20"/>
          <w:color w:val="1F1C21"/>
        </w:rPr>
        <w:t>i</w:t>
      </w:r>
      <w:r>
        <w:rPr>
          <w:rFonts w:ascii="Arial" w:cs="Arial" w:eastAsia="Arial" w:hAnsi="Arial"/>
          <w:sz w:val="20"/>
          <w:szCs w:val="20"/>
          <w:color w:val="080508"/>
        </w:rPr>
        <w:t>n the amount of $30</w:t>
      </w:r>
      <w:r>
        <w:rPr>
          <w:rFonts w:ascii="Arial" w:cs="Arial" w:eastAsia="Arial" w:hAnsi="Arial"/>
          <w:sz w:val="20"/>
          <w:szCs w:val="20"/>
          <w:color w:val="1F1C21"/>
        </w:rPr>
        <w:t>,</w:t>
      </w:r>
      <w:r>
        <w:rPr>
          <w:rFonts w:ascii="Arial" w:cs="Arial" w:eastAsia="Arial" w:hAnsi="Arial"/>
          <w:sz w:val="20"/>
          <w:szCs w:val="20"/>
          <w:color w:val="080508"/>
        </w:rPr>
        <w:t>000.00.</w:t>
      </w:r>
    </w:p>
    <w:p>
      <w:pPr>
        <w:spacing w:after="0" w:line="145" w:lineRule="exact"/>
        <w:rPr>
          <w:sz w:val="20"/>
          <w:szCs w:val="20"/>
          <w:color w:val="auto"/>
        </w:rPr>
      </w:pPr>
    </w:p>
    <w:p>
      <w:pPr>
        <w:jc w:val="both"/>
        <w:ind w:left="540" w:right="139" w:firstLine="8"/>
        <w:spacing w:after="0" w:line="209" w:lineRule="auto"/>
        <w:rPr>
          <w:sz w:val="20"/>
          <w:szCs w:val="20"/>
          <w:color w:val="auto"/>
        </w:rPr>
      </w:pPr>
      <w:r>
        <w:rPr>
          <w:rFonts w:ascii="Arial" w:cs="Arial" w:eastAsia="Arial" w:hAnsi="Arial"/>
          <w:sz w:val="20"/>
          <w:szCs w:val="20"/>
          <w:color w:val="080508"/>
        </w:rPr>
        <w:t>As part of this offer of employment you will also receive 50,000 shares of Everspin Technologies, Inc., stock options</w:t>
      </w:r>
      <w:r>
        <w:rPr>
          <w:rFonts w:ascii="Arial" w:cs="Arial" w:eastAsia="Arial" w:hAnsi="Arial"/>
          <w:sz w:val="20"/>
          <w:szCs w:val="20"/>
          <w:color w:val="1F1C21"/>
        </w:rPr>
        <w:t>.</w:t>
      </w:r>
      <w:r>
        <w:rPr>
          <w:rFonts w:ascii="Arial" w:cs="Arial" w:eastAsia="Arial" w:hAnsi="Arial"/>
          <w:sz w:val="20"/>
          <w:szCs w:val="20"/>
          <w:color w:val="080508"/>
        </w:rPr>
        <w:t xml:space="preserve"> These options vest at the rate of 25% of the total options at the anniversary date of the option grant. The remaining options shall vest at 1/48</w:t>
      </w:r>
      <w:r>
        <w:rPr>
          <w:rFonts w:ascii="Arial" w:cs="Arial" w:eastAsia="Arial" w:hAnsi="Arial"/>
          <w:sz w:val="20"/>
          <w:szCs w:val="20"/>
          <w:color w:val="080508"/>
          <w:vertAlign w:val="superscript"/>
        </w:rPr>
        <w:t>th</w:t>
      </w:r>
      <w:r>
        <w:rPr>
          <w:rFonts w:ascii="Arial" w:cs="Arial" w:eastAsia="Arial" w:hAnsi="Arial"/>
          <w:sz w:val="20"/>
          <w:szCs w:val="20"/>
          <w:color w:val="080508"/>
        </w:rPr>
        <w:t xml:space="preserve"> of the total options granted per month thereafter.</w:t>
      </w:r>
    </w:p>
    <w:p>
      <w:pPr>
        <w:spacing w:after="0" w:line="144" w:lineRule="exact"/>
        <w:rPr>
          <w:sz w:val="20"/>
          <w:szCs w:val="20"/>
          <w:color w:val="auto"/>
        </w:rPr>
      </w:pPr>
    </w:p>
    <w:p>
      <w:pPr>
        <w:jc w:val="both"/>
        <w:ind w:left="520" w:right="139" w:firstLine="12"/>
        <w:spacing w:after="0" w:line="202" w:lineRule="auto"/>
        <w:rPr>
          <w:sz w:val="20"/>
          <w:szCs w:val="20"/>
          <w:color w:val="auto"/>
        </w:rPr>
      </w:pPr>
      <w:r>
        <w:rPr>
          <w:rFonts w:ascii="Arial" w:cs="Arial" w:eastAsia="Arial" w:hAnsi="Arial"/>
          <w:sz w:val="20"/>
          <w:szCs w:val="20"/>
          <w:color w:val="080508"/>
        </w:rPr>
        <w:t>You will also receive 12,500 shares of Restricted Stock Units (RSU's) in Everspin Technologies, Inc., subject to the Everspin Stock Option Plan. The RSU's will vest at the rate of 25% per year over a 4-year period as follows: an initial 25% of the shares shall become exercisable on the first anniversary of the date of grant. The remainder of the RSU grant shall vest at 25% of the original number of RSU's granted on consecutive anniversary dates thereafter unti</w:t>
      </w:r>
      <w:r>
        <w:rPr>
          <w:rFonts w:ascii="Arial" w:cs="Arial" w:eastAsia="Arial" w:hAnsi="Arial"/>
          <w:sz w:val="20"/>
          <w:szCs w:val="20"/>
          <w:color w:val="1F1C21"/>
        </w:rPr>
        <w:t>l</w:t>
      </w:r>
      <w:r>
        <w:rPr>
          <w:rFonts w:ascii="Arial" w:cs="Arial" w:eastAsia="Arial" w:hAnsi="Arial"/>
          <w:sz w:val="20"/>
          <w:szCs w:val="20"/>
          <w:color w:val="080508"/>
        </w:rPr>
        <w:t xml:space="preserve"> all RSU's have vested for that RSU grant. Due to the taxable nature of Restricted Stock Units</w:t>
      </w:r>
      <w:r>
        <w:rPr>
          <w:rFonts w:ascii="Arial" w:cs="Arial" w:eastAsia="Arial" w:hAnsi="Arial"/>
          <w:sz w:val="20"/>
          <w:szCs w:val="20"/>
          <w:color w:val="1F1C21"/>
        </w:rPr>
        <w:t>,</w:t>
      </w:r>
      <w:r>
        <w:rPr>
          <w:rFonts w:ascii="Arial" w:cs="Arial" w:eastAsia="Arial" w:hAnsi="Arial"/>
          <w:sz w:val="20"/>
          <w:szCs w:val="20"/>
          <w:color w:val="080508"/>
        </w:rPr>
        <w:t xml:space="preserve"> there is a sell to cover provision requirement with the RSU's to cover tax liability at each vesting date</w:t>
      </w:r>
      <w:r>
        <w:rPr>
          <w:rFonts w:ascii="Arial" w:cs="Arial" w:eastAsia="Arial" w:hAnsi="Arial"/>
          <w:sz w:val="20"/>
          <w:szCs w:val="20"/>
          <w:color w:val="3D3A3D"/>
        </w:rPr>
        <w:t>.</w:t>
      </w:r>
      <w:r>
        <w:rPr>
          <w:rFonts w:ascii="Arial" w:cs="Arial" w:eastAsia="Arial" w:hAnsi="Arial"/>
          <w:sz w:val="20"/>
          <w:szCs w:val="20"/>
          <w:color w:val="080508"/>
        </w:rPr>
        <w:t xml:space="preserve"> All grants are subject to approval by Everspin's Board of Directors</w:t>
      </w:r>
      <w:r>
        <w:rPr>
          <w:rFonts w:ascii="Arial" w:cs="Arial" w:eastAsia="Arial" w:hAnsi="Arial"/>
          <w:sz w:val="20"/>
          <w:szCs w:val="20"/>
          <w:color w:val="1F1C21"/>
        </w:rPr>
        <w:t>.</w:t>
      </w:r>
    </w:p>
    <w:p>
      <w:pPr>
        <w:spacing w:after="0" w:line="162" w:lineRule="exact"/>
        <w:rPr>
          <w:sz w:val="20"/>
          <w:szCs w:val="20"/>
          <w:color w:val="auto"/>
        </w:rPr>
      </w:pPr>
    </w:p>
    <w:p>
      <w:pPr>
        <w:jc w:val="both"/>
        <w:ind w:left="540" w:right="139" w:firstLine="2"/>
        <w:spacing w:after="0" w:line="207" w:lineRule="auto"/>
        <w:rPr>
          <w:sz w:val="20"/>
          <w:szCs w:val="20"/>
          <w:color w:val="auto"/>
        </w:rPr>
      </w:pPr>
      <w:r>
        <w:rPr>
          <w:rFonts w:ascii="Arial" w:cs="Arial" w:eastAsia="Arial" w:hAnsi="Arial"/>
          <w:sz w:val="20"/>
          <w:szCs w:val="20"/>
          <w:color w:val="080508"/>
        </w:rPr>
        <w:t>These grants are subject to repurchase, transferability restrictions, and such other terms as may be set forth in the Everspin Stock Option Plan or your individual stock option agreement. This grant is subject to continued employment with Everspin, and repurchase, transferability restrictions, and such other terms as may be set forth in the Everspin Stock Option Plan or your ind</w:t>
      </w:r>
      <w:r>
        <w:rPr>
          <w:rFonts w:ascii="Arial" w:cs="Arial" w:eastAsia="Arial" w:hAnsi="Arial"/>
          <w:sz w:val="20"/>
          <w:szCs w:val="20"/>
          <w:color w:val="1F1C21"/>
        </w:rPr>
        <w:t>i</w:t>
      </w:r>
      <w:r>
        <w:rPr>
          <w:rFonts w:ascii="Arial" w:cs="Arial" w:eastAsia="Arial" w:hAnsi="Arial"/>
          <w:sz w:val="20"/>
          <w:szCs w:val="20"/>
          <w:color w:val="080508"/>
        </w:rPr>
        <w:t>vidual stock option agreement.</w:t>
      </w:r>
    </w:p>
    <w:p>
      <w:pPr>
        <w:spacing w:after="0" w:line="31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960" w:type="dxa"/>
            <w:vAlign w:val="bottom"/>
            <w:gridSpan w:val="2"/>
          </w:tcPr>
          <w:p>
            <w:pPr>
              <w:ind w:left="380"/>
              <w:spacing w:after="0"/>
              <w:rPr>
                <w:sz w:val="20"/>
                <w:szCs w:val="20"/>
                <w:color w:val="auto"/>
              </w:rPr>
            </w:pPr>
            <w:r>
              <w:rPr>
                <w:rFonts w:ascii="Arial" w:cs="Arial" w:eastAsia="Arial" w:hAnsi="Arial"/>
                <w:sz w:val="16"/>
                <w:szCs w:val="16"/>
                <w:color w:val="080508"/>
              </w:rPr>
              <w:t>5670 W</w:t>
            </w:r>
            <w:r>
              <w:rPr>
                <w:rFonts w:ascii="Arial" w:cs="Arial" w:eastAsia="Arial" w:hAnsi="Arial"/>
                <w:sz w:val="16"/>
                <w:szCs w:val="16"/>
                <w:color w:val="1F1C21"/>
              </w:rPr>
              <w:t>.</w:t>
            </w:r>
            <w:r>
              <w:rPr>
                <w:rFonts w:ascii="Arial" w:cs="Arial" w:eastAsia="Arial" w:hAnsi="Arial"/>
                <w:sz w:val="16"/>
                <w:szCs w:val="16"/>
                <w:color w:val="080508"/>
              </w:rPr>
              <w:t xml:space="preserve"> Chandler Blvd</w:t>
            </w:r>
            <w:r>
              <w:rPr>
                <w:rFonts w:ascii="Arial" w:cs="Arial" w:eastAsia="Arial" w:hAnsi="Arial"/>
                <w:sz w:val="16"/>
                <w:szCs w:val="16"/>
                <w:color w:val="3D3A3D"/>
              </w:rPr>
              <w:t>.</w:t>
            </w:r>
            <w:r>
              <w:rPr>
                <w:rFonts w:ascii="Arial" w:cs="Arial" w:eastAsia="Arial" w:hAnsi="Arial"/>
                <w:sz w:val="16"/>
                <w:szCs w:val="16"/>
                <w:color w:val="080508"/>
              </w:rPr>
              <w:t>, Su</w:t>
            </w:r>
            <w:r>
              <w:rPr>
                <w:rFonts w:ascii="Arial" w:cs="Arial" w:eastAsia="Arial" w:hAnsi="Arial"/>
                <w:sz w:val="16"/>
                <w:szCs w:val="16"/>
                <w:color w:val="1F1C21"/>
              </w:rPr>
              <w:t>i</w:t>
            </w:r>
            <w:r>
              <w:rPr>
                <w:rFonts w:ascii="Arial" w:cs="Arial" w:eastAsia="Arial" w:hAnsi="Arial"/>
                <w:sz w:val="16"/>
                <w:szCs w:val="16"/>
                <w:color w:val="080508"/>
              </w:rPr>
              <w:t>te 100</w:t>
            </w:r>
            <w:r>
              <w:rPr>
                <w:rFonts w:ascii="Arial" w:cs="Arial" w:eastAsia="Arial" w:hAnsi="Arial"/>
                <w:sz w:val="16"/>
                <w:szCs w:val="16"/>
                <w:color w:val="1F1C21"/>
              </w:rPr>
              <w:t>,</w:t>
            </w:r>
            <w:r>
              <w:rPr>
                <w:rFonts w:ascii="Arial" w:cs="Arial" w:eastAsia="Arial" w:hAnsi="Arial"/>
                <w:sz w:val="16"/>
                <w:szCs w:val="16"/>
                <w:color w:val="080508"/>
              </w:rPr>
              <w:t xml:space="preserve"> Chandler</w:t>
            </w:r>
            <w:r>
              <w:rPr>
                <w:rFonts w:ascii="Arial" w:cs="Arial" w:eastAsia="Arial" w:hAnsi="Arial"/>
                <w:sz w:val="16"/>
                <w:szCs w:val="16"/>
                <w:color w:val="1F1C21"/>
              </w:rPr>
              <w:t>,</w:t>
            </w:r>
            <w:r>
              <w:rPr>
                <w:rFonts w:ascii="Arial" w:cs="Arial" w:eastAsia="Arial" w:hAnsi="Arial"/>
                <w:sz w:val="16"/>
                <w:szCs w:val="16"/>
                <w:color w:val="080508"/>
              </w:rPr>
              <w:t xml:space="preserve"> AZ 85226 www.Everspin.com</w:t>
            </w:r>
          </w:p>
        </w:tc>
        <w:tc>
          <w:tcPr>
            <w:tcW w:w="2780" w:type="dxa"/>
            <w:vAlign w:val="bottom"/>
          </w:tcPr>
          <w:p>
            <w:pPr>
              <w:jc w:val="right"/>
              <w:ind w:right="1139"/>
              <w:spacing w:after="0"/>
              <w:rPr>
                <w:sz w:val="20"/>
                <w:szCs w:val="20"/>
                <w:color w:val="auto"/>
              </w:rPr>
            </w:pPr>
            <w:r>
              <w:rPr>
                <w:rFonts w:ascii="Arial" w:cs="Arial" w:eastAsia="Arial" w:hAnsi="Arial"/>
                <w:sz w:val="16"/>
                <w:szCs w:val="16"/>
                <w:color w:val="080508"/>
              </w:rPr>
              <w:t>(480) 347</w:t>
            </w:r>
            <w:r>
              <w:rPr>
                <w:rFonts w:ascii="Arial" w:cs="Arial" w:eastAsia="Arial" w:hAnsi="Arial"/>
                <w:sz w:val="16"/>
                <w:szCs w:val="16"/>
                <w:color w:val="1F1C21"/>
              </w:rPr>
              <w:t>-</w:t>
            </w:r>
            <w:r>
              <w:rPr>
                <w:rFonts w:ascii="Arial" w:cs="Arial" w:eastAsia="Arial" w:hAnsi="Arial"/>
                <w:sz w:val="16"/>
                <w:szCs w:val="16"/>
                <w:color w:val="080508"/>
              </w:rPr>
              <w:t>1111</w:t>
            </w:r>
          </w:p>
        </w:tc>
      </w:tr>
      <w:tr>
        <w:trPr>
          <w:trHeight w:val="784"/>
        </w:trPr>
        <w:tc>
          <w:tcPr>
            <w:tcW w:w="4600" w:type="dxa"/>
            <w:vAlign w:val="bottom"/>
            <w:tcBorders>
              <w:bottom w:val="single" w:sz="8" w:color="auto"/>
            </w:tcBorders>
          </w:tcPr>
          <w:p>
            <w:pPr>
              <w:spacing w:after="0"/>
              <w:rPr>
                <w:sz w:val="24"/>
                <w:szCs w:val="24"/>
                <w:color w:val="auto"/>
              </w:rPr>
            </w:pPr>
          </w:p>
        </w:tc>
        <w:tc>
          <w:tcPr>
            <w:tcW w:w="1360" w:type="dxa"/>
            <w:vAlign w:val="bottom"/>
            <w:tcBorders>
              <w:top w:val="single" w:sz="8" w:color="080508"/>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8" w:right="1440" w:bottom="1440" w:gutter="0" w:footer="0" w:header="0"/>
        </w:sectPr>
      </w:pPr>
    </w:p>
    <w:bookmarkStart w:id="68" w:name="page69"/>
    <w:bookmarkEnd w:id="68"/>
    <w:p>
      <w:pPr>
        <w:ind w:left="520" w:right="159" w:hanging="1"/>
        <w:spacing w:after="0" w:line="222" w:lineRule="auto"/>
        <w:rPr>
          <w:sz w:val="20"/>
          <w:szCs w:val="20"/>
          <w:color w:val="auto"/>
        </w:rPr>
      </w:pPr>
      <w:r>
        <w:rPr>
          <w:rFonts w:ascii="Arial" w:cs="Arial" w:eastAsia="Arial" w:hAnsi="Arial"/>
          <w:sz w:val="20"/>
          <w:szCs w:val="20"/>
          <w:color w:val="080507"/>
        </w:rPr>
        <w:t>Benefits: The detailed components of the Company's benefit plan are attached. Major benefits include:</w:t>
      </w:r>
    </w:p>
    <w:p>
      <w:pPr>
        <w:spacing w:after="0" w:line="114" w:lineRule="exact"/>
        <w:rPr>
          <w:sz w:val="20"/>
          <w:szCs w:val="20"/>
          <w:color w:val="auto"/>
        </w:rPr>
      </w:pPr>
    </w:p>
    <w:p>
      <w:pPr>
        <w:ind w:left="1160" w:hanging="321"/>
        <w:spacing w:after="0"/>
        <w:tabs>
          <w:tab w:leader="none" w:pos="1160" w:val="left"/>
        </w:tabs>
        <w:numPr>
          <w:ilvl w:val="0"/>
          <w:numId w:val="31"/>
        </w:numPr>
        <w:rPr>
          <w:rFonts w:ascii="Arial" w:cs="Arial" w:eastAsia="Arial" w:hAnsi="Arial"/>
          <w:sz w:val="18"/>
          <w:szCs w:val="18"/>
          <w:color w:val="080507"/>
        </w:rPr>
      </w:pPr>
      <w:r>
        <w:rPr>
          <w:rFonts w:ascii="Arial" w:cs="Arial" w:eastAsia="Arial" w:hAnsi="Arial"/>
          <w:sz w:val="20"/>
          <w:szCs w:val="20"/>
          <w:color w:val="080507"/>
        </w:rPr>
        <w:t>Comprehensive Medical, Dental, and Vision Care Coverage</w:t>
      </w:r>
    </w:p>
    <w:p>
      <w:pPr>
        <w:ind w:left="1160" w:hanging="321"/>
        <w:spacing w:after="0" w:line="211" w:lineRule="auto"/>
        <w:tabs>
          <w:tab w:leader="none" w:pos="1160" w:val="left"/>
        </w:tabs>
        <w:numPr>
          <w:ilvl w:val="0"/>
          <w:numId w:val="31"/>
        </w:numPr>
        <w:rPr>
          <w:rFonts w:ascii="Arial" w:cs="Arial" w:eastAsia="Arial" w:hAnsi="Arial"/>
          <w:sz w:val="18"/>
          <w:szCs w:val="18"/>
          <w:color w:val="080507"/>
        </w:rPr>
      </w:pPr>
      <w:r>
        <w:rPr>
          <w:rFonts w:ascii="Arial" w:cs="Arial" w:eastAsia="Arial" w:hAnsi="Arial"/>
          <w:sz w:val="20"/>
          <w:szCs w:val="20"/>
          <w:color w:val="080507"/>
        </w:rPr>
        <w:t>Prescription Drug Program</w:t>
      </w:r>
    </w:p>
    <w:p>
      <w:pPr>
        <w:ind w:left="1160" w:hanging="321"/>
        <w:spacing w:after="0" w:line="211" w:lineRule="auto"/>
        <w:tabs>
          <w:tab w:leader="none" w:pos="1160" w:val="left"/>
        </w:tabs>
        <w:numPr>
          <w:ilvl w:val="0"/>
          <w:numId w:val="31"/>
        </w:numPr>
        <w:rPr>
          <w:rFonts w:ascii="Arial" w:cs="Arial" w:eastAsia="Arial" w:hAnsi="Arial"/>
          <w:sz w:val="18"/>
          <w:szCs w:val="18"/>
          <w:color w:val="080507"/>
        </w:rPr>
      </w:pPr>
      <w:r>
        <w:rPr>
          <w:rFonts w:ascii="Arial" w:cs="Arial" w:eastAsia="Arial" w:hAnsi="Arial"/>
          <w:sz w:val="20"/>
          <w:szCs w:val="20"/>
          <w:color w:val="080507"/>
        </w:rPr>
        <w:t>Short-term and Long-term Disability Coverage</w:t>
      </w:r>
    </w:p>
    <w:p>
      <w:pPr>
        <w:ind w:left="1160" w:hanging="321"/>
        <w:spacing w:after="0" w:line="211" w:lineRule="auto"/>
        <w:tabs>
          <w:tab w:leader="none" w:pos="1160" w:val="left"/>
        </w:tabs>
        <w:numPr>
          <w:ilvl w:val="0"/>
          <w:numId w:val="31"/>
        </w:numPr>
        <w:rPr>
          <w:rFonts w:ascii="Arial" w:cs="Arial" w:eastAsia="Arial" w:hAnsi="Arial"/>
          <w:sz w:val="18"/>
          <w:szCs w:val="18"/>
          <w:color w:val="080507"/>
        </w:rPr>
      </w:pPr>
      <w:r>
        <w:rPr>
          <w:rFonts w:ascii="Arial" w:cs="Arial" w:eastAsia="Arial" w:hAnsi="Arial"/>
          <w:sz w:val="20"/>
          <w:szCs w:val="20"/>
          <w:color w:val="080507"/>
        </w:rPr>
        <w:t>Flexible Spending Accounts and Health Savings Accounts</w:t>
      </w:r>
    </w:p>
    <w:p>
      <w:pPr>
        <w:ind w:left="1160" w:hanging="321"/>
        <w:spacing w:after="0" w:line="197" w:lineRule="auto"/>
        <w:tabs>
          <w:tab w:leader="none" w:pos="1160" w:val="left"/>
        </w:tabs>
        <w:numPr>
          <w:ilvl w:val="0"/>
          <w:numId w:val="31"/>
        </w:numPr>
        <w:rPr>
          <w:rFonts w:ascii="Arial" w:cs="Arial" w:eastAsia="Arial" w:hAnsi="Arial"/>
          <w:sz w:val="18"/>
          <w:szCs w:val="18"/>
          <w:color w:val="080507"/>
        </w:rPr>
      </w:pPr>
      <w:r>
        <w:rPr>
          <w:rFonts w:ascii="Arial" w:cs="Arial" w:eastAsia="Arial" w:hAnsi="Arial"/>
          <w:sz w:val="20"/>
          <w:szCs w:val="20"/>
          <w:color w:val="080507"/>
        </w:rPr>
        <w:t>Supplemental Life and Disability Insurance</w:t>
      </w:r>
    </w:p>
    <w:p>
      <w:pPr>
        <w:ind w:left="1160" w:hanging="321"/>
        <w:spacing w:after="0" w:line="211" w:lineRule="auto"/>
        <w:tabs>
          <w:tab w:leader="none" w:pos="1160" w:val="left"/>
        </w:tabs>
        <w:numPr>
          <w:ilvl w:val="0"/>
          <w:numId w:val="31"/>
        </w:numPr>
        <w:rPr>
          <w:rFonts w:ascii="Arial" w:cs="Arial" w:eastAsia="Arial" w:hAnsi="Arial"/>
          <w:sz w:val="18"/>
          <w:szCs w:val="18"/>
          <w:color w:val="080507"/>
        </w:rPr>
      </w:pPr>
      <w:r>
        <w:rPr>
          <w:rFonts w:ascii="Arial" w:cs="Arial" w:eastAsia="Arial" w:hAnsi="Arial"/>
          <w:sz w:val="20"/>
          <w:szCs w:val="20"/>
          <w:color w:val="080507"/>
        </w:rPr>
        <w:t>401(k) participation {if eligible)</w:t>
      </w:r>
    </w:p>
    <w:p>
      <w:pPr>
        <w:ind w:left="1160" w:hanging="321"/>
        <w:spacing w:after="0" w:line="211" w:lineRule="auto"/>
        <w:tabs>
          <w:tab w:leader="none" w:pos="1160" w:val="left"/>
        </w:tabs>
        <w:numPr>
          <w:ilvl w:val="0"/>
          <w:numId w:val="31"/>
        </w:numPr>
        <w:rPr>
          <w:rFonts w:ascii="Arial" w:cs="Arial" w:eastAsia="Arial" w:hAnsi="Arial"/>
          <w:sz w:val="18"/>
          <w:szCs w:val="18"/>
          <w:color w:val="080507"/>
        </w:rPr>
      </w:pPr>
      <w:r>
        <w:rPr>
          <w:rFonts w:ascii="Arial" w:cs="Arial" w:eastAsia="Arial" w:hAnsi="Arial"/>
          <w:sz w:val="20"/>
          <w:szCs w:val="20"/>
          <w:color w:val="080507"/>
        </w:rPr>
        <w:t>Paid Time Off and Holidays, consistent with Company policy</w:t>
      </w:r>
    </w:p>
    <w:p>
      <w:pPr>
        <w:ind w:left="1160" w:hanging="321"/>
        <w:spacing w:after="0"/>
        <w:tabs>
          <w:tab w:leader="none" w:pos="1160" w:val="left"/>
        </w:tabs>
        <w:numPr>
          <w:ilvl w:val="0"/>
          <w:numId w:val="31"/>
        </w:numPr>
        <w:rPr>
          <w:rFonts w:ascii="Arial" w:cs="Arial" w:eastAsia="Arial" w:hAnsi="Arial"/>
          <w:sz w:val="18"/>
          <w:szCs w:val="18"/>
          <w:color w:val="080507"/>
        </w:rPr>
      </w:pPr>
      <w:r>
        <w:rPr>
          <w:rFonts w:ascii="Arial" w:cs="Arial" w:eastAsia="Arial" w:hAnsi="Arial"/>
          <w:sz w:val="20"/>
          <w:szCs w:val="20"/>
          <w:color w:val="080507"/>
        </w:rPr>
        <w:t>Eligibility to participate in Everspin’ s Employee Stock Purchase Plan</w:t>
      </w:r>
    </w:p>
    <w:p>
      <w:pPr>
        <w:spacing w:after="0" w:line="140" w:lineRule="exact"/>
        <w:rPr>
          <w:sz w:val="20"/>
          <w:szCs w:val="20"/>
          <w:color w:val="auto"/>
        </w:rPr>
      </w:pPr>
    </w:p>
    <w:p>
      <w:pPr>
        <w:jc w:val="both"/>
        <w:ind w:left="520" w:right="139" w:firstLine="4"/>
        <w:spacing w:after="0" w:line="228" w:lineRule="auto"/>
        <w:rPr>
          <w:sz w:val="20"/>
          <w:szCs w:val="20"/>
          <w:color w:val="auto"/>
        </w:rPr>
      </w:pPr>
      <w:r>
        <w:rPr>
          <w:rFonts w:ascii="Arial" w:cs="Arial" w:eastAsia="Arial" w:hAnsi="Arial"/>
          <w:sz w:val="19"/>
          <w:szCs w:val="19"/>
          <w:color w:val="080507"/>
        </w:rPr>
        <w:t>Your employment with Everspin Technologies is “at will”, meaning that you may terminate your employment at any time and for any reason whatsoever. Likewise, Everspin Technologies may terminate your employment at any time and for any reason</w:t>
      </w:r>
      <w:r>
        <w:rPr>
          <w:rFonts w:ascii="Arial" w:cs="Arial" w:eastAsia="Arial" w:hAnsi="Arial"/>
          <w:sz w:val="19"/>
          <w:szCs w:val="19"/>
          <w:color w:val="1D1F23"/>
        </w:rPr>
        <w:t>,</w:t>
      </w:r>
      <w:r>
        <w:rPr>
          <w:rFonts w:ascii="Arial" w:cs="Arial" w:eastAsia="Arial" w:hAnsi="Arial"/>
          <w:sz w:val="19"/>
          <w:szCs w:val="19"/>
          <w:color w:val="080507"/>
        </w:rPr>
        <w:t xml:space="preserve"> with or without cause or notice.</w:t>
      </w:r>
    </w:p>
    <w:p>
      <w:pPr>
        <w:spacing w:after="0" w:line="155" w:lineRule="exact"/>
        <w:rPr>
          <w:sz w:val="20"/>
          <w:szCs w:val="20"/>
          <w:color w:val="auto"/>
        </w:rPr>
      </w:pPr>
    </w:p>
    <w:p>
      <w:pPr>
        <w:jc w:val="both"/>
        <w:ind w:left="520" w:right="139" w:hanging="1"/>
        <w:spacing w:after="0" w:line="209" w:lineRule="auto"/>
        <w:rPr>
          <w:sz w:val="20"/>
          <w:szCs w:val="20"/>
          <w:color w:val="auto"/>
        </w:rPr>
      </w:pPr>
      <w:r>
        <w:rPr>
          <w:rFonts w:ascii="Arial" w:cs="Arial" w:eastAsia="Arial" w:hAnsi="Arial"/>
          <w:sz w:val="20"/>
          <w:szCs w:val="20"/>
          <w:color w:val="080507"/>
        </w:rPr>
        <w:t>Other Arrangements: This offer of employment is contingent on your passing a background check and agreement to and execution of an Employee Proprietary Information and Inventions Assignment Agreement (copy attached). This offer will terminate if not accepted in writing by March 13, 2019</w:t>
      </w:r>
    </w:p>
    <w:p>
      <w:pPr>
        <w:spacing w:after="0" w:line="144" w:lineRule="exact"/>
        <w:rPr>
          <w:sz w:val="20"/>
          <w:szCs w:val="20"/>
          <w:color w:val="auto"/>
        </w:rPr>
      </w:pPr>
    </w:p>
    <w:p>
      <w:pPr>
        <w:jc w:val="both"/>
        <w:ind w:left="520" w:right="159" w:hanging="2"/>
        <w:spacing w:after="0" w:line="222" w:lineRule="auto"/>
        <w:rPr>
          <w:sz w:val="20"/>
          <w:szCs w:val="20"/>
          <w:color w:val="auto"/>
        </w:rPr>
      </w:pPr>
      <w:r>
        <w:rPr>
          <w:rFonts w:ascii="Arial" w:cs="Arial" w:eastAsia="Arial" w:hAnsi="Arial"/>
          <w:sz w:val="20"/>
          <w:szCs w:val="20"/>
          <w:color w:val="080507"/>
        </w:rPr>
        <w:t>Th</w:t>
      </w:r>
      <w:r>
        <w:rPr>
          <w:rFonts w:ascii="Arial" w:cs="Arial" w:eastAsia="Arial" w:hAnsi="Arial"/>
          <w:sz w:val="20"/>
          <w:szCs w:val="20"/>
          <w:color w:val="1D1F23"/>
        </w:rPr>
        <w:t>i</w:t>
      </w:r>
      <w:r>
        <w:rPr>
          <w:rFonts w:ascii="Arial" w:cs="Arial" w:eastAsia="Arial" w:hAnsi="Arial"/>
          <w:sz w:val="20"/>
          <w:szCs w:val="20"/>
          <w:color w:val="080507"/>
        </w:rPr>
        <w:t>s offer is considered accepted with your signature below. We welcome you to Everspin Technologies, Inc., and are excited about the contribution you can make to its success.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20"/>
          <w:szCs w:val="20"/>
          <w:color w:val="080507"/>
        </w:rPr>
        <w:t>Sincerely,</w:t>
      </w:r>
    </w:p>
    <w:p>
      <w:pPr>
        <w:spacing w:after="0" w:line="323" w:lineRule="exact"/>
        <w:rPr>
          <w:sz w:val="20"/>
          <w:szCs w:val="20"/>
          <w:color w:val="auto"/>
        </w:rPr>
      </w:pPr>
    </w:p>
    <w:p>
      <w:pPr>
        <w:ind w:left="520"/>
        <w:spacing w:after="0"/>
        <w:rPr>
          <w:sz w:val="20"/>
          <w:szCs w:val="20"/>
          <w:color w:val="auto"/>
        </w:rPr>
      </w:pPr>
      <w:r>
        <w:rPr>
          <w:rFonts w:ascii="Arial" w:cs="Arial" w:eastAsia="Arial" w:hAnsi="Arial"/>
          <w:sz w:val="20"/>
          <w:szCs w:val="20"/>
          <w:color w:val="080507"/>
        </w:rPr>
        <w:t>/s/ Jim Everett</w:t>
      </w:r>
    </w:p>
    <w:p>
      <w:pPr>
        <w:ind w:left="520"/>
        <w:spacing w:after="0" w:line="197" w:lineRule="auto"/>
        <w:rPr>
          <w:sz w:val="20"/>
          <w:szCs w:val="20"/>
          <w:color w:val="auto"/>
        </w:rPr>
      </w:pPr>
      <w:r>
        <w:rPr>
          <w:rFonts w:ascii="Arial" w:cs="Arial" w:eastAsia="Arial" w:hAnsi="Arial"/>
          <w:sz w:val="20"/>
          <w:szCs w:val="20"/>
          <w:color w:val="080507"/>
        </w:rPr>
        <w:t>Jim Everett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-116840</wp:posOffset>
            </wp:positionV>
            <wp:extent cx="26244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20"/>
        <w:spacing w:after="0" w:line="197" w:lineRule="auto"/>
        <w:rPr>
          <w:sz w:val="20"/>
          <w:szCs w:val="20"/>
          <w:color w:val="auto"/>
        </w:rPr>
      </w:pPr>
      <w:r>
        <w:rPr>
          <w:rFonts w:ascii="Arial" w:cs="Arial" w:eastAsia="Arial" w:hAnsi="Arial"/>
          <w:sz w:val="20"/>
          <w:szCs w:val="20"/>
          <w:color w:val="080507"/>
        </w:rPr>
        <w:t>Vice President of Global Human Resources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0"/>
          <w:szCs w:val="20"/>
          <w:color w:val="080507"/>
        </w:rPr>
        <w:t>Everspin Technologies, Inc</w:t>
      </w:r>
      <w:r>
        <w:rPr>
          <w:rFonts w:ascii="Arial" w:cs="Arial" w:eastAsia="Arial" w:hAnsi="Arial"/>
          <w:sz w:val="20"/>
          <w:szCs w:val="20"/>
          <w:color w:val="2F3338"/>
        </w:rPr>
        <w:t>.</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Accepted;</w:t>
      </w:r>
    </w:p>
    <w:p>
      <w:pPr>
        <w:spacing w:after="0" w:line="12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Troy Winslow</w:t>
            </w:r>
          </w:p>
        </w:tc>
        <w:tc>
          <w:tcPr>
            <w:tcW w:w="220" w:type="dxa"/>
            <w:vAlign w:val="bottom"/>
          </w:tcPr>
          <w:p>
            <w:pPr>
              <w:spacing w:after="0"/>
              <w:rPr>
                <w:sz w:val="19"/>
                <w:szCs w:val="19"/>
                <w:color w:val="auto"/>
              </w:rPr>
            </w:pPr>
          </w:p>
        </w:tc>
        <w:tc>
          <w:tcPr>
            <w:tcW w:w="4060" w:type="dxa"/>
            <w:vAlign w:val="bottom"/>
            <w:tcBorders>
              <w:bottom w:val="single" w:sz="8" w:color="auto"/>
            </w:tcBorders>
          </w:tcPr>
          <w:p>
            <w:pPr>
              <w:jc w:val="right"/>
              <w:ind w:right="3181"/>
              <w:spacing w:after="0"/>
              <w:rPr>
                <w:sz w:val="20"/>
                <w:szCs w:val="20"/>
                <w:color w:val="auto"/>
              </w:rPr>
            </w:pPr>
            <w:r>
              <w:rPr>
                <w:rFonts w:ascii="Arial" w:cs="Arial" w:eastAsia="Arial" w:hAnsi="Arial"/>
                <w:sz w:val="20"/>
                <w:szCs w:val="20"/>
                <w:color w:val="auto"/>
                <w:w w:val="97"/>
              </w:rPr>
              <w:t>03/07/19</w:t>
            </w:r>
          </w:p>
        </w:tc>
      </w:tr>
    </w:tbl>
    <w:p>
      <w:pPr>
        <w:spacing w:after="0" w:line="32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Anticipated Start Date</w:t>
      </w:r>
    </w:p>
    <w:p>
      <w:pPr>
        <w:ind w:left="520"/>
        <w:spacing w:after="0"/>
        <w:tabs>
          <w:tab w:leader="none" w:pos="2120" w:val="left"/>
        </w:tabs>
        <w:rPr>
          <w:sz w:val="20"/>
          <w:szCs w:val="20"/>
          <w:color w:val="auto"/>
        </w:rPr>
      </w:pPr>
      <w:r>
        <w:rPr>
          <w:rFonts w:ascii="Arial" w:cs="Arial" w:eastAsia="Arial" w:hAnsi="Arial"/>
          <w:sz w:val="20"/>
          <w:szCs w:val="20"/>
          <w:color w:val="auto"/>
        </w:rPr>
        <w:t>03/25/19</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-14605</wp:posOffset>
            </wp:positionV>
            <wp:extent cx="10204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250825</wp:posOffset>
            </wp:positionV>
            <wp:extent cx="554863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69" w:name="page70"/>
    <w:bookmarkEnd w:id="69"/>
    <w:tbl>
      <w:tblPr>
        <w:tblLayout w:type="fixed"/>
        <w:tblInd w:w="140" w:type="dxa"/>
        <w:tblCellMar>
          <w:top w:w="0" w:type="dxa"/>
          <w:left w:w="0" w:type="dxa"/>
          <w:bottom w:w="0" w:type="dxa"/>
          <w:right w:w="0" w:type="dxa"/>
        </w:tblCellMar>
      </w:tblPr>
      <w:tr>
        <w:trPr>
          <w:trHeight w:val="184"/>
        </w:trPr>
        <w:tc>
          <w:tcPr>
            <w:tcW w:w="5960" w:type="dxa"/>
            <w:vAlign w:val="bottom"/>
            <w:gridSpan w:val="2"/>
          </w:tcPr>
          <w:p>
            <w:pPr>
              <w:ind w:left="380"/>
              <w:spacing w:after="0"/>
              <w:rPr>
                <w:sz w:val="20"/>
                <w:szCs w:val="20"/>
                <w:color w:val="auto"/>
              </w:rPr>
            </w:pPr>
            <w:r>
              <w:rPr>
                <w:rFonts w:ascii="Arial" w:cs="Arial" w:eastAsia="Arial" w:hAnsi="Arial"/>
                <w:sz w:val="16"/>
                <w:szCs w:val="16"/>
                <w:color w:val="080508"/>
              </w:rPr>
              <w:t>5670 W</w:t>
            </w:r>
            <w:r>
              <w:rPr>
                <w:rFonts w:ascii="Arial" w:cs="Arial" w:eastAsia="Arial" w:hAnsi="Arial"/>
                <w:sz w:val="16"/>
                <w:szCs w:val="16"/>
                <w:color w:val="1F1C21"/>
              </w:rPr>
              <w:t>.</w:t>
            </w:r>
            <w:r>
              <w:rPr>
                <w:rFonts w:ascii="Arial" w:cs="Arial" w:eastAsia="Arial" w:hAnsi="Arial"/>
                <w:sz w:val="16"/>
                <w:szCs w:val="16"/>
                <w:color w:val="080508"/>
              </w:rPr>
              <w:t xml:space="preserve"> Chandler Blvd</w:t>
            </w:r>
            <w:r>
              <w:rPr>
                <w:rFonts w:ascii="Arial" w:cs="Arial" w:eastAsia="Arial" w:hAnsi="Arial"/>
                <w:sz w:val="16"/>
                <w:szCs w:val="16"/>
                <w:color w:val="3D3A3D"/>
              </w:rPr>
              <w:t>.</w:t>
            </w:r>
            <w:r>
              <w:rPr>
                <w:rFonts w:ascii="Arial" w:cs="Arial" w:eastAsia="Arial" w:hAnsi="Arial"/>
                <w:sz w:val="16"/>
                <w:szCs w:val="16"/>
                <w:color w:val="080508"/>
              </w:rPr>
              <w:t>, Su</w:t>
            </w:r>
            <w:r>
              <w:rPr>
                <w:rFonts w:ascii="Arial" w:cs="Arial" w:eastAsia="Arial" w:hAnsi="Arial"/>
                <w:sz w:val="16"/>
                <w:szCs w:val="16"/>
                <w:color w:val="1F1C21"/>
              </w:rPr>
              <w:t>i</w:t>
            </w:r>
            <w:r>
              <w:rPr>
                <w:rFonts w:ascii="Arial" w:cs="Arial" w:eastAsia="Arial" w:hAnsi="Arial"/>
                <w:sz w:val="16"/>
                <w:szCs w:val="16"/>
                <w:color w:val="080508"/>
              </w:rPr>
              <w:t>te 100</w:t>
            </w:r>
            <w:r>
              <w:rPr>
                <w:rFonts w:ascii="Arial" w:cs="Arial" w:eastAsia="Arial" w:hAnsi="Arial"/>
                <w:sz w:val="16"/>
                <w:szCs w:val="16"/>
                <w:color w:val="1F1C21"/>
              </w:rPr>
              <w:t>,</w:t>
            </w:r>
            <w:r>
              <w:rPr>
                <w:rFonts w:ascii="Arial" w:cs="Arial" w:eastAsia="Arial" w:hAnsi="Arial"/>
                <w:sz w:val="16"/>
                <w:szCs w:val="16"/>
                <w:color w:val="080508"/>
              </w:rPr>
              <w:t xml:space="preserve"> Chandler</w:t>
            </w:r>
            <w:r>
              <w:rPr>
                <w:rFonts w:ascii="Arial" w:cs="Arial" w:eastAsia="Arial" w:hAnsi="Arial"/>
                <w:sz w:val="16"/>
                <w:szCs w:val="16"/>
                <w:color w:val="1F1C21"/>
              </w:rPr>
              <w:t>,</w:t>
            </w:r>
            <w:r>
              <w:rPr>
                <w:rFonts w:ascii="Arial" w:cs="Arial" w:eastAsia="Arial" w:hAnsi="Arial"/>
                <w:sz w:val="16"/>
                <w:szCs w:val="16"/>
                <w:color w:val="080508"/>
              </w:rPr>
              <w:t xml:space="preserve"> AZ 85226 www.Everspin.com</w:t>
            </w:r>
          </w:p>
        </w:tc>
        <w:tc>
          <w:tcPr>
            <w:tcW w:w="2780" w:type="dxa"/>
            <w:vAlign w:val="bottom"/>
          </w:tcPr>
          <w:p>
            <w:pPr>
              <w:jc w:val="right"/>
              <w:ind w:right="1139"/>
              <w:spacing w:after="0"/>
              <w:rPr>
                <w:sz w:val="20"/>
                <w:szCs w:val="20"/>
                <w:color w:val="auto"/>
              </w:rPr>
            </w:pPr>
            <w:r>
              <w:rPr>
                <w:rFonts w:ascii="Arial" w:cs="Arial" w:eastAsia="Arial" w:hAnsi="Arial"/>
                <w:sz w:val="16"/>
                <w:szCs w:val="16"/>
                <w:color w:val="080508"/>
              </w:rPr>
              <w:t>(480) 347</w:t>
            </w:r>
            <w:r>
              <w:rPr>
                <w:rFonts w:ascii="Arial" w:cs="Arial" w:eastAsia="Arial" w:hAnsi="Arial"/>
                <w:sz w:val="16"/>
                <w:szCs w:val="16"/>
                <w:color w:val="1F1C21"/>
              </w:rPr>
              <w:t>-</w:t>
            </w:r>
            <w:r>
              <w:rPr>
                <w:rFonts w:ascii="Arial" w:cs="Arial" w:eastAsia="Arial" w:hAnsi="Arial"/>
                <w:sz w:val="16"/>
                <w:szCs w:val="16"/>
                <w:color w:val="080508"/>
              </w:rPr>
              <w:t>1111</w:t>
            </w:r>
          </w:p>
        </w:tc>
      </w:tr>
      <w:tr>
        <w:trPr>
          <w:trHeight w:val="554"/>
        </w:trPr>
        <w:tc>
          <w:tcPr>
            <w:tcW w:w="4600" w:type="dxa"/>
            <w:vAlign w:val="bottom"/>
            <w:tcBorders>
              <w:bottom w:val="single" w:sz="8" w:color="auto"/>
            </w:tcBorders>
          </w:tcPr>
          <w:p>
            <w:pPr>
              <w:spacing w:after="0"/>
              <w:rPr>
                <w:sz w:val="24"/>
                <w:szCs w:val="24"/>
                <w:color w:val="auto"/>
              </w:rPr>
            </w:pPr>
          </w:p>
        </w:tc>
        <w:tc>
          <w:tcPr>
            <w:tcW w:w="1360" w:type="dxa"/>
            <w:vAlign w:val="bottom"/>
            <w:tcBorders>
              <w:top w:val="single" w:sz="8" w:color="080508"/>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5" w:right="1440" w:bottom="1440" w:gutter="0" w:footer="0" w:header="0"/>
        </w:sectPr>
      </w:pPr>
    </w:p>
    <w:bookmarkStart w:id="70" w:name="page71"/>
    <w:bookmarkEnd w:id="70"/>
    <w:p>
      <w:pPr>
        <w:jc w:val="right"/>
        <w:ind w:right="139"/>
        <w:spacing w:after="0"/>
        <w:rPr>
          <w:sz w:val="20"/>
          <w:szCs w:val="20"/>
          <w:color w:val="auto"/>
        </w:rPr>
      </w:pPr>
      <w:r>
        <w:rPr>
          <w:rFonts w:ascii="Arial" w:cs="Arial" w:eastAsia="Arial" w:hAnsi="Arial"/>
          <w:sz w:val="18"/>
          <w:szCs w:val="18"/>
          <w:b w:val="1"/>
          <w:bCs w:val="1"/>
          <w:color w:val="auto"/>
        </w:rPr>
        <w:t>Exhibit 10.4</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3"/>
          <w:szCs w:val="13"/>
          <w:b w:val="1"/>
          <w:bCs w:val="1"/>
          <w:color w:val="auto"/>
        </w:rPr>
        <w:t>ON</w:t>
      </w:r>
      <w:r>
        <w:rPr>
          <w:rFonts w:ascii="Arial" w:cs="Arial" w:eastAsia="Arial" w:hAnsi="Arial"/>
          <w:sz w:val="18"/>
          <w:szCs w:val="18"/>
          <w:b w:val="1"/>
          <w:bCs w:val="1"/>
          <w:color w:val="auto"/>
        </w:rPr>
        <w:t>-E</w:t>
      </w:r>
      <w:r>
        <w:rPr>
          <w:rFonts w:ascii="Arial" w:cs="Arial" w:eastAsia="Arial" w:hAnsi="Arial"/>
          <w:sz w:val="13"/>
          <w:szCs w:val="13"/>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OMPENSATION</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Compensation</w:t>
      </w:r>
    </w:p>
    <w:p>
      <w:pPr>
        <w:spacing w:after="0" w:line="135" w:lineRule="exact"/>
        <w:rPr>
          <w:sz w:val="20"/>
          <w:szCs w:val="20"/>
          <w:color w:val="auto"/>
        </w:rPr>
      </w:pPr>
    </w:p>
    <w:p>
      <w:pPr>
        <w:jc w:val="both"/>
        <w:ind w:left="160" w:right="299" w:firstLine="441"/>
        <w:spacing w:after="0" w:line="235" w:lineRule="auto"/>
        <w:rPr>
          <w:sz w:val="20"/>
          <w:szCs w:val="20"/>
          <w:color w:val="auto"/>
        </w:rPr>
      </w:pPr>
      <w:r>
        <w:rPr>
          <w:rFonts w:ascii="Arial" w:cs="Arial" w:eastAsia="Arial" w:hAnsi="Arial"/>
          <w:sz w:val="18"/>
          <w:szCs w:val="18"/>
          <w:color w:val="auto"/>
        </w:rPr>
        <w:t>Each non-employee director receives an annual fee of $48,000 in cash for serving on the Board of Directors. The Chairman of the Audit Committee of the Board of Directors receives an additional annual cash fee of $15,000. All fees in cash are payable in equal quarterly installments, payable in arrears.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ind w:left="160" w:right="239" w:firstLine="441"/>
        <w:spacing w:after="0" w:line="228" w:lineRule="auto"/>
        <w:rPr>
          <w:sz w:val="20"/>
          <w:szCs w:val="20"/>
          <w:color w:val="auto"/>
        </w:rPr>
      </w:pPr>
      <w:r>
        <w:rPr>
          <w:rFonts w:ascii="Arial" w:cs="Arial" w:eastAsia="Arial" w:hAnsi="Arial"/>
          <w:sz w:val="18"/>
          <w:szCs w:val="18"/>
          <w:i w:val="1"/>
          <w:iCs w:val="1"/>
          <w:color w:val="auto"/>
        </w:rPr>
        <w:t>Initial Grants</w:t>
      </w:r>
      <w:r>
        <w:rPr>
          <w:rFonts w:ascii="Arial" w:cs="Arial" w:eastAsia="Arial" w:hAnsi="Arial"/>
          <w:sz w:val="18"/>
          <w:szCs w:val="18"/>
          <w:color w:val="auto"/>
        </w:rPr>
        <w:t>. Newly-elected non-employee directors will be granted an option to purchase 30,000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Everspin common stock (the “Initial Grant”). The shares underlying the Initial Grant will vest monthly over three years subject to continued service on each vesting date. In the event of a change in control, any unvested portion of the shares underlying an Initial Grant will fully vest and become exercisable immediately prior to the effective time of the change in control.</w:t>
      </w:r>
    </w:p>
    <w:p>
      <w:pPr>
        <w:spacing w:after="0" w:line="178" w:lineRule="exact"/>
        <w:rPr>
          <w:sz w:val="20"/>
          <w:szCs w:val="20"/>
          <w:color w:val="auto"/>
        </w:rPr>
      </w:pPr>
    </w:p>
    <w:p>
      <w:pPr>
        <w:ind w:left="160" w:right="179" w:firstLine="441"/>
        <w:spacing w:after="0"/>
        <w:rPr>
          <w:sz w:val="20"/>
          <w:szCs w:val="20"/>
          <w:color w:val="auto"/>
        </w:rPr>
      </w:pPr>
      <w:r>
        <w:rPr>
          <w:rFonts w:ascii="Arial" w:cs="Arial" w:eastAsia="Arial" w:hAnsi="Arial"/>
          <w:sz w:val="17"/>
          <w:szCs w:val="17"/>
          <w:i w:val="1"/>
          <w:iCs w:val="1"/>
          <w:color w:val="auto"/>
        </w:rPr>
        <w:t xml:space="preserve">Annual Grants. </w:t>
      </w:r>
      <w:r>
        <w:rPr>
          <w:rFonts w:ascii="Arial" w:cs="Arial" w:eastAsia="Arial" w:hAnsi="Arial"/>
          <w:sz w:val="17"/>
          <w:szCs w:val="17"/>
          <w:color w:val="auto"/>
        </w:rPr>
        <w:t>On the date of each annual meeting of stockholders, each then current non-employee director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additional annual stock option grants or restricted stock unit grants (the “Annual Grant”), in an amount to be determined by the Compensation Committee. All stock options underlying an Annual Grant will vest monthly over one year from the date of grant. The restricted stock units vest in full one year after the date of grant. In the event of a change in control, any unvested portion of the shares underlying an Annual Grant will fully vest and become exercisable immediately prior to the effective time of such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353695</wp:posOffset>
            </wp:positionV>
            <wp:extent cx="554863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Kevin Conley, certify that:</w:t>
      </w:r>
    </w:p>
    <w:p>
      <w:pPr>
        <w:spacing w:after="0" w:line="144" w:lineRule="exact"/>
        <w:rPr>
          <w:sz w:val="20"/>
          <w:szCs w:val="20"/>
          <w:color w:val="auto"/>
        </w:rPr>
      </w:pPr>
    </w:p>
    <w:p>
      <w:pPr>
        <w:ind w:left="320" w:hanging="317"/>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80" w:right="240" w:hanging="377"/>
        <w:spacing w:after="0" w:line="238"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59" w:lineRule="auto"/>
        <w:tabs>
          <w:tab w:leader="none" w:pos="5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320" w:firstLine="7"/>
        <w:spacing w:after="0" w:line="224" w:lineRule="auto"/>
        <w:tabs>
          <w:tab w:leader="none" w:pos="5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8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-121920</wp:posOffset>
            </wp:positionV>
            <wp:extent cx="25387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Jeffrey Winzeler, certify that:</w:t>
      </w:r>
    </w:p>
    <w:p>
      <w:pPr>
        <w:spacing w:after="0" w:line="144" w:lineRule="exact"/>
        <w:rPr>
          <w:sz w:val="20"/>
          <w:szCs w:val="20"/>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ind w:left="660" w:right="380" w:hanging="333"/>
        <w:spacing w:after="0" w:line="22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333"/>
        <w:spacing w:after="0" w:line="22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hanging="333"/>
        <w:spacing w:after="0" w:line="23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980" w:hanging="329"/>
        <w:spacing w:after="0" w:line="219"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80" w:hanging="333"/>
        <w:spacing w:after="0" w:line="22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80" w:hanging="329"/>
        <w:spacing w:after="0" w:line="235"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-121920</wp:posOffset>
            </wp:positionV>
            <wp:extent cx="23926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Kevin Conley, President and Chief Executive Officer of Everspin Technologies, Inc. (the “Company”), and Jeffrey Winzeler, Chief Financial Officer of the Company, each hereby certifies that, to the best of his knowledge:</w:t>
      </w:r>
    </w:p>
    <w:p>
      <w:pPr>
        <w:spacing w:after="0" w:line="163" w:lineRule="exact"/>
        <w:rPr>
          <w:sz w:val="20"/>
          <w:szCs w:val="20"/>
          <w:color w:val="auto"/>
        </w:rPr>
      </w:pPr>
    </w:p>
    <w:p>
      <w:pPr>
        <w:ind w:right="240" w:firstLine="3"/>
        <w:spacing w:after="0" w:line="224"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2019, to which this Certification is attached as Exhibit 32.1 (the “Periodic Report”), fully complies with the requirements of Section 13(a) or Section 15(d) of the Exchange Act; and</w:t>
      </w:r>
    </w:p>
    <w:p>
      <w:pPr>
        <w:spacing w:after="0" w:line="163" w:lineRule="exact"/>
        <w:rPr>
          <w:rFonts w:ascii="Arial" w:cs="Arial" w:eastAsia="Arial" w:hAnsi="Arial"/>
          <w:sz w:val="18"/>
          <w:szCs w:val="18"/>
          <w:color w:val="auto"/>
        </w:rPr>
      </w:pPr>
    </w:p>
    <w:p>
      <w:pPr>
        <w:ind w:right="20" w:firstLine="3"/>
        <w:spacing w:after="0" w:line="235"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857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754370" cy="857885"/>
                    </a:xfrm>
                    <a:prstGeom prst="rect">
                      <a:avLst/>
                    </a:prstGeom>
                    <a:noFill/>
                  </pic:spPr>
                </pic:pic>
              </a:graphicData>
            </a:graphic>
          </wp:anchor>
        </w:drawing>
      </w:r>
    </w:p>
    <w:p>
      <w:pPr>
        <w:ind w:left="5440"/>
        <w:spacing w:after="0" w:line="232" w:lineRule="auto"/>
        <w:rPr>
          <w:sz w:val="20"/>
          <w:szCs w:val="20"/>
          <w:color w:val="auto"/>
        </w:rPr>
      </w:pPr>
      <w:r>
        <w:rPr>
          <w:rFonts w:ascii="Arial" w:cs="Arial" w:eastAsia="Arial" w:hAnsi="Arial"/>
          <w:sz w:val="18"/>
          <w:szCs w:val="18"/>
          <w:color w:val="auto"/>
        </w:rPr>
        <w:t>Kevin Conley</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Jeffrey Winzeler</w:t>
      </w:r>
    </w:p>
    <w:p>
      <w:pPr>
        <w:ind w:left="5440"/>
        <w:spacing w:after="0" w:line="232" w:lineRule="auto"/>
        <w:rPr>
          <w:sz w:val="20"/>
          <w:szCs w:val="20"/>
          <w:color w:val="auto"/>
        </w:rPr>
      </w:pPr>
      <w:r>
        <w:rPr>
          <w:rFonts w:ascii="Arial" w:cs="Arial" w:eastAsia="Arial" w:hAnsi="Arial"/>
          <w:sz w:val="18"/>
          <w:szCs w:val="18"/>
          <w:color w:val="auto"/>
        </w:rPr>
        <w:t>Jeffrey Winzeler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Financial Officer)</w:t>
      </w:r>
    </w:p>
    <w:p>
      <w:pPr>
        <w:spacing w:after="0" w:line="14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emdash "/>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upperLetter"/>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2"/>
    </w:lvl>
  </w:abstractNum>
  <w:abstractNum w:abstractNumId="10">
    <w:nsid w:val="2443A858"/>
    <w:multiLevelType w:val="hybridMultilevel"/>
    <w:lvl w:ilvl="0">
      <w:lvlJc w:val="left"/>
      <w:lvlText w:val="%1."/>
      <w:numFmt w:val="decimal"/>
      <w:start w:val="3"/>
    </w:lvl>
  </w:abstractNum>
  <w:abstractNum w:abstractNumId="11">
    <w:nsid w:val="2D1D5AE9"/>
    <w:multiLevelType w:val="hybridMultilevel"/>
    <w:lvl w:ilvl="0">
      <w:lvlJc w:val="left"/>
      <w:lvlText w:val="%1."/>
      <w:numFmt w:val="decimal"/>
      <w:start w:val="4"/>
    </w:lvl>
  </w:abstractNum>
  <w:abstractNum w:abstractNumId="12">
    <w:nsid w:val="6763845E"/>
    <w:multiLevelType w:val="hybridMultilevel"/>
    <w:lvl w:ilvl="0">
      <w:lvlJc w:val="left"/>
      <w:lvlText w:val="%1."/>
      <w:numFmt w:val="decimal"/>
      <w:start w:val="5"/>
    </w:lvl>
  </w:abstractNum>
  <w:abstractNum w:abstractNumId="13">
    <w:nsid w:val="75A2A8D4"/>
    <w:multiLevelType w:val="hybridMultilevel"/>
    <w:lvl w:ilvl="0">
      <w:lvlJc w:val="left"/>
      <w:lvlText w:val="%1."/>
      <w:numFmt w:val="decimal"/>
      <w:start w:val="6"/>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upperLetter"/>
      <w:start w:val="9"/>
    </w:lvl>
  </w:abstractNum>
  <w:abstractNum w:abstractNumId="16">
    <w:nsid w:val="4353D0CD"/>
    <w:multiLevelType w:val="hybridMultilevel"/>
    <w:lvl w:ilvl="0">
      <w:lvlJc w:val="left"/>
      <w:lvlText w:val="%1."/>
      <w:numFmt w:val="upperLetter"/>
      <w:start w:val="35"/>
    </w:lvl>
  </w:abstractNum>
  <w:abstractNum w:abstractNumId="17">
    <w:nsid w:val="B03E0C6"/>
    <w:multiLevelType w:val="hybridMultilevel"/>
    <w:lvl w:ilvl="0">
      <w:lvlJc w:val="left"/>
      <w:lvlText w:val="%1."/>
      <w:numFmt w:val="upperLetter"/>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2"/>
    </w:lvl>
  </w:abstractNum>
  <w:abstractNum w:abstractNumId="20">
    <w:nsid w:val="71F32454"/>
    <w:multiLevelType w:val="hybridMultilevel"/>
    <w:lvl w:ilvl="0">
      <w:lvlJc w:val="left"/>
      <w:lvlText w:val="%1."/>
      <w:numFmt w:val="decimal"/>
      <w:start w:val="3"/>
    </w:lvl>
  </w:abstractNum>
  <w:abstractNum w:abstractNumId="21">
    <w:nsid w:val="2CA8861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lvl w:ilvl="3">
      <w:lvlJc w:val="left"/>
      <w:lvlText w:val="(%4)"/>
      <w:numFmt w:val="lowerLetter"/>
      <w:start w:val="1"/>
    </w:lvl>
    <w:lvl w:ilvl="4">
      <w:lvlJc w:val="left"/>
      <w:lvlText w:val="(%5)"/>
      <w:numFmt w:val="lowerLetter"/>
      <w:start w:val="2"/>
    </w:lvl>
  </w:abstractNum>
  <w:abstractNum w:abstractNumId="22">
    <w:nsid w:val="836C40E"/>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1"/>
    </w:lvl>
    <w:lvl w:ilvl="3">
      <w:lvlJc w:val="left"/>
      <w:lvlText w:val="(%4)"/>
      <w:numFmt w:val="lowerLetter"/>
      <w:start w:val="3"/>
    </w:lvl>
    <w:lvl w:ilvl="4">
      <w:lvlJc w:val="left"/>
      <w:lvlText w:val="%5"/>
      <w:numFmt w:val="lowerLetter"/>
      <w:start w:val="1"/>
    </w:lvl>
  </w:abstractNum>
  <w:abstractNum w:abstractNumId="23">
    <w:nsid w:val="2901D82"/>
    <w:multiLevelType w:val="hybridMultilevel"/>
    <w:lvl w:ilvl="0">
      <w:lvlJc w:val="left"/>
      <w:lvlText w:val="%1"/>
      <w:numFmt w:val="decimal"/>
      <w:start w:val="1"/>
    </w:lvl>
    <w:lvl w:ilvl="1">
      <w:lvlJc w:val="left"/>
      <w:lvlText w:val="(%2)"/>
      <w:numFmt w:val="lowerRoman"/>
      <w:start w:val="1"/>
    </w:lvl>
  </w:abstractNum>
  <w:abstractNum w:abstractNumId="24">
    <w:nsid w:val="3A95F874"/>
    <w:multiLevelType w:val="hybridMultilevel"/>
    <w:lvl w:ilvl="0">
      <w:lvlJc w:val="left"/>
      <w:lvlText w:val="%1."/>
      <w:numFmt w:val="decimal"/>
      <w:start w:val="4"/>
    </w:lvl>
    <w:lvl w:ilvl="1">
      <w:lvlJc w:val="left"/>
      <w:lvlText w:val="%2"/>
      <w:numFmt w:val="lowerRoman"/>
      <w:start w:val="1"/>
    </w:lvl>
  </w:abstractNum>
  <w:abstractNum w:abstractNumId="25">
    <w:nsid w:val="8138641"/>
    <w:multiLevelType w:val="hybridMultilevel"/>
    <w:lvl w:ilvl="0">
      <w:lvlJc w:val="left"/>
      <w:lvlText w:val="%1."/>
      <w:numFmt w:val="decimal"/>
      <w:start w:val="6"/>
    </w:lvl>
  </w:abstractNum>
  <w:abstractNum w:abstractNumId="26">
    <w:nsid w:val="1E7FF521"/>
    <w:multiLevelType w:val="hybridMultilevel"/>
    <w:lvl w:ilvl="0">
      <w:lvlJc w:val="left"/>
      <w:lvlText w:val="(%1)"/>
      <w:numFmt w:val="lowerLetter"/>
      <w:start w:val="4"/>
    </w:lvl>
  </w:abstractNum>
  <w:abstractNum w:abstractNumId="27">
    <w:nsid w:val="7C3DBD3D"/>
    <w:multiLevelType w:val="hybridMultilevel"/>
    <w:lvl w:ilvl="0">
      <w:lvlJc w:val="left"/>
      <w:lvlText w:val="%1."/>
      <w:numFmt w:val="decimal"/>
      <w:start w:val="7"/>
    </w:lvl>
  </w:abstractNum>
  <w:abstractNum w:abstractNumId="28">
    <w:nsid w:val="737B8DDC"/>
    <w:multiLevelType w:val="hybridMultilevel"/>
    <w:lvl w:ilvl="0">
      <w:lvlJc w:val="left"/>
      <w:lvlText w:val="%1."/>
      <w:numFmt w:val="decimal"/>
      <w:start w:val="9"/>
    </w:lvl>
  </w:abstractNum>
  <w:abstractNum w:abstractNumId="29">
    <w:nsid w:val="6CEAF087"/>
    <w:multiLevelType w:val="hybridMultilevel"/>
    <w:lvl w:ilvl="0">
      <w:lvlJc w:val="left"/>
      <w:lvlText w:val="%1."/>
      <w:numFmt w:val="decimal"/>
      <w:start w:val="10"/>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jpe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66" Type="http://schemas.openxmlformats.org/officeDocument/2006/relationships/hyperlink" Target="http://www.sec.gov/Archives/edgar/data/1438423/000119312516737688/d271840dex31.htm" TargetMode="External"/><Relationship Id="rId67" Type="http://schemas.openxmlformats.org/officeDocument/2006/relationships/hyperlink" Target="http://www.sec.gov/Archives/edgar/data/1438423/000119312516706479/d180963dex36.htm" TargetMode="External"/><Relationship Id="rId68" Type="http://schemas.openxmlformats.org/officeDocument/2006/relationships/hyperlink" Target="http://www.sec.gov/Archives/edgar/data/1438423/000119312516706479/d180963dex41.htm" TargetMode="External"/><Relationship Id="rId69" Type="http://schemas.openxmlformats.org/officeDocument/2006/relationships/hyperlink" Target="http://www.sec.gov/Archives/edgar/data/1438423/000155837018006798/mram-20180630ex42c5286a8.htm" TargetMode="External"/><Relationship Id="rId70" Type="http://schemas.openxmlformats.org/officeDocument/2006/relationships/hyperlink" Target="http://www.sec.gov/Archives/edgar/data/1438423/000119312519017067/d69592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2019-12-28T12:55:55Z</dcterms:created>
  <dcterms:modified xsi:type="dcterms:W3CDTF">2019-12-28T12:55:55Z</dcterms:modified>
</cp:coreProperties>
</file>