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26-2640654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5670 W. Chandler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Chandler, Arizona 85226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(480) 347-1111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216535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MRAM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w:t>
            </w:r>
          </w:p>
        </w:tc>
      </w:tr>
    </w:tbl>
    <w:p>
      <w:pPr>
        <w:spacing w:after="0" w:line="15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On August 7, 2019, Everspin Technologies,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a copy of which is attached hereto as Exhibit 99.1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Sales Agreement</w:t>
      </w:r>
    </w:p>
    <w:p>
      <w:pPr>
        <w:spacing w:after="0" w:line="11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On August 7, 2019, the Company entered into an Open Market Sale Agreement</w:t>
      </w:r>
      <w:r>
        <w:rPr>
          <w:rFonts w:ascii="Arial" w:cs="Arial" w:eastAsia="Arial" w:hAnsi="Arial"/>
          <w:sz w:val="13"/>
          <w:szCs w:val="13"/>
          <w:color w:val="auto"/>
        </w:rPr>
        <w:t>SM</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Sales Agreement</w:t>
      </w:r>
      <w:r>
        <w:rPr>
          <w:rFonts w:ascii="Arial" w:cs="Arial" w:eastAsia="Arial" w:hAnsi="Arial"/>
          <w:sz w:val="16"/>
          <w:szCs w:val="16"/>
          <w:color w:val="auto"/>
        </w:rPr>
        <w:t>”) with Jefferies LLC (“</w:t>
      </w:r>
      <w:r>
        <w:rPr>
          <w:rFonts w:ascii="Arial" w:cs="Arial" w:eastAsia="Arial" w:hAnsi="Arial"/>
          <w:sz w:val="16"/>
          <w:szCs w:val="16"/>
          <w:b w:val="1"/>
          <w:bCs w:val="1"/>
          <w:i w:val="1"/>
          <w:iCs w:val="1"/>
          <w:color w:val="auto"/>
        </w:rPr>
        <w:t>Jefferies</w:t>
      </w:r>
      <w:r>
        <w:rPr>
          <w:rFonts w:ascii="Arial" w:cs="Arial" w:eastAsia="Arial" w:hAnsi="Arial"/>
          <w:sz w:val="16"/>
          <w:szCs w:val="16"/>
          <w:color w:val="auto"/>
        </w:rPr>
        <w:t>”), pursuant to which the Company may sell from time to time, at its option, shares of the Company’s common stock having an aggregate offering price of up to $25 million, through Jefferies, as sales agent (the “</w:t>
      </w:r>
      <w:r>
        <w:rPr>
          <w:rFonts w:ascii="Arial" w:cs="Arial" w:eastAsia="Arial" w:hAnsi="Arial"/>
          <w:sz w:val="16"/>
          <w:szCs w:val="16"/>
          <w:b w:val="1"/>
          <w:bCs w:val="1"/>
          <w:i w:val="1"/>
          <w:iCs w:val="1"/>
          <w:color w:val="auto"/>
        </w:rPr>
        <w:t>ATM Offering</w:t>
      </w:r>
      <w:r>
        <w:rPr>
          <w:rFonts w:ascii="Arial" w:cs="Arial" w:eastAsia="Arial" w:hAnsi="Arial"/>
          <w:sz w:val="16"/>
          <w:szCs w:val="16"/>
          <w:color w:val="auto"/>
        </w:rPr>
        <w:t>”). Pursuant to the Sales Agreement, sales of the common stock, if any, will be made under the Company’s previously filed and currently effective Registration Statement on Form S-3 (File No. 333-221331), at market prices by any method that is deemed to be an “at-the-market” offering as defined in Rule 415(a)(4) under the Securities Act,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w:t>
      </w:r>
    </w:p>
    <w:p>
      <w:pPr>
        <w:spacing w:after="0" w:line="15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Subject to the terms and conditions of the Sales Agreement, Jefferies will use its commercially reasonable efforts consistent with its normal trading and sales practices and applicable state and federal laws, rules and regulations and the rules of the Nasdaq Stock Market to sell on the Company’s behalf all of the shares of common stock requested to be sold by the Company. The Company will designate the maximum amount of common stock to be sold through Jefferies on a daily basis or otherwise determine such maximum amount together with Jefferies. The Company may instruct Jefferies not to sell common stock if the sales cannot be effected at or above the price designated by the Company in any such instruction. The Company or Jefferies may suspend the offering of common stock being made through Jefferies under the Sales Agreement upon proper notice to the other party.</w:t>
      </w:r>
    </w:p>
    <w:p>
      <w:pPr>
        <w:spacing w:after="0" w:line="18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compensation payable to Jefferies as sales agent shall be equal to 3.0% of the aggregate gross proceeds of the shares sold through it pursuant to the Sales Agreement. In addition, the Company has agreed in the Sales Agreement to provide indemnification and contribution to Jefferies against certain liabilities, including liabilities under the Securities Act of 1933, as amended.</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Company is not obligated to make any sales of shares of common stock under the Sales Agreement. The offering of common stock pursuant to the Sales Agreement will terminate upon (a) the sale of all of the shares of common stock subject to the Sales Agreement or (b) the termination of the Sales Agreement in accordance with its terms.</w:t>
      </w:r>
    </w:p>
    <w:p>
      <w:pPr>
        <w:spacing w:after="0" w:line="181" w:lineRule="exact"/>
        <w:rPr>
          <w:sz w:val="20"/>
          <w:szCs w:val="20"/>
          <w:color w:val="auto"/>
        </w:rPr>
      </w:pPr>
    </w:p>
    <w:p>
      <w:pPr>
        <w:jc w:val="both"/>
        <w:ind w:right="480" w:firstLine="441"/>
        <w:spacing w:after="0" w:line="264" w:lineRule="auto"/>
        <w:rPr>
          <w:sz w:val="20"/>
          <w:szCs w:val="20"/>
          <w:color w:val="auto"/>
        </w:rPr>
      </w:pPr>
      <w:r>
        <w:rPr>
          <w:rFonts w:ascii="Arial" w:cs="Arial" w:eastAsia="Arial" w:hAnsi="Arial"/>
          <w:sz w:val="18"/>
          <w:szCs w:val="18"/>
          <w:color w:val="auto"/>
        </w:rPr>
        <w:t>The Sales Agreement is attached to this Current Report on Form 8-K as Exhibit 1.1 and is incorporated herein by reference. The foregoing description of the material terms of the Sales Agreement does not purport to be complete and is qualified in its entirety by reference to the exhibit attached hereto.</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legal opinion of Cooley LLP relating to the shares of common stock being offered pursuant to the Sales Agreement is filed as Exhibit 5.1 to this Current Report on Form 8-K.</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common stock discussed herein, nor shall there be any offer, solicitation, or sale of the common stock in any state in which such offer, solicitation or sale would be unlawful prior to registration or qualification under the securities laws of any such state.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920" w:type="dxa"/>
            <w:vAlign w:val="bottom"/>
          </w:tcPr>
          <w:p>
            <w:pPr>
              <w:spacing w:after="0"/>
              <w:rPr>
                <w:sz w:val="14"/>
                <w:szCs w:val="14"/>
                <w:color w:val="auto"/>
              </w:rPr>
            </w:pPr>
          </w:p>
        </w:tc>
      </w:tr>
      <w:tr>
        <w:trPr>
          <w:trHeight w:val="250"/>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1"/>
                <w:szCs w:val="21"/>
                <w:color w:val="auto"/>
              </w:rPr>
            </w:pPr>
          </w:p>
        </w:tc>
        <w:tc>
          <w:tcPr>
            <w:tcW w:w="2160" w:type="dxa"/>
            <w:vAlign w:val="bottom"/>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Open Market Sale Agreement</w:t>
              </w:r>
            </w:hyperlink>
          </w:p>
        </w:tc>
        <w:tc>
          <w:tcPr>
            <w:tcW w:w="160" w:type="dxa"/>
            <w:vAlign w:val="bottom"/>
            <w:tcBorders>
              <w:bottom w:val="single" w:sz="8" w:color="0000EE"/>
            </w:tcBorders>
            <w:gridSpan w:val="3"/>
          </w:tcPr>
          <w:p>
            <w:pPr>
              <w:spacing w:after="0"/>
              <w:rPr>
                <w:rFonts w:ascii="Arial" w:cs="Arial" w:eastAsia="Arial" w:hAnsi="Arial"/>
                <w:sz w:val="15"/>
                <w:szCs w:val="15"/>
                <w:color w:val="0000EE"/>
                <w:w w:val="92"/>
              </w:rPr>
            </w:pPr>
            <w:hyperlink w:anchor="page4">
              <w:r>
                <w:rPr>
                  <w:rFonts w:ascii="Arial" w:cs="Arial" w:eastAsia="Arial" w:hAnsi="Arial"/>
                  <w:sz w:val="15"/>
                  <w:szCs w:val="15"/>
                  <w:color w:val="0000EE"/>
                  <w:w w:val="92"/>
                </w:rPr>
                <w:t>™</w:t>
              </w:r>
            </w:hyperlink>
          </w:p>
        </w:tc>
        <w:tc>
          <w:tcPr>
            <w:tcW w:w="5760" w:type="dxa"/>
            <w:vAlign w:val="bottom"/>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 dated August 7, 2019, between Everspin Technologies, Inc. and Jefferies LLC.</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1020" w:type="dxa"/>
            <w:vAlign w:val="bottom"/>
            <w:tcBorders>
              <w:bottom w:val="single" w:sz="8" w:color="0000EE"/>
            </w:tcBorders>
          </w:tcPr>
          <w:p>
            <w:pPr>
              <w:spacing w:after="0" w:line="20" w:lineRule="exact"/>
              <w:rPr>
                <w:sz w:val="1"/>
                <w:szCs w:val="1"/>
                <w:color w:val="auto"/>
              </w:rPr>
            </w:pPr>
          </w:p>
        </w:tc>
        <w:tc>
          <w:tcPr>
            <w:tcW w:w="4500" w:type="dxa"/>
            <w:vAlign w:val="bottom"/>
            <w:tcBorders>
              <w:bottom w:val="single" w:sz="8" w:color="0000EE"/>
            </w:tcBorders>
            <w:gridSpan w:val="3"/>
          </w:tcPr>
          <w:p>
            <w:pPr>
              <w:spacing w:after="0" w:line="20" w:lineRule="exact"/>
              <w:rPr>
                <w:sz w:val="1"/>
                <w:szCs w:val="1"/>
                <w:color w:val="auto"/>
              </w:rPr>
            </w:pP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24"/>
                <w:szCs w:val="24"/>
                <w:color w:val="auto"/>
              </w:rPr>
            </w:pPr>
          </w:p>
        </w:tc>
        <w:tc>
          <w:tcPr>
            <w:tcW w:w="808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Opinion of Cooley LLP.</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24"/>
                <w:szCs w:val="24"/>
                <w:color w:val="auto"/>
              </w:rPr>
            </w:pPr>
          </w:p>
        </w:tc>
        <w:tc>
          <w:tcPr>
            <w:tcW w:w="808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Consent of Cooley LLP (included in Exhibit 5.1).</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3580" w:type="dxa"/>
            <w:vAlign w:val="bottom"/>
            <w:tcBorders>
              <w:top w:val="single" w:sz="8" w:color="0000EE"/>
            </w:tcBorders>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Press release dated August 7, 2019.</w:t>
              </w:r>
            </w:hyperlink>
          </w:p>
        </w:tc>
        <w:tc>
          <w:tcPr>
            <w:tcW w:w="4500" w:type="dxa"/>
            <w:vAlign w:val="bottom"/>
            <w:gridSpan w:val="3"/>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b w:val="1"/>
                <w:bCs w:val="1"/>
                <w:color w:val="auto"/>
              </w:rPr>
              <w:t>Everspin Technologies,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7, 2019</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By:  /s/ Jeffrey Winzeler</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Winzeler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August 7,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41"/>
        <w:spacing w:after="0" w:line="314" w:lineRule="auto"/>
        <w:rPr>
          <w:sz w:val="20"/>
          <w:szCs w:val="20"/>
          <w:color w:val="auto"/>
        </w:rPr>
      </w:pPr>
      <w:r>
        <w:rPr>
          <w:rFonts w:ascii="Arial" w:cs="Arial" w:eastAsia="Arial" w:hAnsi="Arial"/>
          <w:sz w:val="16"/>
          <w:szCs w:val="16"/>
          <w:color w:val="auto"/>
        </w:rPr>
        <w:t>Everspin Technologies,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 issue and sell from time to time through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shares of the Company’s common stock, par value $0.0001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having an aggregate offering price of up to $25,000,000 on the terms set forth 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560" w:firstLine="444"/>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63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7"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8"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Stock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jc w:val="both"/>
        <w:ind w:right="440" w:firstLine="4"/>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Settlement Date, (4) each Triggering Event Date (as defined below) and (5) as of 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82"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Commission a shelf registration statement on Form S-3 (File</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 333-221331)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7"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81" w:lineRule="exact"/>
        <w:rPr>
          <w:sz w:val="20"/>
          <w:szCs w:val="20"/>
          <w:color w:val="auto"/>
        </w:rPr>
      </w:pPr>
    </w:p>
    <w:p>
      <w:pPr>
        <w:jc w:val="both"/>
        <w:ind w:right="240" w:firstLine="441"/>
        <w:spacing w:after="0" w:line="279" w:lineRule="auto"/>
        <w:rPr>
          <w:sz w:val="20"/>
          <w:szCs w:val="20"/>
          <w:color w:val="auto"/>
        </w:rPr>
      </w:pPr>
      <w:r>
        <w:rPr>
          <w:rFonts w:ascii="Arial" w:cs="Arial" w:eastAsia="Arial" w:hAnsi="Arial"/>
          <w:sz w:val="17"/>
          <w:szCs w:val="17"/>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including compliance with General Instruction I.B.1 of Form S-3. During the Agency Period, each time the Company files an annual report on Form 10-K the Company will meet the then-applicable requirements for use of Form S-3 under the Securities Act.</w:t>
      </w:r>
    </w:p>
    <w:p>
      <w:pPr>
        <w:spacing w:after="0" w:line="63" w:lineRule="exact"/>
        <w:rPr>
          <w:sz w:val="20"/>
          <w:szCs w:val="20"/>
          <w:color w:val="auto"/>
        </w:rPr>
      </w:pPr>
    </w:p>
    <w:p>
      <w:pPr>
        <w:jc w:val="both"/>
        <w:ind w:right="160" w:firstLine="444"/>
        <w:spacing w:after="0" w:line="257" w:lineRule="auto"/>
        <w:tabs>
          <w:tab w:leader="none" w:pos="83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8"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with the Commission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7" w:name="page8"/>
    <w:bookmarkEnd w:id="7"/>
    <w:p>
      <w:pPr>
        <w:ind w:left="-20" w:firstLine="444"/>
        <w:spacing w:after="0" w:line="288"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61" w:lineRule="exact"/>
        <w:rPr>
          <w:rFonts w:ascii="Arial" w:cs="Arial" w:eastAsia="Arial" w:hAnsi="Arial"/>
          <w:sz w:val="16"/>
          <w:szCs w:val="16"/>
          <w:color w:val="auto"/>
        </w:rPr>
      </w:pPr>
    </w:p>
    <w:p>
      <w:pPr>
        <w:ind w:left="-20" w:firstLine="444"/>
        <w:spacing w:after="0" w:line="302" w:lineRule="auto"/>
        <w:tabs>
          <w:tab w:leader="none" w:pos="81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46" w:lineRule="exact"/>
        <w:rPr>
          <w:rFonts w:ascii="Arial" w:cs="Arial" w:eastAsia="Arial" w:hAnsi="Arial"/>
          <w:sz w:val="16"/>
          <w:szCs w:val="16"/>
          <w:color w:val="auto"/>
        </w:rPr>
      </w:pPr>
    </w:p>
    <w:p>
      <w:pPr>
        <w:ind w:left="-20" w:right="100" w:firstLine="444"/>
        <w:spacing w:after="0" w:line="293"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ind w:left="-20" w:right="60" w:firstLine="444"/>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73" w:lineRule="exact"/>
        <w:rPr>
          <w:rFonts w:ascii="Arial" w:cs="Arial" w:eastAsia="Arial" w:hAnsi="Arial"/>
          <w:sz w:val="18"/>
          <w:szCs w:val="18"/>
          <w:color w:val="auto"/>
        </w:rPr>
      </w:pPr>
    </w:p>
    <w:p>
      <w:pPr>
        <w:jc w:val="both"/>
        <w:ind w:left="-20" w:right="20" w:firstLine="444"/>
        <w:spacing w:after="0" w:line="264" w:lineRule="auto"/>
        <w:tabs>
          <w:tab w:leader="none" w:pos="81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 Deficiencies in or Changes to Internal Control Over Financial Reporting</w:t>
      </w:r>
      <w:r>
        <w:rPr>
          <w:rFonts w:ascii="Arial" w:cs="Arial" w:eastAsia="Arial" w:hAnsi="Arial"/>
          <w:sz w:val="18"/>
          <w:szCs w:val="18"/>
          <w:color w:val="auto"/>
        </w:rPr>
        <w:t>. The Company has established and maintains disclosure controls and procedures (as defined in Rules 13a-15 and 15d-15 under the Exchange Act), which (i) are designed to ensure that material information relating to the Company is made known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8" w:name="page9"/>
    <w:bookmarkEnd w:id="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principal executive officer and its principal financial officer by others within the Company,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1" w:lineRule="exact"/>
        <w:rPr>
          <w:sz w:val="20"/>
          <w:szCs w:val="20"/>
          <w:color w:val="auto"/>
        </w:rPr>
      </w:pPr>
    </w:p>
    <w:p>
      <w:pPr>
        <w:ind w:left="840" w:hanging="396"/>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jc w:val="both"/>
        <w:ind w:right="200" w:firstLine="444"/>
        <w:spacing w:after="0" w:line="312" w:lineRule="auto"/>
        <w:tabs>
          <w:tab w:leader="none" w:pos="79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38" w:lineRule="exact"/>
        <w:rPr>
          <w:rFonts w:ascii="Arial" w:cs="Arial" w:eastAsia="Arial" w:hAnsi="Arial"/>
          <w:sz w:val="16"/>
          <w:szCs w:val="16"/>
          <w:color w:val="auto"/>
        </w:rPr>
      </w:pPr>
    </w:p>
    <w:p>
      <w:pPr>
        <w:ind w:firstLine="444"/>
        <w:spacing w:after="0" w:line="264" w:lineRule="auto"/>
        <w:tabs>
          <w:tab w:leader="none" w:pos="79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73" w:lineRule="exact"/>
        <w:rPr>
          <w:rFonts w:ascii="Arial" w:cs="Arial" w:eastAsia="Arial" w:hAnsi="Arial"/>
          <w:sz w:val="18"/>
          <w:szCs w:val="18"/>
          <w:color w:val="auto"/>
        </w:rPr>
      </w:pPr>
    </w:p>
    <w:p>
      <w:pPr>
        <w:ind w:firstLine="444"/>
        <w:spacing w:after="0" w:line="269" w:lineRule="auto"/>
        <w:tabs>
          <w:tab w:leader="none" w:pos="83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or (B) the ability of the Company to consummate the transactions contemplated by this Agreement or perform its obligations hereunder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is material, individually or in the aggregate, to the Company, and has not entered into any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on any class of capital stock, or any repurchase or redemption by the Company of any class of capital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ind w:left="-4" w:firstLine="444"/>
        <w:spacing w:after="0" w:line="255" w:lineRule="auto"/>
        <w:tabs>
          <w:tab w:leader="none" w:pos="787"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Accountants</w:t>
      </w:r>
      <w:r>
        <w:rPr>
          <w:rFonts w:ascii="Arial" w:cs="Arial" w:eastAsia="Arial" w:hAnsi="Arial"/>
          <w:sz w:val="18"/>
          <w:szCs w:val="18"/>
          <w:color w:val="auto"/>
        </w:rPr>
        <w:t>. Ernst &amp; Young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Exchange Act,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85" w:lineRule="exact"/>
        <w:rPr>
          <w:rFonts w:ascii="Arial" w:cs="Arial" w:eastAsia="Arial" w:hAnsi="Arial"/>
          <w:sz w:val="18"/>
          <w:szCs w:val="18"/>
          <w:color w:val="auto"/>
        </w:rPr>
      </w:pPr>
    </w:p>
    <w:p>
      <w:pPr>
        <w:ind w:left="-4" w:firstLine="444"/>
        <w:spacing w:after="0" w:line="268" w:lineRule="auto"/>
        <w:tabs>
          <w:tab w:leader="none" w:pos="877"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filed with the Commission as a part of the Registration Statement and the Prospectus present fairly the consolidated financial position of the Company as of the dates indicated and the results of its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79" w:lineRule="exact"/>
        <w:rPr>
          <w:rFonts w:ascii="Arial" w:cs="Arial" w:eastAsia="Arial" w:hAnsi="Arial"/>
          <w:sz w:val="17"/>
          <w:szCs w:val="17"/>
          <w:color w:val="auto"/>
        </w:rPr>
      </w:pPr>
    </w:p>
    <w:p>
      <w:pPr>
        <w:ind w:left="-4" w:firstLine="444"/>
        <w:spacing w:after="0" w:line="291" w:lineRule="auto"/>
        <w:tabs>
          <w:tab w:leader="none" w:pos="827"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makes and keeps accurate books and records and maintains a system of internal accounting controls sufficient to provide reasonable assurance that: (i) transactions are executed in accordance with management’s general or specific authorization;</w:t>
      </w:r>
    </w:p>
    <w:p>
      <w:pPr>
        <w:ind w:left="-4" w:firstLine="4"/>
        <w:spacing w:after="0" w:line="270" w:lineRule="auto"/>
        <w:tabs>
          <w:tab w:leader="none" w:pos="261"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70" w:lineRule="exact"/>
        <w:rPr>
          <w:rFonts w:ascii="Arial" w:cs="Arial" w:eastAsia="Arial" w:hAnsi="Arial"/>
          <w:sz w:val="17"/>
          <w:szCs w:val="17"/>
          <w:color w:val="auto"/>
        </w:rPr>
      </w:pPr>
    </w:p>
    <w:p>
      <w:pPr>
        <w:ind w:left="-4" w:firstLine="444"/>
        <w:spacing w:after="0" w:line="264" w:lineRule="auto"/>
        <w:tabs>
          <w:tab w:leader="none" w:pos="827"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Incorporation and Good Standing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76"/>
          </w:cols>
          <w:pgMar w:left="444" w:top="274" w:right="479" w:bottom="1440" w:gutter="0" w:footer="0" w:header="0"/>
        </w:sectPr>
      </w:pPr>
    </w:p>
    <w:bookmarkStart w:id="10" w:name="page11"/>
    <w:bookmarkEnd w:id="10"/>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and to enter into and perform its obligations under this Agreement. The Company is duly qualified as a foreign corporation to transact business and is in good standing in the State of Delaware and each other jurisdiction in which such qualification is required, whether by reason of the ownership or leasing of property or the conduct of business.</w:t>
      </w:r>
    </w:p>
    <w:p>
      <w:pPr>
        <w:spacing w:after="0" w:line="73" w:lineRule="exact"/>
        <w:rPr>
          <w:sz w:val="20"/>
          <w:szCs w:val="20"/>
          <w:color w:val="auto"/>
        </w:rPr>
      </w:pPr>
    </w:p>
    <w:p>
      <w:pPr>
        <w:ind w:left="840" w:hanging="396"/>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The Company has no subsidiaries (as defined in Rule 405 under the Securities Act).</w:t>
      </w:r>
    </w:p>
    <w:p>
      <w:pPr>
        <w:spacing w:after="0" w:line="117" w:lineRule="exact"/>
        <w:rPr>
          <w:rFonts w:ascii="Arial" w:cs="Arial" w:eastAsia="Arial" w:hAnsi="Arial"/>
          <w:sz w:val="18"/>
          <w:szCs w:val="18"/>
          <w:color w:val="auto"/>
        </w:rPr>
      </w:pPr>
    </w:p>
    <w:p>
      <w:pPr>
        <w:ind w:right="20" w:firstLine="444"/>
        <w:spacing w:after="0" w:line="287" w:lineRule="auto"/>
        <w:tabs>
          <w:tab w:leader="none" w:pos="83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Matters</w:t>
      </w:r>
      <w:r>
        <w:rPr>
          <w:rFonts w:ascii="Arial" w:cs="Arial" w:eastAsia="Arial" w:hAnsi="Arial"/>
          <w:sz w:val="16"/>
          <w:szCs w:val="16"/>
          <w:color w:val="auto"/>
        </w:rPr>
        <w:t>. The authorized, issued and outstanding capital stock of the Company is as set forth in the Registration Statement and the Prospectus under the caption “Capitalization”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64" w:lineRule="exact"/>
        <w:rPr>
          <w:rFonts w:ascii="Arial" w:cs="Arial" w:eastAsia="Arial" w:hAnsi="Arial"/>
          <w:sz w:val="16"/>
          <w:szCs w:val="16"/>
          <w:color w:val="auto"/>
        </w:rPr>
      </w:pPr>
    </w:p>
    <w:p>
      <w:pPr>
        <w:ind w:right="20" w:firstLine="444"/>
        <w:spacing w:after="0" w:line="25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80" w:lineRule="exact"/>
        <w:rPr>
          <w:rFonts w:ascii="Arial" w:cs="Arial" w:eastAsia="Arial" w:hAnsi="Arial"/>
          <w:sz w:val="18"/>
          <w:szCs w:val="18"/>
          <w:color w:val="auto"/>
        </w:rPr>
      </w:pPr>
    </w:p>
    <w:p>
      <w:pPr>
        <w:ind w:firstLine="444"/>
        <w:spacing w:after="0" w:line="271" w:lineRule="auto"/>
        <w:tabs>
          <w:tab w:leader="none" w:pos="81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Non-Contravention of Existing Instruments; No Further Authorizations or Approvals Required</w:t>
      </w:r>
      <w:r>
        <w:rPr>
          <w:rFonts w:ascii="Arial" w:cs="Arial" w:eastAsia="Arial" w:hAnsi="Arial"/>
          <w:sz w:val="17"/>
          <w:szCs w:val="17"/>
          <w:color w:val="auto"/>
        </w:rPr>
        <w:t>. The Company is not in violation of its charter or by-laws, partnership agreement or operating agreement or similar organizational documents, as applicable, nor is it in default (or, with the giving of notice or lapse of time, would be in default) (“</w:t>
      </w:r>
      <w:r>
        <w:rPr>
          <w:rFonts w:ascii="Arial" w:cs="Arial" w:eastAsia="Arial" w:hAnsi="Arial"/>
          <w:sz w:val="17"/>
          <w:szCs w:val="17"/>
          <w:b w:val="1"/>
          <w:bCs w:val="1"/>
          <w:color w:val="auto"/>
        </w:rPr>
        <w:t>Default</w:t>
      </w:r>
      <w:r>
        <w:rPr>
          <w:rFonts w:ascii="Arial" w:cs="Arial" w:eastAsia="Arial" w:hAnsi="Arial"/>
          <w:sz w:val="17"/>
          <w:szCs w:val="17"/>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its properties or assets are subject (each, an “</w:t>
      </w:r>
      <w:r>
        <w:rPr>
          <w:rFonts w:ascii="Arial" w:cs="Arial" w:eastAsia="Arial" w:hAnsi="Arial"/>
          <w:sz w:val="17"/>
          <w:szCs w:val="17"/>
          <w:b w:val="1"/>
          <w:bCs w:val="1"/>
          <w:color w:val="auto"/>
        </w:rPr>
        <w:t>Existing Instrument</w:t>
      </w:r>
      <w:r>
        <w:rPr>
          <w:rFonts w:ascii="Arial" w:cs="Arial" w:eastAsia="Arial" w:hAnsi="Arial"/>
          <w:sz w:val="17"/>
          <w:szCs w:val="17"/>
          <w:color w:val="auto"/>
        </w:rPr>
        <w:t>”), except for such Defaults as could not be expected, individually or in the aggregate, to result in a Material Adverse Change. The Company’s execution, delivery and performance of this Agreement, consummation of the transactions contemplated hereby and by the Registration Statement and the Prospectus and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61" w:lineRule="exact"/>
        <w:rPr>
          <w:sz w:val="20"/>
          <w:szCs w:val="20"/>
          <w:color w:val="auto"/>
        </w:rPr>
      </w:pPr>
    </w:p>
    <w:p>
      <w:pPr>
        <w:ind w:right="160" w:firstLine="444"/>
        <w:spacing w:after="0" w:line="257" w:lineRule="auto"/>
        <w:tabs>
          <w:tab w:leader="none" w:pos="79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Material Actions or Proceedings</w:t>
      </w:r>
      <w:r>
        <w:rPr>
          <w:rFonts w:ascii="Arial" w:cs="Arial" w:eastAsia="Arial" w:hAnsi="Arial"/>
          <w:sz w:val="18"/>
          <w:szCs w:val="18"/>
          <w:color w:val="auto"/>
        </w:rPr>
        <w:t>. Except as otherwise disclosed in the Prospectus, there is no action, suit, proceeding, inquiry or investigation brought by or before any legal or governmental entity now pending or, to the knowledge of the Company, threatened, against or affecting the Company, which could be expected, individually or in the aggregate, to result in a Material Adverse Change. No material labor dispute with the employees of the Company, or with the employees of any principal supplier, manufacturer, customer or contractor of the Company, exists or, to the knowledge of the Company, is threatened or imminent.</w:t>
      </w:r>
    </w:p>
    <w:p>
      <w:pPr>
        <w:spacing w:after="0" w:line="80" w:lineRule="exact"/>
        <w:rPr>
          <w:rFonts w:ascii="Arial" w:cs="Arial" w:eastAsia="Arial" w:hAnsi="Arial"/>
          <w:sz w:val="18"/>
          <w:szCs w:val="18"/>
          <w:color w:val="auto"/>
        </w:rPr>
      </w:pPr>
    </w:p>
    <w:p>
      <w:pPr>
        <w:ind w:firstLine="444"/>
        <w:spacing w:after="0" w:line="287" w:lineRule="auto"/>
        <w:tabs>
          <w:tab w:leader="none" w:pos="83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Except as otherwise disclosed in the Registration Statement or the Prospectus, the Company owns, or has obtained valid and enforceable licenses for, the inventions, patent applications, patents, trademarks, trade names, service names, copyrights, trade secrets and other intellectual property described in the Registration Statement and the Prospectus as being owned or licensed by it or which are necessary for the conduct of its business as currently conducted or as currently proposed to be conducted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and except as would not individually or in the aggregate reasonably be expected to have a Material Adverse Change, the conduct of its business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ind w:firstLine="4"/>
        <w:spacing w:after="0" w:line="285" w:lineRule="auto"/>
        <w:tabs>
          <w:tab w:leader="none" w:pos="285"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challenging the validity, enforceability or scope of any Intellectual Property, and the Company is unaware of any facts which would form a reasonable basis for any such action, suit, proceeding or claim; or (C) asserting that the Company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has complied with the terms of each agreement pursuant to which Intellectual Property has been licensed to the Company, and all such agreements are in full force and effect. To the Company’s knowledge, there are no material defects in any of the patents or patent applications included in the Intellectual Property. The Company has taken all reasonable steps to protect, maintain and safeguard its Intellectual Property, including the execution of appropriate nondisclosure, confidentiality agreements and invention assignment agreements and invention assignments with its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has been obtained or is being used by the Company in violation of any contractual obligation binding on the Company or any of its officers, directors or employees or otherwise in violation of the rights of any persons. The product candidates described in the Registration Statement and the Prospectus as under development by the Company fall within the scope of the claims of one or more patents owned by, or exclusively licensed to, the Company.</w:t>
      </w:r>
    </w:p>
    <w:p>
      <w:pPr>
        <w:spacing w:after="0" w:line="64" w:lineRule="exact"/>
        <w:rPr>
          <w:rFonts w:ascii="Arial" w:cs="Arial" w:eastAsia="Arial" w:hAnsi="Arial"/>
          <w:sz w:val="16"/>
          <w:szCs w:val="16"/>
          <w:color w:val="auto"/>
        </w:rPr>
      </w:pPr>
    </w:p>
    <w:p>
      <w:pPr>
        <w:ind w:right="260" w:firstLine="444"/>
        <w:spacing w:after="0" w:line="257" w:lineRule="auto"/>
        <w:tabs>
          <w:tab w:leader="none" w:pos="83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All Necessary Permits, etc</w:t>
      </w:r>
      <w:r>
        <w:rPr>
          <w:rFonts w:ascii="Arial" w:cs="Arial" w:eastAsia="Arial" w:hAnsi="Arial"/>
          <w:sz w:val="18"/>
          <w:szCs w:val="18"/>
          <w:color w:val="auto"/>
        </w:rPr>
        <w:t>. Except as otherwise disclosed in the Prospectus, the Company possess such valid and current certificates, authorizations or permits required by state, federal or foreign regulatory agencies or bodies to conduct its business as currently conducted and as described in the Registration Statement or the Prospectus (“</w:t>
      </w:r>
      <w:r>
        <w:rPr>
          <w:rFonts w:ascii="Arial" w:cs="Arial" w:eastAsia="Arial" w:hAnsi="Arial"/>
          <w:sz w:val="18"/>
          <w:szCs w:val="18"/>
          <w:b w:val="1"/>
          <w:bCs w:val="1"/>
          <w:color w:val="auto"/>
        </w:rPr>
        <w:t>Permits</w:t>
      </w:r>
      <w:r>
        <w:rPr>
          <w:rFonts w:ascii="Arial" w:cs="Arial" w:eastAsia="Arial" w:hAnsi="Arial"/>
          <w:sz w:val="18"/>
          <w:szCs w:val="18"/>
          <w:color w:val="auto"/>
        </w:rPr>
        <w:t>”). The Company is not in violation of, or in default under, any of the Permits nor has the Company received any notice of proceedings relating to the revocation or modification of, or non-compliance with, any such certificate, authorization or permit.</w:t>
      </w:r>
    </w:p>
    <w:p>
      <w:pPr>
        <w:spacing w:after="0" w:line="80" w:lineRule="exact"/>
        <w:rPr>
          <w:rFonts w:ascii="Arial" w:cs="Arial" w:eastAsia="Arial" w:hAnsi="Arial"/>
          <w:sz w:val="18"/>
          <w:szCs w:val="18"/>
          <w:color w:val="auto"/>
        </w:rPr>
      </w:pPr>
    </w:p>
    <w:p>
      <w:pPr>
        <w:ind w:right="360" w:firstLine="444"/>
        <w:spacing w:after="0" w:line="273" w:lineRule="auto"/>
        <w:tabs>
          <w:tab w:leader="none" w:pos="871"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Title to Properties</w:t>
      </w:r>
      <w:r>
        <w:rPr>
          <w:rFonts w:ascii="Arial" w:cs="Arial" w:eastAsia="Arial" w:hAnsi="Arial"/>
          <w:sz w:val="17"/>
          <w:szCs w:val="17"/>
          <w:color w:val="auto"/>
        </w:rPr>
        <w:t xml:space="preserve">. Except as otherwise disclosed in the Prospectus, the Company has good and marketable title to all of the real and personal property and other assets reflected as owned in the financial statements referred to in </w:t>
      </w:r>
      <w:r>
        <w:rPr>
          <w:rFonts w:ascii="Arial" w:cs="Arial" w:eastAsia="Arial" w:hAnsi="Arial"/>
          <w:sz w:val="17"/>
          <w:szCs w:val="17"/>
          <w:u w:val="single" w:color="auto"/>
          <w:color w:val="auto"/>
        </w:rPr>
        <w:t>Section 2(m)</w:t>
      </w:r>
      <w:r>
        <w:rPr>
          <w:rFonts w:ascii="Arial" w:cs="Arial" w:eastAsia="Arial" w:hAnsi="Arial"/>
          <w:sz w:val="17"/>
          <w:szCs w:val="17"/>
          <w:color w:val="auto"/>
        </w:rPr>
        <w:t xml:space="preserve">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are held under valid and enforceable leases, with such exceptions as are not material and do not materially interfere with the use made or proposed to be made of such real property, improvements, equipment or personal property by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 w:name="page14"/>
    <w:bookmarkEnd w:id="13"/>
    <w:p>
      <w:pPr>
        <w:ind w:left="-40" w:firstLine="444"/>
        <w:spacing w:after="0" w:line="276" w:lineRule="auto"/>
        <w:tabs>
          <w:tab w:leader="none" w:pos="79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Law Compliance</w:t>
      </w:r>
      <w:r>
        <w:rPr>
          <w:rFonts w:ascii="Arial" w:cs="Arial" w:eastAsia="Arial" w:hAnsi="Arial"/>
          <w:sz w:val="17"/>
          <w:szCs w:val="17"/>
          <w:color w:val="auto"/>
        </w:rPr>
        <w:t xml:space="preserve">. The Company has filed all necessary federal, state and foreign income and franchise tax returns or has properly requested extensions thereof and has paid all taxes required to be paid by it and, if due and payable, any related or similar assessment, fine or penalty levied against it except as may be being contested in good faith and by appropriate proceedings. The Company has made adequate charges, accruals and reserves in the applicable financial statements referred to in </w:t>
      </w:r>
      <w:r>
        <w:rPr>
          <w:rFonts w:ascii="Arial" w:cs="Arial" w:eastAsia="Arial" w:hAnsi="Arial"/>
          <w:sz w:val="17"/>
          <w:szCs w:val="17"/>
          <w:u w:val="single" w:color="auto"/>
          <w:color w:val="auto"/>
        </w:rPr>
        <w:t>Section 2(m)</w:t>
      </w:r>
      <w:r>
        <w:rPr>
          <w:rFonts w:ascii="Arial" w:cs="Arial" w:eastAsia="Arial" w:hAnsi="Arial"/>
          <w:sz w:val="17"/>
          <w:szCs w:val="17"/>
          <w:color w:val="auto"/>
        </w:rPr>
        <w:t xml:space="preserve"> above in respect of all federal, state and foreign income and franchise taxes for all periods as to which the tax liability of the Company has not been finally determined.</w:t>
      </w:r>
    </w:p>
    <w:p>
      <w:pPr>
        <w:spacing w:after="0" w:line="64" w:lineRule="exact"/>
        <w:rPr>
          <w:rFonts w:ascii="Arial" w:cs="Arial" w:eastAsia="Arial" w:hAnsi="Arial"/>
          <w:sz w:val="17"/>
          <w:szCs w:val="17"/>
          <w:color w:val="auto"/>
        </w:rPr>
      </w:pPr>
    </w:p>
    <w:p>
      <w:pPr>
        <w:ind w:left="-40" w:right="240" w:firstLine="444"/>
        <w:spacing w:after="0" w:line="286" w:lineRule="auto"/>
        <w:tabs>
          <w:tab w:leader="none" w:pos="79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Company Not an “Investment Company.”</w:t>
      </w:r>
      <w:r>
        <w:rPr>
          <w:rFonts w:ascii="Arial" w:cs="Arial" w:eastAsia="Arial" w:hAnsi="Arial"/>
          <w:sz w:val="17"/>
          <w:szCs w:val="17"/>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0" w:right="100" w:firstLine="444"/>
        <w:spacing w:after="0" w:line="272"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Except as otherwise disclosed in the Prospectus, the Company is insured by recognized, financially sound and reputable institutions with policies in such amounts and with such deductibles and covering such risks as are generally deemed adequate and customary for its business including, but not limited to, policies covering real and personal property owned or leased by the Company against theft, damage, destruction, acts of vandalism and earthquakes.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The Company has not been denied any insurance coverage which it has sought or for which it has applied.</w:t>
      </w:r>
    </w:p>
    <w:p>
      <w:pPr>
        <w:spacing w:after="0" w:line="70" w:lineRule="exact"/>
        <w:rPr>
          <w:sz w:val="20"/>
          <w:szCs w:val="20"/>
          <w:color w:val="auto"/>
        </w:rPr>
      </w:pPr>
    </w:p>
    <w:p>
      <w:pPr>
        <w:ind w:left="-40" w:right="20" w:firstLine="444"/>
        <w:spacing w:after="0" w:line="279"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 Price Stabilization or Manipulation; Compliance with Regulation M</w:t>
      </w:r>
      <w:r>
        <w:rPr>
          <w:rFonts w:ascii="Arial" w:cs="Arial" w:eastAsia="Arial" w:hAnsi="Arial"/>
          <w:sz w:val="17"/>
          <w:szCs w:val="17"/>
          <w:color w:val="auto"/>
        </w:rPr>
        <w:t>. The Company has not taken, directly or indirectly, any action designed to or that might cause or result in stabilization or manipulation of the price of the Common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Common Shares, whether to facilitate the sale or resale of the Shares or otherwise, and has taken no action which would directly or indirectly violate Regulation M.</w:t>
      </w:r>
    </w:p>
    <w:p>
      <w:pPr>
        <w:spacing w:after="0" w:line="63" w:lineRule="exact"/>
        <w:rPr>
          <w:rFonts w:ascii="Arial" w:cs="Arial" w:eastAsia="Arial" w:hAnsi="Arial"/>
          <w:sz w:val="17"/>
          <w:szCs w:val="17"/>
          <w:color w:val="auto"/>
        </w:rPr>
      </w:pPr>
    </w:p>
    <w:p>
      <w:pPr>
        <w:ind w:left="-40" w:right="280" w:firstLine="444"/>
        <w:spacing w:after="0" w:line="277" w:lineRule="auto"/>
        <w:tabs>
          <w:tab w:leader="none" w:pos="88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related-party transactions involving the Company or any other person required to be described in the Registration Statement or the Prospectus which have not been described as required.</w:t>
      </w:r>
    </w:p>
    <w:p>
      <w:pPr>
        <w:spacing w:after="0" w:line="62" w:lineRule="exact"/>
        <w:rPr>
          <w:rFonts w:ascii="Arial" w:cs="Arial" w:eastAsia="Arial" w:hAnsi="Arial"/>
          <w:sz w:val="18"/>
          <w:szCs w:val="18"/>
          <w:color w:val="auto"/>
        </w:rPr>
      </w:pPr>
    </w:p>
    <w:p>
      <w:pPr>
        <w:ind w:left="-40" w:firstLine="444"/>
        <w:spacing w:after="0" w:line="293"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FINRA Matters</w:t>
      </w:r>
      <w:r>
        <w:rPr>
          <w:rFonts w:ascii="Arial" w:cs="Arial" w:eastAsia="Arial" w:hAnsi="Arial"/>
          <w:sz w:val="16"/>
          <w:szCs w:val="16"/>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Arial" w:cs="Arial" w:eastAsia="Arial" w:hAnsi="Arial"/>
          <w:sz w:val="16"/>
          <w:szCs w:val="16"/>
          <w:b w:val="1"/>
          <w:bCs w:val="1"/>
          <w:color w:val="auto"/>
        </w:rPr>
        <w:t>FINRA</w:t>
      </w:r>
      <w:r>
        <w:rPr>
          <w:rFonts w:ascii="Arial" w:cs="Arial" w:eastAsia="Arial" w:hAnsi="Arial"/>
          <w:sz w:val="16"/>
          <w:szCs w:val="16"/>
          <w:color w:val="auto"/>
        </w:rPr>
        <w:t>”) rules and any letters, filings or other supplemental information provided to FINRA pursuant to FINRA Rules or NASD Conduct Rules is true, complete and correct. No relationship, direct or indirect, exists between or among the Company, or any affiliate of the Company, on the one hand, and the directors, officers, stockholders or directors of the Company that is required by the rules of FINRA to be described in the Registration Statement and the Prospectus that is not so described.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80" w:top="274" w:right="459" w:bottom="1440" w:gutter="0" w:footer="0" w:header="0"/>
        </w:sectPr>
      </w:pPr>
    </w:p>
    <w:bookmarkStart w:id="14" w:name="page15"/>
    <w:bookmarkEnd w:id="14"/>
    <w:p>
      <w:pPr>
        <w:ind w:left="-4" w:right="40" w:firstLine="444"/>
        <w:spacing w:after="0" w:line="312" w:lineRule="auto"/>
        <w:tabs>
          <w:tab w:leader="none" w:pos="91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Unlawful Contributions or Other Payments</w:t>
      </w:r>
      <w:r>
        <w:rPr>
          <w:rFonts w:ascii="Arial" w:cs="Arial" w:eastAsia="Arial" w:hAnsi="Arial"/>
          <w:sz w:val="16"/>
          <w:szCs w:val="16"/>
          <w:color w:val="auto"/>
        </w:rPr>
        <w:t>. Except as otherwise disclosed in the Prospectus, neither the Company nor, to the best of the Company’s knowledge, any employee or agent of the Company, has made any contribution or other payment to any official of, or candidate for, any federal, state or foreign office in violation of any law or of the character required to be disclosed in the Registration Statement and the Prospectus.</w:t>
      </w:r>
    </w:p>
    <w:p>
      <w:pPr>
        <w:spacing w:after="0" w:line="38" w:lineRule="exact"/>
        <w:rPr>
          <w:rFonts w:ascii="Arial" w:cs="Arial" w:eastAsia="Arial" w:hAnsi="Arial"/>
          <w:sz w:val="16"/>
          <w:szCs w:val="16"/>
          <w:color w:val="auto"/>
        </w:rPr>
      </w:pPr>
    </w:p>
    <w:p>
      <w:pPr>
        <w:ind w:left="-4" w:firstLine="444"/>
        <w:spacing w:after="0" w:line="283" w:lineRule="auto"/>
        <w:tabs>
          <w:tab w:leader="none" w:pos="896"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Except as described in the Prospectus and except as could not be expected, individually or in the aggregate, to result in a Material Adverse Change, (i) the Company is not, and has not received written notice from any governmental agency or body claiming that it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has all permits, authorizations and approvals required under any applicable Environmental Laws and is in compliance with their requirements, (iii) there are no pending or threatened administrative, regulatory or judicial actions, suits, demands, demand letters, claims, liens, notices of noncompliance or violation, or to the Company’s knowledge, investigation or proceedings relating to any Environmental Law against the Company, (iv) there are no events or circumstances that might reasonably be expected to form the basis of an order for clean-up or remediation, or an action, suit or proceeding by any private party or governmental body or agency, against or affecting the Company relating to Hazardous Materials or any Environmental Laws and</w:t>
      </w:r>
    </w:p>
    <w:p>
      <w:pPr>
        <w:spacing w:after="0" w:line="3" w:lineRule="exact"/>
        <w:rPr>
          <w:rFonts w:ascii="Arial" w:cs="Arial" w:eastAsia="Arial" w:hAnsi="Arial"/>
          <w:sz w:val="16"/>
          <w:szCs w:val="16"/>
          <w:color w:val="auto"/>
        </w:rPr>
      </w:pPr>
    </w:p>
    <w:p>
      <w:pPr>
        <w:ind w:left="-4" w:right="80" w:firstLine="4"/>
        <w:spacing w:after="0" w:line="255" w:lineRule="auto"/>
        <w:tabs>
          <w:tab w:leader="none" w:pos="2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facts or circumstances have come to the Company’s attention that could result in costs or liabilities associated with the effect of Environmental Laws on the business, operations and properties of the Company that could be expected, individually or in the aggregate, to result in a Material Adverse Change.</w:t>
      </w:r>
    </w:p>
    <w:p>
      <w:pPr>
        <w:spacing w:after="0" w:line="82" w:lineRule="exact"/>
        <w:rPr>
          <w:rFonts w:ascii="Arial" w:cs="Arial" w:eastAsia="Arial" w:hAnsi="Arial"/>
          <w:sz w:val="18"/>
          <w:szCs w:val="18"/>
          <w:color w:val="auto"/>
        </w:rPr>
      </w:pPr>
    </w:p>
    <w:p>
      <w:pPr>
        <w:ind w:left="-4" w:right="120" w:firstLine="444"/>
        <w:spacing w:after="0" w:line="287" w:lineRule="auto"/>
        <w:tabs>
          <w:tab w:leader="none" w:pos="853"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The Company and any “employee benefit plan” (as defined under the Employee 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or its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0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16"/>
          </w:cols>
          <w:pgMar w:left="444" w:top="274" w:right="439" w:bottom="1440" w:gutter="0" w:footer="0" w:header="0"/>
        </w:sectPr>
      </w:pPr>
    </w:p>
    <w:bookmarkStart w:id="15" w:name="page16"/>
    <w:bookmarkEnd w:id="15"/>
    <w:p>
      <w:pPr>
        <w:ind w:right="640" w:firstLine="444"/>
        <w:spacing w:after="0" w:line="342" w:lineRule="auto"/>
        <w:tabs>
          <w:tab w:leader="none" w:pos="921"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Brokers</w:t>
      </w:r>
      <w:r>
        <w:rPr>
          <w:rFonts w:ascii="Arial" w:cs="Arial" w:eastAsia="Arial" w:hAnsi="Arial"/>
          <w:sz w:val="16"/>
          <w:szCs w:val="16"/>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5" w:lineRule="exact"/>
        <w:rPr>
          <w:rFonts w:ascii="Arial" w:cs="Arial" w:eastAsia="Arial" w:hAnsi="Arial"/>
          <w:sz w:val="16"/>
          <w:szCs w:val="16"/>
          <w:color w:val="auto"/>
        </w:rPr>
      </w:pPr>
    </w:p>
    <w:p>
      <w:pPr>
        <w:jc w:val="both"/>
        <w:ind w:right="360" w:firstLine="444"/>
        <w:spacing w:after="0" w:line="264" w:lineRule="auto"/>
        <w:tabs>
          <w:tab w:leader="none" w:pos="921"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73" w:lineRule="exact"/>
        <w:rPr>
          <w:rFonts w:ascii="Arial" w:cs="Arial" w:eastAsia="Arial" w:hAnsi="Arial"/>
          <w:sz w:val="18"/>
          <w:szCs w:val="18"/>
          <w:color w:val="auto"/>
        </w:rPr>
      </w:pPr>
    </w:p>
    <w:p>
      <w:pPr>
        <w:ind w:right="100" w:firstLine="444"/>
        <w:spacing w:after="0" w:line="277" w:lineRule="auto"/>
        <w:tabs>
          <w:tab w:leader="none" w:pos="841"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has been and is in compliance with all applicable laws, rules and regulations, except where failure to be so in compliance could not be expected, individually or in the aggregate, to result in a Material Adverse Change.</w:t>
      </w:r>
    </w:p>
    <w:p>
      <w:pPr>
        <w:spacing w:after="0" w:line="58" w:lineRule="exact"/>
        <w:rPr>
          <w:rFonts w:ascii="Arial" w:cs="Arial" w:eastAsia="Arial" w:hAnsi="Arial"/>
          <w:sz w:val="18"/>
          <w:szCs w:val="18"/>
          <w:color w:val="auto"/>
        </w:rPr>
      </w:pPr>
    </w:p>
    <w:p>
      <w:pPr>
        <w:ind w:right="120" w:firstLine="444"/>
        <w:spacing w:after="0" w:line="293" w:lineRule="auto"/>
        <w:tabs>
          <w:tab w:leader="none" w:pos="841"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Anti-Corruption and Anti-Bribery Laws</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the Company nor any director, officer, or employee of the Company, nor to the knowledge of the Company, any agent, affiliate or other person acting on behalf of the Company has, in the course of its actions for, or on behalf of, the Company</w:t>
      </w:r>
    </w:p>
    <w:p>
      <w:pPr>
        <w:spacing w:after="0" w:line="1" w:lineRule="exact"/>
        <w:rPr>
          <w:rFonts w:ascii="Arial" w:cs="Arial" w:eastAsia="Arial" w:hAnsi="Arial"/>
          <w:sz w:val="16"/>
          <w:szCs w:val="16"/>
          <w:color w:val="auto"/>
        </w:rPr>
      </w:pPr>
    </w:p>
    <w:p>
      <w:pPr>
        <w:ind w:right="40" w:firstLine="4"/>
        <w:spacing w:after="0" w:line="287"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62" w:lineRule="exact"/>
        <w:rPr>
          <w:rFonts w:ascii="Arial" w:cs="Arial" w:eastAsia="Arial" w:hAnsi="Arial"/>
          <w:sz w:val="16"/>
          <w:szCs w:val="16"/>
          <w:color w:val="auto"/>
        </w:rPr>
      </w:pPr>
    </w:p>
    <w:p>
      <w:pPr>
        <w:ind w:right="20" w:firstLine="444"/>
        <w:spacing w:after="0" w:line="255" w:lineRule="auto"/>
        <w:tabs>
          <w:tab w:leader="none" w:pos="921"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85" w:lineRule="exact"/>
        <w:rPr>
          <w:rFonts w:ascii="Arial" w:cs="Arial" w:eastAsia="Arial" w:hAnsi="Arial"/>
          <w:sz w:val="18"/>
          <w:szCs w:val="18"/>
          <w:color w:val="auto"/>
        </w:rPr>
      </w:pPr>
    </w:p>
    <w:p>
      <w:pPr>
        <w:ind w:firstLine="444"/>
        <w:spacing w:after="0" w:line="342" w:lineRule="auto"/>
        <w:tabs>
          <w:tab w:leader="none" w:pos="841"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xml:space="preserve"> Neither the Company nor any of its directors, officers, or employees, nor, to the knowledge of the Company, after due inquiry, any agent, affiliate or other person acting on behalf of the Company is currently the subject or the target of any U.S. sanctions administered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6" w:name="page17"/>
    <w:bookmarkEnd w:id="1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has not knowingly engaged in and is not now knowingly engaged in any dealings or transactions with any person that at the time of the dealing or transaction is or was the subject or the target of Sanctions or with any Sanctioned Country.</w:t>
      </w:r>
    </w:p>
    <w:p>
      <w:pPr>
        <w:spacing w:after="0" w:line="56" w:lineRule="exact"/>
        <w:rPr>
          <w:sz w:val="20"/>
          <w:szCs w:val="20"/>
          <w:color w:val="auto"/>
        </w:rPr>
      </w:pPr>
    </w:p>
    <w:p>
      <w:pPr>
        <w:ind w:right="20" w:firstLine="444"/>
        <w:spacing w:after="0" w:line="277" w:lineRule="auto"/>
        <w:tabs>
          <w:tab w:leader="none" w:pos="102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applicable provisions of the Sarbanes-Oxley Act of 2002 and the rules and regulations promulgated thereunder.</w:t>
      </w:r>
    </w:p>
    <w:p>
      <w:pPr>
        <w:spacing w:after="0" w:line="62" w:lineRule="exact"/>
        <w:rPr>
          <w:rFonts w:ascii="Arial" w:cs="Arial" w:eastAsia="Arial" w:hAnsi="Arial"/>
          <w:sz w:val="18"/>
          <w:szCs w:val="18"/>
          <w:color w:val="auto"/>
        </w:rPr>
      </w:pPr>
    </w:p>
    <w:p>
      <w:pPr>
        <w:ind w:right="140" w:firstLine="444"/>
        <w:spacing w:after="0" w:line="286" w:lineRule="auto"/>
        <w:tabs>
          <w:tab w:leader="none" w:pos="92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Duties, Transfer Taxes, Etc</w:t>
      </w:r>
      <w:r>
        <w:rPr>
          <w:rFonts w:ascii="Arial" w:cs="Arial" w:eastAsia="Arial" w:hAnsi="Arial"/>
          <w:sz w:val="17"/>
          <w:szCs w:val="17"/>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57" w:lineRule="exact"/>
        <w:rPr>
          <w:rFonts w:ascii="Arial" w:cs="Arial" w:eastAsia="Arial" w:hAnsi="Arial"/>
          <w:sz w:val="17"/>
          <w:szCs w:val="17"/>
          <w:color w:val="auto"/>
        </w:rPr>
      </w:pPr>
    </w:p>
    <w:p>
      <w:pPr>
        <w:ind w:firstLine="444"/>
        <w:spacing w:after="0" w:line="268" w:lineRule="auto"/>
        <w:tabs>
          <w:tab w:leader="none" w:pos="92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The Company’s information technology assets and equipment, computers, systems, networks, hardware, software, websites, 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its business. “</w:t>
      </w:r>
      <w:r>
        <w:rPr>
          <w:rFonts w:ascii="Arial" w:cs="Arial" w:eastAsia="Arial" w:hAnsi="Arial"/>
          <w:sz w:val="17"/>
          <w:szCs w:val="17"/>
          <w:b w:val="1"/>
          <w:bCs w:val="1"/>
          <w:color w:val="auto"/>
        </w:rPr>
        <w:t>Personal Data</w:t>
      </w:r>
      <w:r>
        <w:rPr>
          <w:rFonts w:ascii="Arial" w:cs="Arial" w:eastAsia="Arial" w:hAnsi="Arial"/>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7"/>
          <w:szCs w:val="17"/>
          <w:b w:val="1"/>
          <w:bCs w:val="1"/>
          <w:color w:val="auto"/>
        </w:rPr>
        <w:t>HIPAA”</w:t>
      </w:r>
      <w:r>
        <w:rPr>
          <w:rFonts w:ascii="Arial" w:cs="Arial" w:eastAsia="Arial" w:hAnsi="Arial"/>
          <w:sz w:val="17"/>
          <w:szCs w:val="17"/>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17" w:name="page18"/>
    <w:bookmarkEnd w:id="1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79" w:lineRule="exact"/>
        <w:rPr>
          <w:sz w:val="20"/>
          <w:szCs w:val="20"/>
          <w:color w:val="auto"/>
        </w:rPr>
      </w:pPr>
    </w:p>
    <w:p>
      <w:pPr>
        <w:ind w:firstLine="444"/>
        <w:spacing w:after="0" w:line="287" w:lineRule="auto"/>
        <w:tabs>
          <w:tab w:leader="none" w:pos="92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The Company is, and at all prior times was, in material compliance with all applicable state and federal data privacy and security laws and regulations, including without limitation HIPAA, and the Company has taken commercially reasonable actions to prepare to comply with, and since May 25, 2018, has been and currently is in compliance with, the European Union General Data Protection Regulation (“</w:t>
      </w:r>
      <w:r>
        <w:rPr>
          <w:rFonts w:ascii="Arial" w:cs="Arial" w:eastAsia="Arial" w:hAnsi="Arial"/>
          <w:sz w:val="16"/>
          <w:szCs w:val="16"/>
          <w:b w:val="1"/>
          <w:bCs w:val="1"/>
          <w:color w:val="auto"/>
        </w:rPr>
        <w:t>GDPR</w:t>
      </w:r>
      <w:r>
        <w:rPr>
          <w:rFonts w:ascii="Arial" w:cs="Arial" w:eastAsia="Arial" w:hAnsi="Arial"/>
          <w:sz w:val="16"/>
          <w:szCs w:val="16"/>
          <w:color w:val="auto"/>
        </w:rPr>
        <w:t>”) (EU 2016/679)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To ensure compliance with the Privacy Laws, the Company has in place,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has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it: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not a party to any order, decree, or agreement that imposes any obligation or liability under any Privacy Law.</w:t>
      </w:r>
    </w:p>
    <w:p>
      <w:pPr>
        <w:spacing w:after="0" w:line="60" w:lineRule="exact"/>
        <w:rPr>
          <w:rFonts w:ascii="Arial" w:cs="Arial" w:eastAsia="Arial" w:hAnsi="Arial"/>
          <w:sz w:val="16"/>
          <w:szCs w:val="16"/>
          <w:color w:val="auto"/>
        </w:rPr>
      </w:pPr>
    </w:p>
    <w:p>
      <w:pPr>
        <w:ind w:right="160" w:firstLine="444"/>
        <w:spacing w:after="0" w:line="277" w:lineRule="auto"/>
        <w:tabs>
          <w:tab w:leader="none" w:pos="9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Underwriting Agreements. The Company is not a party to any agreement with an agent or underwriter for any other “at the market” or continuous equity transaction.</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Any certificate signed by any officer or representative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181"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right="60" w:firstLine="444"/>
        <w:spacing w:after="0" w:line="25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ind w:left="836" w:hanging="396"/>
        <w:spacing w:after="0"/>
        <w:tabs>
          <w:tab w:leader="none" w:pos="83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Mechanics of Issuances</w:t>
      </w:r>
      <w:r>
        <w:rPr>
          <w:rFonts w:ascii="Arial" w:cs="Arial" w:eastAsia="Arial" w:hAnsi="Arial"/>
          <w:sz w:val="18"/>
          <w:szCs w:val="18"/>
          <w:color w:val="auto"/>
        </w:rPr>
        <w:t>.</w:t>
      </w:r>
    </w:p>
    <w:p>
      <w:pPr>
        <w:spacing w:after="0" w:line="117" w:lineRule="exact"/>
        <w:rPr>
          <w:sz w:val="20"/>
          <w:szCs w:val="20"/>
          <w:color w:val="auto"/>
        </w:rPr>
      </w:pPr>
    </w:p>
    <w:p>
      <w:pPr>
        <w:jc w:val="both"/>
        <w:ind w:left="-4" w:right="220" w:firstLine="444"/>
        <w:spacing w:after="0" w:line="288" w:lineRule="auto"/>
        <w:tabs>
          <w:tab w:leader="none" w:pos="787"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w:t>
      </w:r>
    </w:p>
    <w:p>
      <w:pPr>
        <w:ind w:left="-4" w:right="120" w:firstLine="4"/>
        <w:spacing w:after="0" w:line="252" w:lineRule="auto"/>
        <w:tabs>
          <w:tab w:leader="none" w:pos="2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86" w:lineRule="exact"/>
        <w:rPr>
          <w:rFonts w:ascii="Arial" w:cs="Arial" w:eastAsia="Arial" w:hAnsi="Arial"/>
          <w:sz w:val="18"/>
          <w:szCs w:val="18"/>
          <w:color w:val="auto"/>
        </w:rPr>
      </w:pPr>
    </w:p>
    <w:p>
      <w:pPr>
        <w:ind w:left="-4" w:firstLine="444"/>
        <w:spacing w:after="0" w:line="297" w:lineRule="auto"/>
        <w:tabs>
          <w:tab w:leader="none" w:pos="837"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0" w:lineRule="exact"/>
        <w:rPr>
          <w:rFonts w:ascii="Arial" w:cs="Arial" w:eastAsia="Arial" w:hAnsi="Arial"/>
          <w:sz w:val="16"/>
          <w:szCs w:val="16"/>
          <w:color w:val="auto"/>
        </w:rPr>
      </w:pPr>
    </w:p>
    <w:p>
      <w:pPr>
        <w:ind w:left="896" w:hanging="456"/>
        <w:spacing w:after="0"/>
        <w:tabs>
          <w:tab w:leader="none" w:pos="896"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ind w:left="-4" w:right="100" w:firstLine="4"/>
        <w:spacing w:after="0" w:line="295" w:lineRule="auto"/>
        <w:tabs>
          <w:tab w:leader="none" w:pos="2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53" w:lineRule="exact"/>
        <w:rPr>
          <w:rFonts w:ascii="Arial" w:cs="Arial" w:eastAsia="Arial" w:hAnsi="Arial"/>
          <w:sz w:val="16"/>
          <w:szCs w:val="16"/>
          <w:color w:val="auto"/>
        </w:rPr>
      </w:pPr>
    </w:p>
    <w:p>
      <w:pPr>
        <w:jc w:val="both"/>
        <w:ind w:left="-4" w:right="60" w:firstLine="444"/>
        <w:spacing w:after="0" w:line="286" w:lineRule="auto"/>
        <w:tabs>
          <w:tab w:leader="none" w:pos="877"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7" w:lineRule="exact"/>
        <w:rPr>
          <w:rFonts w:ascii="Arial" w:cs="Arial" w:eastAsia="Arial" w:hAnsi="Arial"/>
          <w:sz w:val="17"/>
          <w:szCs w:val="17"/>
          <w:color w:val="auto"/>
        </w:rPr>
      </w:pPr>
    </w:p>
    <w:p>
      <w:pPr>
        <w:ind w:left="-4" w:right="60" w:firstLine="444"/>
        <w:spacing w:after="0" w:line="264" w:lineRule="auto"/>
        <w:tabs>
          <w:tab w:leader="none" w:pos="82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96"/>
          </w:cols>
          <w:pgMar w:left="444" w:top="274" w:right="459" w:bottom="1440" w:gutter="0" w:footer="0" w:header="0"/>
        </w:sectPr>
      </w:pPr>
    </w:p>
    <w:bookmarkStart w:id="19" w:name="page20"/>
    <w:bookmarkEnd w:id="19"/>
    <w:p>
      <w:pPr>
        <w:jc w:val="both"/>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80" w:lineRule="exact"/>
        <w:rPr>
          <w:sz w:val="20"/>
          <w:szCs w:val="20"/>
          <w:color w:val="auto"/>
        </w:rPr>
      </w:pPr>
    </w:p>
    <w:p>
      <w:pPr>
        <w:ind w:firstLine="444"/>
        <w:spacing w:after="0" w:line="287"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right="20" w:firstLine="444"/>
        <w:spacing w:after="0" w:line="259"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8" w:lineRule="exact"/>
        <w:rPr>
          <w:rFonts w:ascii="Arial" w:cs="Arial" w:eastAsia="Arial" w:hAnsi="Arial"/>
          <w:sz w:val="18"/>
          <w:szCs w:val="18"/>
          <w:color w:val="auto"/>
        </w:rPr>
      </w:pPr>
    </w:p>
    <w:p>
      <w:pPr>
        <w:ind w:right="220" w:firstLine="44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73" w:lineRule="exact"/>
        <w:rPr>
          <w:sz w:val="20"/>
          <w:szCs w:val="20"/>
          <w:color w:val="auto"/>
        </w:rPr>
      </w:pPr>
    </w:p>
    <w:p>
      <w:pPr>
        <w:ind w:left="820" w:hanging="37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As compensation for services rendered, the Company shall pay to the Agent, on the applicable Settlement Date, the Selling</w:t>
      </w:r>
    </w:p>
    <w:p>
      <w:pPr>
        <w:spacing w:after="0" w:line="34"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75" w:lineRule="exact"/>
        <w:rPr>
          <w:rFonts w:ascii="Arial" w:cs="Arial" w:eastAsia="Arial" w:hAnsi="Arial"/>
          <w:sz w:val="17"/>
          <w:szCs w:val="17"/>
          <w:color w:val="auto"/>
        </w:rPr>
      </w:pPr>
    </w:p>
    <w:p>
      <w:pPr>
        <w:ind w:right="100" w:firstLine="444"/>
        <w:spacing w:after="0" w:line="259" w:lineRule="auto"/>
        <w:tabs>
          <w:tab w:leader="none" w:pos="83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$50,000 in connection with the first Issuance Notice and (B) $15,000 in connection with each Triggering Event Date (as defined below)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right="20" w:firstLine="444"/>
        <w:spacing w:after="0" w:line="25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 Supplement”)</w:t>
      </w:r>
      <w:r>
        <w:rPr>
          <w:rFonts w:ascii="Arial" w:cs="Arial" w:eastAsia="Arial" w:hAnsi="Arial"/>
          <w:sz w:val="18"/>
          <w:szCs w:val="18"/>
          <w:color w:val="auto"/>
        </w:rPr>
        <w:t>, such summary information and, at least once a quarter and subject to this Section 4, file such Interim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pursuant to Rule 424(b) under the Securities Act (and within the time periods required by Rule 424(b) and Rule 430B under the Securities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 w:name="page22"/>
    <w:bookmarkEnd w:id="21"/>
    <w:p>
      <w:pPr>
        <w:ind w:right="20" w:firstLine="444"/>
        <w:spacing w:after="0" w:line="269" w:lineRule="auto"/>
        <w:tabs>
          <w:tab w:leader="none" w:pos="83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Act Compliance</w:t>
      </w:r>
      <w:r>
        <w:rPr>
          <w:rFonts w:ascii="Arial" w:cs="Arial" w:eastAsia="Arial" w:hAnsi="Arial"/>
          <w:sz w:val="17"/>
          <w:szCs w:val="17"/>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71" w:lineRule="exact"/>
        <w:rPr>
          <w:rFonts w:ascii="Arial" w:cs="Arial" w:eastAsia="Arial" w:hAnsi="Arial"/>
          <w:sz w:val="17"/>
          <w:szCs w:val="17"/>
          <w:color w:val="auto"/>
        </w:rPr>
      </w:pPr>
    </w:p>
    <w:p>
      <w:pPr>
        <w:ind w:firstLine="444"/>
        <w:spacing w:after="0" w:line="288"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61" w:lineRule="exact"/>
        <w:rPr>
          <w:rFonts w:ascii="Arial" w:cs="Arial" w:eastAsia="Arial" w:hAnsi="Arial"/>
          <w:sz w:val="16"/>
          <w:szCs w:val="16"/>
          <w:color w:val="auto"/>
        </w:rPr>
      </w:pPr>
    </w:p>
    <w:p>
      <w:pPr>
        <w:ind w:right="100" w:firstLine="444"/>
        <w:spacing w:after="0" w:line="273" w:lineRule="auto"/>
        <w:tabs>
          <w:tab w:leader="none" w:pos="83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ind w:right="100" w:firstLine="444"/>
        <w:spacing w:after="0" w:line="259"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44"/>
        <w:spacing w:after="0" w:line="285"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69" w:lineRule="exact"/>
        <w:rPr>
          <w:rFonts w:ascii="Arial" w:cs="Arial" w:eastAsia="Arial" w:hAnsi="Arial"/>
          <w:sz w:val="16"/>
          <w:szCs w:val="16"/>
          <w:color w:val="auto"/>
        </w:rPr>
      </w:pPr>
    </w:p>
    <w:p>
      <w:pPr>
        <w:jc w:val="both"/>
        <w:ind w:right="180" w:firstLine="444"/>
        <w:spacing w:after="0" w:line="264"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to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73" w:lineRule="exact"/>
        <w:rPr>
          <w:rFonts w:ascii="Arial" w:cs="Arial" w:eastAsia="Arial" w:hAnsi="Arial"/>
          <w:sz w:val="18"/>
          <w:szCs w:val="18"/>
          <w:color w:val="auto"/>
        </w:rPr>
      </w:pPr>
    </w:p>
    <w:p>
      <w:pPr>
        <w:ind w:right="140" w:firstLine="444"/>
        <w:spacing w:after="0" w:line="286" w:lineRule="auto"/>
        <w:tabs>
          <w:tab w:leader="none" w:pos="83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65" w:lineRule="exact"/>
        <w:rPr>
          <w:sz w:val="20"/>
          <w:szCs w:val="20"/>
          <w:color w:val="auto"/>
        </w:rPr>
      </w:pPr>
    </w:p>
    <w:p>
      <w:pPr>
        <w:ind w:right="20" w:firstLine="444"/>
        <w:spacing w:after="0" w:line="253" w:lineRule="auto"/>
        <w:tabs>
          <w:tab w:leader="none" w:pos="79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Blue Sky Compliance</w:t>
      </w:r>
      <w:r>
        <w:rPr>
          <w:rFonts w:ascii="Arial" w:cs="Arial" w:eastAsia="Arial" w:hAnsi="Arial"/>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89" w:lineRule="exact"/>
        <w:rPr>
          <w:rFonts w:ascii="Arial" w:cs="Arial" w:eastAsia="Arial" w:hAnsi="Arial"/>
          <w:sz w:val="18"/>
          <w:szCs w:val="18"/>
          <w:color w:val="auto"/>
        </w:rPr>
      </w:pPr>
    </w:p>
    <w:p>
      <w:pPr>
        <w:ind w:right="60" w:firstLine="444"/>
        <w:spacing w:after="0" w:line="312" w:lineRule="auto"/>
        <w:tabs>
          <w:tab w:leader="none" w:pos="79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38" w:lineRule="exact"/>
        <w:rPr>
          <w:rFonts w:ascii="Arial" w:cs="Arial" w:eastAsia="Arial" w:hAnsi="Arial"/>
          <w:sz w:val="16"/>
          <w:szCs w:val="16"/>
          <w:color w:val="auto"/>
        </w:rPr>
      </w:pPr>
    </w:p>
    <w:p>
      <w:pPr>
        <w:ind w:right="180" w:firstLine="444"/>
        <w:spacing w:after="0" w:line="264" w:lineRule="auto"/>
        <w:tabs>
          <w:tab w:leader="none" w:pos="83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73" w:lineRule="exact"/>
        <w:rPr>
          <w:rFonts w:ascii="Arial" w:cs="Arial" w:eastAsia="Arial" w:hAnsi="Arial"/>
          <w:sz w:val="18"/>
          <w:szCs w:val="18"/>
          <w:color w:val="auto"/>
        </w:rPr>
      </w:pPr>
    </w:p>
    <w:p>
      <w:pPr>
        <w:ind w:left="800" w:hanging="35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 w:name="page25"/>
    <w:bookmarkEnd w:id="24"/>
    <w:p>
      <w:pPr>
        <w:jc w:val="both"/>
        <w:ind w:right="220" w:firstLine="444"/>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78" w:lineRule="exact"/>
        <w:rPr>
          <w:rFonts w:ascii="Arial" w:cs="Arial" w:eastAsia="Arial" w:hAnsi="Arial"/>
          <w:sz w:val="18"/>
          <w:szCs w:val="18"/>
          <w:color w:val="auto"/>
        </w:rPr>
      </w:pPr>
    </w:p>
    <w:p>
      <w:pPr>
        <w:ind w:right="40" w:firstLine="444"/>
        <w:spacing w:after="0" w:line="291" w:lineRule="auto"/>
        <w:tabs>
          <w:tab w:leader="none" w:pos="83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59" w:lineRule="exact"/>
        <w:rPr>
          <w:rFonts w:ascii="Arial" w:cs="Arial" w:eastAsia="Arial" w:hAnsi="Arial"/>
          <w:sz w:val="16"/>
          <w:szCs w:val="16"/>
          <w:color w:val="auto"/>
        </w:rPr>
      </w:pPr>
    </w:p>
    <w:p>
      <w:pPr>
        <w:ind w:right="60" w:firstLine="444"/>
        <w:spacing w:after="0" w:line="277"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62" w:lineRule="exact"/>
        <w:rPr>
          <w:rFonts w:ascii="Arial" w:cs="Arial" w:eastAsia="Arial" w:hAnsi="Arial"/>
          <w:sz w:val="18"/>
          <w:szCs w:val="18"/>
          <w:color w:val="auto"/>
        </w:rPr>
      </w:pPr>
    </w:p>
    <w:p>
      <w:pPr>
        <w:ind w:right="20" w:firstLine="996"/>
        <w:spacing w:after="0" w:line="312" w:lineRule="auto"/>
        <w:tabs>
          <w:tab w:leader="none" w:pos="128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38" w:lineRule="exact"/>
        <w:rPr>
          <w:rFonts w:ascii="Arial" w:cs="Arial" w:eastAsia="Arial" w:hAnsi="Arial"/>
          <w:sz w:val="16"/>
          <w:szCs w:val="16"/>
          <w:color w:val="auto"/>
        </w:rPr>
      </w:pPr>
    </w:p>
    <w:p>
      <w:pPr>
        <w:ind w:right="60" w:firstLine="996"/>
        <w:spacing w:after="0" w:line="264" w:lineRule="auto"/>
        <w:tabs>
          <w:tab w:leader="none" w:pos="12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73" w:lineRule="exact"/>
        <w:rPr>
          <w:rFonts w:ascii="Arial" w:cs="Arial" w:eastAsia="Arial" w:hAnsi="Arial"/>
          <w:sz w:val="18"/>
          <w:szCs w:val="18"/>
          <w:color w:val="auto"/>
        </w:rPr>
      </w:pPr>
    </w:p>
    <w:p>
      <w:pPr>
        <w:ind w:firstLine="996"/>
        <w:spacing w:after="0" w:line="289" w:lineRule="auto"/>
        <w:tabs>
          <w:tab w:leader="none" w:pos="12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5" w:name="page26"/>
    <w:bookmarkEnd w:id="2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71" w:lineRule="exact"/>
        <w:rPr>
          <w:sz w:val="20"/>
          <w:szCs w:val="20"/>
          <w:color w:val="auto"/>
        </w:rPr>
      </w:pPr>
    </w:p>
    <w:p>
      <w:pPr>
        <w:ind w:right="80" w:firstLine="444"/>
        <w:spacing w:after="0" w:line="290" w:lineRule="auto"/>
        <w:tabs>
          <w:tab w:leader="none" w:pos="83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Cooley LLP,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58" w:lineRule="exact"/>
        <w:rPr>
          <w:rFonts w:ascii="Arial" w:cs="Arial" w:eastAsia="Arial" w:hAnsi="Arial"/>
          <w:sz w:val="16"/>
          <w:szCs w:val="16"/>
          <w:color w:val="auto"/>
        </w:rPr>
      </w:pPr>
    </w:p>
    <w:p>
      <w:pPr>
        <w:ind w:firstLine="444"/>
        <w:spacing w:after="0" w:line="269" w:lineRule="auto"/>
        <w:tabs>
          <w:tab w:leader="none" w:pos="83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74" w:lineRule="exact"/>
        <w:rPr>
          <w:rFonts w:ascii="Arial" w:cs="Arial" w:eastAsia="Arial" w:hAnsi="Arial"/>
          <w:sz w:val="17"/>
          <w:szCs w:val="17"/>
          <w:color w:val="auto"/>
        </w:rPr>
      </w:pPr>
    </w:p>
    <w:p>
      <w:pPr>
        <w:ind w:right="100" w:firstLine="444"/>
        <w:spacing w:after="0" w:line="30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6" w:name="page27"/>
    <w:bookmarkEnd w:id="26"/>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w:t>
      </w:r>
    </w:p>
    <w:p>
      <w:pPr>
        <w:spacing w:after="0" w:line="2" w:lineRule="exact"/>
        <w:rPr>
          <w:sz w:val="20"/>
          <w:szCs w:val="20"/>
          <w:color w:val="auto"/>
        </w:rPr>
      </w:pPr>
    </w:p>
    <w:p>
      <w:pPr>
        <w:ind w:left="320" w:hanging="316"/>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containing any other certification that the Agent shall reasonably request.</w:t>
      </w:r>
    </w:p>
    <w:p>
      <w:pPr>
        <w:spacing w:after="0" w:line="102" w:lineRule="exact"/>
        <w:rPr>
          <w:rFonts w:ascii="Arial" w:cs="Arial" w:eastAsia="Arial" w:hAnsi="Arial"/>
          <w:sz w:val="18"/>
          <w:szCs w:val="18"/>
          <w:color w:val="auto"/>
        </w:rPr>
      </w:pPr>
    </w:p>
    <w:p>
      <w:pPr>
        <w:ind w:right="240" w:firstLine="444"/>
        <w:spacing w:after="0" w:line="342" w:lineRule="auto"/>
        <w:tabs>
          <w:tab w:leader="none" w:pos="811"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5" w:lineRule="exact"/>
        <w:rPr>
          <w:rFonts w:ascii="Arial" w:cs="Arial" w:eastAsia="Arial" w:hAnsi="Arial"/>
          <w:sz w:val="16"/>
          <w:szCs w:val="16"/>
          <w:color w:val="auto"/>
        </w:rPr>
      </w:pPr>
    </w:p>
    <w:p>
      <w:pPr>
        <w:ind w:right="160" w:firstLine="444"/>
        <w:spacing w:after="0" w:line="277" w:lineRule="auto"/>
        <w:tabs>
          <w:tab w:leader="none" w:pos="791"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Investment Limitation</w:t>
      </w:r>
      <w:r>
        <w:rPr>
          <w:rFonts w:ascii="Arial" w:cs="Arial" w:eastAsia="Arial" w:hAnsi="Arial"/>
          <w:sz w:val="18"/>
          <w:szCs w:val="18"/>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62" w:lineRule="exact"/>
        <w:rPr>
          <w:rFonts w:ascii="Arial" w:cs="Arial" w:eastAsia="Arial" w:hAnsi="Arial"/>
          <w:sz w:val="18"/>
          <w:szCs w:val="18"/>
          <w:color w:val="auto"/>
        </w:rPr>
      </w:pPr>
    </w:p>
    <w:p>
      <w:pPr>
        <w:ind w:right="80" w:firstLine="444"/>
        <w:spacing w:after="0" w:line="291" w:lineRule="auto"/>
        <w:tabs>
          <w:tab w:leader="none" w:pos="83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59" w:lineRule="exact"/>
        <w:rPr>
          <w:rFonts w:ascii="Arial" w:cs="Arial" w:eastAsia="Arial" w:hAnsi="Arial"/>
          <w:sz w:val="16"/>
          <w:szCs w:val="16"/>
          <w:color w:val="auto"/>
        </w:rPr>
      </w:pPr>
    </w:p>
    <w:p>
      <w:pPr>
        <w:ind w:firstLine="444"/>
        <w:spacing w:after="0" w:line="269" w:lineRule="auto"/>
        <w:tabs>
          <w:tab w:leader="none" w:pos="83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Notice of Other Sale</w:t>
      </w:r>
      <w:r>
        <w:rPr>
          <w:rFonts w:ascii="Arial" w:cs="Arial" w:eastAsia="Arial" w:hAnsi="Arial"/>
          <w:sz w:val="17"/>
          <w:szCs w:val="17"/>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as in effect on the date of this Agreement, (ii) issuance or sale of Common Shares issuable upon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7" w:name="page28"/>
    <w:bookmarkEnd w:id="27"/>
    <w:p>
      <w:pPr>
        <w:ind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conversion or redemption of securities or the exercise or vesting of warrants, options or other equity awards outstanding at the date of this Agreement, (iii) issuance or sale of Common Shares or securities convertible into or exchangeable for Common Shares as consideration for mergers, acquisitions, other business combinations, joint ventures or strategic alliances occurring after the date of this Agreement which are not used for capital raising purposes and (iv) modification of any outstanding options, warrants of any rights to purchase or acquire Common Shares.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jc w:val="both"/>
        <w:ind w:right="60" w:firstLine="444"/>
        <w:spacing w:after="0" w:line="279" w:lineRule="auto"/>
        <w:tabs>
          <w:tab w:leader="none" w:pos="82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76" w:lineRule="exact"/>
        <w:rPr>
          <w:rFonts w:ascii="Arial" w:cs="Arial" w:eastAsia="Arial" w:hAnsi="Arial"/>
          <w:sz w:val="17"/>
          <w:szCs w:val="17"/>
          <w:color w:val="auto"/>
        </w:rPr>
      </w:pPr>
    </w:p>
    <w:p>
      <w:pPr>
        <w:ind w:left="980" w:hanging="544"/>
        <w:spacing w:after="0" w:line="25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4(m)</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80" w:right="60" w:hanging="544"/>
        <w:spacing w:after="0" w:line="25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93" w:lineRule="exact"/>
        <w:rPr>
          <w:rFonts w:ascii="Arial" w:cs="Arial" w:eastAsia="Arial" w:hAnsi="Arial"/>
          <w:sz w:val="18"/>
          <w:szCs w:val="18"/>
          <w:color w:val="auto"/>
        </w:rPr>
      </w:pPr>
    </w:p>
    <w:p>
      <w:pPr>
        <w:ind w:left="980" w:right="20" w:hanging="544"/>
        <w:spacing w:after="0" w:line="25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8" w:name="page29"/>
    <w:bookmarkEnd w:id="28"/>
    <w:p>
      <w:pPr>
        <w:ind w:left="980" w:hanging="544"/>
        <w:spacing w:after="0" w:line="26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80" w:lineRule="exact"/>
        <w:rPr>
          <w:sz w:val="20"/>
          <w:szCs w:val="20"/>
          <w:color w:val="auto"/>
        </w:rPr>
      </w:pPr>
    </w:p>
    <w:p>
      <w:pPr>
        <w:ind w:firstLine="444"/>
        <w:spacing w:after="0" w:line="276" w:lineRule="auto"/>
        <w:tabs>
          <w:tab w:leader="none" w:pos="83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64" w:lineRule="exact"/>
        <w:rPr>
          <w:rFonts w:ascii="Arial" w:cs="Arial" w:eastAsia="Arial" w:hAnsi="Arial"/>
          <w:sz w:val="17"/>
          <w:szCs w:val="17"/>
          <w:color w:val="auto"/>
        </w:rPr>
      </w:pPr>
    </w:p>
    <w:p>
      <w:pPr>
        <w:ind w:right="300" w:firstLine="444"/>
        <w:spacing w:after="0" w:line="259"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121" w:lineRule="exact"/>
        <w:rPr>
          <w:sz w:val="20"/>
          <w:szCs w:val="20"/>
          <w:color w:val="auto"/>
        </w:rPr>
      </w:pPr>
    </w:p>
    <w:p>
      <w:pPr>
        <w:ind w:right="100" w:firstLine="444"/>
        <w:spacing w:after="0" w:line="293"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ninth paragraph under the under the caption “Plan of Distribution” in the Prospectus.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62" w:lineRule="exact"/>
        <w:rPr>
          <w:sz w:val="20"/>
          <w:szCs w:val="20"/>
          <w:color w:val="auto"/>
        </w:rPr>
      </w:pPr>
    </w:p>
    <w:p>
      <w:pPr>
        <w:ind w:firstLine="444"/>
        <w:spacing w:after="0" w:line="287" w:lineRule="auto"/>
        <w:tabs>
          <w:tab w:leader="none" w:pos="83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61" w:lineRule="exact"/>
        <w:rPr>
          <w:sz w:val="20"/>
          <w:szCs w:val="20"/>
          <w:color w:val="auto"/>
        </w:rPr>
      </w:pPr>
    </w:p>
    <w:p>
      <w:pPr>
        <w:ind w:firstLine="444"/>
        <w:spacing w:after="0" w:line="285" w:lineRule="auto"/>
        <w:tabs>
          <w:tab w:leader="none" w:pos="82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2" w:lineRule="exact"/>
        <w:rPr>
          <w:rFonts w:ascii="Arial" w:cs="Arial" w:eastAsia="Arial" w:hAnsi="Arial"/>
          <w:sz w:val="16"/>
          <w:szCs w:val="16"/>
          <w:color w:val="auto"/>
        </w:rPr>
      </w:pPr>
    </w:p>
    <w:p>
      <w:pPr>
        <w:ind w:right="40" w:firstLine="4"/>
        <w:spacing w:after="0" w:line="270" w:lineRule="auto"/>
        <w:tabs>
          <w:tab w:leader="none" w:pos="2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70" w:lineRule="exact"/>
        <w:rPr>
          <w:rFonts w:ascii="Arial" w:cs="Arial" w:eastAsia="Arial" w:hAnsi="Arial"/>
          <w:sz w:val="17"/>
          <w:szCs w:val="17"/>
          <w:color w:val="auto"/>
        </w:rPr>
      </w:pPr>
    </w:p>
    <w:p>
      <w:pPr>
        <w:ind w:right="60" w:firstLine="444"/>
        <w:spacing w:after="0" w:line="273" w:lineRule="auto"/>
        <w:tabs>
          <w:tab w:leader="none" w:pos="83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1" w:name="page32"/>
    <w:bookmarkEnd w:id="3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66"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for purposes of indemnification.</w:t>
      </w:r>
    </w:p>
    <w:p>
      <w:pPr>
        <w:spacing w:after="0" w:line="173"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6(d)</w:t>
      </w:r>
      <w:r>
        <w:rPr>
          <w:rFonts w:ascii="Arial" w:cs="Arial" w:eastAsia="Arial" w:hAnsi="Arial"/>
          <w:sz w:val="16"/>
          <w:szCs w:val="16"/>
          <w:color w:val="auto"/>
        </w:rPr>
        <w:t>.</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right="160" w:firstLine="444"/>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2" w:name="page33"/>
    <w:bookmarkEnd w:id="32"/>
    <w:p>
      <w:pPr>
        <w:ind w:left="840" w:hanging="396"/>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Survival Following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0" w:hanging="430"/>
        <w:spacing w:after="0" w:line="255"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98" w:lineRule="exact"/>
        <w:rPr>
          <w:rFonts w:ascii="Arial" w:cs="Arial" w:eastAsia="Arial" w:hAnsi="Arial"/>
          <w:sz w:val="18"/>
          <w:szCs w:val="18"/>
          <w:color w:val="auto"/>
        </w:rPr>
      </w:pPr>
    </w:p>
    <w:p>
      <w:pPr>
        <w:ind w:left="1420" w:right="40" w:hanging="430"/>
        <w:spacing w:after="0" w:line="276" w:lineRule="auto"/>
        <w:tabs>
          <w:tab w:leader="none" w:pos="14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In addition to the survival provision of </w:t>
      </w:r>
      <w:r>
        <w:rPr>
          <w:rFonts w:ascii="Arial" w:cs="Arial" w:eastAsia="Arial" w:hAnsi="Arial"/>
          <w:sz w:val="17"/>
          <w:szCs w:val="17"/>
          <w:u w:val="single" w:color="auto"/>
          <w:color w:val="auto"/>
        </w:rPr>
        <w:t>Section 7(b)(i)</w:t>
      </w:r>
      <w:r>
        <w:rPr>
          <w:rFonts w:ascii="Arial" w:cs="Arial" w:eastAsia="Arial" w:hAnsi="Arial"/>
          <w:sz w:val="17"/>
          <w:szCs w:val="17"/>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44"/>
        <w:spacing w:after="0" w:line="269"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74" w:lineRule="exact"/>
        <w:rPr>
          <w:rFonts w:ascii="Arial" w:cs="Arial" w:eastAsia="Arial" w:hAnsi="Arial"/>
          <w:sz w:val="17"/>
          <w:szCs w:val="17"/>
          <w:color w:val="auto"/>
        </w:rPr>
      </w:pPr>
    </w:p>
    <w:p>
      <w:pPr>
        <w:ind w:right="60" w:firstLine="444"/>
        <w:spacing w:after="0" w:line="273" w:lineRule="auto"/>
        <w:tabs>
          <w:tab w:leader="none" w:pos="83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79" w:lineRule="exact"/>
        <w:rPr>
          <w:sz w:val="20"/>
          <w:szCs w:val="20"/>
          <w:color w:val="auto"/>
        </w:rPr>
      </w:pPr>
    </w:p>
    <w:p>
      <w:pPr>
        <w:ind w:right="20" w:firstLine="444"/>
        <w:spacing w:after="0" w:line="255"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9" w:lineRule="exact"/>
        <w:rPr>
          <w:rFonts w:ascii="Arial" w:cs="Arial" w:eastAsia="Arial" w:hAnsi="Arial"/>
          <w:sz w:val="18"/>
          <w:szCs w:val="18"/>
          <w:color w:val="auto"/>
        </w:rPr>
      </w:pPr>
    </w:p>
    <w:p>
      <w:pPr>
        <w:ind w:right="320" w:firstLine="444"/>
        <w:spacing w:after="0" w:line="277" w:lineRule="auto"/>
        <w:tabs>
          <w:tab w:leader="none" w:pos="83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2550 Hanover Street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Facsimile: 650.233.4545</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Gabriella Lombardi</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Everspin Technologies, Inc.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5670 N. Chandler Blvd.</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Chandler, AZ 85226</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Facsimilie: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Kevin Conley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Facsimilie: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 Matthew Hemington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ind w:right="160" w:firstLine="444"/>
        <w:spacing w:after="0" w:line="312"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38" w:lineRule="exact"/>
        <w:rPr>
          <w:rFonts w:ascii="Arial" w:cs="Arial" w:eastAsia="Arial" w:hAnsi="Arial"/>
          <w:sz w:val="16"/>
          <w:szCs w:val="16"/>
          <w:color w:val="auto"/>
        </w:rPr>
      </w:pPr>
    </w:p>
    <w:p>
      <w:pPr>
        <w:ind w:right="100" w:firstLine="444"/>
        <w:spacing w:after="0" w:line="25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firstLine="444"/>
        <w:spacing w:after="0" w:line="288" w:lineRule="auto"/>
        <w:tabs>
          <w:tab w:leader="none" w:pos="83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61" w:lineRule="exact"/>
        <w:rPr>
          <w:rFonts w:ascii="Arial" w:cs="Arial" w:eastAsia="Arial" w:hAnsi="Arial"/>
          <w:sz w:val="16"/>
          <w:szCs w:val="16"/>
          <w:color w:val="auto"/>
        </w:rPr>
      </w:pPr>
    </w:p>
    <w:p>
      <w:pPr>
        <w:ind w:right="20" w:firstLine="444"/>
        <w:spacing w:after="0" w:line="257" w:lineRule="auto"/>
        <w:tabs>
          <w:tab w:leader="none" w:pos="83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5" w:name="page36"/>
    <w:bookmarkEnd w:id="35"/>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Immediately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40" w:top="274" w:right="519" w:bottom="1440" w:gutter="0" w:footer="0" w:header="0"/>
        </w:sectPr>
      </w:pPr>
    </w:p>
    <w:bookmarkStart w:id="36" w:name="page37"/>
    <w:bookmarkEnd w:id="36"/>
    <w:p>
      <w:pPr>
        <w:ind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EVERSPIN TECHNOLOGIES,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Conley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Donald Lynaugh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20"/>
          </w:cols>
          <w:pgMar w:left="440" w:top="274" w:right="7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-10160</wp:posOffset>
            </wp:positionV>
            <wp:extent cx="571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Open Market Sale Agreement between Everspin Technologies, Inc.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w:t>
      </w:r>
    </w:p>
    <w:p>
      <w:pPr>
        <w:spacing w:after="0" w:line="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2019. The Company confirms that all conditions to the delivery of this Issuance Notice are satisfied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-19050</wp:posOffset>
            </wp:positionV>
            <wp:extent cx="600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17087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0878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-10160</wp:posOffset>
            </wp:positionV>
            <wp:extent cx="1085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5850"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126365</wp:posOffset>
            </wp:positionV>
            <wp:extent cx="1343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14605</wp:posOffset>
            </wp:positionV>
            <wp:extent cx="2238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14605</wp:posOffset>
            </wp:positionV>
            <wp:extent cx="2238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14605</wp:posOffset>
            </wp:positionV>
            <wp:extent cx="22383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220980</wp:posOffset>
            </wp:positionV>
            <wp:extent cx="22383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Floor Price Limitation (in no event less than $1.00 without the prior written consent of the Agent, which consent may be withheld in the Agent’s sole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3"/>
          </w:tcPr>
          <w:p>
            <w:pPr>
              <w:spacing w:after="0"/>
              <w:rPr>
                <w:sz w:val="20"/>
                <w:szCs w:val="20"/>
                <w:color w:val="auto"/>
              </w:rPr>
            </w:pPr>
            <w:r>
              <w:rPr>
                <w:rFonts w:ascii="Arial" w:cs="Arial" w:eastAsia="Arial" w:hAnsi="Arial"/>
                <w:sz w:val="18"/>
                <w:szCs w:val="18"/>
                <w:color w:val="auto"/>
                <w:w w:val="95"/>
              </w:rPr>
              <w:t>discretion): $</w:t>
            </w:r>
          </w:p>
        </w:tc>
        <w:tc>
          <w:tcPr>
            <w:tcW w:w="360" w:type="dxa"/>
            <w:vAlign w:val="bottom"/>
            <w:tcBorders>
              <w:bottom w:val="single" w:sz="8" w:color="auto"/>
            </w:tcBorders>
          </w:tcPr>
          <w:p>
            <w:pPr>
              <w:spacing w:after="0"/>
              <w:rPr>
                <w:sz w:val="18"/>
                <w:szCs w:val="18"/>
                <w:color w:val="auto"/>
              </w:rPr>
            </w:pPr>
          </w:p>
        </w:tc>
        <w:tc>
          <w:tcPr>
            <w:tcW w:w="9680" w:type="dxa"/>
            <w:vAlign w:val="bottom"/>
            <w:gridSpan w:val="3"/>
          </w:tcPr>
          <w:p>
            <w:pPr>
              <w:ind w:left="4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w w:val="93"/>
              </w:rPr>
              <w:t>Comments:</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3"/>
            <w:vMerge w:val="restart"/>
          </w:tcPr>
          <w:p>
            <w:pPr>
              <w:ind w:left="5260"/>
              <w:spacing w:after="0"/>
              <w:rPr>
                <w:sz w:val="20"/>
                <w:szCs w:val="20"/>
                <w:color w:val="auto"/>
              </w:rPr>
            </w:pPr>
            <w:r>
              <w:rPr>
                <w:rFonts w:ascii="Arial" w:cs="Arial" w:eastAsia="Arial" w:hAnsi="Arial"/>
                <w:sz w:val="18"/>
                <w:szCs w:val="18"/>
                <w:color w:val="auto"/>
              </w:rPr>
              <w:t>EVERSPIN TECHNOLOGIES, INC.</w:t>
            </w:r>
          </w:p>
        </w:tc>
        <w:tc>
          <w:tcPr>
            <w:tcW w:w="0" w:type="dxa"/>
            <w:vAlign w:val="bottom"/>
          </w:tcPr>
          <w:p>
            <w:pPr>
              <w:spacing w:after="0"/>
              <w:rPr>
                <w:sz w:val="1"/>
                <w:szCs w:val="1"/>
                <w:color w:val="auto"/>
              </w:rPr>
            </w:pPr>
          </w:p>
        </w:tc>
      </w:tr>
      <w:tr>
        <w:trPr>
          <w:trHeight w:val="480"/>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3"/>
          </w:tcPr>
          <w:p>
            <w:pPr>
              <w:ind w:left="52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410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3"/>
          </w:tcPr>
          <w:p>
            <w:pPr>
              <w:ind w:left="40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8" w:name="page39"/>
    <w:bookmarkEnd w:id="38"/>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Kevin Conley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Jeff Winzeler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Donald Lynaugh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Cully Davis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Crystal Shen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Gunjeet Baweja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Aditya Sinha</w:t>
      </w:r>
    </w:p>
    <w:p>
      <w:pPr>
        <w:sectPr>
          <w:pgSz w:w="11900" w:h="16838" w:orient="portrait"/>
          <w:cols w:equalWidth="0" w:num="1">
            <w:col w:w="10019"/>
          </w:cols>
          <w:pgMar w:left="440" w:top="27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66495" cy="377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664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hemingtonmb@cooley.com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Everspin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5670 W. Chandler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Chandler, AZ 85224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Everspin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You have requested our opinion, as counsel to Everspin Technologies,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respect to certain matters in connection with the offering by the Company of up to $25,000,000 of shares of the Company’s common stock, par value $0.0001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pursuant to that certain Registration Statement on Form S-3 (No.333-221331) filed with the Securities and Exchange Commission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i w:val="1"/>
          <w:iCs w:val="1"/>
          <w:color w:val="auto"/>
        </w:rPr>
        <w: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i w:val="1"/>
          <w:iCs w:val="1"/>
          <w:color w:val="auto"/>
        </w:rPr>
        <w:t>”</w:t>
      </w:r>
      <w:r>
        <w:rPr>
          <w:rFonts w:ascii="Arial" w:cs="Arial" w:eastAsia="Arial" w:hAnsi="Arial"/>
          <w:sz w:val="16"/>
          <w:szCs w:val="16"/>
          <w:color w:val="auto"/>
        </w:rPr>
        <w:t>), the related prospectus dated November 13, 2017, included within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prospectus supplement to be filed with the Commission pursuant to Rule 424(b) of the Rules and Regulations of the Act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in accordance with that certain Open Market Sale Agreement</w:t>
      </w:r>
      <w:r>
        <w:rPr>
          <w:rFonts w:ascii="Arial" w:cs="Arial" w:eastAsia="Arial" w:hAnsi="Arial"/>
          <w:sz w:val="13"/>
          <w:szCs w:val="13"/>
          <w:color w:val="auto"/>
        </w:rPr>
        <w:t>SM</w:t>
      </w:r>
      <w:r>
        <w:rPr>
          <w:rFonts w:ascii="Arial" w:cs="Arial" w:eastAsia="Arial" w:hAnsi="Arial"/>
          <w:sz w:val="16"/>
          <w:szCs w:val="16"/>
          <w:color w:val="auto"/>
        </w:rPr>
        <w:t>, dated August 7, 2019, as amended, between the Company and Jefferies LLC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as described in the Prospectus.</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this opinion, we have examined and relied upon the Registration Statement, the Prospectus, the Agreement, the Company’s Amended and Restated Certificate of Incorporation and Amended and Restated Bylaws, and the originals or copies certified to our satisfaction of such records, documents, certificates, memoranda and other instruments as in our judgment are necessary or appropriate to enable us to render the opinion expressed below. In rendering this opinion, we have assumed the genuineness and authenticity of all signatures on original documents; the genuineness and authenticity of all documents submitted to us as originals; the conformity to originals of all documents submitted to us as copies; and the accuracy, completeness and authenticity of certificates of public officials. As to certain factual matters, we have relied upon a certificate of an officer of the Company and have not sought independently to verify such matters.</w:t>
      </w:r>
    </w:p>
    <w:p>
      <w:pPr>
        <w:spacing w:after="0" w:line="17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 that no more than 4,166,666 Shares will be sold under the Agreement and (iii) that the price at which the Shares are sold will equal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 the par value of the Shares. We express no opinion to the extent that future issuances of securities of the Company and/or anti-dilution adjustments to outstanding securities of the Company cause the number of shares of the Company’s common stock outstanding or issuable upon conversion or exercise of outstanding securities of the Company to exceed the number of Shares then issuable under the Agreement.</w:t>
      </w:r>
    </w:p>
    <w:p>
      <w:pPr>
        <w:spacing w:after="0" w:line="93" w:lineRule="exact"/>
        <w:rPr>
          <w:sz w:val="20"/>
          <w:szCs w:val="20"/>
          <w:color w:val="auto"/>
        </w:rPr>
      </w:pPr>
    </w:p>
    <w:p>
      <w:pPr>
        <w:jc w:val="center"/>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20"/>
          </w:cols>
          <w:pgMar w:left="440" w:top="121"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66495" cy="377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August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against payment therefor in accordance with the Agreement, the Registration Statement and the Prospectus, will be validly issued, fully paid and nonassessable.</w:t>
      </w:r>
    </w:p>
    <w:p>
      <w:pPr>
        <w:spacing w:after="0" w:line="12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consent to the reference to our firm under the caption “Legal Matters” in the Prospectus and to the filing of this opinion as an exhibit to the Company’s Current Report on Form 8-K to be filed with the Commission for incorporation by reference into the Registration Statement.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OOLEY</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B. Hemington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2" w:lineRule="exact"/>
        <w:rPr>
          <w:sz w:val="20"/>
          <w:szCs w:val="20"/>
          <w:color w:val="auto"/>
        </w:rPr>
      </w:pPr>
    </w:p>
    <w:p>
      <w:pPr>
        <w:jc w:val="center"/>
        <w:ind w:right="-21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239"/>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0800"/>
          </w:cols>
          <w:pgMar w:left="440" w:top="976" w:right="6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2383790" cy="506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06095"/>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Reports Second Quarter 2019 Financial Results</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Chandler, AZ, August 7, 2019 </w:t>
      </w:r>
      <w:r>
        <w:rPr>
          <w:rFonts w:ascii="Arial" w:cs="Arial" w:eastAsia="Arial" w:hAnsi="Arial"/>
          <w:sz w:val="18"/>
          <w:szCs w:val="18"/>
          <w:color w:val="auto"/>
        </w:rPr>
        <w:t>— Everspin Technologies, Inc. (Nasdaq: MRAM), the market leader in MRAM,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ended June 30,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Highlights</w:t>
      </w:r>
    </w:p>
    <w:p>
      <w:pPr>
        <w:spacing w:after="0" w:line="135" w:lineRule="exact"/>
        <w:rPr>
          <w:sz w:val="20"/>
          <w:szCs w:val="20"/>
          <w:color w:val="auto"/>
        </w:rPr>
      </w:pPr>
    </w:p>
    <w:p>
      <w:pPr>
        <w:ind w:left="980" w:hanging="54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revenue was $8.6 million, at the high-end of revised guidance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per share was ($0.21), a $0.04 per share sequential improvement</w:t>
      </w:r>
    </w:p>
    <w:p>
      <w:pPr>
        <w:spacing w:after="0" w:line="130" w:lineRule="exact"/>
        <w:rPr>
          <w:rFonts w:ascii="Arial" w:cs="Arial" w:eastAsia="Arial" w:hAnsi="Arial"/>
          <w:sz w:val="18"/>
          <w:szCs w:val="18"/>
          <w:color w:val="auto"/>
        </w:rPr>
      </w:pPr>
    </w:p>
    <w:p>
      <w:pPr>
        <w:ind w:left="980" w:right="340" w:hanging="54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expenses decreased sequentially by $1.3 million to $7.6 million as the 1Gb STT-MRAM device transitioned from R&amp;D into production</w:t>
      </w:r>
    </w:p>
    <w:p>
      <w:pPr>
        <w:spacing w:after="0" w:line="75" w:lineRule="exact"/>
        <w:rPr>
          <w:rFonts w:ascii="Arial" w:cs="Arial" w:eastAsia="Arial" w:hAnsi="Arial"/>
          <w:sz w:val="18"/>
          <w:szCs w:val="18"/>
          <w:color w:val="auto"/>
        </w:rPr>
      </w:pPr>
    </w:p>
    <w:p>
      <w:pPr>
        <w:ind w:left="980" w:right="740" w:hanging="54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Announced Phison Electronics and Sage Microelectronics to provide native support for 1Gb STT-MRAM in their enterprise SSD controller chips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Refinanced Company debt facility, substantially reducing the cash burn over the next 12 months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in the quarter was above our revised guidance range, and although lower sequentially, we were able to improve our bottom line results from first quarter levels as a result of our significant reduction in operating expenses,” stated Kevin Conley, Everspin’s President and CEO.</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continued to advance the ecosystem support for our 1Gb STT-MRAM devices as evidenced by our recent partnerships with Phison and Sage, along with continued progress with other leading enterprise storage controller suppliers. Despite the current challenges faced by our industry, we continued to secure additional design wins for our Toggle products, while shipping an increasing number of 1Gb samples to customers for key qualification builds in advance of our planned production ramp. With a committed focus on efficiently managing our operations, we continue to execute toward our long-term growth objectives.”</w:t>
      </w:r>
    </w:p>
    <w:p>
      <w:pPr>
        <w:sectPr>
          <w:pgSz w:w="11900" w:h="16838" w:orient="portrait"/>
          <w:cols w:equalWidth="0" w:num="1">
            <w:col w:w="11020"/>
          </w:cols>
          <w:pgMar w:left="440" w:top="1067"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2383790" cy="506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06095"/>
                    </a:xfrm>
                    <a:prstGeom prst="rect">
                      <a:avLst/>
                    </a:prstGeom>
                    <a:noFill/>
                  </pic:spPr>
                </pic:pic>
              </a:graphicData>
            </a:graphic>
          </wp:anchor>
        </w:drawing>
        <w:t>Second Quarter 2019 Results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Total revenue for the second quarter of 2019 was $8.6 million, compared to $10.8 million in the second quarter of 2018 and $10.0 million in the previous quarter.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Gross margin for the second quarter of 2019 was 46.5%, and compares to 42.1% in the second quarter of 2018 and 47.7% in the previous quarter.</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expenses for the second quarter of 2019 were $7.6 million, a 36% decrease compared to the $11.8 million in the year-ago quarter and a 15% decrease from the $9.0 million in the previous quarter.</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loss for the second quarter of 2019 was $3.7 million, or ($0.21) per share, based on 17.1 million weighted-average shares outstanding, compared to a net loss of $7.4 million, or ($0.44) per share, in the second quarter of 2018, and a net loss of $4.3 million, or ($0.25) per share, in the first quarter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as of June 30, 2019 were $15.3 million, compared to $18.5 million at the end of the first quarter of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third quarter of 2019, Everspin expects total revenue in the range of $8.5 million and $9.0 million. Net loss per share is expected to be between ($0.21) and ($0.17) based on an weighted-average share count of 17.2 million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Everspin will host a conference call for analysts and investors today at 5:00 p.m. Eastern Time. Interested participants can access the call by dialing </w:t>
      </w:r>
      <w:r>
        <w:rPr>
          <w:rFonts w:ascii="Arial" w:cs="Arial" w:eastAsia="Arial" w:hAnsi="Arial"/>
          <w:sz w:val="17"/>
          <w:szCs w:val="17"/>
          <w:b w:val="1"/>
          <w:bCs w:val="1"/>
          <w:color w:val="auto"/>
        </w:rPr>
        <w:t xml:space="preserve">1-844-889-7788 </w:t>
      </w:r>
      <w:r>
        <w:rPr>
          <w:rFonts w:ascii="Arial" w:cs="Arial" w:eastAsia="Arial" w:hAnsi="Arial"/>
          <w:sz w:val="17"/>
          <w:szCs w:val="17"/>
          <w:color w:val="auto"/>
        </w:rPr>
        <w:t>and providing passcode</w:t>
      </w:r>
      <w:r>
        <w:rPr>
          <w:rFonts w:ascii="Arial" w:cs="Arial" w:eastAsia="Arial" w:hAnsi="Arial"/>
          <w:sz w:val="17"/>
          <w:szCs w:val="17"/>
          <w:b w:val="1"/>
          <w:bCs w:val="1"/>
          <w:color w:val="auto"/>
        </w:rPr>
        <w:t xml:space="preserve"> 7869239</w:t>
      </w:r>
      <w:r>
        <w:rPr>
          <w:rFonts w:ascii="Arial" w:cs="Arial" w:eastAsia="Arial" w:hAnsi="Arial"/>
          <w:sz w:val="17"/>
          <w:szCs w:val="17"/>
          <w:color w:val="auto"/>
        </w:rPr>
        <w:t>. International callers may join the call by dialing +1-661-378-9932, using the same code. The call will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also be available as a live and archived webcast in the Investor Relations section of the company’s website at </w:t>
      </w:r>
      <w:r>
        <w:rPr>
          <w:rFonts w:ascii="Arial" w:cs="Arial" w:eastAsia="Arial" w:hAnsi="Arial"/>
          <w:sz w:val="17"/>
          <w:szCs w:val="17"/>
          <w:u w:val="single" w:color="auto"/>
          <w:color w:val="auto"/>
        </w:rPr>
        <w:t>investor.everspin.com</w:t>
      </w:r>
      <w:r>
        <w:rPr>
          <w:rFonts w:ascii="Arial" w:cs="Arial" w:eastAsia="Arial" w:hAnsi="Arial"/>
          <w:sz w:val="17"/>
          <w:szCs w:val="17"/>
          <w:color w:val="auto"/>
        </w:rPr>
        <w:t>.</w:t>
      </w:r>
    </w:p>
    <w:p>
      <w:pPr>
        <w:sectPr>
          <w:pgSz w:w="11900" w:h="16838" w:orient="portrait"/>
          <w:cols w:equalWidth="0" w:num="1">
            <w:col w:w="11000"/>
          </w:cols>
          <w:pgMar w:left="440" w:top="1215" w:right="459" w:bottom="1440" w:gutter="0" w:footer="0" w:header="0"/>
        </w:sectPr>
      </w:pPr>
    </w:p>
    <w:bookmarkStart w:id="43" w:name="page44"/>
    <w:bookmarkEnd w:id="43"/>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2383790" cy="506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06095"/>
                    </a:xfrm>
                    <a:prstGeom prst="rect">
                      <a:avLst/>
                    </a:prstGeom>
                    <a:noFill/>
                  </pic:spPr>
                </pic:pic>
              </a:graphicData>
            </a:graphic>
          </wp:anchor>
        </w:drawing>
        <w:t>A telephone replay of the conference call will be available approximately two hours after the call until August 14, 2019, at midnight Eastern Time. The replay can be accessed by dialing 1-855-859-2056 and using the passcode 7869239. International callers should dial +1-404-537-3406 and enter the same passcode at the prompt.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Everspin Technologies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Headquartered in Chandler, Arizona, Everspin Technologies, Inc. is the worldwide leader in the design, volume production and distribution of Magnetoresistive RAM (MRAM) into markets and applications where data persistence, performance, and endurance are paramount. Serving applications across the data center, industrial, and transportation markets, Everspin has built the strongest and fastest-growing foundation of MRAM users in the world. For more information, visit </w:t>
      </w:r>
      <w:r>
        <w:rPr>
          <w:rFonts w:ascii="Arial" w:cs="Arial" w:eastAsia="Arial" w:hAnsi="Arial"/>
          <w:sz w:val="18"/>
          <w:szCs w:val="18"/>
          <w:u w:val="single" w:color="auto"/>
          <w:color w:val="auto"/>
        </w:rPr>
        <w:t>www.everspin.com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forward-looking statements regarding future events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10-Q filed with the Securities and Exchange Commission on May 9, 2019,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Everspin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Leanne K. Sievers,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Shelton Group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949-224-3874</w:t>
      </w:r>
    </w:p>
    <w:p>
      <w:pPr>
        <w:spacing w:after="0" w:line="9" w:lineRule="exact"/>
        <w:rPr>
          <w:sz w:val="20"/>
          <w:szCs w:val="20"/>
          <w:color w:val="auto"/>
        </w:rPr>
      </w:pPr>
    </w:p>
    <w:p>
      <w:pPr>
        <w:ind w:left="200" w:hanging="196"/>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sheltonir@sheltongroup.com</w:t>
      </w:r>
    </w:p>
    <w:p>
      <w:pPr>
        <w:sectPr>
          <w:pgSz w:w="11900" w:h="16838" w:orient="portrait"/>
          <w:cols w:equalWidth="0" w:num="1">
            <w:col w:w="11000"/>
          </w:cols>
          <w:pgMar w:left="440" w:top="1219" w:right="4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2383790" cy="506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06095"/>
                    </a:xfrm>
                    <a:prstGeom prst="rect">
                      <a:avLst/>
                    </a:prstGeom>
                    <a:noFill/>
                  </pic:spPr>
                </pic:pic>
              </a:graphicData>
            </a:graphic>
          </wp:anchor>
        </w:drawing>
        <w:t>EVERSPIN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Lease liabilities, net of current portion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34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 issued and outstanding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June 30, 2019 and December 31, 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$0.0001 par value per share; 100,000,000 shares authorized; 17,151,290 and 17,095,456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as of June 30, 2019 and December 31, 2018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160,564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(141,919)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(133,993)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215" w:right="4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2383790" cy="506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06095"/>
                    </a:xfrm>
                    <a:prstGeom prst="rect">
                      <a:avLst/>
                    </a:prstGeom>
                    <a:noFill/>
                  </pic:spPr>
                </pic:pic>
              </a:graphicData>
            </a:graphic>
          </wp:anchor>
        </w:drawing>
        <w:t>EVERSPIN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632"/>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632"/>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8,003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9,449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17,026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18,814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shares used to compute net loss per common share, basic</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17,137,338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16,635,261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17,117,777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15,717,248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215" w:right="4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2383790" cy="506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06095"/>
                    </a:xfrm>
                    <a:prstGeom prst="rect">
                      <a:avLst/>
                    </a:prstGeom>
                    <a:noFill/>
                  </pic:spPr>
                </pic:pic>
              </a:graphicData>
            </a:graphic>
          </wp:anchor>
        </w:drawing>
        <w:t>EVERSPIN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Six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(7,926)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Compensation expense related to vesting of common stock to GLOBALFOUNDRIES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Lease liabilities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Shipping term reversal</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(4,513)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net of offering costs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Payments on debt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Proceeds from exercise of stock options and purchase of shares in employee stock purchase plan</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(2,855)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(8,106)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23,379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paid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paid for operating leases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Financing cash flows paid for finance leases</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 accounts payable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121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decimal"/>
      <w:start w:val="3"/>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lowerLetter"/>
      <w:start w:val="3"/>
    </w:lvl>
  </w:abstractNum>
  <w:abstractNum w:abstractNumId="5">
    <w:nsid w:val="2CA88611"/>
    <w:multiLevelType w:val="hybridMultilevel"/>
    <w:lvl w:ilvl="0">
      <w:lvlJc w:val="left"/>
      <w:lvlText w:val="(%1)"/>
      <w:numFmt w:val="lowerLetter"/>
      <w:start w:val="8"/>
    </w:lvl>
  </w:abstractNum>
  <w:abstractNum w:abstractNumId="6">
    <w:nsid w:val="836C40E"/>
    <w:multiLevelType w:val="hybridMultilevel"/>
    <w:lvl w:ilvl="0">
      <w:lvlJc w:val="left"/>
      <w:lvlText w:val="%1"/>
      <w:numFmt w:val="lowerLetter"/>
      <w:start w:val="1"/>
    </w:lvl>
    <w:lvl w:ilvl="1">
      <w:lvlJc w:val="left"/>
      <w:lvlText w:val="(%2)"/>
      <w:numFmt w:val="lowerLetter"/>
      <w:start w:val="12"/>
    </w:lvl>
  </w:abstractNum>
  <w:abstractNum w:abstractNumId="7">
    <w:nsid w:val="2901D82"/>
    <w:multiLevelType w:val="hybridMultilevel"/>
    <w:lvl w:ilvl="0">
      <w:lvlJc w:val="left"/>
      <w:lvlText w:val="(%1)"/>
      <w:numFmt w:val="lowerLetter"/>
      <w:start w:val="35"/>
    </w:lvl>
    <w:lvl w:ilvl="1">
      <w:lvlJc w:val="left"/>
      <w:lvlText w:val="(%2)"/>
      <w:numFmt w:val="lowerLetter"/>
      <w:start w:val="15"/>
    </w:lvl>
  </w:abstractNum>
  <w:abstractNum w:abstractNumId="8">
    <w:nsid w:val="3A95F874"/>
    <w:multiLevelType w:val="hybridMultilevel"/>
    <w:lvl w:ilvl="0">
      <w:lvlJc w:val="left"/>
      <w:lvlText w:val="(%1)"/>
      <w:numFmt w:val="lowerLetter"/>
      <w:start w:val="16"/>
    </w:lvl>
  </w:abstractNum>
  <w:abstractNum w:abstractNumId="9">
    <w:nsid w:val="8138641"/>
    <w:multiLevelType w:val="hybridMultilevel"/>
    <w:lvl w:ilvl="0">
      <w:lvlJc w:val="left"/>
      <w:lvlText w:val="(%1)"/>
      <w:numFmt w:val="lowerLetter"/>
      <w:start w:val="20"/>
    </w:lvl>
  </w:abstractNum>
  <w:abstractNum w:abstractNumId="10">
    <w:nsid w:val="1E7FF521"/>
    <w:multiLevelType w:val="hybridMultilevel"/>
    <w:lvl w:ilvl="0">
      <w:lvlJc w:val="left"/>
      <w:lvlText w:val="(%1)"/>
      <w:numFmt w:val="upperLetter"/>
      <w:start w:val="2"/>
    </w:lvl>
    <w:lvl w:ilvl="1">
      <w:lvlJc w:val="left"/>
      <w:lvlText w:val="(%2)"/>
      <w:numFmt w:val="lowerLetter"/>
      <w:start w:val="22"/>
    </w:lvl>
  </w:abstractNum>
  <w:abstractNum w:abstractNumId="11">
    <w:nsid w:val="7C3DBD3D"/>
    <w:multiLevelType w:val="hybridMultilevel"/>
    <w:lvl w:ilvl="0">
      <w:lvlJc w:val="left"/>
      <w:lvlText w:val="(%1)"/>
      <w:numFmt w:val="lowerLetter"/>
      <w:start w:val="24"/>
    </w:lvl>
  </w:abstractNum>
  <w:abstractNum w:abstractNumId="12">
    <w:nsid w:val="737B8DDC"/>
    <w:multiLevelType w:val="hybridMultilevel"/>
    <w:lvl w:ilvl="0">
      <w:lvlJc w:val="left"/>
      <w:lvlText w:val="(%1)"/>
      <w:numFmt w:val="lowerLetter"/>
      <w:start w:val="27"/>
    </w:lvl>
  </w:abstractNum>
  <w:abstractNum w:abstractNumId="13">
    <w:nsid w:val="6CEAF087"/>
    <w:multiLevelType w:val="hybridMultilevel"/>
    <w:lvl w:ilvl="0">
      <w:lvlJc w:val="left"/>
      <w:lvlText w:val="%1"/>
      <w:numFmt w:val="lowerLetter"/>
      <w:start w:val="1"/>
    </w:lvl>
    <w:lvl w:ilvl="1">
      <w:lvlJc w:val="left"/>
      <w:lvlText w:val="(%2)"/>
      <w:numFmt w:val="lowerLetter"/>
      <w:start w:val="30"/>
    </w:lvl>
  </w:abstractNum>
  <w:abstractNum w:abstractNumId="14">
    <w:nsid w:val="22221A70"/>
    <w:multiLevelType w:val="hybridMultilevel"/>
    <w:lvl w:ilvl="0">
      <w:lvlJc w:val="left"/>
      <w:lvlText w:val="(%1)"/>
      <w:numFmt w:val="lowerLetter"/>
      <w:start w:val="22"/>
    </w:lvl>
    <w:lvl w:ilvl="1">
      <w:lvlJc w:val="left"/>
      <w:lvlText w:val="(%2)"/>
      <w:numFmt w:val="lowerLetter"/>
      <w:start w:val="32"/>
    </w:lvl>
  </w:abstractNum>
  <w:abstractNum w:abstractNumId="15">
    <w:nsid w:val="4516DDE9"/>
    <w:multiLevelType w:val="hybridMultilevel"/>
    <w:lvl w:ilvl="0">
      <w:lvlJc w:val="left"/>
      <w:lvlText w:val="%1"/>
      <w:numFmt w:val="lowerLetter"/>
      <w:start w:val="1"/>
    </w:lvl>
    <w:lvl w:ilvl="1">
      <w:lvlJc w:val="left"/>
      <w:lvlText w:val="(%2)"/>
      <w:numFmt w:val="lowerLetter"/>
      <w:start w:val="33"/>
    </w:lvl>
  </w:abstractNum>
  <w:abstractNum w:abstractNumId="16">
    <w:nsid w:val="3006C83E"/>
    <w:multiLevelType w:val="hybridMultilevel"/>
    <w:lvl w:ilvl="0">
      <w:lvlJc w:val="left"/>
      <w:lvlText w:val="(%1)"/>
      <w:numFmt w:val="lowerLetter"/>
      <w:start w:val="9"/>
    </w:lvl>
    <w:lvl w:ilvl="1">
      <w:lvlJc w:val="left"/>
      <w:lvlText w:val="(%2)"/>
      <w:numFmt w:val="lowerLetter"/>
      <w:start w:val="37"/>
    </w:lvl>
  </w:abstractNum>
  <w:abstractNum w:abstractNumId="17">
    <w:nsid w:val="614FD4A1"/>
    <w:multiLevelType w:val="hybridMultilevel"/>
    <w:lvl w:ilvl="0">
      <w:lvlJc w:val="left"/>
      <w:lvlText w:val="(%1)"/>
      <w:numFmt w:val="lowerLetter"/>
      <w:start w:val="39"/>
    </w:lvl>
  </w:abstractNum>
  <w:abstractNum w:abstractNumId="18">
    <w:nsid w:val="419AC241"/>
    <w:multiLevelType w:val="hybridMultilevel"/>
    <w:lvl w:ilvl="0">
      <w:lvlJc w:val="left"/>
      <w:lvlText w:val="(%1)"/>
      <w:numFmt w:val="lowerLetter"/>
      <w:start w:val="42"/>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2"/>
    </w:lvl>
  </w:abstractNum>
  <w:abstractNum w:abstractNumId="21">
    <w:nsid w:val="5072367"/>
    <w:multiLevelType w:val="hybridMultilevel"/>
    <w:lvl w:ilvl="0">
      <w:lvlJc w:val="left"/>
      <w:lvlText w:val="%1"/>
      <w:numFmt w:val="upperLetter"/>
      <w:start w:val="1"/>
    </w:lvl>
    <w:lvl w:ilvl="1">
      <w:lvlJc w:val="left"/>
      <w:lvlText w:val="(%2)"/>
      <w:numFmt w:val="lowerRoman"/>
      <w:start w:val="1"/>
    </w:lvl>
  </w:abstractNum>
  <w:abstractNum w:abstractNumId="22">
    <w:nsid w:val="3804823E"/>
    <w:multiLevelType w:val="hybridMultilevel"/>
    <w:lvl w:ilvl="0">
      <w:lvlJc w:val="left"/>
      <w:lvlText w:val="(%1)"/>
      <w:numFmt w:val="upperLetter"/>
      <w:start w:val="9"/>
    </w:lvl>
    <w:lvl w:ilvl="1">
      <w:lvlJc w:val="left"/>
      <w:lvlText w:val="(%2)"/>
      <w:numFmt w:val="lowerRoman"/>
      <w:start w:val="2"/>
    </w:lvl>
  </w:abstractNum>
  <w:abstractNum w:abstractNumId="23">
    <w:nsid w:val="77465F01"/>
    <w:multiLevelType w:val="hybridMultilevel"/>
    <w:lvl w:ilvl="0">
      <w:lvlJc w:val="left"/>
      <w:lvlText w:val="(%1)"/>
      <w:numFmt w:val="upperLetter"/>
      <w:start w:val="2"/>
    </w:lvl>
    <w:lvl w:ilvl="1">
      <w:lvlJc w:val="left"/>
      <w:lvlText w:val="(%2)"/>
      <w:numFmt w:val="lowerRoman"/>
      <w:start w:val="4"/>
    </w:lvl>
  </w:abstractNum>
  <w:abstractNum w:abstractNumId="24">
    <w:nsid w:val="7724C67E"/>
    <w:multiLevelType w:val="hybridMultilevel"/>
    <w:lvl w:ilvl="0">
      <w:lvlJc w:val="left"/>
      <w:lvlText w:val="(%1)"/>
      <w:numFmt w:val="lowerRoman"/>
      <w:start w:val="6"/>
    </w:lvl>
  </w:abstractNum>
  <w:abstractNum w:abstractNumId="25">
    <w:nsid w:val="5C482A97"/>
    <w:multiLevelType w:val="hybridMultilevel"/>
    <w:lvl w:ilvl="0">
      <w:lvlJc w:val="left"/>
      <w:lvlText w:val="(%1)"/>
      <w:numFmt w:val="lowerLetter"/>
      <w:start w:val="3"/>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2"/>
    </w:lvl>
  </w:abstractNum>
  <w:abstractNum w:abstractNumId="28">
    <w:nsid w:val="51EAD36B"/>
    <w:multiLevelType w:val="hybridMultilevel"/>
    <w:lvl w:ilvl="0">
      <w:lvlJc w:val="left"/>
      <w:lvlText w:val="(%1)"/>
      <w:numFmt w:val="lowerLetter"/>
      <w:start w:val="5"/>
    </w:lvl>
  </w:abstractNum>
  <w:abstractNum w:abstractNumId="29">
    <w:nsid w:val="2D517796"/>
    <w:multiLevelType w:val="hybridMultilevel"/>
    <w:lvl w:ilvl="0">
      <w:lvlJc w:val="left"/>
      <w:lvlText w:val="(%1)"/>
      <w:numFmt w:val="lowerLetter"/>
      <w:start w:val="9"/>
    </w:lvl>
  </w:abstractNum>
  <w:abstractNum w:abstractNumId="30">
    <w:nsid w:val="580BD78F"/>
    <w:multiLevelType w:val="hybridMultilevel"/>
    <w:lvl w:ilvl="0">
      <w:lvlJc w:val="left"/>
      <w:lvlText w:val="(%1)"/>
      <w:numFmt w:val="lowerLetter"/>
      <w:start w:val="13"/>
    </w:lvl>
    <w:lvl w:ilvl="1">
      <w:lvlJc w:val="left"/>
      <w:lvlText w:val="(%2)"/>
      <w:numFmt w:val="upperLetter"/>
      <w:start w:val="1"/>
    </w:lvl>
  </w:abstractNum>
  <w:abstractNum w:abstractNumId="31">
    <w:nsid w:val="153EA438"/>
    <w:multiLevelType w:val="hybridMultilevel"/>
    <w:lvl w:ilvl="0">
      <w:lvlJc w:val="left"/>
      <w:lvlText w:val="(%1)"/>
      <w:numFmt w:val="lowerLetter"/>
      <w:start w:val="16"/>
    </w:lvl>
  </w:abstractNum>
  <w:abstractNum w:abstractNumId="32">
    <w:nsid w:val="3855585C"/>
    <w:multiLevelType w:val="hybridMultilevel"/>
    <w:lvl w:ilvl="0">
      <w:lvlJc w:val="left"/>
      <w:lvlText w:val="(%1)"/>
      <w:numFmt w:val="lowerLetter"/>
      <w:start w:val="61"/>
    </w:lvl>
    <w:lvl w:ilvl="1">
      <w:lvlJc w:val="left"/>
      <w:lvlText w:val="(%2)"/>
      <w:numFmt w:val="lowerLetter"/>
      <w:start w:val="19"/>
    </w:lvl>
  </w:abstractNum>
  <w:abstractNum w:abstractNumId="33">
    <w:nsid w:val="70A64E2A"/>
    <w:multiLevelType w:val="hybridMultilevel"/>
    <w:lvl w:ilvl="0">
      <w:lvlJc w:val="left"/>
      <w:lvlText w:val="%1"/>
      <w:numFmt w:val="lowerRoman"/>
      <w:start w:val="1"/>
    </w:lvl>
    <w:lvl w:ilvl="1">
      <w:lvlJc w:val="left"/>
      <w:lvlText w:val="(%2)"/>
      <w:numFmt w:val="lowerLetter"/>
      <w:start w:val="1"/>
    </w:lvl>
  </w:abstractNum>
  <w:abstractNum w:abstractNumId="34">
    <w:nsid w:val="6A2342EC"/>
    <w:multiLevelType w:val="hybridMultilevel"/>
    <w:lvl w:ilvl="0">
      <w:lvlJc w:val="left"/>
      <w:lvlText w:val="%1"/>
      <w:numFmt w:val="lowerRoman"/>
      <w:start w:val="1"/>
    </w:lvl>
    <w:lvl w:ilvl="1">
      <w:lvlJc w:val="left"/>
      <w:lvlText w:val="(%2)"/>
      <w:numFmt w:val="lowerLetter"/>
      <w:start w:val="9"/>
    </w:lvl>
  </w:abstractNum>
  <w:abstractNum w:abstractNumId="35">
    <w:nsid w:val="2A487CB0"/>
    <w:multiLevelType w:val="hybridMultilevel"/>
    <w:lvl w:ilvl="0">
      <w:lvlJc w:val="left"/>
      <w:lvlText w:val="%1"/>
      <w:numFmt w:val="lowerRoman"/>
      <w:start w:val="1"/>
    </w:lvl>
    <w:lvl w:ilvl="1">
      <w:lvlJc w:val="left"/>
      <w:lvlText w:val="(%2)"/>
      <w:numFmt w:val="lowerLetter"/>
      <w:start w:val="35"/>
    </w:lvl>
  </w:abstractNum>
  <w:abstractNum w:abstractNumId="36">
    <w:nsid w:val="1D4ED43B"/>
    <w:multiLevelType w:val="hybridMultilevel"/>
    <w:lvl w:ilvl="0">
      <w:lvlJc w:val="left"/>
      <w:lvlText w:val="%1"/>
      <w:numFmt w:val="lowerRoman"/>
      <w:start w:val="1"/>
    </w:lvl>
    <w:lvl w:ilvl="1">
      <w:lvlJc w:val="left"/>
      <w:lvlText w:val="(%2)"/>
      <w:numFmt w:val="lowerLetter"/>
      <w:start w:val="61"/>
    </w:lvl>
  </w:abstractNum>
  <w:abstractNum w:abstractNumId="37">
    <w:nsid w:val="725A06FB"/>
    <w:multiLevelType w:val="hybridMultilevel"/>
    <w:lvl w:ilvl="0">
      <w:lvlJc w:val="left"/>
      <w:lvlText w:val="(%1)"/>
      <w:numFmt w:val="lowerRoman"/>
      <w:start w:val="4"/>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1"/>
    </w:lvl>
    <w:lvl w:ilvl="1">
      <w:lvlJc w:val="left"/>
      <w:lvlText w:val="(%2)"/>
      <w:numFmt w:val="lowerLetter"/>
      <w:start w:val="3"/>
    </w:lvl>
  </w:abstractNum>
  <w:abstractNum w:abstractNumId="42">
    <w:nsid w:val="542289EC"/>
    <w:multiLevelType w:val="hybridMultilevel"/>
    <w:lvl w:ilvl="0">
      <w:lvlJc w:val="left"/>
      <w:lvlText w:val="(%1)"/>
      <w:numFmt w:val="lowerLetter"/>
      <w:start w:val="9"/>
    </w:lvl>
    <w:lvl w:ilvl="1">
      <w:lvlJc w:val="left"/>
      <w:lvlText w:val="(%2)"/>
      <w:numFmt w:val="lowerLetter"/>
      <w:start w:val="4"/>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2"/>
    </w:lvl>
    <w:lvl w:ilvl="1">
      <w:lvlJc w:val="left"/>
      <w:lvlText w:val="(%2)"/>
      <w:numFmt w:val="lowerRoman"/>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3"/>
    </w:lvl>
  </w:abstractNum>
  <w:abstractNum w:abstractNumId="47">
    <w:nsid w:val="684A481A"/>
    <w:multiLevelType w:val="hybridMultilevel"/>
    <w:lvl w:ilvl="0">
      <w:lvlJc w:val="left"/>
      <w:lvlText w:val="(%1)"/>
      <w:numFmt w:val="lowerLetter"/>
      <w:start w:val="5"/>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2019-12-28T08:00:06Z</dcterms:created>
  <dcterms:modified xsi:type="dcterms:W3CDTF">2019-12-28T08:00:06Z</dcterms:modified>
</cp:coreProperties>
</file>