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6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1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49" w:right="14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6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left="9"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left="9" w:right="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 w:type="dxa"/>
        <w:tblCellMar>
          <w:top w:w="0" w:type="dxa"/>
          <w:left w:w="0" w:type="dxa"/>
          <w:bottom w:w="0" w:type="dxa"/>
          <w:right w:w="0" w:type="dxa"/>
        </w:tblCellMar>
      </w:tblPr>
      <w:tr>
        <w:trPr>
          <w:trHeight w:val="174"/>
        </w:trPr>
        <w:tc>
          <w:tcPr>
            <w:tcW w:w="1720" w:type="dxa"/>
            <w:vAlign w:val="bottom"/>
          </w:tcPr>
          <w:p>
            <w:pPr>
              <w:spacing w:after="0" w:line="175" w:lineRule="exact"/>
              <w:rPr>
                <w:sz w:val="20"/>
                <w:szCs w:val="20"/>
                <w:color w:val="auto"/>
              </w:rPr>
            </w:pPr>
            <w:r>
              <w:rPr>
                <w:rFonts w:ascii="Arial" w:cs="Arial" w:eastAsia="Arial" w:hAnsi="Arial"/>
                <w:sz w:val="18"/>
                <w:szCs w:val="18"/>
                <w:color w:val="auto"/>
                <w:w w:val="95"/>
              </w:rPr>
              <w:t>Large accelerated filer</w:t>
            </w:r>
          </w:p>
        </w:tc>
        <w:tc>
          <w:tcPr>
            <w:tcW w:w="3000" w:type="dxa"/>
            <w:vAlign w:val="bottom"/>
          </w:tcPr>
          <w:p>
            <w:pPr>
              <w:ind w:left="100"/>
              <w:spacing w:after="0" w:line="174"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2720"/>
              <w:spacing w:after="0" w:line="175" w:lineRule="exact"/>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2720"/>
              <w:spacing w:after="0"/>
              <w:rPr>
                <w:sz w:val="20"/>
                <w:szCs w:val="20"/>
                <w:color w:val="auto"/>
              </w:rPr>
            </w:pPr>
            <w:r>
              <w:rPr>
                <w:rFonts w:ascii="Arial" w:cs="Arial" w:eastAsia="Arial" w:hAnsi="Arial"/>
                <w:sz w:val="18"/>
                <w:szCs w:val="18"/>
                <w:color w:val="auto"/>
              </w:rPr>
              <w:t>Small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42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60" w:type="dxa"/>
            <w:vAlign w:val="bottom"/>
          </w:tcPr>
          <w:p>
            <w:pPr>
              <w:spacing w:after="0"/>
              <w:rPr>
                <w:sz w:val="20"/>
                <w:szCs w:val="20"/>
                <w:color w:val="auto"/>
              </w:rPr>
            </w:pPr>
          </w:p>
        </w:tc>
      </w:tr>
    </w:tbl>
    <w:p>
      <w:pPr>
        <w:spacing w:after="0" w:line="156" w:lineRule="exact"/>
        <w:rPr>
          <w:sz w:val="24"/>
          <w:szCs w:val="24"/>
          <w:color w:val="auto"/>
        </w:rPr>
      </w:pPr>
    </w:p>
    <w:p>
      <w:pPr>
        <w:ind w:left="9"/>
        <w:spacing w:after="0" w:line="207" w:lineRule="exact"/>
        <w:tabs>
          <w:tab w:leader="none" w:pos="8388" w:val="left"/>
          <w:tab w:leader="none" w:pos="9168"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November 2, 2018 was 17,094,074.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40" w:type="dxa"/>
            <w:vAlign w:val="bottom"/>
            <w:gridSpan w:val="14"/>
            <w:vMerge w:val="restart"/>
          </w:tcPr>
          <w:p>
            <w:pPr>
              <w:jc w:val="center"/>
              <w:ind w:right="17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gridSpan w:val="1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20" w:type="dxa"/>
            <w:vAlign w:val="bottom"/>
            <w:gridSpan w:val="2"/>
          </w:tcPr>
          <w:p>
            <w:pPr>
              <w:spacing w:after="0"/>
              <w:rPr>
                <w:sz w:val="18"/>
                <w:szCs w:val="18"/>
                <w:color w:val="auto"/>
              </w:rPr>
            </w:pPr>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September 30, 2018 (unaudited) and December 31, 2017</w:t>
              </w:r>
            </w:hyperlink>
          </w:p>
        </w:tc>
        <w:tc>
          <w:tcPr>
            <w:tcW w:w="84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for the three and nine months ended</w:t>
              </w:r>
            </w:hyperlink>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2018 and 2017 (unaudited)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00" w:type="dxa"/>
            <w:vAlign w:val="bottom"/>
            <w:gridSpan w:val="1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Statements of Cash Flows for the nine months ended September 30, 2018 and 2017</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6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Financial Statements (unaudited)</w:t>
              </w:r>
            </w:hyperlink>
          </w:p>
        </w:tc>
        <w:tc>
          <w:tcPr>
            <w:tcW w:w="342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16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762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II—OTHER INFORMATION</w:t>
              </w:r>
            </w:hyperlink>
          </w:p>
        </w:tc>
        <w:tc>
          <w:tcPr>
            <w:tcW w:w="23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326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Upon Senior Securities</w:t>
              </w:r>
            </w:hyperlink>
          </w:p>
        </w:tc>
        <w:tc>
          <w:tcPr>
            <w:tcW w:w="52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4.</w:t>
              </w:r>
            </w:hyperlink>
          </w:p>
        </w:tc>
        <w:tc>
          <w:tcPr>
            <w:tcW w:w="50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584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5.</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6.</w:t>
              </w:r>
            </w:hyperlink>
          </w:p>
        </w:tc>
        <w:tc>
          <w:tcPr>
            <w:tcW w:w="500" w:type="dxa"/>
            <w:vAlign w:val="bottom"/>
            <w:gridSpan w:val="2"/>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28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732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88"/>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2,847</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 issued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September 30, 2018 and December 31, 2017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00"/>
              <w:spacing w:after="0" w:line="201" w:lineRule="exact"/>
              <w:rPr>
                <w:sz w:val="20"/>
                <w:szCs w:val="20"/>
                <w:color w:val="auto"/>
              </w:rPr>
            </w:pPr>
            <w:r>
              <w:rPr>
                <w:rFonts w:ascii="Arial" w:cs="Arial" w:eastAsia="Arial" w:hAnsi="Arial"/>
                <w:sz w:val="18"/>
                <w:szCs w:val="18"/>
                <w:color w:val="auto"/>
                <w:w w:val="93"/>
              </w:rPr>
              <w:t>Common stock, $0.0001 par value per share; 100,000,000 shares authorized; 17,065,846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and 12,817,201 shares issued and outstanding as of September 30, 2018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(130,513)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Weighted-average shares used to compute net loss per</w:t>
            </w: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16,944,660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12,559,812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16,130,882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12,425,390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 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Nine Months Ended</w:t>
      </w:r>
    </w:p>
    <w:p>
      <w:pPr>
        <w:ind w:left="71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(14,274)</w:t>
            </w: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(16,719)</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1,069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837</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2,064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1,511</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loss on extinguishment of debt</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185</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286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188</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709</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1,224</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(1,876)</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(527)</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309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(2,628)</w:t>
            </w: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320</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(11)</w:t>
            </w: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(140)</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(333)</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4,840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1,109</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income on shipments to distributors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323</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Shipping term reversal</w:t>
            </w:r>
          </w:p>
        </w:tc>
        <w:tc>
          <w:tcPr>
            <w:tcW w:w="22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(39)</w:t>
            </w:r>
          </w:p>
        </w:tc>
        <w:tc>
          <w:tcPr>
            <w:tcW w:w="22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56"/>
        </w:trPr>
        <w:tc>
          <w:tcPr>
            <w:tcW w:w="64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(6,879)</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(14,521)</w:t>
            </w:r>
          </w:p>
        </w:tc>
        <w:tc>
          <w:tcPr>
            <w:tcW w:w="260" w:type="dxa"/>
            <w:vAlign w:val="bottom"/>
            <w:tcBorders>
              <w:top w:val="single" w:sz="8" w:color="CCEEFF"/>
            </w:tcBorders>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(1,513)</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(2,170)</w:t>
            </w:r>
          </w:p>
        </w:tc>
      </w:tr>
      <w:tr>
        <w:trPr>
          <w:trHeight w:val="156"/>
        </w:trPr>
        <w:tc>
          <w:tcPr>
            <w:tcW w:w="6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(1,513)</w:t>
            </w:r>
          </w:p>
        </w:tc>
        <w:tc>
          <w:tcPr>
            <w:tcW w:w="2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(2,170)</w:t>
            </w:r>
          </w:p>
        </w:tc>
        <w:tc>
          <w:tcPr>
            <w:tcW w:w="260" w:type="dxa"/>
            <w:vAlign w:val="bottom"/>
            <w:tcBorders>
              <w:bottom w:val="single" w:sz="8" w:color="CCEEFF"/>
            </w:tcBorders>
          </w:tcPr>
          <w:p>
            <w:pPr>
              <w:spacing w:after="0"/>
              <w:rPr>
                <w:sz w:val="13"/>
                <w:szCs w:val="13"/>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Proceeds from the issuance of common stock, net of offering costs</w:t>
            </w: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24,524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debt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1,000</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12,000</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Payments on debt</w:t>
            </w:r>
          </w:p>
        </w:tc>
        <w:tc>
          <w:tcPr>
            <w:tcW w:w="22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(1,000)</w:t>
            </w:r>
          </w:p>
        </w:tc>
        <w:tc>
          <w:tcPr>
            <w:tcW w:w="22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(8,356)</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(49)</w:t>
            </w: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Payments on capital lease obligation</w:t>
            </w:r>
          </w:p>
        </w:tc>
        <w:tc>
          <w:tcPr>
            <w:tcW w:w="22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(8)</w:t>
            </w:r>
          </w:p>
        </w:tc>
        <w:tc>
          <w:tcPr>
            <w:tcW w:w="22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(7)</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9"/>
              </w:rPr>
              <w:t>Proceeds from exercise of stock options and purchase of shares in employee stock purchase plan</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2,364</w:t>
            </w:r>
          </w:p>
        </w:tc>
        <w:tc>
          <w:tcPr>
            <w:tcW w:w="2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1,218</w:t>
            </w:r>
          </w:p>
        </w:tc>
        <w:tc>
          <w:tcPr>
            <w:tcW w:w="260" w:type="dxa"/>
            <w:vAlign w:val="bottom"/>
            <w:shd w:val="clear" w:color="auto" w:fill="CCEEFF"/>
          </w:tcPr>
          <w:p>
            <w:pPr>
              <w:spacing w:after="0"/>
              <w:rPr>
                <w:sz w:val="14"/>
                <w:szCs w:val="14"/>
                <w:color w:val="auto"/>
              </w:rPr>
            </w:pPr>
          </w:p>
        </w:tc>
      </w:tr>
      <w:tr>
        <w:trPr>
          <w:trHeight w:val="156"/>
        </w:trPr>
        <w:tc>
          <w:tcPr>
            <w:tcW w:w="6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26,880</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4,806</w:t>
            </w:r>
          </w:p>
        </w:tc>
        <w:tc>
          <w:tcPr>
            <w:tcW w:w="260" w:type="dxa"/>
            <w:vAlign w:val="bottom"/>
            <w:tcBorders>
              <w:bottom w:val="single" w:sz="8" w:color="CCEEFF"/>
            </w:tcBorders>
          </w:tcPr>
          <w:p>
            <w:pPr>
              <w:spacing w:after="0"/>
              <w:rPr>
                <w:sz w:val="13"/>
                <w:szCs w:val="13"/>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18,488</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(11,885)</w:t>
            </w: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12,950</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29,727</w:t>
            </w:r>
          </w:p>
        </w:tc>
        <w:tc>
          <w:tcPr>
            <w:tcW w:w="260" w:type="dxa"/>
            <w:vAlign w:val="bottom"/>
            <w:tcBorders>
              <w:bottom w:val="single" w:sz="8" w:color="CCEEFF"/>
            </w:tcBorders>
          </w:tcPr>
          <w:p>
            <w:pPr>
              <w:spacing w:after="0"/>
              <w:rPr>
                <w:sz w:val="14"/>
                <w:szCs w:val="14"/>
                <w:color w:val="auto"/>
              </w:rPr>
            </w:pPr>
          </w:p>
        </w:tc>
      </w:tr>
      <w:tr>
        <w:trPr>
          <w:trHeight w:val="176"/>
        </w:trPr>
        <w:tc>
          <w:tcPr>
            <w:tcW w:w="64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31,438</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17,842</w:t>
            </w:r>
          </w:p>
        </w:tc>
        <w:tc>
          <w:tcPr>
            <w:tcW w:w="260" w:type="dxa"/>
            <w:vAlign w:val="bottom"/>
            <w:tcBorders>
              <w:bottom w:val="single" w:sz="8" w:color="CCEEFF"/>
            </w:tcBorders>
            <w:shd w:val="clear" w:color="auto" w:fill="CCEEFF"/>
          </w:tcPr>
          <w:p>
            <w:pPr>
              <w:spacing w:after="0"/>
              <w:rPr>
                <w:sz w:val="15"/>
                <w:szCs w:val="15"/>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5"/>
                <w:szCs w:val="15"/>
                <w:b w:val="1"/>
                <w:bCs w:val="1"/>
                <w:color w:val="auto"/>
              </w:rPr>
              <w:t>Supplementary cash flow information: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82"/>
        </w:trPr>
        <w:tc>
          <w:tcPr>
            <w:tcW w:w="64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Interest paid</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370</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396</w:t>
            </w:r>
          </w:p>
        </w:tc>
        <w:tc>
          <w:tcPr>
            <w:tcW w:w="260" w:type="dxa"/>
            <w:vAlign w:val="bottom"/>
            <w:tcBorders>
              <w:bottom w:val="single" w:sz="8" w:color="CCEEFF"/>
            </w:tcBorders>
            <w:shd w:val="clear" w:color="auto" w:fill="CCEEFF"/>
          </w:tcPr>
          <w:p>
            <w:pPr>
              <w:spacing w:after="0"/>
              <w:rPr>
                <w:sz w:val="15"/>
                <w:szCs w:val="15"/>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82"/>
        </w:trPr>
        <w:tc>
          <w:tcPr>
            <w:tcW w:w="64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Purchase of property and equipment in accounts payable</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183</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764</w:t>
            </w:r>
          </w:p>
        </w:tc>
        <w:tc>
          <w:tcPr>
            <w:tcW w:w="260" w:type="dxa"/>
            <w:vAlign w:val="bottom"/>
            <w:tcBorders>
              <w:bottom w:val="single" w:sz="8" w:color="CCEEFF"/>
            </w:tcBorders>
            <w:shd w:val="clear" w:color="auto" w:fill="CCEEFF"/>
          </w:tcPr>
          <w:p>
            <w:pPr>
              <w:spacing w:after="0"/>
              <w:rPr>
                <w:sz w:val="15"/>
                <w:szCs w:val="15"/>
                <w:color w:val="auto"/>
              </w:rPr>
            </w:pPr>
          </w:p>
        </w:tc>
      </w:tr>
      <w:tr>
        <w:trPr>
          <w:trHeight w:val="156"/>
        </w:trPr>
        <w:tc>
          <w:tcPr>
            <w:tcW w:w="6480" w:type="dxa"/>
            <w:vAlign w:val="bottom"/>
          </w:tcPr>
          <w:p>
            <w:pPr>
              <w:spacing w:after="0" w:line="149" w:lineRule="exact"/>
              <w:rPr>
                <w:sz w:val="20"/>
                <w:szCs w:val="20"/>
                <w:color w:val="auto"/>
              </w:rPr>
            </w:pPr>
            <w:r>
              <w:rPr>
                <w:rFonts w:ascii="Arial" w:cs="Arial" w:eastAsia="Arial" w:hAnsi="Arial"/>
                <w:sz w:val="15"/>
                <w:szCs w:val="15"/>
                <w:color w:val="auto"/>
              </w:rPr>
              <w:t>Issuance of warrants with debt</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43</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3"/>
              <w:spacing w:after="0" w:line="14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The Company believes that its existing cash and cash equivalents as of September 30, 2018,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2017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nine months ended September 30,</w:t>
      </w:r>
    </w:p>
    <w:p>
      <w:pPr>
        <w:spacing w:after="0" w:line="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2018 are not necessarily indicative of the results to be expected for the year ending December 31, 2018 or for any other interim period or for any other future year.</w:t>
      </w:r>
    </w:p>
    <w:p>
      <w:pPr>
        <w:spacing w:after="0" w:line="18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2017,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income taxes, and stock-based compensation. Actual results could differ from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estimates credits to distributors based on the historical rate of credits provided to distributors relative to sales. At September 30, 2018, the allowance for product returns and the allowance for price concessions were $230,000 and $362,000, respectively. At December 31, 2017, the allowance for product returns and the allowance for price concessions were $147,000 and $0, respectively.</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60" w:type="dxa"/>
            <w:vAlign w:val="bottom"/>
            <w:gridSpan w:val="4"/>
          </w:tcPr>
          <w:p>
            <w:pPr>
              <w:ind w:left="140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9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accounts receivable</w:t>
            </w:r>
          </w:p>
        </w:tc>
        <w:tc>
          <w:tcPr>
            <w:tcW w:w="1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7"/>
        </w:trPr>
        <w:tc>
          <w:tcPr>
            <w:tcW w:w="39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5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Revenue</w:t>
            </w:r>
          </w:p>
        </w:tc>
        <w:tc>
          <w:tcPr>
            <w:tcW w:w="23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Accounts Receivable, net</w:t>
            </w:r>
          </w:p>
        </w:tc>
      </w:tr>
      <w:tr>
        <w:trPr>
          <w:trHeight w:val="119"/>
        </w:trPr>
        <w:tc>
          <w:tcPr>
            <w:tcW w:w="2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Borders>
              <w:top w:val="single" w:sz="8" w:color="auto"/>
            </w:tcBorders>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Three Months Ended</w:t>
            </w:r>
          </w:p>
        </w:tc>
        <w:tc>
          <w:tcPr>
            <w:tcW w:w="13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As of</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2"/>
              </w:rPr>
              <w:t>As of</w:t>
            </w:r>
          </w:p>
        </w:tc>
        <w:tc>
          <w:tcPr>
            <w:tcW w:w="340" w:type="dxa"/>
            <w:vAlign w:val="bottom"/>
          </w:tcPr>
          <w:p>
            <w:pPr>
              <w:spacing w:after="0"/>
              <w:rPr>
                <w:sz w:val="10"/>
                <w:szCs w:val="10"/>
                <w:color w:val="auto"/>
              </w:rPr>
            </w:pPr>
          </w:p>
        </w:tc>
      </w:tr>
      <w:tr>
        <w:trPr>
          <w:trHeight w:val="171"/>
        </w:trPr>
        <w:tc>
          <w:tcPr>
            <w:tcW w:w="2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2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3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r>
      <w:tr>
        <w:trPr>
          <w:trHeight w:val="210"/>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14 %</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C</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Customer 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Customer F</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Customer H</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15 %</w:t>
            </w:r>
          </w:p>
        </w:tc>
      </w:tr>
      <w:tr>
        <w:trPr>
          <w:trHeight w:val="216"/>
        </w:trPr>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10 %</w:t>
            </w:r>
          </w:p>
        </w:tc>
      </w:tr>
      <w:tr>
        <w:trPr>
          <w:trHeight w:val="108"/>
        </w:trPr>
        <w:tc>
          <w:tcPr>
            <w:tcW w:w="208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r>
    </w:tbl>
    <w:p>
      <w:pPr>
        <w:spacing w:after="0" w:line="94"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inputs that are significant to the valuation (Level 3 measurements). The guidance establishes three levels of the fair value hierarchy as follows: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1—Inputs are unadjusted quoted prices in active markets for identical assets or liabilities at the measurement date.</w:t>
      </w:r>
    </w:p>
    <w:p>
      <w:pPr>
        <w:spacing w:after="0" w:line="248" w:lineRule="exact"/>
        <w:rPr>
          <w:sz w:val="20"/>
          <w:szCs w:val="20"/>
          <w:color w:val="auto"/>
        </w:rPr>
      </w:pPr>
    </w:p>
    <w:p>
      <w:pPr>
        <w:ind w:left="320" w:right="59"/>
        <w:spacing w:after="0" w:line="264" w:lineRule="auto"/>
        <w:rPr>
          <w:sz w:val="20"/>
          <w:szCs w:val="20"/>
          <w:color w:val="auto"/>
        </w:rPr>
      </w:pPr>
      <w:r>
        <w:rPr>
          <w:rFonts w:ascii="Arial" w:cs="Arial" w:eastAsia="Arial" w:hAnsi="Arial"/>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81" w:lineRule="exact"/>
        <w:rPr>
          <w:sz w:val="20"/>
          <w:szCs w:val="20"/>
          <w:color w:val="auto"/>
        </w:rPr>
      </w:pPr>
    </w:p>
    <w:p>
      <w:pPr>
        <w:ind w:left="320" w:right="459"/>
        <w:spacing w:after="0" w:line="264"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ind w:left="320" w:right="19"/>
        <w:spacing w:after="0" w:line="255" w:lineRule="auto"/>
        <w:rPr>
          <w:sz w:val="20"/>
          <w:szCs w:val="20"/>
          <w:color w:val="auto"/>
        </w:rPr>
      </w:pPr>
      <w:r>
        <w:rPr>
          <w:rFonts w:ascii="Arial" w:cs="Arial" w:eastAsia="Arial" w:hAnsi="Arial"/>
          <w:sz w:val="18"/>
          <w:szCs w:val="18"/>
          <w:color w:val="auto"/>
        </w:rPr>
        <w:t>The carrying value of accounts receivable, accounts payable, and other accruals readily convertible into cash approximate fair value because of the short-term nature of the instruments. As of September 30, 2018,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9" w:lineRule="exact"/>
        <w:rPr>
          <w:sz w:val="20"/>
          <w:szCs w:val="20"/>
          <w:color w:val="auto"/>
        </w:rPr>
      </w:pPr>
    </w:p>
    <w:p>
      <w:pPr>
        <w:ind w:right="35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measured at fair value on a recurring basis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September 30, 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Money market funds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$31,683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$31,683</w:t>
            </w: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$31,683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$31,683</w:t>
            </w:r>
          </w:p>
        </w:tc>
      </w:tr>
      <w:tr>
        <w:trPr>
          <w:trHeight w:val="378"/>
        </w:trPr>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Money market funds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$13,369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$13,369</w:t>
            </w:r>
          </w:p>
        </w:tc>
      </w:tr>
      <w:tr>
        <w:trPr>
          <w:trHeight w:val="21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$13,369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19" w:firstLine="324"/>
        <w:spacing w:after="0" w:line="25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which the Company expects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99" w:firstLine="324"/>
        <w:spacing w:after="0" w:line="255" w:lineRule="auto"/>
        <w:rPr>
          <w:sz w:val="20"/>
          <w:szCs w:val="20"/>
          <w:color w:val="auto"/>
        </w:rPr>
      </w:pPr>
      <w:r>
        <w:rPr>
          <w:rFonts w:ascii="Arial" w:cs="Arial" w:eastAsia="Arial" w:hAnsi="Arial"/>
          <w:sz w:val="18"/>
          <w:szCs w:val="18"/>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359" w:firstLine="324"/>
        <w:spacing w:after="0" w:line="342" w:lineRule="auto"/>
        <w:rPr>
          <w:sz w:val="20"/>
          <w:szCs w:val="20"/>
          <w:color w:val="auto"/>
        </w:rPr>
      </w:pPr>
      <w:r>
        <w:rPr>
          <w:rFonts w:ascii="Arial" w:cs="Arial" w:eastAsia="Arial" w:hAnsi="Arial"/>
          <w:sz w:val="16"/>
          <w:szCs w:val="16"/>
          <w:color w:val="auto"/>
        </w:rPr>
        <w:t>For products sold in their discrete form, the Company either sells its products directly to original equipment manufacturers (OEMs), original design manufacturers (ODMs) and contract manufacturers (CMs), or through a network</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distributors, who in turn sell to those customers. For sales directly to OEMs, ODMs and CMs, revenue is recognized when the OEM, ODM or CM obtains control of the product, which occurs at a point in time, generally upon shipment to the customer.</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may resell the Company’s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records such estimates in the same period the related revenue is recognized, resulting in a reduction of product revenue and the establishment of an allowance for price concessions due to distributors. The Company estimates credits to distributors based on the historical rate of credits provided to distributors relative to sales. Revenue on shipments to distributors is recorded when control of the products has been transferred to the distributor.</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estimates the amount of its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88"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At the time of shipment to distributors,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transaction price in each agreement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Revenue from sales-based royalties from licenses of the Company’s technology are recognized at the later of when (1) the sale occurs or (2) the performance obligation to which some or all of the sales-based royalty has been allocated is satisfied (in whole or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For certain revenue streams, the Company recognizes revenue based on the pattern of transfer of the services. The Company uses the input method of measuring costs incurred to date compared to total estimated costs to be incurred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Revenue from milestone payments must be estimated using either the expected value method or the most likely amount method. 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Certain amounts in the prior period have been reclassified to conform with current period presentation. There was no impact on total revenue or net loss for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The Company adopted this standard on January 1, 2018 using the modified retrospective method. The Company recognized the cumulative effect of initially applying the new revenue standard as an adjustment to the opening balance of its accumulated deficit. The comparative information has not been restated and continues to be reported under the accounting standards in effect for those periods.</w:t>
      </w:r>
    </w:p>
    <w:p>
      <w:pPr>
        <w:spacing w:after="0" w:line="16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Topic 606 permits the application of certain practical expedients. The Company’s billing practices approximate the Company’s performance as measured by an output method, where each output represents the completion of a performance obligation. Accordingly, the Company utilizes the invoice practical expedient as defined in Topic 606, resulting in recognition of revenue in the amount that the Company has the right to invoice.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incurs direct and incremental costs of obtaining contracts and such costs are expensed as incurred, as the life of the underlying contract is less than one year. Accordingly, the Company has concluded, based on the structure of its contracts, no adjustments are necessary under Topic 606.</w:t>
      </w:r>
    </w:p>
    <w:p>
      <w:pPr>
        <w:spacing w:after="0" w:line="18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As a result of the adoption of the new standard, the Company changed its accounting policy for revenue recognition and the details of the significant changes and quantitative impact of the changes are disclosed below.</w:t>
      </w:r>
    </w:p>
    <w:p>
      <w:pPr>
        <w:spacing w:after="0" w:line="147" w:lineRule="exact"/>
        <w:rPr>
          <w:sz w:val="20"/>
          <w:szCs w:val="20"/>
          <w:color w:val="auto"/>
        </w:rPr>
      </w:pPr>
    </w:p>
    <w:p>
      <w:pPr>
        <w:ind w:left="320" w:right="80"/>
        <w:spacing w:after="0" w:line="302" w:lineRule="auto"/>
        <w:rPr>
          <w:sz w:val="20"/>
          <w:szCs w:val="20"/>
          <w:color w:val="auto"/>
        </w:rPr>
      </w:pPr>
      <w:r>
        <w:rPr>
          <w:rFonts w:ascii="Arial" w:cs="Arial" w:eastAsia="Arial" w:hAnsi="Arial"/>
          <w:sz w:val="16"/>
          <w:szCs w:val="16"/>
          <w:i w:val="1"/>
          <w:iCs w:val="1"/>
          <w:color w:val="auto"/>
        </w:rPr>
        <w:t xml:space="preserve">Distributor sales </w:t>
      </w:r>
      <w:r>
        <w:rPr>
          <w:rFonts w:ascii="Arial" w:cs="Arial" w:eastAsia="Arial" w:hAnsi="Arial"/>
          <w:sz w:val="16"/>
          <w:szCs w:val="16"/>
          <w:color w:val="auto"/>
        </w:rPr>
        <w:t>- Some of the Company's contracts with distributors provide the distributor with certain concessions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price protection credits. Under Topic 605, Revenue, these concessions and price protection credits were not fixed or determinable and, as a result, the associated revenue was deferred until delivery of the product to the end customer. At the time of shipment to distributors, the Company recorded a trade receivable for the selling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right="80"/>
        <w:spacing w:after="0" w:line="291" w:lineRule="auto"/>
        <w:rPr>
          <w:sz w:val="20"/>
          <w:szCs w:val="20"/>
          <w:color w:val="auto"/>
        </w:rPr>
      </w:pPr>
      <w:r>
        <w:rPr>
          <w:rFonts w:ascii="Arial" w:cs="Arial" w:eastAsia="Arial" w:hAnsi="Arial"/>
          <w:sz w:val="16"/>
          <w:szCs w:val="16"/>
          <w:color w:val="auto"/>
        </w:rPr>
        <w:t>price as there was a legally enforceable obligation of the distributor to pay for the product delivered, inventory was reduced by the carrying value of goods shipped, and the net of these amounts, the gross profit, was recorded as deferred income on shipments to distributors on the balance sheet. Under Topic 606, the Company recognizes revenue from sales to distributors upon delivery of the product to the distributor and estimates the amount of the concessions and price protection credits at the point of revenue recognition. Accordingly, the balance of the deferred income on shipments to distributors was eliminated as a cumulative effect adjustment of implementing Topic 606 as of January 1, 2018, net of the Company’s estimate of concessions and price protection credits for those contracts.</w:t>
      </w:r>
    </w:p>
    <w:p>
      <w:pPr>
        <w:spacing w:after="0" w:line="167" w:lineRule="exact"/>
        <w:rPr>
          <w:sz w:val="20"/>
          <w:szCs w:val="20"/>
          <w:color w:val="auto"/>
        </w:rPr>
      </w:pPr>
    </w:p>
    <w:p>
      <w:pPr>
        <w:ind w:left="320" w:right="20"/>
        <w:spacing w:after="0" w:line="291" w:lineRule="auto"/>
        <w:rPr>
          <w:sz w:val="20"/>
          <w:szCs w:val="20"/>
          <w:color w:val="auto"/>
        </w:rPr>
      </w:pPr>
      <w:r>
        <w:rPr>
          <w:rFonts w:ascii="Arial" w:cs="Arial" w:eastAsia="Arial" w:hAnsi="Arial"/>
          <w:sz w:val="16"/>
          <w:szCs w:val="16"/>
          <w:i w:val="1"/>
          <w:iCs w:val="1"/>
          <w:color w:val="auto"/>
        </w:rPr>
        <w:t xml:space="preserve">Performance obligations delivered over time </w:t>
      </w:r>
      <w:r>
        <w:rPr>
          <w:rFonts w:ascii="Arial" w:cs="Arial" w:eastAsia="Arial" w:hAnsi="Arial"/>
          <w:sz w:val="16"/>
          <w:szCs w:val="16"/>
          <w:color w:val="auto"/>
        </w:rPr>
        <w:t>–Topic 605 permitted straight-line recognition of revenue for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that were delivered over time. The new revenue standard requires an entity to recognize revenue based on the pattern of transfer of the services. Entities must use either an input method or an output method to measure progress toward complete satisfaction of a performance obligation. The Company determined that the input method of measuring costs incurred to date compared to total estimated costs to be incurred under the contract most faithfully depicts its performance. Under Topic 606, the Company will record an unbilled receivable (within accounts receivable, net) for the portion of the service that has been completed but not invoiced at the end of each reporting period.</w:t>
      </w:r>
    </w:p>
    <w:p>
      <w:pPr>
        <w:spacing w:after="0" w:line="167" w:lineRule="exact"/>
        <w:rPr>
          <w:sz w:val="20"/>
          <w:szCs w:val="20"/>
          <w:color w:val="auto"/>
        </w:rPr>
      </w:pPr>
    </w:p>
    <w:p>
      <w:pPr>
        <w:ind w:left="320"/>
        <w:spacing w:after="0" w:line="291"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Topic 605 permitted recognition using the milestone method, whereby revenue was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completion of substantive milestones once the customers acknowledge the milestones have been met and the collection of the amounts is reasonably assured. The milestone method no longer exists under the new revenue standard. Revenue from milestone payments must be estimated using either the expected value method or the most likely amount method. If it is probable that a significant reversal of cumulative revenue would not occur, the associated milestone value is included in the transaction price. The adoption of Topic 606 did not have an impact on milestone revenue recorded to date as the performance obligations related to such milestones were completed as of the adoption date.</w:t>
      </w:r>
    </w:p>
    <w:p>
      <w:pPr>
        <w:spacing w:after="0" w:line="167" w:lineRule="exact"/>
        <w:rPr>
          <w:sz w:val="20"/>
          <w:szCs w:val="20"/>
          <w:color w:val="auto"/>
        </w:rPr>
      </w:pPr>
    </w:p>
    <w:p>
      <w:pPr>
        <w:jc w:val="both"/>
        <w:ind w:left="320" w:right="200"/>
        <w:spacing w:after="0" w:line="302" w:lineRule="auto"/>
        <w:rPr>
          <w:sz w:val="20"/>
          <w:szCs w:val="20"/>
          <w:color w:val="auto"/>
        </w:rPr>
      </w:pPr>
      <w:r>
        <w:rPr>
          <w:rFonts w:ascii="Arial" w:cs="Arial" w:eastAsia="Arial" w:hAnsi="Arial"/>
          <w:sz w:val="16"/>
          <w:szCs w:val="16"/>
          <w:i w:val="1"/>
          <w:iCs w:val="1"/>
          <w:color w:val="auto"/>
        </w:rPr>
        <w:t xml:space="preserve">Sales-based royalties </w:t>
      </w:r>
      <w:r>
        <w:rPr>
          <w:rFonts w:ascii="Arial" w:cs="Arial" w:eastAsia="Arial" w:hAnsi="Arial"/>
          <w:sz w:val="16"/>
          <w:szCs w:val="16"/>
          <w:color w:val="auto"/>
        </w:rPr>
        <w:t>– Topic 605 permitted recognition of royalties when reported to the Company,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coincided with the receipt of payment. Under the new revenue standard, revenue generated from sales-based royalties from licenses of technology are recognized at the later of when (1) the sale occurs or (2) the performance obligation to which some or all of the sales-based royalty has been allocated is satisfied (in whole or in part).</w:t>
      </w:r>
    </w:p>
    <w:p>
      <w:pPr>
        <w:spacing w:after="0" w:line="15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change in revenue recognition upon adoption of Topic 606 resulted in a decrease in the accumulated deficit balance of $1.3 million on January 1, 2018.</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balance sheet line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Balances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without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September 30, 2018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 reported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the adoption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Topic 606</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income on shipments to distributors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(130,513)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(134,002)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statement of operations line items (in thousands, except per share data):</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Balances</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September 30, 2018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 reported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the adoption of</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6"/>
              </w:rPr>
              <w:t>Net loss per common share, basic and 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557"/>
        </w:trPr>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Balances</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 reported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the adoption of</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6"/>
              </w:rPr>
              <w:t>Net loss per common share, basic and 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statement of cash flows line items (in thousands):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(14,274)</w:t>
            </w:r>
          </w:p>
        </w:tc>
        <w:tc>
          <w:tcPr>
            <w:tcW w:w="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(2,189)</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used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 operating activities: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3700" w:type="dxa"/>
            <w:vAlign w:val="bottom"/>
          </w:tcPr>
          <w:p>
            <w:pPr>
              <w:ind w:left="100"/>
              <w:spacing w:after="0"/>
              <w:rPr>
                <w:sz w:val="20"/>
                <w:szCs w:val="20"/>
                <w:color w:val="auto"/>
              </w:rPr>
            </w:pPr>
            <w:r>
              <w:rPr>
                <w:rFonts w:ascii="Arial" w:cs="Arial" w:eastAsia="Arial" w:hAnsi="Arial"/>
                <w:sz w:val="18"/>
                <w:szCs w:val="18"/>
                <w:color w:val="auto"/>
              </w:rPr>
              <w:t>Shipping term reversal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Compensation-Stock Compensation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was permitted. The Company adopted this standard on January 1, 2018, and the impact of its adoption on the Company’s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was permitted, including adoption in an interim period. The Company adopted this standard on January 1, 2018, and the impact of its adoption on the Company’s financial statements was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right="60" w:firstLine="324"/>
        <w:spacing w:after="0" w:line="217" w:lineRule="exact"/>
        <w:rPr>
          <w:sz w:val="20"/>
          <w:szCs w:val="20"/>
          <w:color w:val="auto"/>
        </w:rPr>
      </w:pPr>
      <w:r>
        <w:rPr>
          <w:rFonts w:ascii="Arial" w:cs="Arial" w:eastAsia="Arial" w:hAnsi="Arial"/>
          <w:sz w:val="17"/>
          <w:szCs w:val="17"/>
          <w:color w:val="auto"/>
        </w:rPr>
        <w:t>In February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In July 2018, the FASB issued ASU 2018-10, Codification Improvements to Topic 842 Leases and ASU No. 2018-11, Leases (Topic 842) Targeted Improvements. ASU 2018-10 clarifies how to apply certain aspects of ASU 2016-02. ASU 2018-11 provides entities with an additional transition method to adopt Topic 842. Under the new transition method, an entity initially applies the new leases standard at the adoption date, versus at the beginning of the earliest period presented, and recognizes a cumulative-effect adjustment to the opening balance of retained earnings in the period of adoption. The Company is currently evaluating the impact that the adoption of ASU No. 2016</w:t>
      </w:r>
      <w:r>
        <w:rPr>
          <w:rFonts w:ascii="MS PGothic" w:cs="MS PGothic" w:eastAsia="MS PGothic" w:hAnsi="MS PGothic"/>
          <w:sz w:val="17"/>
          <w:szCs w:val="17"/>
          <w:color w:val="auto"/>
        </w:rPr>
        <w:t>‑</w:t>
      </w:r>
      <w:r>
        <w:rPr>
          <w:rFonts w:ascii="Arial" w:cs="Arial" w:eastAsia="Arial" w:hAnsi="Arial"/>
          <w:sz w:val="17"/>
          <w:szCs w:val="17"/>
          <w:color w:val="auto"/>
        </w:rPr>
        <w:t>02 will have on its financial statements and related disclosures along with ASU 2018-10 and ASU 2018-11.</w:t>
      </w:r>
    </w:p>
    <w:p>
      <w:pPr>
        <w:spacing w:after="0" w:line="20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is currently evaluating the impact that the adoption of ASU 2018-07 will have on its financial statements and related disclosures.</w:t>
      </w:r>
    </w:p>
    <w:p>
      <w:pPr>
        <w:spacing w:after="0" w:line="166" w:lineRule="exact"/>
        <w:rPr>
          <w:sz w:val="20"/>
          <w:szCs w:val="20"/>
          <w:color w:val="auto"/>
        </w:rPr>
      </w:pPr>
    </w:p>
    <w:p>
      <w:pPr>
        <w:ind w:right="240" w:firstLine="324"/>
        <w:spacing w:after="0" w:line="269" w:lineRule="auto"/>
        <w:rPr>
          <w:sz w:val="20"/>
          <w:szCs w:val="20"/>
          <w:color w:val="auto"/>
        </w:rPr>
      </w:pPr>
      <w:r>
        <w:rPr>
          <w:rFonts w:ascii="Arial" w:cs="Arial" w:eastAsia="Arial" w:hAnsi="Arial"/>
          <w:sz w:val="17"/>
          <w:szCs w:val="17"/>
          <w:color w:val="auto"/>
        </w:rPr>
        <w:t>In August 2018, the Securities and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however, in light of the proximity of the effective date to the filing date for most filers’ quarterly reports, the SEC will allow a filer’s first presentation of the changes in stockholders’ equity to be included in its Form 10-Q for the quarter that begins after the effective date. The Company will begin to present a statement of changes in stockholders’ equity in its quarterly financial statements beginning on January 1, 2019.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ASU No. 2014-09</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On January 1, 2018, the Company adopted ASU No. 2014-09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Topic 605.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Company sells the majority of its products to its distributors, but does recognize some revenue under licensing and royalty agreements. The following table presents the Company’s revenues disaggregated by sales channel, (in thousands):</w:t>
      </w:r>
    </w:p>
    <w:p>
      <w:pPr>
        <w:spacing w:after="0" w:line="11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September 30, 2018</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2018</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w:t>
            </w: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10,913</w:t>
            </w:r>
          </w:p>
        </w:tc>
      </w:tr>
      <w:tr>
        <w:trPr>
          <w:trHeight w:val="217"/>
        </w:trPr>
        <w:tc>
          <w:tcPr>
            <w:tcW w:w="4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of the Company's performance obligations and associated revenue are generally transferred to customers at a point in time, with the exception of certain revenue streams which are performed over time commensurate with the delivery of service. The following table presents the Company’s revenues disaggregated by timing of recognition (in thousands):</w:t>
      </w:r>
    </w:p>
    <w:p>
      <w:pPr>
        <w:spacing w:after="0" w:line="7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September 30, 2018</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2018</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34,729</w:t>
            </w: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17"/>
        </w:trPr>
        <w:tc>
          <w:tcPr>
            <w:tcW w:w="4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4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4"/>
              </w:rPr>
              <w:t>September 30, 2018</w:t>
            </w:r>
          </w:p>
        </w:tc>
        <w:tc>
          <w:tcPr>
            <w:tcW w:w="2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2018</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License fees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17"/>
        </w:trPr>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r>
      <w:tr>
        <w:trPr>
          <w:trHeight w:val="171"/>
        </w:trPr>
        <w:tc>
          <w:tcPr>
            <w:tcW w:w="940" w:type="dxa"/>
            <w:vAlign w:val="bottom"/>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2018</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2018</w:t>
            </w:r>
          </w:p>
        </w:tc>
        <w:tc>
          <w:tcPr>
            <w:tcW w:w="920" w:type="dxa"/>
            <w:vAlign w:val="bottom"/>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EMEA</w:t>
            </w: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7,896</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20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23,026</w:t>
            </w:r>
          </w:p>
        </w:tc>
        <w:tc>
          <w:tcPr>
            <w:tcW w:w="920" w:type="dxa"/>
            <w:vAlign w:val="bottom"/>
          </w:tcPr>
          <w:p>
            <w:pPr>
              <w:spacing w:after="0"/>
              <w:rPr>
                <w:sz w:val="18"/>
                <w:szCs w:val="18"/>
                <w:color w:val="auto"/>
              </w:rPr>
            </w:pPr>
          </w:p>
        </w:tc>
      </w:tr>
      <w:tr>
        <w:trPr>
          <w:trHeight w:val="217"/>
        </w:trPr>
        <w:tc>
          <w:tcPr>
            <w:tcW w:w="940" w:type="dxa"/>
            <w:vAlign w:val="bottom"/>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6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37,136</w:t>
            </w:r>
          </w:p>
        </w:tc>
        <w:tc>
          <w:tcPr>
            <w:tcW w:w="920" w:type="dxa"/>
            <w:vAlign w:val="bottom"/>
          </w:tcPr>
          <w:p>
            <w:pPr>
              <w:spacing w:after="0"/>
              <w:rPr>
                <w:sz w:val="18"/>
                <w:szCs w:val="18"/>
                <w:color w:val="auto"/>
              </w:rPr>
            </w:pPr>
          </w:p>
        </w:tc>
      </w:tr>
      <w:tr>
        <w:trPr>
          <w:trHeight w:val="648"/>
        </w:trPr>
        <w:tc>
          <w:tcPr>
            <w:tcW w:w="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60" w:type="dxa"/>
            <w:vAlign w:val="bottom"/>
          </w:tcPr>
          <w:p>
            <w:pPr>
              <w:jc w:val="right"/>
              <w:ind w:right="59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9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40" w:type="dxa"/>
            <w:vAlign w:val="bottom"/>
            <w:gridSpan w:val="3"/>
          </w:tcPr>
          <w:p>
            <w:pPr>
              <w:ind w:left="520"/>
              <w:spacing w:after="0"/>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r>
      <w:tr>
        <w:trPr>
          <w:trHeight w:val="210"/>
        </w:trPr>
        <w:tc>
          <w:tcPr>
            <w:tcW w:w="9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16"/>
        </w:trPr>
        <w:tc>
          <w:tcPr>
            <w:tcW w:w="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Work-in-process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7,970</w:t>
            </w:r>
          </w:p>
        </w:tc>
      </w:tr>
      <w:tr>
        <w:trPr>
          <w:trHeight w:val="216"/>
        </w:trPr>
        <w:tc>
          <w:tcPr>
            <w:tcW w:w="9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17"/>
        </w:trPr>
        <w:tc>
          <w:tcPr>
            <w:tcW w:w="90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 inventory</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w:t>
            </w: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5720" w:type="dxa"/>
            <w:vAlign w:val="bottom"/>
            <w:gridSpan w:val="2"/>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5"/>
        </w:trPr>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0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r>
      <w:tr>
        <w:trPr>
          <w:trHeight w:val="210"/>
        </w:trPr>
        <w:tc>
          <w:tcPr>
            <w:tcW w:w="9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16"/>
        </w:trPr>
        <w:tc>
          <w:tcPr>
            <w:tcW w:w="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16"/>
        </w:trPr>
        <w:tc>
          <w:tcPr>
            <w:tcW w:w="9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16"/>
        </w:trPr>
        <w:tc>
          <w:tcPr>
            <w:tcW w:w="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rent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9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sales commissions payable to sales representatives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0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17"/>
        </w:trPr>
        <w:tc>
          <w:tcPr>
            <w:tcW w:w="90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accrued liabilities</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During 2017, the Company entered into a lease for 27,974 square feet of office space for its corporate headquarters located in Chandler, Arizona. The lease expires in January 2022, however the Company has the option to renew the lease through August 2024. Rent expense is recognized on a straight-line basis over the term of the leases and, accordingly, the Company records the difference between cash rent payments and the recognition of rent expense as a deferred rent liability.</w:t>
      </w:r>
    </w:p>
    <w:p>
      <w:pPr>
        <w:spacing w:after="0" w:line="15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April 2018, the Company entered into a lease termination agreement that released the Company from any further obligations on its previous headquarters’ space in Chandler, Arizona. The remaining unamortized balance of deferred rent of $18,000 was written off and a lease termination fee of $43,000 was recognized as rent expense on the unaudited condensed statement of operations and comprehensive loss.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leases office and lab space for its design facility located in Austin, Texas. The lease expires in January 2022.</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another operating lease for its Arizona manufacturing facility, which includes office and fabrication space. This lease is cancellable upon 24 months’ notice by either of the parties. The lease originally expired in January 2020, however it could be further extended through January 2021 if an option to extend was initiated by the lessor. In August 2018, the Company amended its lease agreement for its Arizona manufacturing facility to extend the lease term through January 2021.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340" w:firstLine="324"/>
        <w:spacing w:after="0" w:line="291"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provided for interest at a floating rate equal to the prime rate minus</w:t>
      </w:r>
    </w:p>
    <w:p>
      <w:pPr>
        <w:spacing w:after="0" w:line="252" w:lineRule="auto"/>
        <w:rPr>
          <w:sz w:val="20"/>
          <w:szCs w:val="20"/>
          <w:color w:val="auto"/>
        </w:rPr>
      </w:pPr>
      <w:r>
        <w:rPr>
          <w:rFonts w:ascii="Arial" w:cs="Arial" w:eastAsia="Arial" w:hAnsi="Arial"/>
          <w:sz w:val="18"/>
          <w:szCs w:val="18"/>
          <w:color w:val="auto"/>
        </w:rPr>
        <w:t>0.75%. The term loan provided for a period of interest-only payments through April 30, 2018, followed by fixed principal and interest payments based on either a 24-month amortization schedule or a 36-month amortization schedule if the Company met certain sales milestones. As of December 31, 2017, the Company determined it would not meet the sales milestones and as such the term loan was based on a 24-month amortization schedule. An end of term fee of 6% of the amount borrowed must be made when the loan is prepaid or repaid, whether at maturity or as a result of a prepayment or acceleration or otherwise.</w:t>
      </w:r>
    </w:p>
    <w:p>
      <w:pPr>
        <w:spacing w:after="0" w:line="194" w:lineRule="exact"/>
        <w:rPr>
          <w:sz w:val="20"/>
          <w:szCs w:val="20"/>
          <w:color w:val="auto"/>
        </w:rPr>
      </w:pPr>
    </w:p>
    <w:p>
      <w:pPr>
        <w:ind w:right="160" w:firstLine="405"/>
        <w:spacing w:after="0" w:line="287" w:lineRule="auto"/>
        <w:rPr>
          <w:sz w:val="20"/>
          <w:szCs w:val="20"/>
          <w:color w:val="auto"/>
        </w:rPr>
      </w:pPr>
      <w:r>
        <w:rPr>
          <w:rFonts w:ascii="Arial" w:cs="Arial" w:eastAsia="Arial" w:hAnsi="Arial"/>
          <w:sz w:val="16"/>
          <w:szCs w:val="16"/>
          <w:color w:val="auto"/>
        </w:rPr>
        <w:t>On July 6, 2018, the Company entered into the First Amendment to the 2017 Credit Facility (the Amended Credit Facility). The Amended Credit Facility extends the period of interest-only payments through December 31, 2018, followed by fixed principal and interest payments based on either a 24-month or a 36-month amortization schedule if the Company achieves certain milestones. As of September 30, 2018, the Company determined it would not meet the milestones, as such the Amended Credit Facility will be based on a 24-month amortization schedule. The Amended Credit Facility provides for interest at a floating rate equal to the prime rate minus 0.75%. As of September 30, 2018, the interest rate was 4.50%. The terms of the Amended Credit Facility include the refund of $1.0 million in principal payments previously made by the Company. An end of term fee of 7% of the amount borrowed must be made when the loan is prepaid or repaid, whether at maturity or as a result of a prepayment or acceleration or otherwise. The additional payment is being accreted using the effective interest method. As of September 30, 2018, the effective interest rate under the Amended Credit Facility was 7.52%. Borrowings under the Amended Credit Facility mature in December 2020.</w:t>
      </w:r>
    </w:p>
    <w:p>
      <w:pPr>
        <w:spacing w:after="0" w:line="173"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conjunction with the Amended Credit Facility, outstanding warrants held by SVB to purchase 9,229 shares of the Company’s common stock at $26.00 per share were cancelled. The Company subsequently issued a warrant to SVB for the purchase of 9,375 shares of the Company’s common stock at an exercise price of $8.91 per share. The warrant can be exercised at any time and expires five years after the date of issuance. The Company estimated the fair value of the warrant as $43,000 on the date of issuance using the Black-Scholes option pricing model. The warrant was recorded as a discount to the debt and will be amortized into interest expense over the remaining term of the loan using the effective interest method.</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Security for the Amended Credit Facility includes all of the Company’s assets except for intellectual property.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is required to comply with certain covenants under the Amended Credit Facility, including requirements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 a minimum liquidity ratio, meet certain revenue targets, and restrictions on certain actions without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lender, such as limitations on its ability to engage in mergers or acquisitions, sell assets, enter into transactions involving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 incur indebtedness or grant liens or negative pledges on its assets, make loans or make other</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investments. Under these covenants, the Company is prohibited from paying cash dividends with respect to its capital stock. The Company was in compliance with all covenants at September 30, 2018. The Amended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September 30, 2018, management does not believe that it is probable that the clause will be triggered within the next twelve months, and therefore the term loan is classified as long-term.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carrying value of the Company’s Amended Credit Facility at September 30, 2018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Current</w:t>
            </w:r>
          </w:p>
        </w:tc>
        <w:tc>
          <w:tcPr>
            <w:tcW w:w="1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Long-Term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Portion</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Debt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12,840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Discount attributable to end of term fee, warrant, and debt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Net carrying value of debt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12,377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5460" w:type="dxa"/>
            <w:vAlign w:val="bottom"/>
            <w:gridSpan w:val="2"/>
          </w:tcPr>
          <w:p>
            <w:pPr>
              <w:jc w:val="right"/>
              <w:ind w:right="7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4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2017 Credit Facility at December 31, 2017 was as follows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attributable to end of term fee and debt issuance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7"/>
        </w:trPr>
        <w:tc>
          <w:tcPr>
            <w:tcW w:w="4780" w:type="dxa"/>
            <w:vAlign w:val="bottom"/>
          </w:tcPr>
          <w:p>
            <w:pPr>
              <w:ind w:left="100"/>
              <w:spacing w:after="0"/>
              <w:rPr>
                <w:sz w:val="20"/>
                <w:szCs w:val="20"/>
                <w:color w:val="auto"/>
              </w:rPr>
            </w:pPr>
            <w:r>
              <w:rPr>
                <w:rFonts w:ascii="Arial" w:cs="Arial" w:eastAsia="Arial" w:hAnsi="Arial"/>
                <w:sz w:val="18"/>
                <w:szCs w:val="18"/>
                <w:color w:val="auto"/>
              </w:rPr>
              <w:t>Net carrying value of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includes the principal repayments due under the Amended Credit Facility as of September 30, 2018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Principal Repayment</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2018 (remaining three months)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Total principal repayments</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February 2018, the Company completed a follow-on underwritten public offering of its common stock under its Registration Statement filed in November 2017 (File No. 333-221331), selling 3,772,447 shares of its common stock at an offering price of $7.00 per share for proceeds of $24.5 million, net of $1.9 million of underwriting discounts and commissions and other offering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stock option and award activity for the nine months ended September 30,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 and</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000" w:type="dxa"/>
            <w:vAlign w:val="bottom"/>
            <w:gridSpan w:val="2"/>
            <w:vMerge w:val="continue"/>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120" w:type="dxa"/>
            <w:vAlign w:val="bottom"/>
          </w:tcPr>
          <w:p>
            <w:pPr>
              <w:spacing w:after="0"/>
              <w:rPr>
                <w:sz w:val="14"/>
                <w:szCs w:val="14"/>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1,593,195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Immaterial prior period adjustment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860" w:type="dxa"/>
            <w:vAlign w:val="bottom"/>
          </w:tcPr>
          <w:p>
            <w:pPr>
              <w:jc w:val="right"/>
              <w:spacing w:after="0"/>
              <w:rPr>
                <w:sz w:val="20"/>
                <w:szCs w:val="20"/>
                <w:color w:val="auto"/>
              </w:rPr>
            </w:pPr>
            <w:r>
              <w:rPr>
                <w:rFonts w:ascii="Arial" w:cs="Arial" w:eastAsia="Arial" w:hAnsi="Arial"/>
                <w:sz w:val="18"/>
                <w:szCs w:val="18"/>
                <w:color w:val="auto"/>
              </w:rPr>
              <w:t>13,784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authorized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1,084,516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RSUs granted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(75,700)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cancelled/forfeited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(384,165)</w:t>
            </w:r>
          </w:p>
        </w:tc>
        <w:tc>
          <w:tcPr>
            <w:tcW w:w="860" w:type="dxa"/>
            <w:vAlign w:val="bottom"/>
          </w:tcPr>
          <w:p>
            <w:pPr>
              <w:jc w:val="right"/>
              <w:spacing w:after="0"/>
              <w:rPr>
                <w:sz w:val="20"/>
                <w:szCs w:val="20"/>
                <w:color w:val="auto"/>
              </w:rPr>
            </w:pPr>
            <w:r>
              <w:rPr>
                <w:rFonts w:ascii="Arial" w:cs="Arial" w:eastAsia="Arial" w:hAnsi="Arial"/>
                <w:sz w:val="18"/>
                <w:szCs w:val="18"/>
                <w:color w:val="auto"/>
              </w:rPr>
              <w:t>384,165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(446,141)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Options cancelled/forfeited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44,784</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(50,469)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1,494,534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0"/>
        </w:trPr>
        <w:tc>
          <w:tcPr>
            <w:tcW w:w="4420" w:type="dxa"/>
            <w:vAlign w:val="bottom"/>
          </w:tcPr>
          <w:p>
            <w:pPr>
              <w:spacing w:after="0" w:line="203" w:lineRule="exact"/>
              <w:rPr>
                <w:sz w:val="20"/>
                <w:szCs w:val="20"/>
                <w:color w:val="auto"/>
              </w:rPr>
            </w:pPr>
            <w:r>
              <w:rPr>
                <w:rFonts w:ascii="Arial" w:cs="Arial" w:eastAsia="Arial" w:hAnsi="Arial"/>
                <w:sz w:val="18"/>
                <w:szCs w:val="18"/>
                <w:color w:val="auto"/>
              </w:rPr>
              <w:t>Options exercisable—September 30, 2018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567,298</w:t>
            </w:r>
          </w:p>
        </w:tc>
        <w:tc>
          <w:tcPr>
            <w:tcW w:w="140" w:type="dxa"/>
            <w:vAlign w:val="bottom"/>
          </w:tcPr>
          <w:p>
            <w:pPr>
              <w:spacing w:after="0"/>
              <w:rPr>
                <w:sz w:val="18"/>
                <w:szCs w:val="18"/>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6.52</w:t>
            </w:r>
          </w:p>
        </w:tc>
        <w:tc>
          <w:tcPr>
            <w:tcW w:w="140" w:type="dxa"/>
            <w:vAlign w:val="bottom"/>
          </w:tcPr>
          <w:p>
            <w:pPr>
              <w:spacing w:after="0"/>
              <w:rPr>
                <w:sz w:val="18"/>
                <w:szCs w:val="18"/>
                <w:color w:val="auto"/>
              </w:rPr>
            </w:pPr>
          </w:p>
        </w:tc>
        <w:tc>
          <w:tcPr>
            <w:tcW w:w="780" w:type="dxa"/>
            <w:vAlign w:val="bottom"/>
          </w:tcPr>
          <w:p>
            <w:pPr>
              <w:jc w:val="right"/>
              <w:ind w:right="2"/>
              <w:spacing w:after="0" w:line="203"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total grant date fair value of options vested was $510,000 and $236,000 during the three months ended September 30, 2018 and 2017, respectively, and $1.4 million and $1.1 million during the nine months ended September 30, 2018 and 2017, respectively.</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weighted-average grant date fair value of employee options granted during the three months ended September 30, 2018 and 2017 was $4.48 and $9.22 per share, respectively, and during the nine months ended September 30, 2018 and 2017 was $4.56 and $7.80 per share,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In January 2018, there was an increase of 128,172 shares reserved for issuance under the Company’s Employee Stock Purchase Plan (ESPP). The Company had 291,659 shares available for future issuance under the Company’s ESPP as of September 30, 2018. Employees purchased 20,057 shares for $137,000 during the nine months ended September 30, 2018. Employees purchased 17,924 shares for $122,000 during the nine months ended September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Restricted Stock Units (RSUs) activity for the nine months ended September 30, 2018:</w:t>
      </w: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75,700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Balance—September 30,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September 30, 2018, there was $645,000 of unrecognized stock-based compensation expense related to RSUs to be recognized over a weighted-average period of 3.0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5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r>
      <w:tr>
        <w:trPr>
          <w:trHeight w:val="217"/>
        </w:trPr>
        <w:tc>
          <w:tcPr>
            <w:tcW w:w="414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1,511</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September 30, 2018, there was $5.5 million of total unrecognized compensation expense related to unvested options which is expected to be recognized over a weighted-average period of 2.8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Stock-based compensation expense for employees was $716,000 and $685,000 for the three months ended September 30, 2018 and 2017, respectively, and $2.0 million and $1.4 million for the nine months ended September 30, 2018 and 2017, respectively.</w:t>
      </w:r>
    </w:p>
    <w:p>
      <w:pPr>
        <w:spacing w:after="0" w:line="18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8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02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6"/>
              </w:rPr>
              <w:t>Option Plan</w:t>
            </w:r>
          </w:p>
        </w:tc>
        <w:tc>
          <w:tcPr>
            <w:tcW w:w="800" w:type="dxa"/>
            <w:vAlign w:val="bottom"/>
          </w:tcPr>
          <w:p>
            <w:pPr>
              <w:spacing w:after="0"/>
              <w:rPr>
                <w:sz w:val="14"/>
                <w:szCs w:val="14"/>
                <w:color w:val="auto"/>
              </w:rPr>
            </w:pP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ESPP</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3360" w:type="dxa"/>
            <w:vAlign w:val="bottom"/>
          </w:tcPr>
          <w:p>
            <w:pPr>
              <w:spacing w:after="0"/>
              <w:rPr>
                <w:sz w:val="12"/>
                <w:szCs w:val="12"/>
                <w:color w:val="auto"/>
              </w:rPr>
            </w:pPr>
          </w:p>
        </w:tc>
        <w:tc>
          <w:tcPr>
            <w:tcW w:w="2020" w:type="dxa"/>
            <w:vAlign w:val="bottom"/>
            <w:gridSpan w:val="5"/>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19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1"/>
        </w:trPr>
        <w:tc>
          <w:tcPr>
            <w:tcW w:w="3360" w:type="dxa"/>
            <w:vAlign w:val="bottom"/>
          </w:tcPr>
          <w:p>
            <w:pPr>
              <w:spacing w:after="0"/>
              <w:rPr>
                <w:sz w:val="14"/>
                <w:szCs w:val="14"/>
                <w:color w:val="auto"/>
              </w:rPr>
            </w:pPr>
          </w:p>
        </w:tc>
        <w:tc>
          <w:tcPr>
            <w:tcW w:w="202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5"/>
          </w:tcPr>
          <w:p>
            <w:pPr>
              <w:jc w:val="center"/>
              <w:ind w:left="29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33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51.9-53.5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47.2-61.1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59.5 - 87.8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49.3 - 66.2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tcPr>
          <w:p>
            <w:pPr>
              <w:jc w:val="right"/>
              <w:spacing w:after="0"/>
              <w:rPr>
                <w:sz w:val="20"/>
                <w:szCs w:val="20"/>
                <w:color w:val="auto"/>
              </w:rPr>
            </w:pPr>
            <w:r>
              <w:rPr>
                <w:rFonts w:ascii="Arial" w:cs="Arial" w:eastAsia="Arial" w:hAnsi="Arial"/>
                <w:sz w:val="18"/>
                <w:szCs w:val="18"/>
                <w:color w:val="auto"/>
                <w:w w:val="89"/>
              </w:rPr>
              <w:t>2.64-2.94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1.93-2.10 %</w:t>
            </w:r>
          </w:p>
        </w:tc>
        <w:tc>
          <w:tcPr>
            <w:tcW w:w="800" w:type="dxa"/>
            <w:vAlign w:val="bottom"/>
          </w:tcPr>
          <w:p>
            <w:pPr>
              <w:jc w:val="right"/>
              <w:spacing w:after="0"/>
              <w:rPr>
                <w:sz w:val="20"/>
                <w:szCs w:val="20"/>
                <w:color w:val="auto"/>
              </w:rPr>
            </w:pPr>
            <w:r>
              <w:rPr>
                <w:rFonts w:ascii="Arial" w:cs="Arial" w:eastAsia="Arial" w:hAnsi="Arial"/>
                <w:sz w:val="18"/>
                <w:szCs w:val="18"/>
                <w:color w:val="auto"/>
              </w:rPr>
              <w:t>0.94-2.11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jc w:val="right"/>
              <w:spacing w:after="0"/>
              <w:rPr>
                <w:sz w:val="20"/>
                <w:szCs w:val="20"/>
                <w:color w:val="auto"/>
              </w:rPr>
            </w:pPr>
            <w:r>
              <w:rPr>
                <w:rFonts w:ascii="Arial" w:cs="Arial" w:eastAsia="Arial" w:hAnsi="Arial"/>
                <w:sz w:val="18"/>
                <w:szCs w:val="18"/>
                <w:color w:val="auto"/>
                <w:w w:val="94"/>
              </w:rPr>
              <w:t>- 1.0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- 0.6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240" w:type="dxa"/>
            <w:vAlign w:val="bottom"/>
            <w:gridSpan w:val="4"/>
          </w:tcPr>
          <w:p>
            <w:pPr>
              <w:jc w:val="right"/>
              <w:ind w:right="15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0"/>
                <w:szCs w:val="20"/>
                <w:color w:val="auto"/>
              </w:rPr>
            </w:pPr>
          </w:p>
        </w:tc>
        <w:tc>
          <w:tcPr>
            <w:tcW w:w="66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vest. During the three and nine months ended September 30, 2018, the Company granted stock options to non-employees to purchase 1,200 and 8,400 shares of common stock, respectively. During the three and nine months September 30, 2017, the Company granted stock option to non-employees to purchase 12,800 shares of common stock. As of September 30, 2018, options to purchase 46,272 shares of common stock were outstanding with a weighted-average exercise price of $9.11 per share. Stock-based compensation expense for non-employees was $6,000 and $(13,000) for the three months ended September 30, 2018 and 2017, respectively, and $50,000 and $86,000 for the nine months ended September 30, 2018 and 2017,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October 17, 2014, the Company entered into a Joint Development Agreement (JDA) with GF, for the joint development of the Company’s Spin Transfer Torque MRAM (STT-MRAM)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STT-MRAM technology would be pursuant to a separate manufacturing agreement entered into between the parties. In October 2018, the Company entered into the Third Amendment to the JDA with GF (Note 11), which extended the term of the JDA until December 2019.</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STT-MRAM devices that utilize certain design information, GF will be required to pay the Company a royalty. The term of the agreement is four years and is extended until the completion of any development work, if later.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incurred project costs, recognized as research and development expense, of $1.6 million and $850,000 for the three months ended September 30, 2018 and 2017 respectively, and $5.9 million and $4.1 million for the nine months ended September 30, 2018 and 2017 respectively. The Company entered into a Statement of Work (SOW) and an Amendment to the SOW, under the JDA with GF effective August 2016 and June 2018, respectively. The Company was eligible to receive milestone payments from SOW and its Amendment for an aggregate of $1.6 million and $1.0 million, respectively. The Amendment was accounted for as a separate contract rather than a modification of the SOW, as the Company had completed its performance obligations under the SOW as of December 31, 2017. The Company recognized revenue from GF of $300,000 in the three months ended September 30, 2018. There was no revenue recognized from GF for the three months ended September 30, 2017. The Company recognized revenue from GF of $800,000 and $1.2 million in the nine months ended September 30, 2018 and 2017, respectively.</w:t>
      </w:r>
    </w:p>
    <w:p>
      <w:pPr>
        <w:spacing w:after="0" w:line="17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 on a monthly basis thereafter. Subsequent to the Initial Measurement Date through September 30, 2018, an additional 211,538 shares of common stock became vested. As of September 30, 2018, there were 9,615 shares unvested that were subject to repurchase.</w:t>
      </w:r>
    </w:p>
    <w:p>
      <w:pPr>
        <w:spacing w:after="0" w:line="16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Company recognized non-cash compensation expense of $247,000 and $508,000 during the three months ended September 30, 2018 and 2017, respectively, and $709,000 and $1.2 million during the nine months ended September 30, 2018 and 2017, respectively, in research and development expense related to the vesting of the shares of common stock. The Company recognizes compensation expense based on the estimated fair value of the common stock at each reporting period, which was $7.68 and $7.50 per share as of September 30, 2018 and December 31, 2017,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September 2018, the Company entered into a Joint Collaboration Agreement (JCA) with Silterra Malaysia Sdn. Bhd. (Silterra), and another third party. The JCA will create additional manufacturing capacity for the Company’s Toggle MRAM products. Initial production is expected to start in 2020. Under the JCA the Company will pay non-recurring engineering costs of $1.0 million. During the three and nine months ended September 30, 2018, the Company paid $0.5 million of JCA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quarterly royalty payments based upon low single digits of the average selling price of products covered under the license agreement. The license was transferred to the customer and the Company recognized the non-refundable license fee during the nine months ended September 30, 2018. The cross-license agreement will remain in effect until the licensed patents have expired, been abandoned, or ruled invalid.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9100"/>
          </w:cols>
          <w:pgMar w:left="1420" w:top="12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Weighted-average common shares outstanding</w:t>
      </w:r>
    </w:p>
    <w:p>
      <w:pPr>
        <w:spacing w:after="0" w:line="9"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Less: weighted-average unvested common shares subjected to repurchase</w:t>
      </w:r>
    </w:p>
    <w:p>
      <w:pPr>
        <w:spacing w:after="0" w:line="1" w:lineRule="exact"/>
        <w:rPr>
          <w:sz w:val="20"/>
          <w:szCs w:val="20"/>
          <w:color w:val="auto"/>
        </w:rPr>
      </w:pPr>
    </w:p>
    <w:p>
      <w:pPr>
        <w:ind w:left="120" w:right="360"/>
        <w:spacing w:after="0" w:line="306" w:lineRule="auto"/>
        <w:rPr>
          <w:sz w:val="20"/>
          <w:szCs w:val="20"/>
          <w:color w:val="auto"/>
        </w:rPr>
      </w:pPr>
      <w:r>
        <w:rPr>
          <w:rFonts w:ascii="Arial" w:cs="Arial" w:eastAsia="Arial" w:hAnsi="Arial"/>
          <w:sz w:val="15"/>
          <w:szCs w:val="15"/>
          <w:color w:val="auto"/>
        </w:rPr>
        <w:t>Weighted-average common shares outstanding used to calculate net loss per common share, basic and diluted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9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-8255</wp:posOffset>
            </wp:positionV>
            <wp:extent cx="57975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82" w:lineRule="exact"/>
        <w:rPr>
          <w:sz w:val="20"/>
          <w:szCs w:val="20"/>
          <w:color w:val="auto"/>
        </w:rPr>
      </w:pPr>
    </w:p>
    <w:p>
      <w:pPr>
        <w:ind w:left="460" w:hanging="45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(5,629)  $(5,446)  </w:t>
      </w:r>
      <w:r>
        <w:rPr>
          <w:rFonts w:ascii="Arial" w:cs="Arial" w:eastAsia="Arial" w:hAnsi="Arial"/>
          <w:sz w:val="18"/>
          <w:szCs w:val="18"/>
          <w:u w:val="single" w:color="auto"/>
          <w:color w:val="auto"/>
        </w:rPr>
        <w:t>$   (14,274)  $   (16,719)</w:t>
      </w:r>
    </w:p>
    <w:p>
      <w:pPr>
        <w:spacing w:after="0" w:line="25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16,970,266    12,700,802    16,185,122    12,595,015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14605</wp:posOffset>
            </wp:positionV>
            <wp:extent cx="579755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-276225</wp:posOffset>
            </wp:positionV>
            <wp:extent cx="57975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(25,606)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(140,990)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(169,625)</w:t>
            </w:r>
          </w:p>
        </w:tc>
        <w:tc>
          <w:tcPr>
            <w:tcW w:w="20" w:type="dxa"/>
            <w:vAlign w:val="bottom"/>
          </w:tcPr>
          <w:p>
            <w:pPr>
              <w:spacing w:after="0"/>
              <w:rPr>
                <w:sz w:val="20"/>
                <w:szCs w:val="20"/>
                <w:color w:val="auto"/>
              </w:rPr>
            </w:pPr>
          </w:p>
        </w:tc>
      </w:tr>
      <w:tr>
        <w:trPr>
          <w:trHeight w:val="406"/>
        </w:trPr>
        <w:tc>
          <w:tcPr>
            <w:tcW w:w="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16,944,660</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12,559,812</w:t>
            </w:r>
          </w:p>
        </w:tc>
        <w:tc>
          <w:tcPr>
            <w:tcW w:w="16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16,130,882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12,425,390</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-162560</wp:posOffset>
            </wp:positionV>
            <wp:extent cx="579755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240"/>
            <w:col w:w="4460"/>
          </w:cols>
          <w:pgMar w:left="1420" w:top="125" w:right="1379" w:bottom="1440" w:gutter="0" w:footer="0" w:header="0"/>
          <w:type w:val="continuous"/>
        </w:sectPr>
      </w:pPr>
    </w:p>
    <w:p>
      <w:pPr>
        <w:spacing w:after="0" w:line="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180" w:type="dxa"/>
            <w:vAlign w:val="bottom"/>
          </w:tcPr>
          <w:p>
            <w:pPr>
              <w:spacing w:after="0"/>
              <w:rPr>
                <w:sz w:val="14"/>
                <w:szCs w:val="14"/>
                <w:color w:val="auto"/>
              </w:rPr>
            </w:pPr>
          </w:p>
        </w:tc>
        <w:tc>
          <w:tcPr>
            <w:tcW w:w="2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7"/>
                <w:szCs w:val="17"/>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1,494,534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1,595,415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1,494,534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1,595,415</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94,480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94,480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60" w:type="dxa"/>
            <w:vAlign w:val="bottom"/>
            <w:tcBorders>
              <w:bottom w:val="single" w:sz="8" w:color="CCEEFF"/>
            </w:tcBorders>
          </w:tcPr>
          <w:p>
            <w:pPr>
              <w:spacing w:after="0"/>
              <w:rPr>
                <w:sz w:val="18"/>
                <w:szCs w:val="18"/>
                <w:color w:val="auto"/>
              </w:rPr>
            </w:pPr>
          </w:p>
        </w:tc>
      </w:tr>
      <w:tr>
        <w:trPr>
          <w:trHeight w:val="217"/>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1,626,465</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1,758,105</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1,626,465</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1,758,105</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October 2018, the Company entered into the Third Amendment to the JDA with GF (Third Amendment). The Third Amendment is effective as of January 1, 2018 and extends the term of the JDA to December 2019. In the event a statement of work is executed that extends beyond the term, the JDA will be extended for an additional three months after the statement of work is completed. Under the Third Amendment, the Company has revised the cost structure of the arrangement to allow GF to spend as needed. Additionally, costs for the Company are capped at $5.8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type w:val="continuous"/>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the leading provider of MRAM solutions. Our MRAM solutions offer the persistence of non-volatile memory, a type of memory that retains information even in the absence of power, with the speed and endurance of random access memory (RAM). This enables the protection of mission critical data particularly in the event of power interruption or failure. Our MRAM solutions allow our customers in the industrial, automotive,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derive our revenue from the sale of MRAM-based products in discrete unit form, the sale of services, licenses of and royalties on our MRAM and magnetic sensor technology, the sale of backend foundry services and design services to third parties.</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84% and 80% for the three months ended September 30, 2018 and 2017, respectively, and 71% and 75% for the nine months ended September 30, 2018 and 2017, respectively, of our revenue from products sold through distributors.</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EMEA</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15,884</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11,518</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$ 9,008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37,136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25,813</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high density MRAM products on 300mm wafers at advanced process nodes.</w:t>
      </w:r>
    </w:p>
    <w:p>
      <w:pPr>
        <w:spacing w:after="0" w:line="16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the three and nine months ended September 30, 2018, we continued to invest in research and development to support the development and production of our Spin Transfer Torque MRAM (STT-MRAM) technology. We believe our continued investment will allow us to continue to develop and deploy products based on our STT-MRAM technology. Our research and development expenses were $6.5 million and $6.4 million for the three months ended September 30, 2018 and 2017, respectively, and $19.7 million and $19.2 million for the nine months ended September 30, 2018 and 2017, respectively. We expect that our research and development expenses will increase in the future as we continue to develop our MRAM technology internally and through our joint development agreement with GLOBALFOUNDRIES.</w:t>
      </w:r>
    </w:p>
    <w:p>
      <w:pPr>
        <w:spacing w:after="0" w:line="167"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recorded revenue of $11.5 million and $9.0 million for the three months ended September 30, 2018 and 2017, respectively, and $37.1 million and $25.8 million for the nine months ended September 30, 2018 and 2017, respectively; gross margin was 47.0% and 58.3% for the three months ended September 30, 2018 and 2017, respectively and 53.6% and 59.1% for the nine months ended September 30, 2018 and 2017; and our net loss was $5.6 million and $5.4 million for the three months ended September 30, 2018 and 2017, respectively, and $14.3 million and $16.7 million for the nine months ended September 30, 2018 and 2017, respectively. As of September 30, 2018, we had 98 employees, approximately half of whom are engaged in research and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(5,629)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(5,446)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(14,274)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 (16,719)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1,511</w:t>
            </w:r>
          </w:p>
        </w:tc>
        <w:tc>
          <w:tcPr>
            <w:tcW w:w="160" w:type="dxa"/>
            <w:vAlign w:val="bottom"/>
          </w:tcPr>
          <w:p>
            <w:pPr>
              <w:spacing w:after="0"/>
              <w:rPr>
                <w:sz w:val="18"/>
                <w:szCs w:val="18"/>
                <w:color w:val="auto"/>
              </w:rPr>
            </w:pPr>
          </w:p>
        </w:tc>
      </w:tr>
      <w:tr>
        <w:trPr>
          <w:trHeight w:val="202"/>
        </w:trPr>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 vesting of GLOBALFOUNDRIES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spacing w:after="0"/>
              <w:rPr>
                <w:sz w:val="20"/>
                <w:szCs w:val="20"/>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Borders>
              <w:bottom w:val="single" w:sz="8" w:color="CCEEFF"/>
            </w:tcBorders>
          </w:tcPr>
          <w:p>
            <w:pPr>
              <w:spacing w:after="0"/>
              <w:rPr>
                <w:sz w:val="18"/>
                <w:szCs w:val="18"/>
                <w:color w:val="auto"/>
              </w:rPr>
            </w:pPr>
          </w:p>
        </w:tc>
      </w:tr>
      <w:tr>
        <w:trPr>
          <w:trHeight w:val="21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(12,563)</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i w:val="1"/>
          <w:iCs w:val="1"/>
          <w:color w:val="auto"/>
        </w:rPr>
        <w:t xml:space="preserve">Design wins. </w:t>
      </w:r>
      <w:r>
        <w:rPr>
          <w:rFonts w:ascii="Arial" w:cs="Arial" w:eastAsia="Arial" w:hAnsi="Arial"/>
          <w:sz w:val="17"/>
          <w:szCs w:val="17"/>
          <w:color w:val="auto"/>
        </w:rPr>
        <w:t>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original equipment manufacturer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Any delay in the development of our products, or failure of our customers to adopt our products, could inhibit revenue growth or cause declines, which would significantly harm our business. In the fourth quarter of 2017, we recorded revenue for our first sale of 40nm 256Mb STT-MRAM products and we are in process of ramping up production in 2018.</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For our customers to use our products,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to redesign certain components of their existing designs. We have established relationships with several storage controller and Field Programmable Gate Array (FPGA) companies, including Xilinx, Lattice and Rizwan as well as IP core companies, including Cadence, Synopsys, and Northwest Logic, to facilitate the integration of our MRAM solutions into our customers end products. Delays in our customers’ design cycles may have adverse effects on the demand, and therefore sales, of our products.</w:t>
      </w:r>
    </w:p>
    <w:p>
      <w:pPr>
        <w:spacing w:after="0" w:line="193"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i w:val="1"/>
          <w:iCs w:val="1"/>
          <w:color w:val="auto"/>
        </w:rPr>
        <w:t>Customer concentration</w:t>
      </w:r>
      <w:r>
        <w:rPr>
          <w:rFonts w:ascii="Arial" w:cs="Arial" w:eastAsia="Arial" w:hAnsi="Arial"/>
          <w:sz w:val="16"/>
          <w:szCs w:val="16"/>
          <w:color w:val="auto"/>
        </w:rPr>
        <w:t>. A relatively small number of end customers have historically accounted for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our revenue. Revenue, including through distributors, from four of our end customers collectively, accounted for approximately 21% and 35% of our total revenue in the three and nine months ended September 30, 2018, respectively. One of these end customers accounted for in excess of 10% of our total revenue in the three months ended September 30, 2018. Two of these end customers accounted for in excess of 10% of our total revenue in the nine months ended September 30, 2018. Revenue, including through distributors, from five of our end customers collectively, accounted for 32% and 34% of our total revenue in the three and nine months ended September 30, 2017, respectively. None of these end customers accounted for in excess of 10% of our total revenue in the three and nine months ended September 30, 2017. It would be difficult to replace lost revenue resulting from the loss, reduction, cancellation or delay in purchase orders by any one of these end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derive our revenue from the sale of our MRAM-based products in discrete unit form, the licensing of our MRAM and magnetic sensor technology and related royalties, the sale backend foundry services and design services to third parties. We recognize sales of products in discrete unit form at a point in time, we recognize revenue related to licensing agreements when we have delivered rights to the technology, we recognize revenue related to royalty agreements in the period in which sales generated from products sold using our technology occurs, and we recognize sales of backend foundry services and design services to third parties over time.</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 some of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increase in connection with our joint development agreement with GLOBALFOUNDRIES.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increase as we continue to hire personnel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right="39" w:firstLine="324"/>
        <w:spacing w:after="0" w:line="312" w:lineRule="auto"/>
        <w:rPr>
          <w:sz w:val="20"/>
          <w:szCs w:val="20"/>
          <w:color w:val="auto"/>
        </w:rPr>
      </w:pPr>
      <w:r>
        <w:rPr>
          <w:rFonts w:ascii="Arial" w:cs="Arial" w:eastAsia="Arial" w:hAnsi="Arial"/>
          <w:sz w:val="16"/>
          <w:szCs w:val="16"/>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99" w:firstLine="324"/>
        <w:spacing w:after="0" w:line="259"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a warrant, the end of term fee and debt issuance costs capitalized on our balance sheets as a reduction of the debt balance. Interest expense is due to our borrowings under our loan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459" w:firstLine="324"/>
        <w:spacing w:after="0" w:line="264" w:lineRule="auto"/>
        <w:rPr>
          <w:sz w:val="20"/>
          <w:szCs w:val="20"/>
          <w:color w:val="auto"/>
        </w:rPr>
      </w:pPr>
      <w:r>
        <w:rPr>
          <w:rFonts w:ascii="Arial" w:cs="Arial" w:eastAsia="Arial" w:hAnsi="Arial"/>
          <w:sz w:val="18"/>
          <w:szCs w:val="18"/>
          <w:color w:val="auto"/>
        </w:rPr>
        <w:t>Other income, net consists primarily of the interest income earned on our cash equivalents and foreign currency exchange gains and losses. Our foreign currency exchange gains and losses relate to transactions and asset and liability balances denominated in currencies other than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179" w:firstLine="324"/>
        <w:spacing w:after="0" w:line="264" w:lineRule="auto"/>
        <w:rPr>
          <w:sz w:val="20"/>
          <w:szCs w:val="20"/>
          <w:color w:val="auto"/>
        </w:rPr>
      </w:pPr>
      <w:r>
        <w:rPr>
          <w:rFonts w:ascii="Arial" w:cs="Arial" w:eastAsia="Arial" w:hAnsi="Arial"/>
          <w:sz w:val="18"/>
          <w:szCs w:val="18"/>
          <w:color w:val="auto"/>
        </w:rPr>
        <w:t>In the second quarter of 2017, we repaid the outstanding balance of our revolving loan and term loan at which time we recognized the unamortized balance of the debt discount and a prepayment penalty for the term loan as a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w w:val="96"/>
              </w:rPr>
              <w:t>Three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(As a percentage</w:t>
            </w:r>
          </w:p>
        </w:tc>
        <w:tc>
          <w:tcPr>
            <w:tcW w:w="160" w:type="dxa"/>
            <w:vAlign w:val="bottom"/>
          </w:tcPr>
          <w:p>
            <w:pPr>
              <w:spacing w:after="0"/>
              <w:rPr>
                <w:sz w:val="10"/>
                <w:szCs w:val="10"/>
                <w:color w:val="auto"/>
              </w:rPr>
            </w:pPr>
          </w:p>
        </w:tc>
        <w:tc>
          <w:tcPr>
            <w:tcW w:w="17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(As a 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30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0"/>
              </w:rPr>
              <w:t>of revenue)</w:t>
            </w:r>
          </w:p>
        </w:tc>
        <w:tc>
          <w:tcPr>
            <w:tcW w:w="1720" w:type="dxa"/>
            <w:vAlign w:val="bottom"/>
            <w:gridSpan w:val="4"/>
            <w:vMerge w:val="continue"/>
          </w:tcPr>
          <w:p>
            <w:pPr>
              <w:spacing w:after="0"/>
              <w:rPr>
                <w:sz w:val="14"/>
                <w:szCs w:val="14"/>
                <w:color w:val="auto"/>
              </w:rPr>
            </w:pPr>
          </w:p>
        </w:tc>
        <w:tc>
          <w:tcPr>
            <w:tcW w:w="130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0"/>
              </w:rPr>
              <w:t>of revenue)</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92 %$ 29,283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$ 22,171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4"/>
              </w:rPr>
              <w:t>Licensing, royalty, and other revenue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3,642</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3,753</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10,549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3,031</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8,669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10,948</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10,563</w:t>
            </w: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33,828</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31,236</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(5,308)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8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$ 8,323</w:t>
            </w: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$ 2,146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760" w:type="dxa"/>
            <w:vAlign w:val="bottom"/>
            <w:gridSpan w:val="2"/>
          </w:tcPr>
          <w:p>
            <w:pPr>
              <w:jc w:val="right"/>
              <w:ind w:right="2"/>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53.1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$ 11,518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6"/>
              </w:rPr>
              <w:t>$ 2,510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27.9</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9" w:firstLine="324"/>
        <w:spacing w:after="0" w:line="259" w:lineRule="auto"/>
        <w:rPr>
          <w:sz w:val="20"/>
          <w:szCs w:val="20"/>
          <w:color w:val="auto"/>
        </w:rPr>
      </w:pPr>
      <w:r>
        <w:rPr>
          <w:rFonts w:ascii="Arial" w:cs="Arial" w:eastAsia="Arial" w:hAnsi="Arial"/>
          <w:sz w:val="18"/>
          <w:szCs w:val="18"/>
          <w:color w:val="auto"/>
        </w:rPr>
        <w:t>Product sales increased by $2.1 million or 25.8%, from $8.3 million during the three months ended September 30, 2017, to $10.5 million during the three months ended September 30, 2018. The increase was primarily due to $2.7 million in increased sales volume and mix in our MRAM products partially offset by a $0.6 million decrease in sales of our legacy products as a result of a decrease in demand for our legacy products.</w:t>
      </w:r>
    </w:p>
    <w:p>
      <w:pPr>
        <w:spacing w:after="0" w:line="187" w:lineRule="exact"/>
        <w:rPr>
          <w:sz w:val="20"/>
          <w:szCs w:val="20"/>
          <w:color w:val="auto"/>
        </w:rPr>
      </w:pPr>
    </w:p>
    <w:p>
      <w:pPr>
        <w:jc w:val="both"/>
        <w:ind w:right="79" w:firstLine="324"/>
        <w:spacing w:after="0" w:line="279" w:lineRule="auto"/>
        <w:rPr>
          <w:sz w:val="20"/>
          <w:szCs w:val="20"/>
          <w:color w:val="auto"/>
        </w:rPr>
      </w:pPr>
      <w:r>
        <w:rPr>
          <w:rFonts w:ascii="Arial" w:cs="Arial" w:eastAsia="Arial" w:hAnsi="Arial"/>
          <w:sz w:val="17"/>
          <w:szCs w:val="17"/>
          <w:color w:val="auto"/>
        </w:rPr>
        <w:t>Licensing, royalty, and other revenue is a highly variable revenue item characterized by a small number of transactions annually with revenue based on size and terms of each transaction. Licensing, royalty, and other revenue increased by $0.4 million from $0.7 million during the three months ended September 30, 2017, to $1.0 million during the three months ended September 30, 2018. The increase was primarily due to a $0.3 million increase in milestone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payments earned for research and development activity performed on behalf of GLOBALFOUNDRIES services and a $0.1 million increase in royalty revenue.</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increase in revenue is also due in part to our adoption of the new revenue standard whereby revenue from sales to distributors is recognized upon delivery of the product to the distributor. In 2017, revenue from sales where distributors were granted concessions or price protection credits was deferred until the sale of the products to the end customer was completed.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4"/>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$6,109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3"/>
              </w:rPr>
              <w:t>$ 2,356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62.8 %</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47.0 %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58.3 %</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Cost of sales increased by $2.4 million or 62.8%, from $3.8 million during the three months ended September 30, 2017, to $6.1 million during the three months ended September 30, 2018. The increase was primarily due to increased sales volume, product mix, and lower yields on our MRAM products, partially offset by lower sales volume of backend foundry services and legacy products.</w:t>
      </w:r>
    </w:p>
    <w:p>
      <w:pPr>
        <w:spacing w:after="0" w:line="187"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Gross margin decreased from 58.3% during the three months ended September 30, 2017, to 47.0% during the three months ended September 30, 2018. The decrease was primarily due to product mix and lower yields on our Toggle and MRAM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$6,453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33</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0.5 %</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71 %</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remained flat during each of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and September 30, 2018. The slight increase was due to a $0.7 million increase in expenses incurred in our joint development agreement with GLOBALFOUNDRIES and a $0.5 million increase in process engineering costs. These increases were offset by a $0.7 million decrease in spending on direct materials and supplies used in research and development activities due to the timing of purchases, a decrease of $0.3 million in the amount attributable to the vesting of shares of common stock issued to GLOBALFOUNDRIES due to revaluing shares, and a decrease of $0.2 million in employee and contract labor costs. Research and development expenses during the three months ended September 30, 2018 decreased as a percentage of revenue when compared with the corresponding period in 2017 due to the increase in revenue.</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$2,913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(118)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spending decreased by $0.1 million or 3.9%, from</w:t>
      </w:r>
      <w:r>
        <w:rPr>
          <w:rFonts w:ascii="Arial" w:cs="Arial" w:eastAsia="Arial" w:hAnsi="Arial"/>
          <w:sz w:val="17"/>
          <w:szCs w:val="17"/>
          <w:i w:val="1"/>
          <w:iCs w:val="1"/>
          <w:color w:val="auto"/>
        </w:rPr>
        <w:t xml:space="preserve"> </w:t>
      </w:r>
      <w:r>
        <w:rPr>
          <w:rFonts w:ascii="Arial" w:cs="Arial" w:eastAsia="Arial" w:hAnsi="Arial"/>
          <w:sz w:val="17"/>
          <w:szCs w:val="17"/>
          <w:color w:val="auto"/>
        </w:rPr>
        <w:t>$3.0 million during the three months ended September 30, 2017, to $2.9 million during the three months ended September 30, 2018. The decrease was due to a $0.1 million decrease in professional services due to costs incurred in 2017 related to becoming a recent public company and a $0.1 million increase in manufacturing credits during the third quarter. These decreases were partially offset by a $0.1 million increase in employee and contract labor costs. General and administrative expenses during the three months ended September 30, 2018 decreased as a percentage of revenue when compared with the corresponding period in 2017 due to the increase in revenue.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$1,582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470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by $0.5 million or 42.3%, from $1.1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September 30, 2017, to $1.6 million during the three months ended September 30, 2018. The increase was primarily due to a $0.6 million increase in employee and contract labor costs as a result of higher headcount and an increase in salaries, commissions, bonuses and stock-based compensation expense. The increase was offset by a $0.1 million decrease in expenditures on marketing materials. Sales and marketing expense for the three months ended September 30, 2018 slightly increased as a percentage of revenue when compared with the corresponding period in 2017 primarily due to the increase in revenue from product sales not fully offsetting the increase in sales and marketing expense.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229</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178</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51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Interest expense was $0.2 million during each of the three months ended September 30, 2017 and 2018. The slight increase was primarily due to higher interest expense on our Amended Credit Facility with Silicon Valley Bank, compared to our prior facility with Ares Venture Finance, due to an increase in the prime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139</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40</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99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247.5 %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Other income, net was $0.1 million during the three months ended September 30, 2018 compared to $40,000 during the three months ended September 30, 2017. The increase was primarily related to an increase in interest income earned on our cash balances as a result of the increase in our cash balances from the follow-on public offering in February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5"/>
          </w:tcPr>
          <w:p>
            <w:pPr>
              <w:jc w:val="right"/>
              <w:ind w:right="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4,211</w:t>
            </w:r>
          </w:p>
        </w:tc>
        <w:tc>
          <w:tcPr>
            <w:tcW w:w="68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7"/>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25,813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11,323</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Product sales increased by $7.1 million or 32.1%, from $22.2 million during the nine months ended September 30, 2017, to $29.3 million during the nine months ended September 30, 2018. The increase was primarily due to $8.6 million in increased sales volume and mix in our MRAM products partially offset by a $1.5 million decrease in sales of our legacy products as a result of a decrease in demand for our legacy products.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Licensing, royalty, and other revenue is a highly variable revenue item characterized by a small number of transactions annually with revenue based on size and terms of each transaction. Licensing, royalty, and other revenue increased by $4.2 million from $3.6 million during the nine months ended September 30, 2017, to $7.9 million during the nine months ended September 30, 2018. The increase was due to a non-refundable license fee related to a cross-license agreement entered into with a customer in March 2018 and an increase of $0.4 million in royalty revenue, partially offset by a $0.3 million decrease in milestone payments earned for research and development activity performed on behalf of GLOBALFOUNDRIES and a $0.6 million decrease in sales of our backend foundry services.</w:t>
      </w:r>
    </w:p>
    <w:p>
      <w:pPr>
        <w:spacing w:after="0" w:line="17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increase in revenue is due in part to our adoption of the new revenue standard whereby revenue from sales to distributors is recognized upon delivery of the product to the distributor. In 2017, revenue from sales where distributors were granted concessions or price protection credits was deferred until the sale of the products to the end customer was completed.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8"/>
              </w:rPr>
              <w:t>Amount</w:t>
            </w:r>
          </w:p>
        </w:tc>
        <w:tc>
          <w:tcPr>
            <w:tcW w:w="3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gridSpan w:val="4"/>
          </w:tcPr>
          <w:p>
            <w:pPr>
              <w:jc w:val="right"/>
              <w:ind w:right="38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w w:val="89"/>
              </w:rPr>
              <w:t>$17,235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$ 6,686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63.4 %</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tcPr>
          <w:p>
            <w:pPr>
              <w:jc w:val="right"/>
              <w:spacing w:after="0"/>
              <w:rPr>
                <w:sz w:val="20"/>
                <w:szCs w:val="20"/>
                <w:color w:val="auto"/>
              </w:rPr>
            </w:pPr>
            <w:r>
              <w:rPr>
                <w:rFonts w:ascii="Arial" w:cs="Arial" w:eastAsia="Arial" w:hAnsi="Arial"/>
                <w:sz w:val="18"/>
                <w:szCs w:val="18"/>
                <w:color w:val="auto"/>
              </w:rPr>
              <w:t>53.6 %</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59.1 %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Cost of sales increased by $6.7 million or 63.4%, from $10.5 million during the nine months ended September 30, 2017, to $17.2 million during the nine months ended September 30, 2018. The increase was primarily due to $0.8 million of inventory items that were scrapped in the second quarter of 2018, increased sales volume and lower yields on our MRAM products, partially offset by lower sales volume of backend foundry services and legacy products.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Gross margin decreased from 59.1% during the three months ended September 30, 2017, to 53.6% during the three months ended September 30, 2018. The decrease was primarily due to inventory items that were scrapped in the second quarter of 2018, as well as lower yields on our MRAM products that were partially offset by a onetime licensing event in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$19,706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$19,236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470</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2.4 %</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9"/>
              </w:rPr>
              <w:t>Research and development as a % of revenue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75 %</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$0.5 million or 2.4%,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$19.2 million during the nine months ended September 30, 2017, to $19.7 million during the nine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2018. The increase was due to a $1.9 million increase in expenses incurred in our joint development agreement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GLOBALFOUNDRIES due to the use of more technologically advanced materials, a $0.5 million increase in process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engineering costs due to increasing production capacity, a $0.3 million increase in software expenses due to the purchase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software to improve simulations, a $0.2 million increase in rent expense due to increased rent expense for our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headquarters, which we moved into in December 2017, and a $0.3 million dollar increase in depreciation expense.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were partially offset by a $0.9 million decrease in spending on direct materials and supplies used in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due to the timing of purchases, $0.7 million decrease in employee and contract labor costs due to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decrease in headcount and bonuses, a $0.6 million decrease in equipment maintenance due to less repairs on machinery, and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$0.5 million decrease in the amount attributable to the vesting of shares of common stock issued to GLOBALFOUNDRIES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due to revaluing shares. Research and development expense during the three months ended September 30, 2018 decreased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percentage of revenue when compared with the corresponding period in 2017 primarily due to the increase in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sales and to the non-refundable license fee.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4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4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$9,461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792</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9.1 %</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spending increased by $0.8 million or 9.1%,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$8.7 million during the nine months ended September 30, 2017, to $9.5 million during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The increase was primarily due a $1.3 million increase in employee and contract labor costs due to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headcount, of which $0.5 million was due to increased stock-based compensation expense and the repricing of certain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in the nine months ended September 30, 2018, and a $0.1 million increase in software expenses. These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partially offset by a decrease of $0.5 million in professional services due to costs incurred in 2017 related to becoming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 public company, and a $0.1 million increase in manufacturing credits. General and administrative expense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2018 decreased as a percentage of revenue when compared with the corresponding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primarily due to the increase in revenue from product sales and the non-refundable license fee.</w:t>
      </w:r>
    </w:p>
    <w:p>
      <w:pPr>
        <w:spacing w:after="0" w:line="20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40" w:type="dxa"/>
            <w:vAlign w:val="bottom"/>
          </w:tcPr>
          <w:p>
            <w:pPr>
              <w:spacing w:after="0"/>
              <w:rPr>
                <w:sz w:val="14"/>
                <w:szCs w:val="14"/>
                <w:color w:val="auto"/>
              </w:rPr>
            </w:pPr>
          </w:p>
        </w:tc>
        <w:tc>
          <w:tcPr>
            <w:tcW w:w="13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5"/>
          </w:tcPr>
          <w:p>
            <w:pPr>
              <w:jc w:val="right"/>
              <w:ind w:right="128"/>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$4,661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$3,331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$1,330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$1.3 million or 39.9%, from $3.3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2017, to $4.7 million during the nine months ended September 30, 2018. The increase was primarily due to a $1.2 million increase in employee and contract labor costs as a result of higher headcount and an increase in salaries, commissions, bonuses and stock-based compensation expense, and a $0.1 million increase in expenditures on marketing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662</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584</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78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expense increased by $0.1 million or 13.4%, from $0.6 million during the nine months ended September 30, 2017 compared to $0.7 million during the nine months ended September 30, 2018. The increase was primarily due to higher interest expense on our 2017 Credit Facility and Amended Credit Facility with Silicon Valley Bank, compared to our prior facility with Ares Venture Finance, due to an increase in the principal outstanding and an increase in the prime rate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6"/>
        </w:trPr>
        <w:tc>
          <w:tcPr>
            <w:tcW w:w="2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2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315</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83</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232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279.5 %</w:t>
            </w:r>
          </w:p>
        </w:tc>
      </w:tr>
    </w:tbl>
    <w:p>
      <w:pPr>
        <w:spacing w:after="0" w:line="202"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Other income, net was $0.3 million during the nine months ended September 30, 2018 compared to $83,000 during the nine months ended September 30, 2017. The increase was primarily related to an increase in interest income earned on our cash balances as a result of the increase in our cash balances from the follow-on public offering in February 2018.</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(246)</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Loss on extinguishment of debt was $0.2 million during the nine months ended September 30, 2017 due to the payoff of our prior facility with Ares Venture Finance. There was no such loss during the nine months ended 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$130.5 million as of September 30, 2018, compared to $117.5 million as of December 31, 2017. As of September 30, 2018, we had $31.4 million of cash and cash equivalents, compared to $13.0 million as of December 31, 2017.</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May 2017, we executed a Loan and Security Agreement with Silicon Valley Bank for a $12.0 million term loan. The term of the loan was three years, which could be extended by one year if we achieved a revenue target of $4.0 million for our Spin Transfer Torque product. The loan bears interest at a floating rate equal to the prime rate minus 0.75% and is payable monthly. In July 2018, we entered into the First Amendment to the Loan and Security Agreement with Silicon Valley Bank to extend the interest only payment period until December 31, 2018. The term of the amended loan is two years following the interest only payment period, which would be extended by one year if we achieve certain milestones. The outstanding balance of the loan is to be repaid monthly beginning on January 1, 2019 over the remaining two-year term of the amended loan with an end of term fee of $0.8 million due upon maturity. The amended loan is secured by a first priority perfected security interest in our assets excluding any intellectual property.</w:t>
      </w:r>
    </w:p>
    <w:p>
      <w:pPr>
        <w:spacing w:after="0" w:line="18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$24.5 million, net of $1.9 million of underwriting discounts and commissions and other offering costs.</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believe that our existing cash and cash equivalents as of September 30, 2018, coupled with our anticipated growth and sales levels will be sufficient to meet our anticipated cash requirements for at least the next twelve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Nine Months Ended</w:t>
      </w:r>
    </w:p>
    <w:p>
      <w:pPr>
        <w:ind w:left="69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560" w:type="dxa"/>
            <w:vAlign w:val="bottom"/>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(6,879)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(14,521)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320" w:type="dxa"/>
            <w:vAlign w:val="bottom"/>
            <w:gridSpan w:val="2"/>
          </w:tcPr>
          <w:p>
            <w:pPr>
              <w:jc w:val="right"/>
              <w:ind w:right="8"/>
              <w:spacing w:after="0"/>
              <w:rPr>
                <w:sz w:val="20"/>
                <w:szCs w:val="20"/>
                <w:color w:val="auto"/>
              </w:rPr>
            </w:pPr>
            <w:r>
              <w:rPr>
                <w:rFonts w:ascii="Arial" w:cs="Arial" w:eastAsia="Arial" w:hAnsi="Arial"/>
                <w:sz w:val="18"/>
                <w:szCs w:val="18"/>
                <w:color w:val="auto"/>
              </w:rPr>
              <w:t>(1,513)</w:t>
            </w:r>
          </w:p>
        </w:tc>
        <w:tc>
          <w:tcPr>
            <w:tcW w:w="820" w:type="dxa"/>
            <w:vAlign w:val="bottom"/>
          </w:tcPr>
          <w:p>
            <w:pPr>
              <w:jc w:val="right"/>
              <w:spacing w:after="0"/>
              <w:rPr>
                <w:sz w:val="20"/>
                <w:szCs w:val="20"/>
                <w:color w:val="auto"/>
              </w:rPr>
            </w:pPr>
            <w:r>
              <w:rPr>
                <w:rFonts w:ascii="Arial" w:cs="Arial" w:eastAsia="Arial" w:hAnsi="Arial"/>
                <w:sz w:val="18"/>
                <w:szCs w:val="18"/>
                <w:color w:val="auto"/>
              </w:rPr>
              <w:t>(2,170)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3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26,880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80" w:type="dxa"/>
            <w:vAlign w:val="bottom"/>
          </w:tcPr>
          <w:p>
            <w:pPr>
              <w:jc w:val="right"/>
              <w:ind w:right="189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During the nine months ended September 30, 2018, cash used in operating activities was $6.9 million, which consisted of a net loss of $14.3 million, adjusted by non-cash charges of $4.1 million and a change of $3.2 million in our net operating assets and liabilities. The non-cash charges primarily consisted of stock-based compensation of $2.1 million, depreciation and amortization of $1.1 million, compensation expense related to vesting of common stock issued to GLOBALFOUNDRIES under our joint development agreement of $0.7 million, and interest expense related to the amortization of debt issuance costs of $0.3 million. The change in our net operating assets and liabilities was primarily due to an increase of $4.8 million in accrued liabilities due to an increase in inventory purchases in connection with the joint development agreement with GLOBALFOUNDRIES and the timing of payments, a decrease of $0.3 million in inventory due to increased sales, and a decrease of $0.2 million in prepaid expenses and other current assets due to the timing of payments. This change was partially offset by an increase in accounts receivable of $1.9 million due to an increased sales volume and timing of cash receipts for outstanding balances.</w:t>
      </w:r>
    </w:p>
    <w:p>
      <w:pPr>
        <w:spacing w:after="0" w:line="18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During the nine months ended September 30, 2017, cash used in operating activities was $14.5 million, which consisted of a net loss of $16.7 million, adjusted by non-cash charges of $3.9 million and a change of $1.7 million in our net operating assets and liabilities. The non-cash charges primarily consisted of stock-based compensation of $1.5 million, compensation expense related to vesting of common stock issued to GLOBALFOUNDRIES under our joint development agreement of $1.2 million, depreciation and amortization of $0.8 million, loss on extinguishment of debt of $0.2 million, and interest expense related to the amortization of debt issuance costs of $0.2 million. The change in our net operating assets and liabilities was primarily due to an increase in inventory of $2.6 million to meet demands of future sales and growing backlog and an increase of $0.5 million in accounts receivable due to timing of cash receipts for outstanding balances. These changes were partially offset by an increase in accounts payable and accrued liabilities of $0.8 million due to the timing of payments, an increase of $0.3 million in deferred income on shipments to distributors, and a decrease of $0.3 million in prepaid and other current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Cash used in investing activities during nine months ended September 30, 2018, was $1.5 million for the purchase of manufacturing and computer equipment.</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2017, was $2.2 million, for the purchase of manufacturing equipment and capitalized costs related to the move to our new office and laboratory space in Chandler, Arizona.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nine months ended September 30, 2018, cash provided by financing activities was $26.9 million consisting of net proceeds from the issuance of common stock of $24.5 million, proceeds of $1.0 million in borrowings, and $2.4 million from stock option exercises and purchases of shares in our employee stock purchase plan, offset in part by payments of long-term debt of $1.0 million.</w:t>
      </w:r>
    </w:p>
    <w:p>
      <w:pPr>
        <w:spacing w:after="0" w:line="187"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During the nine months ended September 30, 2017, cash provided by financing activities was $4.8 million consisting of proceeds of $12.0 million in borrowings, and $1.2 million from stock option exercises and purchases of shares in employee stock purchase plan, offset in part by payments of long-term debt of $8.4 million.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contractual obligations as of September 30,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Less Than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1 to 3</w:t>
            </w:r>
          </w:p>
        </w:tc>
        <w:tc>
          <w:tcPr>
            <w:tcW w:w="160" w:type="dxa"/>
            <w:vAlign w:val="bottom"/>
          </w:tcPr>
          <w:p>
            <w:pPr>
              <w:spacing w:after="0"/>
              <w:rPr>
                <w:sz w:val="10"/>
                <w:szCs w:val="10"/>
                <w:color w:val="auto"/>
              </w:rPr>
            </w:pPr>
          </w:p>
        </w:tc>
        <w:tc>
          <w:tcPr>
            <w:tcW w:w="50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3 to 5</w:t>
            </w:r>
          </w:p>
        </w:tc>
        <w:tc>
          <w:tcPr>
            <w:tcW w:w="980" w:type="dxa"/>
            <w:vAlign w:val="bottom"/>
            <w:gridSpan w:val="5"/>
          </w:tcPr>
          <w:p>
            <w:pPr>
              <w:ind w:left="140"/>
              <w:spacing w:after="0" w:line="119" w:lineRule="exact"/>
              <w:rPr>
                <w:sz w:val="20"/>
                <w:szCs w:val="20"/>
                <w:color w:val="auto"/>
              </w:rPr>
            </w:pPr>
            <w:r>
              <w:rPr>
                <w:rFonts w:ascii="Arial" w:cs="Arial" w:eastAsia="Arial" w:hAnsi="Arial"/>
                <w:sz w:val="13"/>
                <w:szCs w:val="13"/>
                <w:b w:val="1"/>
                <w:bCs w:val="1"/>
                <w:color w:val="auto"/>
              </w:rPr>
              <w:t>More Than</w:t>
            </w:r>
          </w:p>
        </w:tc>
        <w:tc>
          <w:tcPr>
            <w:tcW w:w="20" w:type="dxa"/>
            <w:vAlign w:val="bottom"/>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1 Year</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Years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Long-term debt, current and non-current,</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including interest</w:t>
            </w:r>
            <w:r>
              <w:rPr>
                <w:rFonts w:ascii="Arial" w:cs="Arial" w:eastAsia="Arial" w:hAnsi="Arial"/>
                <w:sz w:val="8"/>
                <w:szCs w:val="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$ 4,979</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$ 13,547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3"/>
              </w:rPr>
              <w:t>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11,358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$ 18,186</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99" w:hanging="317"/>
        <w:spacing w:after="0" w:line="308"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interest charges have been calculated using a rate of 4.50%, which was the rate in effect as of September 30, 2018. The debt bears interest at a variable rate and interest charges in future periods may be higher.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99" w:firstLine="324"/>
        <w:spacing w:after="0" w:line="279" w:lineRule="auto"/>
        <w:rPr>
          <w:sz w:val="20"/>
          <w:szCs w:val="20"/>
          <w:color w:val="auto"/>
        </w:rPr>
      </w:pPr>
      <w:r>
        <w:rPr>
          <w:rFonts w:ascii="Arial" w:cs="Arial" w:eastAsia="Arial" w:hAnsi="Arial"/>
          <w:sz w:val="17"/>
          <w:szCs w:val="17"/>
          <w:color w:val="auto"/>
        </w:rPr>
        <w:t>On January 1, 2018, we adopted Auditing Standards Update, or ASU, No. 2014-09, Revenue from Contracts with Customers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Topic 605, Revenue.</w:t>
      </w:r>
    </w:p>
    <w:p>
      <w:pPr>
        <w:spacing w:after="0" w:line="171" w:lineRule="exact"/>
        <w:rPr>
          <w:sz w:val="20"/>
          <w:szCs w:val="20"/>
          <w:color w:val="auto"/>
        </w:rPr>
      </w:pPr>
    </w:p>
    <w:p>
      <w:pPr>
        <w:ind w:right="159" w:firstLine="324"/>
        <w:spacing w:after="0" w:line="25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which we expect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ind w:right="39" w:firstLine="324"/>
        <w:spacing w:after="0" w:line="259" w:lineRule="auto"/>
        <w:rPr>
          <w:sz w:val="20"/>
          <w:szCs w:val="20"/>
          <w:color w:val="auto"/>
        </w:rPr>
      </w:pPr>
      <w:r>
        <w:rPr>
          <w:rFonts w:ascii="Arial" w:cs="Arial" w:eastAsia="Arial" w:hAnsi="Arial"/>
          <w:sz w:val="18"/>
          <w:szCs w:val="18"/>
          <w:color w:val="auto"/>
        </w:rPr>
        <w:t>Topic 606 permits the application of certain practical expedients. Our billing practices approximate our performance as measured by an output method, where each output represents the completion of a performance obligation. Accordingly, we utilize the invoice practical expedient as defined in Topic 606, resulting in recognition of revenue in the amount that we have the right to invoice.</w:t>
      </w:r>
    </w:p>
    <w:p>
      <w:pPr>
        <w:spacing w:after="0" w:line="187" w:lineRule="exact"/>
        <w:rPr>
          <w:sz w:val="20"/>
          <w:szCs w:val="20"/>
          <w:color w:val="auto"/>
        </w:rPr>
      </w:pPr>
    </w:p>
    <w:p>
      <w:pPr>
        <w:ind w:right="239" w:firstLine="324"/>
        <w:spacing w:after="0" w:line="264" w:lineRule="auto"/>
        <w:rPr>
          <w:sz w:val="20"/>
          <w:szCs w:val="20"/>
          <w:color w:val="auto"/>
        </w:rPr>
      </w:pPr>
      <w:r>
        <w:rPr>
          <w:rFonts w:ascii="Arial" w:cs="Arial" w:eastAsia="Arial" w:hAnsi="Arial"/>
          <w:sz w:val="18"/>
          <w:szCs w:val="18"/>
          <w:color w:val="auto"/>
        </w:rPr>
        <w:t>We incur direct and incremental costs of obtaining contracts and such costs are expensed as incurred, as the life of the underlying contract is less than one year. Accordingly, we have concluded, based on the structure of our contracts, no adjustments are necessary under Topic 606.</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revenue is derived from the sale of MRAM-based products in discrete unit form, licenses of and royalties on our MRAM and magnetic sensor technology, the sale of backend foundry services, and design services to third parties. Sales of products in discrete unit form are recognized at a point in time, revenue related to licensing agreements is recognized when we have delivered control of the technology, revenue related to royalty agreements is recognized in the period in which sales generated from products sold using our technology occurs, and sales of backend foundry services are recognized over time, and design services to third parties are recognized either at a point in time or over time, depending on the nature of the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 products sold in their discrete form, we either sell our products directly to OEMs, original design manufacturers (ODMs),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8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We sell a majority of our products to our distributors at a uniform list price. However, distributors may resell our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concessions for amounts due to distributors. We estimate credits to distributors based on the historical rate of credits provided to distributors relative to sales. Revenue on shipments to distributors is recorded when control of the products has been transferred to the distributor.</w:t>
      </w:r>
    </w:p>
    <w:p>
      <w:pPr>
        <w:spacing w:after="0" w:line="188"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4"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At the time of shipment to distributors,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transaction price in each agreement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we have no other performance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Revenue from sales-based royalties from licenses of our technology is recognized at the later of when (1) the sale occurs or (2) the performance obligation to which some or all of the sales-based royalty has been allocated is satisfied (in whole or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Revenue from milestone payments must be estimated using either the expected value method or the most likely amount method. 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There have been no other changes to our critical accounting policies and estimates described in the Annual Report on Form 10-K for the year ended December 31, 2017, filed with the Securities and Exchange Commission (SEC) on March 15, 2018, that have had a material impact on our condensed financial statements and related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243"/>
        <w:spacing w:after="0" w:line="26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primarily exposed to interest rate risk from variable rate borrowings under our Amended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September 30, 2018 and December 31, 2017. A hypothetical 10% change in interest rates would not have a material impact on interest income on our cash and cash equivalent balances as of September 30, 2018 and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Securities Exchange Act of 1934, as amended), as of September 30, 2018, the end of the period covered by this quarterly report on Form 10-Q.</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Based on this evaluation, our CEO and CFO concluded that our disclosure controls and procedures were not effective at the reasonable assurance level as of September 30, 2018, based on the material weakness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condensed financial statements for the quarter ended September 30, 2018, we identified an error in the previously filed financial statements that has caused us to restate and amend the our previously issued condensed financial statements and related financial information as of and for the three and six months ended June 30, 2018. This error was the result of a material weakness in our internal control over financial reporting. Specifically, i) our information technology systems do not currently provide management the ability to accurately monitor inventory movements and quantities at third-party locations, ii) internal processes to provide for clear communication between operational and financial personnel within the Company are insufficient, and iii) we have insufficient personnel with the appropriate level of experience to prevent and detect errors on a timely basis in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plan to remediate the material weakness.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remediate this material weakness, we plan to take the following actions:</w:t>
      </w:r>
    </w:p>
    <w:p>
      <w:pPr>
        <w:spacing w:after="0" w:line="225" w:lineRule="exact"/>
        <w:rPr>
          <w:sz w:val="20"/>
          <w:szCs w:val="20"/>
          <w:color w:val="auto"/>
        </w:rPr>
      </w:pPr>
    </w:p>
    <w:p>
      <w:pPr>
        <w:ind w:left="560" w:right="80" w:hanging="233"/>
        <w:spacing w:after="0" w:line="264"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currently updating our information technology tools, including our ERP system, to enhance our ability to monitor inventory and its movement through our manufacturing process and to provide checks and balances to third-party reports.</w:t>
      </w:r>
    </w:p>
    <w:p>
      <w:pPr>
        <w:spacing w:after="0" w:line="181" w:lineRule="exact"/>
        <w:rPr>
          <w:rFonts w:ascii="Arial" w:cs="Arial" w:eastAsia="Arial" w:hAnsi="Arial"/>
          <w:sz w:val="18"/>
          <w:szCs w:val="18"/>
          <w:color w:val="auto"/>
        </w:rPr>
      </w:pPr>
    </w:p>
    <w:p>
      <w:pPr>
        <w:ind w:left="560" w:right="360" w:hanging="233"/>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and continue to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560" w:right="380" w:hanging="233"/>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establishing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560" w:right="20" w:hanging="233"/>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providing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560" w:right="400" w:hanging="233"/>
        <w:spacing w:after="0" w:line="27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are assessing our accounting policies and internal controls documentation to ensure they are effective in helping us manage the business. Notwithstanding the material weakness that exists,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If we fail to fully remediate this material weakness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13a-15(e) and 15d-15(e) under the Securities Exchange Act of 1934, as amended) that occurred during the three months ended September 30, 2018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incurred net losses since our inception. We incurred net losses of $21.1 million and $14.3 million for the year ended December 31, 2017, and the nine months ended September 30, 2018, respectively. As of September 30, 2018, we had an accumulated deficit of $130.5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our revenue will grow rapidly enough to absorb these costs, and our limited operating history makes it difficult to assess the extent of these expenses, or their impact on our results of operations.</w:t>
      </w:r>
    </w:p>
    <w:p>
      <w:pPr>
        <w:spacing w:after="0" w:line="178"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limited history of making our STT-MRAM products makes it difficult to evaluate our current business and future prospects.</w:t>
      </w:r>
    </w:p>
    <w:p>
      <w:pPr>
        <w:spacing w:after="0" w:line="170"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We have been in existence as a stand-alone company since 2008, when Freescale Semiconductor, Inc. (subsequently acquired by NXP Semiconductor) spun-out its MRAM business as Everspin. We have been shipping magnetoresistive random access memory (MRAM) products since our incorporation in 2008. However, we only began to manufacture and ship our Spin Transfer Torque MRAM (STT-MRAM) products in the fourth quarter of 2017.</w:t>
      </w:r>
    </w:p>
    <w:p>
      <w:pPr>
        <w:spacing w:after="0" w:line="15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30"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firstLine="401"/>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right="20" w:firstLine="401"/>
        <w:spacing w:after="0" w:line="271" w:lineRule="auto"/>
        <w:rPr>
          <w:sz w:val="20"/>
          <w:szCs w:val="20"/>
          <w:color w:val="auto"/>
        </w:rPr>
      </w:pPr>
      <w:r>
        <w:rPr>
          <w:rFonts w:ascii="Arial" w:cs="Arial" w:eastAsia="Arial" w:hAnsi="Arial"/>
          <w:sz w:val="17"/>
          <w:szCs w:val="17"/>
          <w:color w:val="auto"/>
        </w:rPr>
        <w:t>We believe that our existing cash and cash equivalents as of September 30, 2018, coupled with our anticipated growth and sales levels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79" w:lineRule="exact"/>
        <w:rPr>
          <w:sz w:val="20"/>
          <w:szCs w:val="20"/>
          <w:color w:val="auto"/>
        </w:rPr>
      </w:pPr>
    </w:p>
    <w:p>
      <w:pPr>
        <w:ind w:right="20" w:firstLine="401"/>
        <w:spacing w:after="0" w:line="302"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continue to grow or support our business and to respond to business challenges could be significantly limited.</w:t>
      </w:r>
    </w:p>
    <w:p>
      <w:pPr>
        <w:spacing w:after="0" w:line="24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Selling into such new markets,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exclusive representatives for certain customer engagements;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do not have long-term supply contracts with some of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We have entered into strategic relationships to manufacture products and develop new manufacturing process technologies and products. These relationships are subject to various risks that could adversely affect the value of our investments and our results of operations. These risks include the following:</w:t>
      </w:r>
    </w:p>
    <w:p>
      <w:pPr>
        <w:spacing w:after="0" w:line="195"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60"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right="99"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39"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right="39" w:firstLine="324"/>
        <w:spacing w:after="0" w:line="270" w:lineRule="auto"/>
        <w:rPr>
          <w:sz w:val="20"/>
          <w:szCs w:val="20"/>
          <w:color w:val="auto"/>
        </w:rPr>
      </w:pPr>
      <w:r>
        <w:rPr>
          <w:rFonts w:ascii="Arial" w:cs="Arial" w:eastAsia="Arial" w:hAnsi="Arial"/>
          <w:sz w:val="17"/>
          <w:szCs w:val="17"/>
          <w:color w:val="auto"/>
        </w:rPr>
        <w:t>In addition, under the terms of our joint development agreement with GLOBALFOUNDRIES, we are responsible for half of the costs incurred by GLOBALFOUNDRIES, and we are not able to control the expenses incurred by GLOBALFOUNDRIES. If GLOBALFOUNDRIES were to incur expenses greater than we expect, our expenses would increase by more than we expect.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Further, our joint development agreement expires in December 2019 unless a statement of work is in place at that time, in which case it expires on the date the last statement of work is finished. If GLOBALFOUNDRIES fails to extend or terminates the joint development agreement, our ability to continue to develop our MRAM technology will be significantly impaired.</w:t>
      </w:r>
    </w:p>
    <w:p>
      <w:pPr>
        <w:spacing w:after="0" w:line="178" w:lineRule="exact"/>
        <w:rPr>
          <w:sz w:val="20"/>
          <w:szCs w:val="20"/>
          <w:color w:val="auto"/>
        </w:rPr>
      </w:pPr>
    </w:p>
    <w:p>
      <w:pPr>
        <w:ind w:right="71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right="3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5" w:lineRule="exact"/>
        <w:rPr>
          <w:sz w:val="20"/>
          <w:szCs w:val="20"/>
          <w:color w:val="auto"/>
        </w:rPr>
      </w:pPr>
    </w:p>
    <w:p>
      <w:pPr>
        <w:ind w:right="17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If we are not able to deliver products with the performance densities required by our customers, we face the risk that they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have been ramping up production in 2018. To date we have not sold any of our 1Gb MRAM products.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development of our 1Gb MRAM products, or failure of our customers to adopt our 256Mb and 1Gb MRAM products, could inhibit revenue growth or cause declines, which would significantly harm our business and prevent us from becoming profitable.</w:t>
      </w:r>
    </w:p>
    <w:p>
      <w:pPr>
        <w:spacing w:after="0" w:line="17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larger competitors. If current or prospective customers do not include our solutions in their products and we fail to achieve a sufficient number of design wins, our results of operations and business may be harmed.</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rely on our relationships with OEMs and original design manufacturers (ODMs) to enhance our solutions and market position, and our failure to continue to develop or maintain such relationships in the future would harm our ability to remain competitive.</w:t>
      </w:r>
    </w:p>
    <w:p>
      <w:pPr>
        <w:spacing w:after="0" w:line="181"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35% of our total revenue for the nine months ended September 30, 2018, and two of these customers accounted for more than 10% of our revenue during the period. Our four largest end customers together accounted for 28% of our total revenue for the year ended December 31, 2017,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379"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99"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changes in accounting standards, such as revenue recognition, which we were required to adopt beginning in 2018;</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laws, such as the Tax Cuts and Jobs Act of 2017 recently enacted;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79"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right="419" w:firstLine="324"/>
        <w:spacing w:after="0" w:line="342"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6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Electric, Asahi Kasei Microdevices, Fairchild, Invensys (now Schneider), Kionix and Micronas.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problems will not be found in new products, both before and after commencement of commercial production, despite testing by us, our suppliers or our customers. Any such problems could result in: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storage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6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10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ERP system.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79"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and so we could only do so with the lender’s consent. If we were to pursue such acquisitions or investments, they could create risks for us, including:</w:t>
      </w:r>
    </w:p>
    <w:p>
      <w:pPr>
        <w:spacing w:after="0" w:line="154"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technologies, imposing greater compliance costs and increasing risks and penalties associated with violations, which could seriously harm our business.</w:t>
      </w:r>
    </w:p>
    <w:p>
      <w:pPr>
        <w:spacing w:after="0" w:line="170" w:lineRule="exact"/>
        <w:rPr>
          <w:sz w:val="20"/>
          <w:szCs w:val="20"/>
          <w:color w:val="auto"/>
        </w:rPr>
      </w:pPr>
    </w:p>
    <w:p>
      <w:pPr>
        <w:ind w:right="359"/>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39"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9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right="59" w:firstLine="324"/>
        <w:spacing w:after="0" w:line="270"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2017, we had federal net operating loss carryforwards of approximately $100.1 million which will begin to expire in 2028 if not utilized, and state net operating loss carryforwards of approximately $39.3 million which will begin to expire in 2023 if not utilized. The federal NOLs generated prior to 2018 will continue to be governed by the NOL tax rules as they existed prior to the adoption of the new Tax Act, which means that generally they will expire 20 years after they were generated if not used prior thereto.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credits could also be impaired under state laws. As a result, we might not be able to utilize a material portion of our state NOLs and tax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tax reform bill could adversely affect our business and financial condition.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December 22, 2017, President Trump signed into law the Tax Cuts and Jobs Act (2017 Tax Act), which significantly amends the Internal Revenue Code of 1986. The 2017 Tax Act, among other things, reduces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w:t>
      </w:r>
    </w:p>
    <w:p>
      <w:pPr>
        <w:spacing w:after="0" w:line="16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have accounting and finance staff members to maintain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additional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b w:val="1"/>
          <w:bCs w:val="1"/>
          <w:i w:val="1"/>
          <w:iCs w:val="1"/>
          <w:color w:val="auto"/>
        </w:rPr>
        <w:t>We have a material weakness in our internal control over financial reporting, and if we fail to remediate this material weakness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our financial reporting and, as a result, the value of our common stock.</w:t>
      </w:r>
    </w:p>
    <w:p>
      <w:pPr>
        <w:spacing w:after="0" w:line="140" w:lineRule="exact"/>
        <w:rPr>
          <w:sz w:val="20"/>
          <w:szCs w:val="20"/>
          <w:color w:val="auto"/>
        </w:rPr>
      </w:pPr>
    </w:p>
    <w:p>
      <w:pPr>
        <w:ind w:right="20" w:firstLine="401"/>
        <w:spacing w:after="0" w:line="297" w:lineRule="auto"/>
        <w:rPr>
          <w:sz w:val="20"/>
          <w:szCs w:val="20"/>
          <w:color w:val="auto"/>
        </w:rPr>
      </w:pPr>
      <w:r>
        <w:rPr>
          <w:rFonts w:ascii="Arial" w:cs="Arial" w:eastAsia="Arial" w:hAnsi="Arial"/>
          <w:sz w:val="16"/>
          <w:szCs w:val="16"/>
          <w:color w:val="auto"/>
        </w:rPr>
        <w:t>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which cause a reasonable possibility that a material misstatement of our annual and interim financial statements will not be detected or prevented on a timely basis.</w:t>
      </w:r>
    </w:p>
    <w:p>
      <w:pPr>
        <w:spacing w:after="0" w:line="50" w:lineRule="exact"/>
        <w:rPr>
          <w:sz w:val="20"/>
          <w:szCs w:val="20"/>
          <w:color w:val="auto"/>
        </w:rPr>
      </w:pPr>
    </w:p>
    <w:p>
      <w:pPr>
        <w:ind w:right="40" w:firstLine="401"/>
        <w:spacing w:after="0" w:line="259" w:lineRule="auto"/>
        <w:rPr>
          <w:sz w:val="20"/>
          <w:szCs w:val="20"/>
          <w:color w:val="auto"/>
        </w:rPr>
      </w:pPr>
      <w:r>
        <w:rPr>
          <w:rFonts w:ascii="Arial" w:cs="Arial" w:eastAsia="Arial" w:hAnsi="Arial"/>
          <w:sz w:val="18"/>
          <w:szCs w:val="18"/>
          <w:color w:val="auto"/>
        </w:rPr>
        <w:t>Our management has determined that we have a material weakness in our internal control over financial reporting as of September 30, 2018 relating to the design and operation of our financial reporting processes over inventory management. We have concluded that this material weakness in our internal controls is due to gaps in management and reporting of our inventory from third parties.</w:t>
      </w:r>
    </w:p>
    <w:p>
      <w:pPr>
        <w:spacing w:after="0" w:line="79" w:lineRule="exact"/>
        <w:rPr>
          <w:sz w:val="20"/>
          <w:szCs w:val="20"/>
          <w:color w:val="auto"/>
        </w:rPr>
      </w:pPr>
    </w:p>
    <w:p>
      <w:pPr>
        <w:ind w:firstLine="401"/>
        <w:spacing w:after="0" w:line="255" w:lineRule="auto"/>
        <w:rPr>
          <w:sz w:val="20"/>
          <w:szCs w:val="20"/>
          <w:color w:val="auto"/>
        </w:rPr>
      </w:pPr>
      <w:r>
        <w:rPr>
          <w:rFonts w:ascii="Arial" w:cs="Arial" w:eastAsia="Arial" w:hAnsi="Arial"/>
          <w:sz w:val="18"/>
          <w:szCs w:val="18"/>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 identified as described above, we will be unable to conclude that our internal controls are effective. The effectiveness of our controls and procedures may be limited by a variety of factors, including:</w:t>
      </w:r>
    </w:p>
    <w:p>
      <w:pPr>
        <w:spacing w:after="0" w:line="85" w:lineRule="exact"/>
        <w:rPr>
          <w:sz w:val="20"/>
          <w:szCs w:val="20"/>
          <w:color w:val="auto"/>
        </w:rPr>
      </w:pPr>
    </w:p>
    <w:p>
      <w:pPr>
        <w:ind w:left="580" w:hanging="33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17" w:lineRule="exact"/>
        <w:rPr>
          <w:rFonts w:ascii="Arial" w:cs="Arial" w:eastAsia="Arial" w:hAnsi="Arial"/>
          <w:sz w:val="18"/>
          <w:szCs w:val="18"/>
          <w:color w:val="auto"/>
        </w:rPr>
      </w:pPr>
    </w:p>
    <w:p>
      <w:pPr>
        <w:ind w:left="580" w:hanging="33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17" w:lineRule="exact"/>
        <w:rPr>
          <w:rFonts w:ascii="Arial" w:cs="Arial" w:eastAsia="Arial" w:hAnsi="Arial"/>
          <w:sz w:val="18"/>
          <w:szCs w:val="18"/>
          <w:color w:val="auto"/>
        </w:rPr>
      </w:pPr>
    </w:p>
    <w:p>
      <w:pPr>
        <w:ind w:left="580" w:hanging="33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17" w:lineRule="exact"/>
        <w:rPr>
          <w:rFonts w:ascii="Arial" w:cs="Arial" w:eastAsia="Arial" w:hAnsi="Arial"/>
          <w:sz w:val="18"/>
          <w:szCs w:val="18"/>
          <w:color w:val="auto"/>
        </w:rPr>
      </w:pPr>
    </w:p>
    <w:p>
      <w:pPr>
        <w:ind w:left="580" w:right="500" w:hanging="33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will adopt the new revenue recognition standard, which will change the way we recognize revenue. We do not expect the adoption of the standard to have a material impact on our quarterly and/or annual statement of operations, however the exact impact will be dependent on facts and circumstances that could vary from quarter to quarter.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3" w:lineRule="exact"/>
        <w:rPr>
          <w:sz w:val="20"/>
          <w:szCs w:val="20"/>
          <w:color w:val="auto"/>
        </w:rPr>
      </w:pPr>
    </w:p>
    <w:p>
      <w:pPr>
        <w:ind w:left="580" w:right="700" w:firstLine="29"/>
        <w:spacing w:after="0" w:line="261"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87"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relatively new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may remain an “emerging growth company” until as late as December 31, 2021,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5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by our existing stockholders,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60"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80"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sz w:val="20"/>
          <w:szCs w:val="20"/>
          <w:color w:val="auto"/>
        </w:rPr>
      </w:pPr>
    </w:p>
    <w:p>
      <w:pPr>
        <w:ind w:left="580" w:right="80"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120"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60"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prohibits a person who owns in excess of 15% of our outstanding voting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379"/>
        <w:spacing w:after="0" w:line="264" w:lineRule="auto"/>
        <w:rPr>
          <w:sz w:val="20"/>
          <w:szCs w:val="20"/>
          <w:color w:val="auto"/>
        </w:rPr>
      </w:pPr>
      <w:r>
        <w:rPr>
          <w:rFonts w:ascii="Arial" w:cs="Arial" w:eastAsia="Arial" w:hAnsi="Arial"/>
          <w:sz w:val="18"/>
          <w:szCs w:val="18"/>
          <w:color w:val="auto"/>
        </w:rPr>
        <w:t>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29" w:lineRule="exact"/>
        <w:rPr>
          <w:sz w:val="20"/>
          <w:szCs w:val="20"/>
          <w:color w:val="auto"/>
        </w:rPr>
      </w:pPr>
    </w:p>
    <w:p>
      <w:pPr>
        <w:ind w:right="39" w:firstLine="324"/>
        <w:spacing w:after="0" w:line="257" w:lineRule="auto"/>
        <w:rPr>
          <w:sz w:val="20"/>
          <w:szCs w:val="20"/>
          <w:color w:val="auto"/>
        </w:rPr>
      </w:pPr>
      <w:r>
        <w:rPr>
          <w:rFonts w:ascii="Arial" w:cs="Arial" w:eastAsia="Arial" w:hAnsi="Arial"/>
          <w:sz w:val="18"/>
          <w:szCs w:val="18"/>
          <w:color w:val="auto"/>
        </w:rPr>
        <w:t>On July 6, 2018, we issued a warrant to Silicon Valley Bank to purchase 9,375 shares of our common stock at an exercise price of $8.91 per share. The warrant can be exercised at any time and expires five years after the date of issuance. The warrant was issued in connection with an amendment to our Loan and Security Agreement with Silicon Valley Bank. The warrant was issued in reliance on Section 4(2) of the Securities Act of 1933, as amended, in that it was issued to a single accredited investor.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40" w:type="dxa"/>
            <w:vAlign w:val="bottom"/>
            <w:gridSpan w:val="15"/>
          </w:tcPr>
          <w:p>
            <w:pPr>
              <w:ind w:left="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16"/>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2"/>
                <w:szCs w:val="22"/>
                <w:color w:val="auto"/>
              </w:rPr>
            </w:pPr>
          </w:p>
        </w:tc>
        <w:tc>
          <w:tcPr>
            <w:tcW w:w="4400" w:type="dxa"/>
            <w:vAlign w:val="bottom"/>
            <w:gridSpan w:val="19"/>
          </w:tcPr>
          <w:p>
            <w:pPr>
              <w:spacing w:after="0"/>
              <w:rPr>
                <w:rFonts w:ascii="Arial" w:cs="Arial" w:eastAsia="Arial" w:hAnsi="Arial"/>
                <w:sz w:val="18"/>
                <w:szCs w:val="18"/>
                <w:color w:val="0000EE"/>
              </w:rPr>
            </w:pPr>
            <w:hyperlink r:id="rId76">
              <w:r>
                <w:rPr>
                  <w:rFonts w:ascii="Arial" w:cs="Arial" w:eastAsia="Arial" w:hAnsi="Arial"/>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3740" w:type="dxa"/>
            <w:vAlign w:val="bottom"/>
            <w:tcBorders>
              <w:top w:val="single" w:sz="8" w:color="0000EE"/>
            </w:tcBorders>
            <w:gridSpan w:val="7"/>
          </w:tcPr>
          <w:p>
            <w:pPr>
              <w:spacing w:after="0"/>
              <w:rPr>
                <w:rFonts w:ascii="Arial" w:cs="Arial" w:eastAsia="Arial" w:hAnsi="Arial"/>
                <w:sz w:val="18"/>
                <w:szCs w:val="18"/>
                <w:color w:val="0000EE"/>
              </w:rPr>
            </w:pPr>
            <w:hyperlink r:id="rId77">
              <w:r>
                <w:rPr>
                  <w:rFonts w:ascii="Arial" w:cs="Arial" w:eastAsia="Arial" w:hAnsi="Arial"/>
                  <w:sz w:val="18"/>
                  <w:szCs w:val="18"/>
                  <w:color w:val="0000EE"/>
                </w:rPr>
                <w:t>Bylaws.</w:t>
              </w:r>
            </w:hyperlink>
          </w:p>
        </w:tc>
        <w:tc>
          <w:tcPr>
            <w:tcW w:w="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3800" w:type="dxa"/>
            <w:vAlign w:val="bottom"/>
            <w:tcBorders>
              <w:bottom w:val="single" w:sz="8" w:color="0000EE"/>
            </w:tcBorders>
            <w:gridSpan w:val="8"/>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Form of Common Stock Certificate of the Company.</w:t>
              </w:r>
            </w:hyperlink>
          </w:p>
        </w:tc>
        <w:tc>
          <w:tcPr>
            <w:tcW w:w="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4400" w:type="dxa"/>
            <w:vAlign w:val="bottom"/>
            <w:gridSpan w:val="19"/>
          </w:tcPr>
          <w:p>
            <w:pPr>
              <w:spacing w:after="0"/>
              <w:rPr>
                <w:rFonts w:ascii="Arial" w:cs="Arial" w:eastAsia="Arial" w:hAnsi="Arial"/>
                <w:sz w:val="18"/>
                <w:szCs w:val="18"/>
                <w:color w:val="0000EE"/>
                <w:w w:val="97"/>
              </w:rPr>
            </w:pPr>
            <w:hyperlink r:id="rId79">
              <w:r>
                <w:rPr>
                  <w:rFonts w:ascii="Arial" w:cs="Arial" w:eastAsia="Arial" w:hAnsi="Arial"/>
                  <w:sz w:val="18"/>
                  <w:szCs w:val="18"/>
                  <w:color w:val="0000EE"/>
                  <w:w w:val="97"/>
                </w:rPr>
                <w:t>Warrant to Purchase Common Stock, dated as of July 6,</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2018, between the Company and Silicon Valley Bank</w:t>
              </w:r>
            </w:hyperlink>
          </w:p>
        </w:tc>
        <w:tc>
          <w:tcPr>
            <w:tcW w:w="160" w:type="dxa"/>
            <w:vAlign w:val="bottom"/>
            <w:tcBorders>
              <w:top w:val="single" w:sz="8" w:color="0000EE"/>
            </w:tcBorders>
            <w:gridSpan w:val="3"/>
          </w:tcPr>
          <w:p>
            <w:pPr>
              <w:spacing w:after="0"/>
              <w:rPr>
                <w:sz w:val="17"/>
                <w:szCs w:val="17"/>
                <w:color w:val="auto"/>
              </w:rPr>
            </w:pPr>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3"/>
                <w:szCs w:val="23"/>
                <w:color w:val="auto"/>
              </w:rPr>
            </w:pPr>
          </w:p>
        </w:tc>
        <w:tc>
          <w:tcPr>
            <w:tcW w:w="4400" w:type="dxa"/>
            <w:vAlign w:val="bottom"/>
            <w:gridSpan w:val="19"/>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Amendment No. 7 to Lease effective as of June 30, 2018 by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and between the Company and NXP USA, Inc.</w:t>
              </w:r>
            </w:hyperlink>
          </w:p>
        </w:tc>
        <w:tc>
          <w:tcPr>
            <w:tcW w:w="920" w:type="dxa"/>
            <w:vAlign w:val="bottom"/>
            <w:tcBorders>
              <w:top w:val="single" w:sz="8" w:color="0000EE"/>
            </w:tcBorders>
            <w:gridSpan w:val="1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4340" w:type="dxa"/>
            <w:vAlign w:val="bottom"/>
            <w:tcBorders>
              <w:bottom w:val="single" w:sz="8" w:color="0000EE"/>
            </w:tcBorders>
            <w:gridSpan w:val="18"/>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First Amendment to Loan and Security Agreement, dated as</w:t>
              </w:r>
            </w:hyperlink>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of July 6, 2018, between the Company and Silicon Valley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Bank</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40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 of Principal Executive Officer Pursuant to</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Rules 13a-14(a) and 15d-14(a) under the Securities</w:t>
              </w:r>
            </w:hyperlink>
          </w:p>
        </w:tc>
        <w:tc>
          <w:tcPr>
            <w:tcW w:w="280" w:type="dxa"/>
            <w:vAlign w:val="bottom"/>
            <w:tcBorders>
              <w:top w:val="single" w:sz="8" w:color="0000EE"/>
            </w:tcBorders>
            <w:gridSpan w:val="5"/>
          </w:tcPr>
          <w:p>
            <w:pPr>
              <w:spacing w:after="0"/>
              <w:rPr>
                <w:sz w:val="17"/>
                <w:szCs w:val="17"/>
                <w:color w:val="auto"/>
              </w:rPr>
            </w:pPr>
          </w:p>
        </w:tc>
        <w:tc>
          <w:tcPr>
            <w:tcW w:w="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of the Sarbanes-Oxley Act of 2002.</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9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Certification of Principal Financial Officer Pursuant to</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Rules 13a-14(a) and 15d-14(a) under the Securities</w:t>
              </w:r>
            </w:hyperlink>
          </w:p>
        </w:tc>
        <w:tc>
          <w:tcPr>
            <w:tcW w:w="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of the Sarbanes-Oxley Act of 2002.</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4400" w:type="dxa"/>
            <w:vAlign w:val="bottom"/>
            <w:gridSpan w:val="19"/>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Certification of Principal Executive Officer and Principal</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Financial Officer Pursuant to 18 U.S.C. Section 1350, as</w:t>
              </w:r>
            </w:hyperlink>
          </w:p>
        </w:tc>
        <w:tc>
          <w:tcPr>
            <w:tcW w:w="40" w:type="dxa"/>
            <w:vAlign w:val="bottom"/>
            <w:tcBorders>
              <w:top w:val="single" w:sz="8" w:color="0000EE"/>
            </w:tcBorders>
          </w:tcPr>
          <w:p>
            <w:pPr>
              <w:spacing w:after="0"/>
              <w:rPr>
                <w:sz w:val="17"/>
                <w:szCs w:val="17"/>
                <w:color w:val="auto"/>
              </w:rPr>
            </w:pP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0" w:type="dxa"/>
            <w:vAlign w:val="bottom"/>
            <w:gridSpan w:val="19"/>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Adopted Pursuant to Section 906 of the Sarbanes-Oxley Act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8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w w:val="97"/>
              </w:rPr>
              <w:t>101.SCH*</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w w:val="99"/>
              </w:rPr>
              <w:t>101.DEF*</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w w:val="94"/>
              </w:rPr>
              <w:t>XBRL Taxonomy Extension Definition Linkbase Document</w:t>
            </w: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Arial" w:cs="Arial" w:eastAsia="Arial" w:hAnsi="Arial"/>
                <w:sz w:val="18"/>
                <w:szCs w:val="18"/>
                <w:color w:val="auto"/>
                <w:w w:val="98"/>
              </w:rPr>
              <w:t>101.PRE*</w:t>
            </w:r>
          </w:p>
        </w:tc>
        <w:tc>
          <w:tcPr>
            <w:tcW w:w="160" w:type="dxa"/>
            <w:vAlign w:val="bottom"/>
          </w:tcPr>
          <w:p>
            <w:pPr>
              <w:spacing w:after="0"/>
              <w:rPr>
                <w:sz w:val="24"/>
                <w:szCs w:val="24"/>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540" w:type="dxa"/>
            <w:vAlign w:val="bottom"/>
            <w:gridSpan w:val="6"/>
          </w:tcPr>
          <w:p>
            <w:pPr>
              <w:ind w:left="340"/>
              <w:spacing w:after="0"/>
              <w:rPr>
                <w:sz w:val="20"/>
                <w:szCs w:val="20"/>
                <w:color w:val="auto"/>
              </w:rPr>
            </w:pPr>
            <w:r>
              <w:rPr>
                <w:rFonts w:ascii="Arial" w:cs="Arial" w:eastAsia="Arial" w:hAnsi="Arial"/>
                <w:sz w:val="14"/>
                <w:szCs w:val="14"/>
                <w:b w:val="1"/>
                <w:bCs w:val="1"/>
                <w:color w:val="auto"/>
              </w:rPr>
              <w:t>Incorporation By Reference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Borders>
              <w:top w:val="single" w:sz="8" w:color="auto"/>
            </w:tcBorders>
            <w:vMerge w:val="restart"/>
          </w:tcPr>
          <w:p>
            <w:pPr>
              <w:spacing w:after="0"/>
              <w:rPr>
                <w:sz w:val="10"/>
                <w:szCs w:val="10"/>
                <w:color w:val="auto"/>
              </w:rPr>
            </w:pPr>
          </w:p>
        </w:tc>
        <w:tc>
          <w:tcPr>
            <w:tcW w:w="92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SEC File No.</w:t>
            </w:r>
          </w:p>
        </w:tc>
        <w:tc>
          <w:tcPr>
            <w:tcW w:w="160" w:type="dxa"/>
            <w:vAlign w:val="bottom"/>
            <w:tcBorders>
              <w:top w:val="single" w:sz="8" w:color="auto"/>
            </w:tcBorders>
            <w:vMerge w:val="restart"/>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0"/>
                <w:szCs w:val="10"/>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6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311"/>
        </w:trPr>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11"/>
        </w:trPr>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11"/>
        </w:trPr>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8/09/2018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620" w:val="left"/>
          <w:tab w:leader="none" w:pos="1840" w:val="left"/>
          <w:tab w:leader="none" w:pos="2660" w:val="left"/>
        </w:tabs>
        <w:rPr>
          <w:sz w:val="20"/>
          <w:szCs w:val="20"/>
          <w:color w:val="auto"/>
        </w:rPr>
      </w:pPr>
      <w:r>
        <w:rPr>
          <w:rFonts w:ascii="Arial" w:cs="Arial" w:eastAsia="Arial" w:hAnsi="Arial"/>
          <w:sz w:val="18"/>
          <w:szCs w:val="18"/>
          <w:color w:val="auto"/>
        </w:rPr>
        <w:t>10-Q</w:t>
        <w:tab/>
        <w:t>001-37900</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8/09/2018</w:t>
      </w:r>
    </w:p>
    <w:p>
      <w:pPr>
        <w:sectPr>
          <w:pgSz w:w="11900" w:h="16838" w:orient="portrait"/>
          <w:cols w:equalWidth="0" w:num="2">
            <w:col w:w="5360" w:space="160"/>
            <w:col w:w="354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900" w:type="dxa"/>
            <w:vAlign w:val="bottom"/>
            <w:gridSpan w:val="2"/>
          </w:tcPr>
          <w:p>
            <w:pPr>
              <w:ind w:left="2060"/>
              <w:spacing w:after="0"/>
              <w:rPr>
                <w:sz w:val="20"/>
                <w:szCs w:val="20"/>
                <w:color w:val="auto"/>
              </w:rPr>
            </w:pPr>
            <w:r>
              <w:rPr>
                <w:rFonts w:ascii="Arial" w:cs="Arial" w:eastAsia="Arial" w:hAnsi="Arial"/>
                <w:sz w:val="18"/>
                <w:szCs w:val="18"/>
                <w:color w:val="auto"/>
              </w:rPr>
              <w:t>Everspin Technologies,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14, 2018</w:t>
            </w:r>
          </w:p>
        </w:tc>
        <w:tc>
          <w:tcPr>
            <w:tcW w:w="5900" w:type="dxa"/>
            <w:vAlign w:val="bottom"/>
            <w:gridSpan w:val="2"/>
          </w:tcPr>
          <w:p>
            <w:pPr>
              <w:ind w:left="2060"/>
              <w:spacing w:after="0"/>
              <w:rPr>
                <w:sz w:val="20"/>
                <w:szCs w:val="20"/>
                <w:color w:val="auto"/>
              </w:rPr>
            </w:pPr>
            <w:r>
              <w:rPr>
                <w:rFonts w:ascii="Arial" w:cs="Arial" w:eastAsia="Arial" w:hAnsi="Arial"/>
                <w:sz w:val="18"/>
                <w:szCs w:val="18"/>
                <w:color w:val="auto"/>
              </w:rPr>
              <w:t>By: /s/ Kevin Conley</w:t>
            </w:r>
          </w:p>
        </w:tc>
      </w:tr>
      <w:tr>
        <w:trPr>
          <w:trHeight w:val="195"/>
        </w:trPr>
        <w:tc>
          <w:tcPr>
            <w:tcW w:w="3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3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(Duly Authorized Officer and Principal</w:t>
            </w:r>
          </w:p>
        </w:tc>
      </w:tr>
      <w:tr>
        <w:trPr>
          <w:trHeight w:val="230"/>
        </w:trPr>
        <w:tc>
          <w:tcPr>
            <w:tcW w:w="3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32"/>
        </w:trPr>
        <w:tc>
          <w:tcPr>
            <w:tcW w:w="3160" w:type="dxa"/>
            <w:vAlign w:val="bottom"/>
          </w:tcPr>
          <w:p>
            <w:pPr>
              <w:spacing w:after="0"/>
              <w:rPr>
                <w:sz w:val="24"/>
                <w:szCs w:val="24"/>
                <w:color w:val="auto"/>
              </w:rPr>
            </w:pPr>
          </w:p>
        </w:tc>
        <w:tc>
          <w:tcPr>
            <w:tcW w:w="5900" w:type="dxa"/>
            <w:vAlign w:val="bottom"/>
            <w:gridSpan w:val="2"/>
          </w:tcPr>
          <w:p>
            <w:pPr>
              <w:ind w:left="2060"/>
              <w:spacing w:after="0"/>
              <w:rPr>
                <w:sz w:val="20"/>
                <w:szCs w:val="20"/>
                <w:color w:val="auto"/>
              </w:rPr>
            </w:pPr>
            <w:r>
              <w:rPr>
                <w:rFonts w:ascii="Arial" w:cs="Arial" w:eastAsia="Arial" w:hAnsi="Arial"/>
                <w:sz w:val="18"/>
                <w:szCs w:val="18"/>
                <w:color w:val="auto"/>
              </w:rPr>
              <w:t>Everspin Technologies,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14, 2018</w:t>
            </w:r>
          </w:p>
        </w:tc>
        <w:tc>
          <w:tcPr>
            <w:tcW w:w="5900" w:type="dxa"/>
            <w:vAlign w:val="bottom"/>
            <w:gridSpan w:val="2"/>
          </w:tcPr>
          <w:p>
            <w:pPr>
              <w:ind w:left="2060"/>
              <w:spacing w:after="0"/>
              <w:rPr>
                <w:sz w:val="20"/>
                <w:szCs w:val="20"/>
                <w:color w:val="auto"/>
              </w:rPr>
            </w:pPr>
            <w:r>
              <w:rPr>
                <w:rFonts w:ascii="Arial" w:cs="Arial" w:eastAsia="Arial" w:hAnsi="Arial"/>
                <w:sz w:val="18"/>
                <w:szCs w:val="18"/>
                <w:color w:val="auto"/>
              </w:rPr>
              <w:t>By: /s/ Jeffrey Winzeler</w:t>
            </w:r>
          </w:p>
        </w:tc>
      </w:tr>
      <w:tr>
        <w:trPr>
          <w:trHeight w:val="195"/>
        </w:trPr>
        <w:tc>
          <w:tcPr>
            <w:tcW w:w="3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3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62"/>
        </w:trPr>
        <w:tc>
          <w:tcPr>
            <w:tcW w:w="3160" w:type="dxa"/>
            <w:vAlign w:val="bottom"/>
          </w:tcPr>
          <w:p>
            <w:pPr>
              <w:spacing w:after="0"/>
              <w:rPr>
                <w:sz w:val="24"/>
                <w:szCs w:val="24"/>
                <w:color w:val="auto"/>
              </w:rPr>
            </w:pPr>
          </w:p>
        </w:tc>
        <w:tc>
          <w:tcPr>
            <w:tcW w:w="2340" w:type="dxa"/>
            <w:vAlign w:val="bottom"/>
          </w:tcPr>
          <w:p>
            <w:pPr>
              <w:ind w:left="1280"/>
              <w:spacing w:after="0"/>
              <w:rPr>
                <w:sz w:val="20"/>
                <w:szCs w:val="20"/>
                <w:color w:val="auto"/>
              </w:rPr>
            </w:pPr>
            <w:r>
              <w:rPr>
                <w:rFonts w:ascii="Arial" w:cs="Arial" w:eastAsia="Arial" w:hAnsi="Arial"/>
                <w:sz w:val="18"/>
                <w:szCs w:val="18"/>
                <w:color w:val="auto"/>
              </w:rPr>
              <w:t>61</w:t>
            </w:r>
          </w:p>
        </w:tc>
        <w:tc>
          <w:tcPr>
            <w:tcW w:w="3560" w:type="dxa"/>
            <w:vAlign w:val="bottom"/>
          </w:tcPr>
          <w:p>
            <w:pPr>
              <w:spacing w:after="0"/>
              <w:rPr>
                <w:sz w:val="24"/>
                <w:szCs w:val="24"/>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1" w:name="page62"/>
    <w:bookmarkEnd w:id="61"/>
    <w:p>
      <w:pPr>
        <w:ind w:left="792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7 TO LEASE</w:t>
      </w:r>
    </w:p>
    <w:p>
      <w:pPr>
        <w:spacing w:after="0" w:line="233" w:lineRule="exact"/>
        <w:rPr>
          <w:sz w:val="20"/>
          <w:szCs w:val="20"/>
          <w:color w:val="auto"/>
        </w:rPr>
      </w:pPr>
    </w:p>
    <w:p>
      <w:pPr>
        <w:jc w:val="both"/>
        <w:ind w:left="100" w:firstLine="594"/>
        <w:spacing w:after="0" w:line="25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AMENDMENT No. 7 TO LEASE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Amendment No. 7</w:t>
      </w:r>
      <w:r>
        <w:rPr>
          <w:rFonts w:ascii="Arial" w:cs="Arial" w:eastAsia="Arial" w:hAnsi="Arial"/>
          <w:sz w:val="21"/>
          <w:szCs w:val="21"/>
          <w:color w:val="auto"/>
        </w:rPr>
        <w:t>”), effective as of June 30, 2018 (“</w:t>
      </w:r>
      <w:r>
        <w:rPr>
          <w:rFonts w:ascii="Arial" w:cs="Arial" w:eastAsia="Arial" w:hAnsi="Arial"/>
          <w:sz w:val="21"/>
          <w:szCs w:val="21"/>
          <w:b w:val="1"/>
          <w:bCs w:val="1"/>
          <w:i w:val="1"/>
          <w:iCs w:val="1"/>
          <w:color w:val="auto"/>
        </w:rPr>
        <w:t>Amendment No. 7 Effective Date</w:t>
      </w:r>
      <w:r>
        <w:rPr>
          <w:rFonts w:ascii="Arial" w:cs="Arial" w:eastAsia="Arial" w:hAnsi="Arial"/>
          <w:sz w:val="21"/>
          <w:szCs w:val="21"/>
          <w:color w:val="auto"/>
        </w:rPr>
        <w:t xml:space="preserve">”) is entered into by and between </w:t>
      </w:r>
      <w:r>
        <w:rPr>
          <w:rFonts w:ascii="Arial" w:cs="Arial" w:eastAsia="Arial" w:hAnsi="Arial"/>
          <w:sz w:val="21"/>
          <w:szCs w:val="21"/>
          <w:b w:val="1"/>
          <w:bCs w:val="1"/>
          <w:color w:val="auto"/>
        </w:rPr>
        <w:t>NXP USA, Inc.</w:t>
      </w:r>
      <w:r>
        <w:rPr>
          <w:rFonts w:ascii="Arial" w:cs="Arial" w:eastAsia="Arial" w:hAnsi="Arial"/>
          <w:sz w:val="21"/>
          <w:szCs w:val="21"/>
          <w:color w:val="auto"/>
        </w:rPr>
        <w:t xml:space="preserve"> (formerly FREESCALE SEMICONDUCTOR, INC.). a Delaware corporation and 100% affiliated company of NXP Semiconductors N.V. (“</w:t>
      </w:r>
      <w:r>
        <w:rPr>
          <w:rFonts w:ascii="Arial" w:cs="Arial" w:eastAsia="Arial" w:hAnsi="Arial"/>
          <w:sz w:val="21"/>
          <w:szCs w:val="21"/>
          <w:b w:val="1"/>
          <w:bCs w:val="1"/>
          <w:i w:val="1"/>
          <w:iCs w:val="1"/>
          <w:color w:val="auto"/>
        </w:rPr>
        <w:t>Landlord</w:t>
      </w:r>
      <w:r>
        <w:rPr>
          <w:rFonts w:ascii="Arial" w:cs="Arial" w:eastAsia="Arial" w:hAnsi="Arial"/>
          <w:sz w:val="21"/>
          <w:szCs w:val="21"/>
          <w:color w:val="auto"/>
        </w:rPr>
        <w:t>”), and EVERSPIN TECHNOLOGIES, INC., a Delaware corporation (“</w:t>
      </w:r>
      <w:r>
        <w:rPr>
          <w:rFonts w:ascii="Arial" w:cs="Arial" w:eastAsia="Arial" w:hAnsi="Arial"/>
          <w:sz w:val="21"/>
          <w:szCs w:val="21"/>
          <w:b w:val="1"/>
          <w:bCs w:val="1"/>
          <w:i w:val="1"/>
          <w:iCs w:val="1"/>
          <w:color w:val="auto"/>
        </w:rPr>
        <w:t>Tenant</w:t>
      </w:r>
      <w:r>
        <w:rPr>
          <w:rFonts w:ascii="Arial" w:cs="Arial" w:eastAsia="Arial" w:hAnsi="Arial"/>
          <w:sz w:val="21"/>
          <w:szCs w:val="21"/>
          <w:color w:val="auto"/>
        </w:rPr>
        <w:t>”), with reverence to the following facts:</w:t>
      </w:r>
    </w:p>
    <w:p>
      <w:pPr>
        <w:spacing w:after="0" w:line="202" w:lineRule="exact"/>
        <w:rPr>
          <w:sz w:val="20"/>
          <w:szCs w:val="20"/>
          <w:color w:val="auto"/>
        </w:rPr>
      </w:pPr>
    </w:p>
    <w:p>
      <w:pPr>
        <w:jc w:val="both"/>
        <w:ind w:left="100" w:firstLine="595"/>
        <w:spacing w:after="0" w:line="245" w:lineRule="auto"/>
        <w:tabs>
          <w:tab w:leader="none" w:pos="1372" w:val="left"/>
        </w:tabs>
        <w:numPr>
          <w:ilvl w:val="0"/>
          <w:numId w:val="9"/>
        </w:numPr>
        <w:rPr>
          <w:rFonts w:ascii="Arial" w:cs="Arial" w:eastAsia="Arial" w:hAnsi="Arial"/>
          <w:sz w:val="21"/>
          <w:szCs w:val="21"/>
          <w:color w:val="auto"/>
        </w:rPr>
      </w:pPr>
      <w:r>
        <w:rPr>
          <w:rFonts w:ascii="Arial" w:cs="Arial" w:eastAsia="Arial" w:hAnsi="Arial"/>
          <w:sz w:val="21"/>
          <w:szCs w:val="21"/>
          <w:color w:val="auto"/>
        </w:rPr>
        <w:t>Landlord and Tenant are parties that Certain Lease dated as of June 5, 2008 (“</w:t>
      </w:r>
      <w:r>
        <w:rPr>
          <w:rFonts w:ascii="Arial" w:cs="Arial" w:eastAsia="Arial" w:hAnsi="Arial"/>
          <w:sz w:val="21"/>
          <w:szCs w:val="21"/>
          <w:b w:val="1"/>
          <w:bCs w:val="1"/>
          <w:i w:val="1"/>
          <w:iCs w:val="1"/>
          <w:color w:val="auto"/>
        </w:rPr>
        <w:t>Original</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Lease</w:t>
      </w:r>
      <w:r>
        <w:rPr>
          <w:rFonts w:ascii="Arial" w:cs="Arial" w:eastAsia="Arial" w:hAnsi="Arial"/>
          <w:sz w:val="21"/>
          <w:szCs w:val="21"/>
          <w:color w:val="auto"/>
        </w:rPr>
        <w:t>”), as amended by Amendment No. 1 to Lease executed by Tenant on February 2, 2009</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Amendment No. 1</w:t>
      </w:r>
      <w:r>
        <w:rPr>
          <w:rFonts w:ascii="Arial" w:cs="Arial" w:eastAsia="Arial" w:hAnsi="Arial"/>
          <w:sz w:val="21"/>
          <w:szCs w:val="21"/>
          <w:color w:val="auto"/>
        </w:rPr>
        <w:t>”), Amendment No. 2 to Lease dated March 1, 2010 (“</w:t>
      </w:r>
      <w:r>
        <w:rPr>
          <w:rFonts w:ascii="Arial" w:cs="Arial" w:eastAsia="Arial" w:hAnsi="Arial"/>
          <w:sz w:val="21"/>
          <w:szCs w:val="21"/>
          <w:b w:val="1"/>
          <w:bCs w:val="1"/>
          <w:i w:val="1"/>
          <w:iCs w:val="1"/>
          <w:color w:val="auto"/>
        </w:rPr>
        <w:t>Amendment No. 2</w:t>
      </w:r>
      <w:r>
        <w:rPr>
          <w:rFonts w:ascii="Arial" w:cs="Arial" w:eastAsia="Arial" w:hAnsi="Arial"/>
          <w:sz w:val="21"/>
          <w:szCs w:val="21"/>
          <w:i w:val="1"/>
          <w:iCs w:val="1"/>
          <w:color w:val="auto"/>
        </w:rPr>
        <w:t>”</w:t>
      </w:r>
      <w:r>
        <w:rPr>
          <w:rFonts w:ascii="Arial" w:cs="Arial" w:eastAsia="Arial" w:hAnsi="Arial"/>
          <w:sz w:val="21"/>
          <w:szCs w:val="21"/>
          <w:color w:val="auto"/>
        </w:rPr>
        <w:t>), Amendment No 3. to Lease dated July 20, 2011 (“</w:t>
      </w:r>
      <w:r>
        <w:rPr>
          <w:rFonts w:ascii="Arial" w:cs="Arial" w:eastAsia="Arial" w:hAnsi="Arial"/>
          <w:sz w:val="21"/>
          <w:szCs w:val="21"/>
          <w:b w:val="1"/>
          <w:bCs w:val="1"/>
          <w:i w:val="1"/>
          <w:iCs w:val="1"/>
          <w:color w:val="auto"/>
        </w:rPr>
        <w:t>Amendment No. 3</w:t>
      </w:r>
      <w:r>
        <w:rPr>
          <w:rFonts w:ascii="Arial" w:cs="Arial" w:eastAsia="Arial" w:hAnsi="Arial"/>
          <w:sz w:val="21"/>
          <w:szCs w:val="21"/>
          <w:color w:val="auto"/>
        </w:rPr>
        <w:t>”), Amendment No.4 to Leases dated June 10, 2014 (“</w:t>
      </w:r>
      <w:r>
        <w:rPr>
          <w:rFonts w:ascii="Arial" w:cs="Arial" w:eastAsia="Arial" w:hAnsi="Arial"/>
          <w:sz w:val="21"/>
          <w:szCs w:val="21"/>
          <w:b w:val="1"/>
          <w:bCs w:val="1"/>
          <w:i w:val="1"/>
          <w:iCs w:val="1"/>
          <w:color w:val="auto"/>
        </w:rPr>
        <w:t>Amendment No. 4</w:t>
      </w:r>
      <w:r>
        <w:rPr>
          <w:rFonts w:ascii="Arial" w:cs="Arial" w:eastAsia="Arial" w:hAnsi="Arial"/>
          <w:sz w:val="21"/>
          <w:szCs w:val="21"/>
          <w:color w:val="auto"/>
        </w:rPr>
        <w:t>”), Amendment No. 5 dated January 13, 2017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No. 5</w:t>
      </w:r>
      <w:r>
        <w:rPr>
          <w:rFonts w:ascii="Arial" w:cs="Arial" w:eastAsia="Arial" w:hAnsi="Arial"/>
          <w:sz w:val="21"/>
          <w:szCs w:val="21"/>
          <w:color w:val="auto"/>
        </w:rPr>
        <w:t>”), and Amendment No. 6 dated October 31, 2017 (“</w:t>
      </w:r>
      <w:r>
        <w:rPr>
          <w:rFonts w:ascii="Arial" w:cs="Arial" w:eastAsia="Arial" w:hAnsi="Arial"/>
          <w:sz w:val="21"/>
          <w:szCs w:val="21"/>
          <w:b w:val="1"/>
          <w:bCs w:val="1"/>
          <w:i w:val="1"/>
          <w:iCs w:val="1"/>
          <w:color w:val="auto"/>
        </w:rPr>
        <w:t>Amendment No. 6</w:t>
      </w:r>
      <w:r>
        <w:rPr>
          <w:rFonts w:ascii="Arial" w:cs="Arial" w:eastAsia="Arial" w:hAnsi="Arial"/>
          <w:sz w:val="21"/>
          <w:szCs w:val="21"/>
          <w:color w:val="auto"/>
        </w:rPr>
        <w:t>”), (the Original Lease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amended by Amendment No. 1, Amendment No. 2, Amendment No. 3, Amendment No. 4, Amendment No. 5, and Amendment No. 6, is referred to as the “</w:t>
      </w:r>
      <w:r>
        <w:rPr>
          <w:rFonts w:ascii="Arial" w:cs="Arial" w:eastAsia="Arial" w:hAnsi="Arial"/>
          <w:sz w:val="21"/>
          <w:szCs w:val="21"/>
          <w:b w:val="1"/>
          <w:bCs w:val="1"/>
          <w:i w:val="1"/>
          <w:iCs w:val="1"/>
          <w:color w:val="auto"/>
        </w:rPr>
        <w:t>Lease</w:t>
      </w:r>
      <w:r>
        <w:rPr>
          <w:rFonts w:ascii="Arial" w:cs="Arial" w:eastAsia="Arial" w:hAnsi="Arial"/>
          <w:sz w:val="21"/>
          <w:szCs w:val="21"/>
          <w:color w:val="auto"/>
        </w:rPr>
        <w:t>”), pursuant to which the Landlord leases to Tenant certain space (“</w:t>
      </w:r>
      <w:r>
        <w:rPr>
          <w:rFonts w:ascii="Arial" w:cs="Arial" w:eastAsia="Arial" w:hAnsi="Arial"/>
          <w:sz w:val="21"/>
          <w:szCs w:val="21"/>
          <w:b w:val="1"/>
          <w:bCs w:val="1"/>
          <w:i w:val="1"/>
          <w:iCs w:val="1"/>
          <w:color w:val="auto"/>
        </w:rPr>
        <w:t>Premises</w:t>
      </w:r>
      <w:r>
        <w:rPr>
          <w:rFonts w:ascii="Arial" w:cs="Arial" w:eastAsia="Arial" w:hAnsi="Arial"/>
          <w:sz w:val="21"/>
          <w:szCs w:val="21"/>
          <w:color w:val="auto"/>
        </w:rPr>
        <w:t>”) located at 1300 North Alma School Road, Chandler Arizona as further described in the Lease.</w:t>
      </w:r>
    </w:p>
    <w:p>
      <w:pPr>
        <w:spacing w:after="0" w:line="208" w:lineRule="exact"/>
        <w:rPr>
          <w:rFonts w:ascii="Arial" w:cs="Arial" w:eastAsia="Arial" w:hAnsi="Arial"/>
          <w:sz w:val="21"/>
          <w:szCs w:val="21"/>
          <w:color w:val="auto"/>
        </w:rPr>
      </w:pPr>
    </w:p>
    <w:p>
      <w:pPr>
        <w:ind w:left="100" w:firstLine="595"/>
        <w:spacing w:after="0" w:line="251" w:lineRule="auto"/>
        <w:tabs>
          <w:tab w:leader="none" w:pos="1443" w:val="left"/>
        </w:tabs>
        <w:numPr>
          <w:ilvl w:val="0"/>
          <w:numId w:val="9"/>
        </w:numPr>
        <w:rPr>
          <w:rFonts w:ascii="Arial" w:cs="Arial" w:eastAsia="Arial" w:hAnsi="Arial"/>
          <w:sz w:val="22"/>
          <w:szCs w:val="22"/>
          <w:color w:val="auto"/>
        </w:rPr>
      </w:pPr>
      <w:r>
        <w:rPr>
          <w:rFonts w:ascii="Arial" w:cs="Arial" w:eastAsia="Arial" w:hAnsi="Arial"/>
          <w:sz w:val="22"/>
          <w:szCs w:val="22"/>
          <w:color w:val="auto"/>
        </w:rPr>
        <w:t>As of the Amendment No. 7 Effective Date, the parties desi re to amend the Lease to extend the Term.</w:t>
      </w:r>
    </w:p>
    <w:p>
      <w:pPr>
        <w:spacing w:after="0" w:line="194" w:lineRule="exact"/>
        <w:rPr>
          <w:sz w:val="20"/>
          <w:szCs w:val="20"/>
          <w:color w:val="auto"/>
        </w:rPr>
      </w:pPr>
    </w:p>
    <w:p>
      <w:pPr>
        <w:jc w:val="both"/>
        <w:ind w:left="80" w:firstLine="608"/>
        <w:spacing w:after="0" w:line="254"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above recitals which are hereby incorporated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the mutual covenants and conditions contained herein and other valuable consideration, the receipt and sufficiency of which are hereby acknowledged, Landlord and Tenant agree, effective as of the Amendment No. 7 Effective Date, to amend the Lease as follows:</w:t>
      </w:r>
    </w:p>
    <w:p>
      <w:pPr>
        <w:spacing w:after="0" w:line="193" w:lineRule="exact"/>
        <w:rPr>
          <w:sz w:val="20"/>
          <w:szCs w:val="20"/>
          <w:color w:val="auto"/>
        </w:rPr>
      </w:pPr>
    </w:p>
    <w:p>
      <w:pPr>
        <w:ind w:left="680" w:hanging="535"/>
        <w:spacing w:after="0"/>
        <w:tabs>
          <w:tab w:leader="none" w:pos="680"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Term</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 of the Lease is hereby deleted in its entirety and replaced with the following:</w:t>
      </w:r>
    </w:p>
    <w:p>
      <w:pPr>
        <w:spacing w:after="0" w:line="274" w:lineRule="exact"/>
        <w:rPr>
          <w:sz w:val="20"/>
          <w:szCs w:val="20"/>
          <w:color w:val="auto"/>
        </w:rPr>
      </w:pPr>
    </w:p>
    <w:p>
      <w:pPr>
        <w:jc w:val="both"/>
        <w:ind w:left="220"/>
        <w:spacing w:after="0" w:line="235" w:lineRule="auto"/>
        <w:rPr>
          <w:sz w:val="20"/>
          <w:szCs w:val="20"/>
          <w:color w:val="auto"/>
        </w:rPr>
      </w:pPr>
      <w:r>
        <w:rPr>
          <w:rFonts w:ascii="Arial" w:cs="Arial" w:eastAsia="Arial" w:hAnsi="Arial"/>
          <w:sz w:val="22"/>
          <w:szCs w:val="22"/>
          <w:color w:val="auto"/>
        </w:rPr>
        <w:t>"The term of this Lease shall commence on June 5, 2008 (the “</w:t>
      </w:r>
      <w:r>
        <w:rPr>
          <w:rFonts w:ascii="Arial" w:cs="Arial" w:eastAsia="Arial" w:hAnsi="Arial"/>
          <w:sz w:val="22"/>
          <w:szCs w:val="22"/>
          <w:b w:val="1"/>
          <w:bCs w:val="1"/>
          <w:i w:val="1"/>
          <w:iCs w:val="1"/>
          <w:color w:val="auto"/>
        </w:rPr>
        <w:t>Commencement Date</w:t>
      </w:r>
      <w:r>
        <w:rPr>
          <w:rFonts w:ascii="Arial" w:cs="Arial" w:eastAsia="Arial" w:hAnsi="Arial"/>
          <w:sz w:val="22"/>
          <w:szCs w:val="22"/>
          <w:i w:val="1"/>
          <w:iCs w:val="1"/>
          <w:color w:val="auto"/>
        </w:rPr>
        <w:t>")</w:t>
      </w:r>
      <w:r>
        <w:rPr>
          <w:rFonts w:ascii="Arial" w:cs="Arial" w:eastAsia="Arial" w:hAnsi="Arial"/>
          <w:sz w:val="22"/>
          <w:szCs w:val="22"/>
          <w:color w:val="auto"/>
        </w:rPr>
        <w:t xml:space="preserve"> and end on January 31, 2021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Term</w:t>
      </w:r>
      <w:r>
        <w:rPr>
          <w:rFonts w:ascii="Arial" w:cs="Arial" w:eastAsia="Arial" w:hAnsi="Arial"/>
          <w:sz w:val="22"/>
          <w:szCs w:val="22"/>
          <w:i w:val="1"/>
          <w:iCs w:val="1"/>
          <w:color w:val="auto"/>
        </w:rPr>
        <w:t>").</w:t>
      </w:r>
      <w:r>
        <w:rPr>
          <w:rFonts w:ascii="Arial" w:cs="Arial" w:eastAsia="Arial" w:hAnsi="Arial"/>
          <w:sz w:val="22"/>
          <w:szCs w:val="22"/>
          <w:color w:val="auto"/>
        </w:rPr>
        <w:t xml:space="preserve"> For consideration in part of this lease extension, </w:t>
      </w:r>
      <w:r>
        <w:rPr>
          <w:rFonts w:ascii="Arial" w:cs="Arial" w:eastAsia="Arial" w:hAnsi="Arial"/>
          <w:sz w:val="22"/>
          <w:szCs w:val="22"/>
          <w:u w:val="single" w:color="auto"/>
          <w:color w:val="auto"/>
        </w:rPr>
        <w:t>Tenant will</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discontinue processing on Landlord tool FJ01PVS and move this processing to equipment, whether existing or procured by Tenant, located within Tenant Fab Space. Tenant processing on FJ01PVS will be terminated by June 30, 2019 and any costs required to move the processing will be incurred by the Tenant.</w:t>
      </w:r>
      <w:r>
        <w:rPr>
          <w:rFonts w:ascii="Arial" w:cs="Arial" w:eastAsia="Arial" w:hAnsi="Arial"/>
          <w:sz w:val="22"/>
          <w:szCs w:val="22"/>
          <w:color w:val="auto"/>
        </w:rPr>
        <w:t>”</w:t>
      </w:r>
    </w:p>
    <w:p>
      <w:pPr>
        <w:spacing w:after="0" w:line="209" w:lineRule="exact"/>
        <w:rPr>
          <w:sz w:val="20"/>
          <w:szCs w:val="20"/>
          <w:color w:val="auto"/>
        </w:rPr>
      </w:pPr>
    </w:p>
    <w:p>
      <w:pPr>
        <w:jc w:val="both"/>
        <w:ind w:left="220" w:hanging="75"/>
        <w:spacing w:after="0" w:line="284" w:lineRule="auto"/>
        <w:tabs>
          <w:tab w:leader="none" w:pos="963"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Brokers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represents to Land lord that Tenant has deal with no broke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connection with this Amendment No. 7. Tenant agrees to indemnify and hold Landlord harmless from all claims of any brokers claiming to have represented Tenant in connection with this Amendment No. 7. Landlord agrees to indemnify and hold Tenant harmless from all claims of any broker claiming </w:t>
      </w:r>
      <w:r>
        <w:rPr>
          <w:rFonts w:ascii="Arial" w:cs="Arial" w:eastAsia="Arial" w:hAnsi="Arial"/>
          <w:sz w:val="19"/>
          <w:szCs w:val="19"/>
          <w:i w:val="1"/>
          <w:iCs w:val="1"/>
          <w:color w:val="auto"/>
        </w:rPr>
        <w:t xml:space="preserve">to </w:t>
      </w:r>
      <w:r>
        <w:rPr>
          <w:rFonts w:ascii="Arial" w:cs="Arial" w:eastAsia="Arial" w:hAnsi="Arial"/>
          <w:sz w:val="19"/>
          <w:szCs w:val="19"/>
          <w:color w:val="auto"/>
        </w:rPr>
        <w:t>have represented Landlord in connection with this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259715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2" w:right="1419" w:bottom="1440" w:gutter="0" w:footer="0" w:header="0"/>
        </w:sectPr>
      </w:pPr>
    </w:p>
    <w:bookmarkStart w:id="62" w:name="page63"/>
    <w:bookmarkEnd w:id="62"/>
    <w:p>
      <w:pPr>
        <w:jc w:val="both"/>
        <w:ind w:left="160" w:firstLine="5"/>
        <w:spacing w:after="0" w:line="273" w:lineRule="auto"/>
        <w:tabs>
          <w:tab w:leader="none" w:pos="903" w:val="left"/>
        </w:tabs>
        <w:numPr>
          <w:ilvl w:val="0"/>
          <w:numId w:val="12"/>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No. 7 sets forth the entire agreement between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matters set forth herein. There have been no additional oral or written representations or agreements. Except as herein modified or amended, the provisions, conditions and terms of the Lease shall remain unchanged an in full force and effect. In the case of any inconsistency between the provisions of the Lease and this Amendment No. 7, the provisions of this Amendment No. 7 shall govern and control. Each signatory of this Amendment No. 7, represents hereby that he or she has the authority to execute and deliver the same on behalf of the patty hereto for which such signatory is acting. This Amendment No. 7 may be executed in multiple counterparts each of which is deemed an original but together constitute one and the same instrument. This Amendment No. 7 may be executed in so-called "PDF" format, and each party has the right to rely upon a PDF counterpart of this Amendment No. 7 signed by the other party to the same extent as if such party had received an original counterpart.</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IN W ITNESS WHER EOF, Land lord and Tenant have duly executed this Amendment No. 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gridSpan w:val="2"/>
          </w:tcPr>
          <w:p>
            <w:pPr>
              <w:spacing w:after="0"/>
              <w:rPr>
                <w:sz w:val="20"/>
                <w:szCs w:val="20"/>
                <w:color w:val="auto"/>
              </w:rPr>
            </w:pPr>
            <w:r>
              <w:rPr>
                <w:rFonts w:ascii="Arial" w:cs="Arial" w:eastAsia="Arial" w:hAnsi="Arial"/>
                <w:sz w:val="22"/>
                <w:szCs w:val="22"/>
                <w:b w:val="1"/>
                <w:bCs w:val="1"/>
                <w:color w:val="auto"/>
              </w:rPr>
              <w:t>LANDLORD:</w:t>
            </w:r>
          </w:p>
        </w:tc>
        <w:tc>
          <w:tcPr>
            <w:tcW w:w="280" w:type="dxa"/>
            <w:vAlign w:val="bottom"/>
          </w:tcPr>
          <w:p>
            <w:pPr>
              <w:spacing w:after="0"/>
              <w:rPr>
                <w:sz w:val="21"/>
                <w:szCs w:val="21"/>
                <w:color w:val="auto"/>
              </w:rPr>
            </w:pPr>
          </w:p>
        </w:tc>
        <w:tc>
          <w:tcPr>
            <w:tcW w:w="4420" w:type="dxa"/>
            <w:vAlign w:val="bottom"/>
            <w:gridSpan w:val="2"/>
          </w:tcPr>
          <w:p>
            <w:pPr>
              <w:spacing w:after="0"/>
              <w:rPr>
                <w:sz w:val="20"/>
                <w:szCs w:val="20"/>
                <w:color w:val="auto"/>
              </w:rPr>
            </w:pPr>
            <w:r>
              <w:rPr>
                <w:rFonts w:ascii="Arial" w:cs="Arial" w:eastAsia="Arial" w:hAnsi="Arial"/>
                <w:sz w:val="22"/>
                <w:szCs w:val="22"/>
                <w:b w:val="1"/>
                <w:bCs w:val="1"/>
                <w:color w:val="auto"/>
              </w:rPr>
              <w:t>TENANT:</w:t>
            </w:r>
          </w:p>
        </w:tc>
      </w:tr>
      <w:tr>
        <w:trPr>
          <w:trHeight w:val="249"/>
        </w:trPr>
        <w:tc>
          <w:tcPr>
            <w:tcW w:w="4360" w:type="dxa"/>
            <w:vAlign w:val="bottom"/>
            <w:gridSpan w:val="2"/>
          </w:tcPr>
          <w:p>
            <w:pPr>
              <w:spacing w:after="0" w:line="249" w:lineRule="exact"/>
              <w:rPr>
                <w:sz w:val="20"/>
                <w:szCs w:val="20"/>
                <w:color w:val="auto"/>
              </w:rPr>
            </w:pPr>
            <w:r>
              <w:rPr>
                <w:rFonts w:ascii="Arial" w:cs="Arial" w:eastAsia="Arial" w:hAnsi="Arial"/>
                <w:sz w:val="22"/>
                <w:szCs w:val="22"/>
                <w:b w:val="1"/>
                <w:bCs w:val="1"/>
                <w:color w:val="auto"/>
              </w:rPr>
              <w:t>NXP USA, INC.</w:t>
            </w:r>
          </w:p>
        </w:tc>
        <w:tc>
          <w:tcPr>
            <w:tcW w:w="280" w:type="dxa"/>
            <w:vAlign w:val="bottom"/>
          </w:tcPr>
          <w:p>
            <w:pPr>
              <w:spacing w:after="0"/>
              <w:rPr>
                <w:sz w:val="21"/>
                <w:szCs w:val="21"/>
                <w:color w:val="auto"/>
              </w:rPr>
            </w:pPr>
          </w:p>
        </w:tc>
        <w:tc>
          <w:tcPr>
            <w:tcW w:w="4420" w:type="dxa"/>
            <w:vAlign w:val="bottom"/>
            <w:gridSpan w:val="2"/>
          </w:tcPr>
          <w:p>
            <w:pPr>
              <w:spacing w:after="0" w:line="249" w:lineRule="exact"/>
              <w:rPr>
                <w:sz w:val="20"/>
                <w:szCs w:val="20"/>
                <w:color w:val="auto"/>
              </w:rPr>
            </w:pPr>
            <w:r>
              <w:rPr>
                <w:rFonts w:ascii="Arial" w:cs="Arial" w:eastAsia="Arial" w:hAnsi="Arial"/>
                <w:sz w:val="22"/>
                <w:szCs w:val="22"/>
                <w:b w:val="1"/>
                <w:bCs w:val="1"/>
                <w:color w:val="auto"/>
              </w:rPr>
              <w:t>EVERSPIN TECHNOLOGIES, INC.</w:t>
            </w:r>
          </w:p>
        </w:tc>
      </w:tr>
      <w:tr>
        <w:trPr>
          <w:trHeight w:val="275"/>
        </w:trPr>
        <w:tc>
          <w:tcPr>
            <w:tcW w:w="4360" w:type="dxa"/>
            <w:vAlign w:val="bottom"/>
            <w:gridSpan w:val="2"/>
          </w:tcPr>
          <w:p>
            <w:pPr>
              <w:spacing w:after="0"/>
              <w:rPr>
                <w:sz w:val="20"/>
                <w:szCs w:val="20"/>
                <w:color w:val="auto"/>
              </w:rPr>
            </w:pPr>
            <w:r>
              <w:rPr>
                <w:rFonts w:ascii="Arial" w:cs="Arial" w:eastAsia="Arial" w:hAnsi="Arial"/>
                <w:sz w:val="22"/>
                <w:szCs w:val="22"/>
                <w:color w:val="auto"/>
              </w:rPr>
              <w:t>a Delaware corporation</w:t>
            </w:r>
          </w:p>
        </w:tc>
        <w:tc>
          <w:tcPr>
            <w:tcW w:w="28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22"/>
                <w:szCs w:val="22"/>
                <w:color w:val="auto"/>
              </w:rPr>
              <w:t>a Delaware corporation</w:t>
            </w:r>
          </w:p>
        </w:tc>
      </w:tr>
      <w:tr>
        <w:trPr>
          <w:trHeight w:val="719"/>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Jennifer B. Wuamett</w:t>
            </w:r>
          </w:p>
        </w:tc>
        <w:tc>
          <w:tcPr>
            <w:tcW w:w="280" w:type="dxa"/>
            <w:vAlign w:val="bottom"/>
          </w:tcPr>
          <w:p>
            <w:pPr>
              <w:spacing w:after="0"/>
              <w:rPr>
                <w:sz w:val="24"/>
                <w:szCs w:val="24"/>
                <w:color w:val="auto"/>
              </w:rPr>
            </w:pP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Angelo Ugge</w:t>
            </w:r>
          </w:p>
        </w:tc>
      </w:tr>
      <w:tr>
        <w:trPr>
          <w:trHeight w:val="268"/>
        </w:trPr>
        <w:tc>
          <w:tcPr>
            <w:tcW w:w="4360" w:type="dxa"/>
            <w:vAlign w:val="bottom"/>
            <w:gridSpan w:val="2"/>
          </w:tcPr>
          <w:p>
            <w:pPr>
              <w:spacing w:after="0"/>
              <w:rPr>
                <w:sz w:val="20"/>
                <w:szCs w:val="20"/>
                <w:color w:val="auto"/>
              </w:rPr>
            </w:pPr>
            <w:r>
              <w:rPr>
                <w:rFonts w:ascii="Arial" w:cs="Arial" w:eastAsia="Arial" w:hAnsi="Arial"/>
                <w:sz w:val="22"/>
                <w:szCs w:val="22"/>
                <w:i w:val="1"/>
                <w:iCs w:val="1"/>
                <w:color w:val="auto"/>
              </w:rPr>
              <w:t>(Signature)</w:t>
            </w:r>
          </w:p>
        </w:tc>
        <w:tc>
          <w:tcPr>
            <w:tcW w:w="28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22"/>
                <w:szCs w:val="22"/>
                <w:i w:val="1"/>
                <w:iCs w:val="1"/>
                <w:color w:val="auto"/>
              </w:rPr>
              <w:t>(Signature)</w:t>
            </w:r>
          </w:p>
        </w:tc>
      </w:tr>
      <w:tr>
        <w:trPr>
          <w:trHeight w:val="45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spacing w:after="0"/>
              <w:rPr>
                <w:sz w:val="20"/>
                <w:szCs w:val="20"/>
                <w:color w:val="auto"/>
              </w:rPr>
            </w:pPr>
            <w:r>
              <w:rPr>
                <w:rFonts w:ascii="Arial" w:cs="Arial" w:eastAsia="Arial" w:hAnsi="Arial"/>
                <w:sz w:val="22"/>
                <w:szCs w:val="22"/>
                <w:color w:val="auto"/>
              </w:rPr>
              <w:t>Jennifer B. Wuamett</w:t>
            </w:r>
          </w:p>
        </w:tc>
        <w:tc>
          <w:tcPr>
            <w:tcW w:w="2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22"/>
                <w:szCs w:val="22"/>
                <w:color w:val="auto"/>
              </w:rPr>
              <w:t>By   Angelo Ugge</w:t>
            </w:r>
          </w:p>
        </w:tc>
      </w:tr>
      <w:tr>
        <w:trPr>
          <w:trHeight w:val="20"/>
        </w:trPr>
        <w:tc>
          <w:tcPr>
            <w:tcW w:w="70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480"/>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spacing w:after="0"/>
              <w:rPr>
                <w:sz w:val="20"/>
                <w:szCs w:val="20"/>
                <w:color w:val="auto"/>
              </w:rPr>
            </w:pPr>
            <w:r>
              <w:rPr>
                <w:rFonts w:ascii="Arial" w:cs="Arial" w:eastAsia="Arial" w:hAnsi="Arial"/>
                <w:sz w:val="22"/>
                <w:szCs w:val="22"/>
                <w:color w:val="auto"/>
              </w:rPr>
              <w:t>President</w:t>
            </w:r>
          </w:p>
        </w:tc>
        <w:tc>
          <w:tcPr>
            <w:tcW w:w="2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22"/>
                <w:szCs w:val="22"/>
                <w:color w:val="auto"/>
              </w:rPr>
              <w:t>Title: V.P. Corporate Business Development</w:t>
            </w:r>
          </w:p>
        </w:tc>
      </w:tr>
      <w:tr>
        <w:trPr>
          <w:trHeight w:val="20"/>
        </w:trPr>
        <w:tc>
          <w:tcPr>
            <w:tcW w:w="70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480"/>
        </w:trPr>
        <w:tc>
          <w:tcPr>
            <w:tcW w:w="700" w:type="dxa"/>
            <w:vAlign w:val="bottom"/>
          </w:tcPr>
          <w:p>
            <w:pPr>
              <w:spacing w:after="0"/>
              <w:rPr>
                <w:sz w:val="20"/>
                <w:szCs w:val="20"/>
                <w:color w:val="auto"/>
              </w:rPr>
            </w:pPr>
            <w:r>
              <w:rPr>
                <w:rFonts w:ascii="Arial" w:cs="Arial" w:eastAsia="Arial" w:hAnsi="Arial"/>
                <w:sz w:val="22"/>
                <w:szCs w:val="22"/>
                <w:color w:val="auto"/>
              </w:rPr>
              <w:t>Date:</w:t>
            </w:r>
          </w:p>
        </w:tc>
        <w:tc>
          <w:tcPr>
            <w:tcW w:w="3660" w:type="dxa"/>
            <w:vAlign w:val="bottom"/>
          </w:tcPr>
          <w:p>
            <w:pPr>
              <w:spacing w:after="0"/>
              <w:rPr>
                <w:sz w:val="20"/>
                <w:szCs w:val="20"/>
                <w:color w:val="auto"/>
              </w:rPr>
            </w:pPr>
            <w:r>
              <w:rPr>
                <w:rFonts w:ascii="Arial" w:cs="Arial" w:eastAsia="Arial" w:hAnsi="Arial"/>
                <w:sz w:val="22"/>
                <w:szCs w:val="22"/>
                <w:color w:val="auto"/>
              </w:rPr>
              <w:t>August 2, 2018</w:t>
            </w:r>
          </w:p>
        </w:tc>
        <w:tc>
          <w:tcPr>
            <w:tcW w:w="2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22"/>
                <w:szCs w:val="22"/>
                <w:color w:val="auto"/>
              </w:rPr>
              <w:t>Date: July 31, 2018</w:t>
            </w:r>
          </w:p>
        </w:tc>
      </w:tr>
      <w:tr>
        <w:trPr>
          <w:trHeight w:val="460"/>
        </w:trPr>
        <w:tc>
          <w:tcPr>
            <w:tcW w:w="700" w:type="dxa"/>
            <w:vAlign w:val="bottom"/>
            <w:tcBorders>
              <w:bottom w:val="single" w:sz="8" w:color="auto"/>
            </w:tcBorders>
          </w:tcPr>
          <w:p>
            <w:pPr>
              <w:spacing w:after="0"/>
              <w:rPr>
                <w:sz w:val="24"/>
                <w:szCs w:val="24"/>
                <w:color w:val="auto"/>
              </w:rPr>
            </w:pPr>
          </w:p>
        </w:tc>
        <w:tc>
          <w:tcPr>
            <w:tcW w:w="36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6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060"/>
          </w:cols>
          <w:pgMar w:left="1420" w:top="355" w:right="14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80" w:right="240" w:hanging="377"/>
        <w:spacing w:after="0" w:line="238"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3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jc w:val="both"/>
        <w:ind w:right="240" w:firstLine="3"/>
        <w:spacing w:after="0" w:line="22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2018,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Kevin Conley</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3"/>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76" Type="http://schemas.openxmlformats.org/officeDocument/2006/relationships/hyperlink" Target="http://www.sec.gov/Archives/edgar/data/1438423/000119312516737688/d271840dex31.htm" TargetMode="External"/><Relationship Id="rId77" Type="http://schemas.openxmlformats.org/officeDocument/2006/relationships/hyperlink" Target="http://www.sec.gov/Archives/edgar/data/1438423/000119312516706479/d180963dex36.htm" TargetMode="External"/><Relationship Id="rId78" Type="http://schemas.openxmlformats.org/officeDocument/2006/relationships/hyperlink" Target="http://www.sec.gov/Archives/edgar/data/1438423/000119312516706479/d180963dex41.htm" TargetMode="External"/><Relationship Id="rId79" Type="http://schemas.openxmlformats.org/officeDocument/2006/relationships/hyperlink" Target="http://www.sec.gov/Archives/edgar/data/1438423/000155837018006798/mram-20180630ex42c5286a8.htm" TargetMode="External"/><Relationship Id="rId80" Type="http://schemas.openxmlformats.org/officeDocument/2006/relationships/hyperlink" Target="http://www.sec.gov/Archives/edgar/data/1438423/000155837018006798/mram-20180630ex102104e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2019-12-28T17:45:45Z</dcterms:created>
  <dcterms:modified xsi:type="dcterms:W3CDTF">2019-12-28T17:45:45Z</dcterms:modified>
</cp:coreProperties>
</file>