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248920</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pacing w:after="0" w:line="200" w:lineRule="exact"/>
        <w:rPr>
          <w:sz w:val="24"/>
          <w:szCs w:val="24"/>
          <w:color w:val="auto"/>
        </w:rPr>
      </w:pPr>
    </w:p>
    <w:p>
      <w:pPr>
        <w:spacing w:after="0" w:line="233" w:lineRule="exact"/>
        <w:rPr>
          <w:sz w:val="24"/>
          <w:szCs w:val="24"/>
          <w:color w:val="auto"/>
        </w:rPr>
      </w:pPr>
    </w:p>
    <w:p>
      <w:pPr>
        <w:jc w:val="center"/>
        <w:ind w:right="1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-228600</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17" w:lineRule="exact"/>
        <w:rPr>
          <w:sz w:val="24"/>
          <w:szCs w:val="24"/>
          <w:color w:val="auto"/>
        </w:rPr>
      </w:pPr>
    </w:p>
    <w:p>
      <w:pPr>
        <w:jc w:val="center"/>
        <w:ind w:right="1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64135</wp:posOffset>
            </wp:positionV>
            <wp:extent cx="16287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129" w:lineRule="exact"/>
        <w:rPr>
          <w:sz w:val="24"/>
          <w:szCs w:val="24"/>
          <w:color w:val="auto"/>
        </w:rPr>
      </w:pPr>
    </w:p>
    <w:p>
      <w:pPr>
        <w:jc w:val="center"/>
        <w:ind w:right="10"/>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2466975</wp:posOffset>
            </wp:positionH>
            <wp:positionV relativeFrom="paragraph">
              <wp:posOffset>96520</wp:posOffset>
            </wp:positionV>
            <wp:extent cx="15601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60195" cy="8890"/>
                    </a:xfrm>
                    <a:prstGeom prst="rect">
                      <a:avLst/>
                    </a:prstGeom>
                    <a:noFill/>
                  </pic:spPr>
                </pic:pic>
              </a:graphicData>
            </a:graphic>
          </wp:anchor>
        </w:drawing>
      </w:r>
    </w:p>
    <w:p>
      <w:pPr>
        <w:spacing w:after="0" w:line="217" w:lineRule="exact"/>
        <w:rPr>
          <w:sz w:val="24"/>
          <w:szCs w:val="24"/>
          <w:color w:val="auto"/>
        </w:rPr>
      </w:pPr>
    </w:p>
    <w:p>
      <w:pPr>
        <w:ind w:left="10"/>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8" w:lineRule="exact"/>
        <w:rPr>
          <w:sz w:val="24"/>
          <w:szCs w:val="24"/>
          <w:color w:val="auto"/>
        </w:rPr>
      </w:pPr>
    </w:p>
    <w:p>
      <w:pPr>
        <w:ind w:left="430" w:right="180" w:hanging="430"/>
        <w:spacing w:after="0" w:line="237" w:lineRule="auto"/>
        <w:tabs>
          <w:tab w:leader="none" w:pos="430"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89" w:lineRule="exact"/>
        <w:rPr>
          <w:sz w:val="24"/>
          <w:szCs w:val="24"/>
          <w:color w:val="auto"/>
        </w:rPr>
      </w:pPr>
    </w:p>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2024</w:t>
      </w:r>
    </w:p>
    <w:p>
      <w:pPr>
        <w:spacing w:after="0" w:line="131" w:lineRule="exact"/>
        <w:rPr>
          <w:sz w:val="24"/>
          <w:szCs w:val="24"/>
          <w:color w:val="auto"/>
        </w:rPr>
      </w:pPr>
    </w:p>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21" w:lineRule="exact"/>
        <w:rPr>
          <w:sz w:val="24"/>
          <w:szCs w:val="24"/>
          <w:color w:val="auto"/>
        </w:rPr>
      </w:pPr>
    </w:p>
    <w:p>
      <w:pPr>
        <w:ind w:left="430" w:right="180" w:hanging="430"/>
        <w:spacing w:after="0" w:line="262" w:lineRule="auto"/>
        <w:tabs>
          <w:tab w:leader="none" w:pos="430" w:val="left"/>
        </w:tabs>
        <w:numPr>
          <w:ilvl w:val="0"/>
          <w:numId w:val="2"/>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64" w:lineRule="exact"/>
        <w:rPr>
          <w:sz w:val="24"/>
          <w:szCs w:val="24"/>
          <w:color w:val="auto"/>
        </w:rPr>
      </w:pPr>
    </w:p>
    <w:p>
      <w:pPr>
        <w:ind w:left="3270"/>
        <w:spacing w:after="0"/>
        <w:tabs>
          <w:tab w:leader="none" w:pos="621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3580765</wp:posOffset>
            </wp:positionH>
            <wp:positionV relativeFrom="paragraph">
              <wp:posOffset>-5080</wp:posOffset>
            </wp:positionV>
            <wp:extent cx="8375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37565" cy="8255"/>
                    </a:xfrm>
                    <a:prstGeom prst="rect">
                      <a:avLst/>
                    </a:prstGeom>
                    <a:noFill/>
                  </pic:spPr>
                </pic:pic>
              </a:graphicData>
            </a:graphic>
          </wp:anchor>
        </w:drawing>
      </w:r>
    </w:p>
    <w:p>
      <w:pPr>
        <w:spacing w:after="0" w:line="117" w:lineRule="exact"/>
        <w:rPr>
          <w:sz w:val="24"/>
          <w:szCs w:val="24"/>
          <w:color w:val="auto"/>
        </w:rPr>
      </w:pPr>
    </w:p>
    <w:p>
      <w:pPr>
        <w:jc w:val="center"/>
        <w:ind w:right="10"/>
        <w:spacing w:after="0"/>
        <w:rPr>
          <w:sz w:val="20"/>
          <w:szCs w:val="20"/>
          <w:color w:val="auto"/>
        </w:rPr>
      </w:pPr>
      <w:r>
        <w:rPr>
          <w:rFonts w:ascii="Times New Roman" w:cs="Times New Roman" w:eastAsia="Times New Roman" w:hAnsi="Times New Roman"/>
          <w:sz w:val="16"/>
          <w:szCs w:val="16"/>
          <w:b w:val="1"/>
          <w:bCs w:val="1"/>
          <w:color w:val="auto"/>
        </w:rPr>
        <w:t>Commission File Number 001-37900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64770</wp:posOffset>
            </wp:positionV>
            <wp:extent cx="16287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98" w:lineRule="exact"/>
        <w:rPr>
          <w:sz w:val="24"/>
          <w:szCs w:val="24"/>
          <w:color w:val="auto"/>
        </w:rPr>
      </w:pPr>
    </w:p>
    <w:p>
      <w:pPr>
        <w:jc w:val="center"/>
        <w:ind w:right="10"/>
        <w:spacing w:after="0"/>
        <w:rPr>
          <w:sz w:val="20"/>
          <w:szCs w:val="20"/>
          <w:color w:val="auto"/>
        </w:rPr>
      </w:pPr>
      <w:r>
        <w:rPr>
          <w:rFonts w:ascii="Times New Roman" w:cs="Times New Roman" w:eastAsia="Times New Roman" w:hAnsi="Times New Roman"/>
          <w:sz w:val="43"/>
          <w:szCs w:val="43"/>
          <w:b w:val="1"/>
          <w:bCs w:val="1"/>
          <w:color w:val="auto"/>
        </w:rPr>
        <w:t>Everspin Technologies, Inc.</w:t>
      </w:r>
    </w:p>
    <w:p>
      <w:pPr>
        <w:spacing w:after="0" w:line="58" w:lineRule="exact"/>
        <w:rPr>
          <w:sz w:val="24"/>
          <w:szCs w:val="24"/>
          <w:color w:val="auto"/>
        </w:rPr>
      </w:pPr>
    </w:p>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47625</wp:posOffset>
            </wp:positionV>
            <wp:extent cx="16287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222" w:lineRule="exact"/>
        <w:rPr>
          <w:sz w:val="24"/>
          <w:szCs w:val="24"/>
          <w:color w:val="auto"/>
        </w:rPr>
      </w:pPr>
    </w:p>
    <w:tbl>
      <w:tblPr>
        <w:tblLayout w:type="fixed"/>
        <w:tblInd w:w="1230" w:type="dxa"/>
        <w:tblCellMar>
          <w:top w:w="0" w:type="dxa"/>
          <w:left w:w="0" w:type="dxa"/>
          <w:bottom w:w="0" w:type="dxa"/>
          <w:right w:w="0" w:type="dxa"/>
        </w:tblCellMar>
      </w:tblPr>
      <w:tr>
        <w:trPr>
          <w:trHeight w:val="216"/>
        </w:trPr>
        <w:tc>
          <w:tcPr>
            <w:tcW w:w="4160" w:type="dxa"/>
            <w:vAlign w:val="bottom"/>
          </w:tcPr>
          <w:p>
            <w:pPr>
              <w:jc w:val="center"/>
              <w:ind w:right="153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040" w:type="dxa"/>
            <w:vAlign w:val="bottom"/>
          </w:tcPr>
          <w:p>
            <w:pPr>
              <w:jc w:val="center"/>
              <w:ind w:left="1530"/>
              <w:spacing w:after="0"/>
              <w:rPr>
                <w:sz w:val="20"/>
                <w:szCs w:val="20"/>
                <w:color w:val="auto"/>
              </w:rPr>
            </w:pPr>
            <w:r>
              <w:rPr>
                <w:rFonts w:ascii="Times New Roman" w:cs="Times New Roman" w:eastAsia="Times New Roman" w:hAnsi="Times New Roman"/>
                <w:sz w:val="18"/>
                <w:szCs w:val="18"/>
                <w:b w:val="1"/>
                <w:bCs w:val="1"/>
                <w:color w:val="auto"/>
                <w:w w:val="98"/>
              </w:rPr>
              <w:t>26-2640654</w:t>
            </w:r>
          </w:p>
        </w:tc>
      </w:tr>
      <w:tr>
        <w:trPr>
          <w:trHeight w:val="216"/>
        </w:trPr>
        <w:tc>
          <w:tcPr>
            <w:tcW w:w="4160" w:type="dxa"/>
            <w:vAlign w:val="bottom"/>
          </w:tcPr>
          <w:p>
            <w:pPr>
              <w:jc w:val="center"/>
              <w:ind w:right="153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3040" w:type="dxa"/>
            <w:vAlign w:val="bottom"/>
          </w:tcPr>
          <w:p>
            <w:pPr>
              <w:jc w:val="center"/>
              <w:ind w:left="153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4160" w:type="dxa"/>
            <w:vAlign w:val="bottom"/>
          </w:tcPr>
          <w:p>
            <w:pPr>
              <w:jc w:val="center"/>
              <w:ind w:right="1530"/>
              <w:spacing w:after="0"/>
              <w:rPr>
                <w:sz w:val="20"/>
                <w:szCs w:val="20"/>
                <w:color w:val="auto"/>
              </w:rPr>
            </w:pPr>
            <w:r>
              <w:rPr>
                <w:rFonts w:ascii="Times New Roman" w:cs="Times New Roman" w:eastAsia="Times New Roman" w:hAnsi="Times New Roman"/>
                <w:sz w:val="18"/>
                <w:szCs w:val="18"/>
                <w:b w:val="1"/>
                <w:bCs w:val="1"/>
                <w:color w:val="auto"/>
                <w:w w:val="99"/>
              </w:rPr>
              <w:t>of incorporation or organization)</w:t>
            </w:r>
          </w:p>
        </w:tc>
        <w:tc>
          <w:tcPr>
            <w:tcW w:w="3040" w:type="dxa"/>
            <w:vAlign w:val="bottom"/>
          </w:tcPr>
          <w:p>
            <w:pPr>
              <w:jc w:val="center"/>
              <w:ind w:left="1530"/>
              <w:spacing w:after="0"/>
              <w:rPr>
                <w:sz w:val="20"/>
                <w:szCs w:val="20"/>
                <w:color w:val="auto"/>
              </w:rPr>
            </w:pPr>
            <w:r>
              <w:rPr>
                <w:rFonts w:ascii="Times New Roman" w:cs="Times New Roman" w:eastAsia="Times New Roman" w:hAnsi="Times New Roman"/>
                <w:sz w:val="18"/>
                <w:szCs w:val="18"/>
                <w:b w:val="1"/>
                <w:bCs w:val="1"/>
                <w:color w:val="auto"/>
              </w:rPr>
              <w:t>Identification No.)</w:t>
            </w:r>
          </w:p>
        </w:tc>
      </w:tr>
    </w:tbl>
    <w:p>
      <w:pPr>
        <w:spacing w:after="0" w:line="99" w:lineRule="exact"/>
        <w:rPr>
          <w:sz w:val="24"/>
          <w:szCs w:val="24"/>
          <w:color w:val="auto"/>
        </w:rPr>
      </w:pPr>
    </w:p>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5670 W. Chandler Boulevard, Suite 130</w:t>
      </w:r>
    </w:p>
    <w:p>
      <w:pPr>
        <w:spacing w:after="0" w:line="31" w:lineRule="exact"/>
        <w:rPr>
          <w:sz w:val="24"/>
          <w:szCs w:val="24"/>
          <w:color w:val="auto"/>
        </w:rPr>
      </w:pPr>
    </w:p>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Chandler, Arizona 85226</w:t>
      </w:r>
    </w:p>
    <w:p>
      <w:pPr>
        <w:spacing w:after="0" w:line="9" w:lineRule="exact"/>
        <w:rPr>
          <w:sz w:val="24"/>
          <w:szCs w:val="24"/>
          <w:color w:val="auto"/>
        </w:rPr>
      </w:pPr>
    </w:p>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 including zip code)</w:t>
      </w:r>
    </w:p>
    <w:p>
      <w:pPr>
        <w:spacing w:after="0" w:line="108" w:lineRule="exact"/>
        <w:rPr>
          <w:sz w:val="24"/>
          <w:szCs w:val="24"/>
          <w:color w:val="auto"/>
        </w:rPr>
      </w:pPr>
    </w:p>
    <w:p>
      <w:pPr>
        <w:ind w:left="255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(480) 347-1111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88265</wp:posOffset>
            </wp:positionV>
            <wp:extent cx="162877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209" w:lineRule="exact"/>
        <w:rPr>
          <w:sz w:val="24"/>
          <w:szCs w:val="24"/>
          <w:color w:val="auto"/>
        </w:rPr>
      </w:pPr>
    </w:p>
    <w:p>
      <w:pPr>
        <w:ind w:left="1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7" w:lineRule="exact"/>
        <w:rPr>
          <w:sz w:val="24"/>
          <w:szCs w:val="24"/>
          <w:color w:val="auto"/>
        </w:rPr>
      </w:pPr>
    </w:p>
    <w:tbl>
      <w:tblPr>
        <w:tblLayout w:type="fixed"/>
        <w:tblInd w:w="20" w:type="dxa"/>
        <w:tblCellMar>
          <w:top w:w="0" w:type="dxa"/>
          <w:left w:w="0" w:type="dxa"/>
          <w:bottom w:w="0" w:type="dxa"/>
          <w:right w:w="0" w:type="dxa"/>
        </w:tblCellMar>
      </w:tblPr>
      <w:tr>
        <w:trPr>
          <w:trHeight w:val="201"/>
        </w:trPr>
        <w:tc>
          <w:tcPr>
            <w:tcW w:w="3420" w:type="dxa"/>
            <w:vAlign w:val="bottom"/>
            <w:tcBorders>
              <w:top w:val="single" w:sz="8" w:color="auto"/>
              <w:left w:val="single" w:sz="8" w:color="auto"/>
              <w:right w:val="single" w:sz="8" w:color="auto"/>
            </w:tcBorders>
          </w:tcPr>
          <w:p>
            <w:pPr>
              <w:ind w:left="100"/>
              <w:spacing w:after="0" w:line="201" w:lineRule="exact"/>
              <w:rPr>
                <w:sz w:val="20"/>
                <w:szCs w:val="20"/>
                <w:color w:val="auto"/>
              </w:rPr>
            </w:pPr>
            <w:r>
              <w:rPr>
                <w:rFonts w:ascii="Times New Roman" w:cs="Times New Roman" w:eastAsia="Times New Roman" w:hAnsi="Times New Roman"/>
                <w:sz w:val="18"/>
                <w:szCs w:val="18"/>
                <w:b w:val="1"/>
                <w:bCs w:val="1"/>
                <w:color w:val="auto"/>
              </w:rPr>
              <w:t>Title of each class</w:t>
            </w:r>
          </w:p>
        </w:tc>
        <w:tc>
          <w:tcPr>
            <w:tcW w:w="3400" w:type="dxa"/>
            <w:vAlign w:val="bottom"/>
            <w:tcBorders>
              <w:top w:val="single" w:sz="8" w:color="auto"/>
              <w:right w:val="single" w:sz="8" w:color="auto"/>
            </w:tcBorders>
          </w:tcPr>
          <w:p>
            <w:pPr>
              <w:ind w:left="80"/>
              <w:spacing w:after="0" w:line="201" w:lineRule="exact"/>
              <w:rPr>
                <w:sz w:val="20"/>
                <w:szCs w:val="20"/>
                <w:color w:val="auto"/>
              </w:rPr>
            </w:pPr>
            <w:r>
              <w:rPr>
                <w:rFonts w:ascii="Times New Roman" w:cs="Times New Roman" w:eastAsia="Times New Roman" w:hAnsi="Times New Roman"/>
                <w:sz w:val="18"/>
                <w:szCs w:val="18"/>
                <w:b w:val="1"/>
                <w:bCs w:val="1"/>
                <w:color w:val="auto"/>
              </w:rPr>
              <w:t>Trading Symbol(s)</w:t>
            </w:r>
          </w:p>
        </w:tc>
        <w:tc>
          <w:tcPr>
            <w:tcW w:w="3420" w:type="dxa"/>
            <w:vAlign w:val="bottom"/>
            <w:tcBorders>
              <w:top w:val="single" w:sz="8" w:color="auto"/>
              <w:right w:val="single" w:sz="8" w:color="auto"/>
            </w:tcBorders>
          </w:tcPr>
          <w:p>
            <w:pPr>
              <w:ind w:left="80"/>
              <w:spacing w:after="0" w:line="201" w:lineRule="exact"/>
              <w:rPr>
                <w:sz w:val="20"/>
                <w:szCs w:val="20"/>
                <w:color w:val="auto"/>
              </w:rPr>
            </w:pPr>
            <w:r>
              <w:rPr>
                <w:rFonts w:ascii="Times New Roman" w:cs="Times New Roman" w:eastAsia="Times New Roman" w:hAnsi="Times New Roman"/>
                <w:sz w:val="18"/>
                <w:szCs w:val="18"/>
                <w:b w:val="1"/>
                <w:bCs w:val="1"/>
                <w:color w:val="auto"/>
              </w:rPr>
              <w:t>Name of each exchange on which</w:t>
            </w:r>
          </w:p>
        </w:tc>
      </w:tr>
      <w:tr>
        <w:trPr>
          <w:trHeight w:val="238"/>
        </w:trPr>
        <w:tc>
          <w:tcPr>
            <w:tcW w:w="3420" w:type="dxa"/>
            <w:vAlign w:val="bottom"/>
            <w:tcBorders>
              <w:left w:val="single" w:sz="8" w:color="auto"/>
              <w:bottom w:val="single" w:sz="8" w:color="auto"/>
              <w:right w:val="single" w:sz="8" w:color="auto"/>
            </w:tcBorders>
          </w:tcPr>
          <w:p>
            <w:pPr>
              <w:spacing w:after="0"/>
              <w:rPr>
                <w:sz w:val="20"/>
                <w:szCs w:val="20"/>
                <w:color w:val="auto"/>
              </w:rPr>
            </w:pPr>
          </w:p>
        </w:tc>
        <w:tc>
          <w:tcPr>
            <w:tcW w:w="3400" w:type="dxa"/>
            <w:vAlign w:val="bottom"/>
            <w:tcBorders>
              <w:bottom w:val="single" w:sz="8" w:color="auto"/>
              <w:right w:val="single" w:sz="8" w:color="auto"/>
            </w:tcBorders>
          </w:tcPr>
          <w:p>
            <w:pPr>
              <w:spacing w:after="0"/>
              <w:rPr>
                <w:sz w:val="20"/>
                <w:szCs w:val="20"/>
                <w:color w:val="auto"/>
              </w:rPr>
            </w:pPr>
          </w:p>
        </w:tc>
        <w:tc>
          <w:tcPr>
            <w:tcW w:w="34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registered</w:t>
            </w:r>
          </w:p>
        </w:tc>
      </w:tr>
      <w:tr>
        <w:trPr>
          <w:trHeight w:val="210"/>
        </w:trPr>
        <w:tc>
          <w:tcPr>
            <w:tcW w:w="342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Common Stock, par value $0.0001</w:t>
            </w:r>
          </w:p>
        </w:tc>
        <w:tc>
          <w:tcPr>
            <w:tcW w:w="34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MRAM</w:t>
            </w:r>
          </w:p>
        </w:tc>
        <w:tc>
          <w:tcPr>
            <w:tcW w:w="34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103" w:lineRule="exact"/>
        <w:rPr>
          <w:sz w:val="24"/>
          <w:szCs w:val="24"/>
          <w:color w:val="auto"/>
        </w:rPr>
      </w:pPr>
    </w:p>
    <w:p>
      <w:pPr>
        <w:jc w:val="both"/>
        <w:ind w:left="10" w:right="6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left="10" w:right="22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left="10" w:right="180"/>
        <w:spacing w:after="0" w:line="257"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10" w:type="dxa"/>
        <w:tblCellMar>
          <w:top w:w="0" w:type="dxa"/>
          <w:left w:w="0" w:type="dxa"/>
          <w:bottom w:w="0" w:type="dxa"/>
          <w:right w:w="0" w:type="dxa"/>
        </w:tblCellMar>
      </w:tblPr>
      <w:tr>
        <w:trPr>
          <w:trHeight w:val="177"/>
        </w:trPr>
        <w:tc>
          <w:tcPr>
            <w:tcW w:w="168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Large accelerated filer</w:t>
            </w:r>
          </w:p>
        </w:tc>
        <w:tc>
          <w:tcPr>
            <w:tcW w:w="2880" w:type="dxa"/>
            <w:vAlign w:val="bottom"/>
          </w:tcPr>
          <w:p>
            <w:pPr>
              <w:ind w:left="60"/>
              <w:spacing w:after="0" w:line="177" w:lineRule="exact"/>
              <w:rPr>
                <w:sz w:val="20"/>
                <w:szCs w:val="20"/>
                <w:color w:val="auto"/>
              </w:rPr>
            </w:pPr>
            <w:r>
              <w:rPr>
                <w:rFonts w:ascii="MS PGothic" w:cs="MS PGothic" w:eastAsia="MS PGothic" w:hAnsi="MS PGothic"/>
                <w:sz w:val="18"/>
                <w:szCs w:val="18"/>
                <w:color w:val="auto"/>
              </w:rPr>
              <w:t>☐</w:t>
            </w:r>
          </w:p>
        </w:tc>
        <w:tc>
          <w:tcPr>
            <w:tcW w:w="4920" w:type="dxa"/>
            <w:vAlign w:val="bottom"/>
          </w:tcPr>
          <w:p>
            <w:pPr>
              <w:ind w:left="2640"/>
              <w:spacing w:after="0" w:line="177" w:lineRule="exact"/>
              <w:rPr>
                <w:sz w:val="20"/>
                <w:szCs w:val="20"/>
                <w:color w:val="auto"/>
              </w:rPr>
            </w:pPr>
            <w:r>
              <w:rPr>
                <w:rFonts w:ascii="Times New Roman" w:cs="Times New Roman" w:eastAsia="Times New Roman" w:hAnsi="Times New Roman"/>
                <w:sz w:val="18"/>
                <w:szCs w:val="18"/>
                <w:color w:val="auto"/>
              </w:rPr>
              <w:t>Accelerated filer</w:t>
            </w:r>
          </w:p>
        </w:tc>
        <w:tc>
          <w:tcPr>
            <w:tcW w:w="740" w:type="dxa"/>
            <w:vAlign w:val="bottom"/>
          </w:tcPr>
          <w:p>
            <w:pPr>
              <w:ind w:left="580"/>
              <w:spacing w:after="0" w:line="177"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880" w:type="dxa"/>
            <w:vAlign w:val="bottom"/>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4920" w:type="dxa"/>
            <w:vAlign w:val="bottom"/>
          </w:tcPr>
          <w:p>
            <w:pPr>
              <w:ind w:left="26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740" w:type="dxa"/>
            <w:vAlign w:val="bottom"/>
          </w:tcPr>
          <w:p>
            <w:pPr>
              <w:ind w:left="5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168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4920" w:type="dxa"/>
            <w:vAlign w:val="bottom"/>
          </w:tcPr>
          <w:p>
            <w:pPr>
              <w:ind w:left="2640"/>
              <w:spacing w:after="0"/>
              <w:rPr>
                <w:sz w:val="20"/>
                <w:szCs w:val="20"/>
                <w:color w:val="auto"/>
              </w:rPr>
            </w:pPr>
            <w:r>
              <w:rPr>
                <w:rFonts w:ascii="Times New Roman" w:cs="Times New Roman" w:eastAsia="Times New Roman" w:hAnsi="Times New Roman"/>
                <w:sz w:val="18"/>
                <w:szCs w:val="18"/>
                <w:color w:val="auto"/>
              </w:rPr>
              <w:t>Emerging growth company</w:t>
            </w:r>
          </w:p>
        </w:tc>
        <w:tc>
          <w:tcPr>
            <w:tcW w:w="740" w:type="dxa"/>
            <w:vAlign w:val="bottom"/>
          </w:tcPr>
          <w:p>
            <w:pPr>
              <w:ind w:left="5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3"/>
        </w:trPr>
        <w:tc>
          <w:tcPr>
            <w:tcW w:w="9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w:t>
            </w:r>
          </w:p>
        </w:tc>
        <w:tc>
          <w:tcPr>
            <w:tcW w:w="740" w:type="dxa"/>
            <w:vAlign w:val="bottom"/>
          </w:tcPr>
          <w:p>
            <w:pPr>
              <w:ind w:left="5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34"/>
        </w:trPr>
        <w:tc>
          <w:tcPr>
            <w:tcW w:w="9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complying with any new or revised financial accounting standards provided pursuant to Section 13(a) of the Exchange Act.</w:t>
            </w:r>
          </w:p>
        </w:tc>
        <w:tc>
          <w:tcPr>
            <w:tcW w:w="740" w:type="dxa"/>
            <w:vAlign w:val="bottom"/>
          </w:tcPr>
          <w:p>
            <w:pPr>
              <w:spacing w:after="0"/>
              <w:rPr>
                <w:sz w:val="20"/>
                <w:szCs w:val="20"/>
                <w:color w:val="auto"/>
              </w:rPr>
            </w:pPr>
          </w:p>
        </w:tc>
      </w:tr>
      <w:tr>
        <w:trPr>
          <w:trHeight w:val="393"/>
        </w:trPr>
        <w:tc>
          <w:tcPr>
            <w:tcW w:w="9480" w:type="dxa"/>
            <w:vAlign w:val="bottom"/>
            <w:gridSpan w:val="3"/>
          </w:tcPr>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tc>
        <w:tc>
          <w:tcPr>
            <w:tcW w:w="74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r>
    </w:tbl>
    <w:p>
      <w:pPr>
        <w:spacing w:after="0" w:line="35" w:lineRule="exact"/>
        <w:rPr>
          <w:sz w:val="24"/>
          <w:szCs w:val="24"/>
          <w:color w:val="auto"/>
        </w:rPr>
      </w:pPr>
    </w:p>
    <w:p>
      <w:pPr>
        <w:ind w:left="10"/>
        <w:spacing w:after="0"/>
        <w:rPr>
          <w:sz w:val="20"/>
          <w:szCs w:val="20"/>
          <w:color w:val="auto"/>
        </w:rPr>
      </w:pPr>
      <w:r>
        <w:rPr>
          <w:rFonts w:ascii="Times New Roman" w:cs="Times New Roman" w:eastAsia="Times New Roman" w:hAnsi="Times New Roman"/>
          <w:sz w:val="18"/>
          <w:szCs w:val="18"/>
          <w:color w:val="auto"/>
        </w:rPr>
        <w:t>The number of shares of the Registrant’s Common Stock outstanding as of October 31, 2024, was 21,972,051.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608965</wp:posOffset>
            </wp:positionV>
            <wp:extent cx="6497955"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97955" cy="2603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94615</wp:posOffset>
            </wp:positionV>
            <wp:extent cx="6497955"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77470</wp:posOffset>
            </wp:positionV>
            <wp:extent cx="64979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97955" cy="8890"/>
                    </a:xfrm>
                    <a:prstGeom prst="rect">
                      <a:avLst/>
                    </a:prstGeom>
                    <a:noFill/>
                  </pic:spPr>
                </pic:pic>
              </a:graphicData>
            </a:graphic>
          </wp:anchor>
        </w:drawing>
      </w:r>
    </w:p>
    <w:p>
      <w:pPr>
        <w:sectPr>
          <w:pgSz w:w="11900" w:h="16838" w:orient="portrait"/>
          <w:cols w:equalWidth="0" w:num="1">
            <w:col w:w="10250"/>
          </w:cols>
          <w:pgMar w:left="830" w:top="661" w:right="819" w:bottom="144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63"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340" w:type="dxa"/>
            <w:vAlign w:val="bottom"/>
            <w:gridSpan w:val="14"/>
            <w:vMerge w:val="restart"/>
          </w:tcPr>
          <w:p>
            <w:pPr>
              <w:jc w:val="center"/>
              <w:ind w:right="2180"/>
              <w:spacing w:after="0"/>
              <w:rPr>
                <w:sz w:val="20"/>
                <w:szCs w:val="20"/>
                <w:color w:val="auto"/>
              </w:rPr>
            </w:pPr>
            <w:r>
              <w:rPr>
                <w:rFonts w:ascii="Times New Roman" w:cs="Times New Roman" w:eastAsia="Times New Roman" w:hAnsi="Times New Roman"/>
                <w:sz w:val="18"/>
                <w:szCs w:val="18"/>
                <w:b w:val="1"/>
                <w:bCs w:val="1"/>
                <w:color w:val="0000EE"/>
                <w:w w:val="99"/>
              </w:rPr>
              <w:t>PART I—FINANCIAL INFORMATION</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83"/>
        </w:trPr>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340" w:type="dxa"/>
            <w:vAlign w:val="bottom"/>
            <w:gridSpan w:val="14"/>
            <w:vMerge w:val="continue"/>
          </w:tcPr>
          <w:p>
            <w:pPr>
              <w:spacing w:after="0"/>
              <w:rPr>
                <w:sz w:val="15"/>
                <w:szCs w:val="15"/>
                <w:color w:val="auto"/>
              </w:rPr>
            </w:pP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Item 1.</w:t>
            </w:r>
          </w:p>
        </w:tc>
        <w:tc>
          <w:tcPr>
            <w:tcW w:w="2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9"/>
              </w:rPr>
              <w:t>Financial Statements</w:t>
            </w:r>
          </w:p>
        </w:tc>
        <w:tc>
          <w:tcPr>
            <w:tcW w:w="640" w:type="dxa"/>
            <w:vAlign w:val="bottom"/>
            <w:gridSpan w:val="2"/>
          </w:tcPr>
          <w:p>
            <w:pPr>
              <w:spacing w:after="0"/>
              <w:rPr>
                <w:sz w:val="18"/>
                <w:szCs w:val="18"/>
                <w:color w:val="auto"/>
              </w:rPr>
            </w:pPr>
          </w:p>
        </w:tc>
        <w:tc>
          <w:tcPr>
            <w:tcW w:w="3160" w:type="dxa"/>
            <w:vAlign w:val="bottom"/>
            <w:tcBorders>
              <w:top w:val="single" w:sz="8" w:color="0000EE"/>
            </w:tcBorders>
            <w:gridSpan w:val="8"/>
          </w:tcPr>
          <w:p>
            <w:pPr>
              <w:spacing w:after="0"/>
              <w:rPr>
                <w:sz w:val="18"/>
                <w:szCs w:val="18"/>
                <w:color w:val="auto"/>
              </w:rPr>
            </w:pPr>
          </w:p>
        </w:tc>
        <w:tc>
          <w:tcPr>
            <w:tcW w:w="2180" w:type="dxa"/>
            <w:vAlign w:val="bottom"/>
            <w:gridSpan w:val="6"/>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12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Condensed Balance Sheets as of September 30, 2024 (unaudited) and December 31, 2023</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12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Condensed Statements of Operations and Comprehensive (Loss) Income for the three and nine</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780" w:type="dxa"/>
            <w:vAlign w:val="bottom"/>
            <w:tcBorders>
              <w:top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months ended September 30, 2024 and 2023 (unaudited)</w:t>
            </w:r>
          </w:p>
        </w:tc>
        <w:tc>
          <w:tcPr>
            <w:tcW w:w="340" w:type="dxa"/>
            <w:vAlign w:val="bottom"/>
            <w:gridSpan w:val="3"/>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12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w w:val="99"/>
              </w:rPr>
              <w:t>Condensed Statements of Stockholders’ Equity for the three and nine months ended September 30,</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80" w:type="dxa"/>
            <w:vAlign w:val="bottom"/>
            <w:tcBorders>
              <w:top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2024 and 2023 (unaudited)</w:t>
            </w:r>
          </w:p>
        </w:tc>
        <w:tc>
          <w:tcPr>
            <w:tcW w:w="40" w:type="dxa"/>
            <w:vAlign w:val="bottom"/>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12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Condensed Statements of Cash Flows for the nine months ended September 30, 2024 and 2023</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3"/>
              </w:rPr>
              <w:t>(unaudited)</w:t>
            </w:r>
          </w:p>
        </w:tc>
        <w:tc>
          <w:tcPr>
            <w:tcW w:w="6000" w:type="dxa"/>
            <w:vAlign w:val="bottom"/>
            <w:tcBorders>
              <w:top w:val="single" w:sz="8" w:color="0000EE"/>
            </w:tcBorders>
            <w:gridSpan w:val="16"/>
          </w:tcPr>
          <w:p>
            <w:pPr>
              <w:spacing w:after="0"/>
              <w:rPr>
                <w:sz w:val="17"/>
                <w:szCs w:val="17"/>
                <w:color w:val="auto"/>
              </w:rPr>
            </w:pPr>
          </w:p>
        </w:tc>
        <w:tc>
          <w:tcPr>
            <w:tcW w:w="320" w:type="dxa"/>
            <w:vAlign w:val="bottom"/>
            <w:gridSpan w:val="2"/>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9"/>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180" w:type="dxa"/>
            <w:vAlign w:val="bottom"/>
            <w:gridSpan w:val="22"/>
          </w:tcPr>
          <w:p>
            <w:pPr>
              <w:spacing w:after="0"/>
              <w:rPr>
                <w:sz w:val="20"/>
                <w:szCs w:val="20"/>
                <w:color w:val="auto"/>
              </w:rPr>
            </w:pPr>
            <w:r>
              <w:rPr>
                <w:rFonts w:ascii="Times New Roman" w:cs="Times New Roman" w:eastAsia="Times New Roman" w:hAnsi="Times New Roman"/>
                <w:sz w:val="18"/>
                <w:szCs w:val="18"/>
                <w:color w:val="0000EE"/>
              </w:rPr>
              <w:t>Notes to Condensed Financial Statements (unaudited)</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040" w:type="dxa"/>
            <w:vAlign w:val="bottom"/>
            <w:gridSpan w:val="5"/>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EE"/>
                <w:w w:val="97"/>
              </w:rPr>
              <w:t>Item 2.</w:t>
            </w:r>
          </w:p>
        </w:tc>
        <w:tc>
          <w:tcPr>
            <w:tcW w:w="2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750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09"/>
        </w:trPr>
        <w:tc>
          <w:tcPr>
            <w:tcW w:w="52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Item 3.</w:t>
            </w:r>
          </w:p>
        </w:tc>
        <w:tc>
          <w:tcPr>
            <w:tcW w:w="2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4420" w:type="dxa"/>
            <w:vAlign w:val="bottom"/>
            <w:tcBorders>
              <w:top w:val="single" w:sz="8" w:color="0000EE"/>
              <w:bottom w:val="single" w:sz="8" w:color="0000EE"/>
            </w:tcBorders>
            <w:gridSpan w:val="16"/>
          </w:tcPr>
          <w:p>
            <w:pPr>
              <w:spacing w:after="0"/>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2040" w:type="dxa"/>
            <w:vAlign w:val="bottom"/>
            <w:tcBorders>
              <w:top w:val="single" w:sz="8" w:color="0000EE"/>
            </w:tcBorders>
            <w:gridSpan w:val="3"/>
          </w:tcPr>
          <w:p>
            <w:pPr>
              <w:spacing w:after="0"/>
              <w:rPr>
                <w:sz w:val="18"/>
                <w:szCs w:val="18"/>
                <w:color w:val="auto"/>
              </w:rPr>
            </w:pPr>
          </w:p>
        </w:tc>
        <w:tc>
          <w:tcPr>
            <w:tcW w:w="1040" w:type="dxa"/>
            <w:vAlign w:val="bottom"/>
            <w:gridSpan w:val="5"/>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0"/>
        </w:trPr>
        <w:tc>
          <w:tcPr>
            <w:tcW w:w="80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Item 4.</w:t>
            </w:r>
          </w:p>
        </w:tc>
        <w:tc>
          <w:tcPr>
            <w:tcW w:w="7660" w:type="dxa"/>
            <w:vAlign w:val="bottom"/>
            <w:gridSpan w:val="25"/>
          </w:tcPr>
          <w:p>
            <w:pPr>
              <w:ind w:left="160"/>
              <w:spacing w:after="0"/>
              <w:rPr>
                <w:sz w:val="20"/>
                <w:szCs w:val="20"/>
                <w:color w:val="auto"/>
              </w:rPr>
            </w:pPr>
            <w:r>
              <w:rPr>
                <w:rFonts w:ascii="Times New Roman" w:cs="Times New Roman" w:eastAsia="Times New Roman" w:hAnsi="Times New Roman"/>
                <w:sz w:val="18"/>
                <w:szCs w:val="18"/>
                <w:color w:val="0000EE"/>
              </w:rPr>
              <w:t>Controls and Procedures</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439"/>
        </w:trPr>
        <w:tc>
          <w:tcPr>
            <w:tcW w:w="52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60" w:type="dxa"/>
            <w:vAlign w:val="bottom"/>
            <w:tcBorders>
              <w:bottom w:val="single" w:sz="8" w:color="0000EE"/>
            </w:tcBorders>
            <w:gridSpan w:val="5"/>
          </w:tcPr>
          <w:p>
            <w:pPr>
              <w:jc w:val="center"/>
              <w:spacing w:after="0"/>
              <w:rPr>
                <w:sz w:val="20"/>
                <w:szCs w:val="20"/>
                <w:color w:val="auto"/>
              </w:rPr>
            </w:pPr>
            <w:r>
              <w:rPr>
                <w:rFonts w:ascii="Times New Roman" w:cs="Times New Roman" w:eastAsia="Times New Roman" w:hAnsi="Times New Roman"/>
                <w:sz w:val="18"/>
                <w:szCs w:val="18"/>
                <w:b w:val="1"/>
                <w:bCs w:val="1"/>
                <w:color w:val="0000EE"/>
                <w:w w:val="98"/>
              </w:rPr>
              <w:t>PART II—OTHER INFORMATION</w:t>
            </w:r>
          </w:p>
        </w:tc>
        <w:tc>
          <w:tcPr>
            <w:tcW w:w="2320" w:type="dxa"/>
            <w:vAlign w:val="bottom"/>
            <w:gridSpan w:val="7"/>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EE"/>
                <w:w w:val="97"/>
              </w:rPr>
              <w:t>Item 1.</w:t>
            </w:r>
          </w:p>
        </w:tc>
        <w:tc>
          <w:tcPr>
            <w:tcW w:w="2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750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Legal Proceedings</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gridSpan w:val="2"/>
            <w:shd w:val="clear" w:color="auto" w:fill="0000EE"/>
          </w:tcPr>
          <w:p>
            <w:pPr>
              <w:spacing w:after="0" w:line="20" w:lineRule="exact"/>
              <w:rPr>
                <w:sz w:val="1"/>
                <w:szCs w:val="1"/>
                <w:color w:val="auto"/>
              </w:rPr>
            </w:pPr>
          </w:p>
        </w:tc>
        <w:tc>
          <w:tcPr>
            <w:tcW w:w="1000" w:type="dxa"/>
            <w:vAlign w:val="bottom"/>
            <w:gridSpan w:val="6"/>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3140" w:type="dxa"/>
            <w:vAlign w:val="bottom"/>
            <w:gridSpan w:val="9"/>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0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Item 1A.</w:t>
            </w:r>
          </w:p>
        </w:tc>
        <w:tc>
          <w:tcPr>
            <w:tcW w:w="7660" w:type="dxa"/>
            <w:vAlign w:val="bottom"/>
            <w:gridSpan w:val="25"/>
          </w:tcPr>
          <w:p>
            <w:pPr>
              <w:ind w:left="160"/>
              <w:spacing w:after="0"/>
              <w:rPr>
                <w:sz w:val="20"/>
                <w:szCs w:val="20"/>
                <w:color w:val="auto"/>
              </w:rPr>
            </w:pPr>
            <w:r>
              <w:rPr>
                <w:rFonts w:ascii="Times New Roman" w:cs="Times New Roman" w:eastAsia="Times New Roman" w:hAnsi="Times New Roman"/>
                <w:sz w:val="18"/>
                <w:szCs w:val="18"/>
                <w:color w:val="0000EE"/>
              </w:rPr>
              <w:t>Risk Factors</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0" w:type="dxa"/>
            <w:vAlign w:val="bottom"/>
            <w:gridSpan w:val="6"/>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3140" w:type="dxa"/>
            <w:vAlign w:val="bottom"/>
            <w:gridSpan w:val="9"/>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Item 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36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EE"/>
                <w:w w:val="99"/>
              </w:rPr>
              <w:t>Unregistered Sales of Equity Securities and Use of Proceeds</w:t>
            </w:r>
          </w:p>
        </w:tc>
        <w:tc>
          <w:tcPr>
            <w:tcW w:w="3140" w:type="dxa"/>
            <w:vAlign w:val="bottom"/>
            <w:gridSpan w:val="9"/>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10"/>
        </w:trPr>
        <w:tc>
          <w:tcPr>
            <w:tcW w:w="5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Item 3.</w:t>
            </w:r>
          </w:p>
        </w:tc>
        <w:tc>
          <w:tcPr>
            <w:tcW w:w="2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234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w w:val="99"/>
              </w:rPr>
              <w:t>Defaults Upon Senior Securities</w:t>
            </w:r>
          </w:p>
        </w:tc>
        <w:tc>
          <w:tcPr>
            <w:tcW w:w="5160" w:type="dxa"/>
            <w:vAlign w:val="bottom"/>
            <w:gridSpan w:val="11"/>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09"/>
        </w:trPr>
        <w:tc>
          <w:tcPr>
            <w:tcW w:w="5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Item 4.</w:t>
            </w:r>
          </w:p>
        </w:tc>
        <w:tc>
          <w:tcPr>
            <w:tcW w:w="2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9"/>
              </w:rPr>
              <w:t>Mine Safety Disclosures</w:t>
            </w:r>
          </w:p>
        </w:tc>
        <w:tc>
          <w:tcPr>
            <w:tcW w:w="5720" w:type="dxa"/>
            <w:vAlign w:val="bottom"/>
            <w:gridSpan w:val="15"/>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10"/>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EE"/>
                <w:w w:val="97"/>
              </w:rPr>
              <w:t>Item 5.</w:t>
            </w:r>
          </w:p>
        </w:tc>
        <w:tc>
          <w:tcPr>
            <w:tcW w:w="2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750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Other Information</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10"/>
        </w:trPr>
        <w:tc>
          <w:tcPr>
            <w:tcW w:w="52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Item 6.</w:t>
            </w:r>
          </w:p>
        </w:tc>
        <w:tc>
          <w:tcPr>
            <w:tcW w:w="2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Borders>
              <w:top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rPr>
              <w:t>Exhibits</w:t>
            </w:r>
          </w:p>
        </w:tc>
        <w:tc>
          <w:tcPr>
            <w:tcW w:w="6160" w:type="dxa"/>
            <w:vAlign w:val="bottom"/>
            <w:gridSpan w:val="17"/>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900" w:type="dxa"/>
            <w:vAlign w:val="bottom"/>
            <w:gridSpan w:val="2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4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8"/>
              </w:rPr>
              <w:t>EXHIBIT INDEX</w:t>
            </w:r>
          </w:p>
        </w:tc>
        <w:tc>
          <w:tcPr>
            <w:tcW w:w="7120" w:type="dxa"/>
            <w:vAlign w:val="bottom"/>
            <w:gridSpan w:val="21"/>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09"/>
        </w:trPr>
        <w:tc>
          <w:tcPr>
            <w:tcW w:w="8460" w:type="dxa"/>
            <w:vAlign w:val="bottom"/>
            <w:gridSpan w:val="28"/>
          </w:tcPr>
          <w:p>
            <w:pPr>
              <w:spacing w:after="0"/>
              <w:rPr>
                <w:sz w:val="20"/>
                <w:szCs w:val="20"/>
                <w:color w:val="auto"/>
              </w:rPr>
            </w:pPr>
            <w:r>
              <w:rPr>
                <w:rFonts w:ascii="Times New Roman" w:cs="Times New Roman" w:eastAsia="Times New Roman" w:hAnsi="Times New Roman"/>
                <w:sz w:val="18"/>
                <w:szCs w:val="18"/>
                <w:color w:val="0000EE"/>
              </w:rPr>
              <w:t>SIGNATURES</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40" w:right="119"/>
        <w:spacing w:after="0" w:line="256" w:lineRule="auto"/>
        <w:rPr>
          <w:sz w:val="20"/>
          <w:szCs w:val="20"/>
          <w:color w:val="auto"/>
        </w:rPr>
      </w:pPr>
      <w:r>
        <w:rPr>
          <w:rFonts w:ascii="Times New Roman" w:cs="Times New Roman" w:eastAsia="Times New Roman" w:hAnsi="Times New Roman"/>
          <w:sz w:val="18"/>
          <w:szCs w:val="18"/>
          <w:color w:val="auto"/>
        </w:rPr>
        <w:t>In this Quarterly Report on Form 10-Q, “we,” “our,” “us,” “Everspin Technologies,” and “the Company” refer to Everspin Technologies, Inc. The Everspin logo and other trade names, trademarks or service marks of Everspin Technologies are the property of Everspin Technologies, Inc. This report contains references to our trademarks and to trademarks belonging to other entities. Trade names, trademarks and service marks of other companies appearing in this report are the property of their respective holders. We do not intend our use or display of other companies’ trade names or trademarks to imply a relationship with, or endorsement or sponsorship of us by, any other companies.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 w:name="page3"/>
    <w:bookmarkEnd w:id="2"/>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3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EVERSPIN TECHNOLOGIES,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3"/>
                <w:szCs w:val="13"/>
                <w:color w:val="auto"/>
              </w:rPr>
            </w:pPr>
          </w:p>
        </w:tc>
        <w:tc>
          <w:tcPr>
            <w:tcW w:w="1020" w:type="dxa"/>
            <w:vAlign w:val="bottom"/>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632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0"/>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6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39,588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36,946</w:t>
            </w:r>
          </w:p>
        </w:tc>
      </w:tr>
      <w:tr>
        <w:trPr>
          <w:trHeight w:val="216"/>
        </w:trPr>
        <w:tc>
          <w:tcPr>
            <w:tcW w:w="6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Accounts receivable, net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11,407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11,554</w:t>
            </w:r>
          </w:p>
        </w:tc>
      </w:tr>
      <w:tr>
        <w:trPr>
          <w:trHeight w:val="216"/>
        </w:trPr>
        <w:tc>
          <w:tcPr>
            <w:tcW w:w="6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Inventory</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8,391</w:t>
            </w:r>
          </w:p>
        </w:tc>
      </w:tr>
      <w:tr>
        <w:trPr>
          <w:trHeight w:val="216"/>
        </w:trPr>
        <w:tc>
          <w:tcPr>
            <w:tcW w:w="63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4,585</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988</w:t>
            </w:r>
          </w:p>
        </w:tc>
      </w:tr>
      <w:tr>
        <w:trPr>
          <w:trHeight w:val="209"/>
        </w:trPr>
        <w:tc>
          <w:tcPr>
            <w:tcW w:w="6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64,021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57,879</w:t>
            </w: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3,717</w:t>
            </w: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5,495</w:t>
            </w:r>
          </w:p>
        </w:tc>
      </w:tr>
      <w:tr>
        <w:trPr>
          <w:trHeight w:val="216"/>
        </w:trPr>
        <w:tc>
          <w:tcPr>
            <w:tcW w:w="6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w:t>
            </w:r>
          </w:p>
        </w:tc>
      </w:tr>
      <w:tr>
        <w:trPr>
          <w:trHeight w:val="209"/>
        </w:trPr>
        <w:tc>
          <w:tcPr>
            <w:tcW w:w="63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72,601</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67,303</w:t>
            </w:r>
          </w:p>
        </w:tc>
      </w:tr>
      <w:tr>
        <w:trPr>
          <w:trHeight w:val="20"/>
        </w:trPr>
        <w:tc>
          <w:tcPr>
            <w:tcW w:w="6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97"/>
        </w:trPr>
        <w:tc>
          <w:tcPr>
            <w:tcW w:w="6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6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2,916</w:t>
            </w:r>
          </w:p>
        </w:tc>
      </w:tr>
      <w:tr>
        <w:trPr>
          <w:trHeight w:val="216"/>
        </w:trPr>
        <w:tc>
          <w:tcPr>
            <w:tcW w:w="6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Accrued liabilities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4,336</w:t>
            </w:r>
          </w:p>
        </w:tc>
      </w:tr>
      <w:tr>
        <w:trPr>
          <w:trHeight w:val="216"/>
        </w:trPr>
        <w:tc>
          <w:tcPr>
            <w:tcW w:w="6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Deferred revenue</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w:t>
            </w:r>
          </w:p>
        </w:tc>
      </w:tr>
      <w:tr>
        <w:trPr>
          <w:trHeight w:val="216"/>
        </w:trPr>
        <w:tc>
          <w:tcPr>
            <w:tcW w:w="6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Lease liabilities, current portion</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1,190</w:t>
            </w:r>
          </w:p>
        </w:tc>
      </w:tr>
      <w:tr>
        <w:trPr>
          <w:trHeight w:val="216"/>
        </w:trPr>
        <w:tc>
          <w:tcPr>
            <w:tcW w:w="6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Contract obligations</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2,953</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6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9,497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8,778</w:t>
            </w: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liabilities, net of current portion</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4,390</w:t>
            </w:r>
          </w:p>
        </w:tc>
      </w:tr>
      <w:tr>
        <w:trPr>
          <w:trHeight w:val="216"/>
        </w:trPr>
        <w:tc>
          <w:tcPr>
            <w:tcW w:w="6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Long-term income tax liability</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w:t>
            </w:r>
          </w:p>
        </w:tc>
      </w:tr>
      <w:tr>
        <w:trPr>
          <w:trHeight w:val="209"/>
        </w:trPr>
        <w:tc>
          <w:tcPr>
            <w:tcW w:w="6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13,327</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13,382</w:t>
            </w:r>
          </w:p>
        </w:tc>
      </w:tr>
      <w:tr>
        <w:trPr>
          <w:trHeight w:val="210"/>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(Note 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198"/>
        </w:trPr>
        <w:tc>
          <w:tcPr>
            <w:tcW w:w="632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Preferred stock, $0.0001 par value per share; 5,000,000 shares authorized; no shares</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16"/>
        </w:trPr>
        <w:tc>
          <w:tcPr>
            <w:tcW w:w="6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issued and outstanding as of September 30, 2024 and December 31, 2023,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4"/>
        </w:trPr>
        <w:tc>
          <w:tcPr>
            <w:tcW w:w="6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respectively</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6320" w:type="dxa"/>
            <w:vAlign w:val="bottom"/>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Common stock, $0.0001 par value per share; 100,000,000 shares authorized;</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16"/>
        </w:trPr>
        <w:tc>
          <w:tcPr>
            <w:tcW w:w="6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21,833,041 and 21,080,472 shares issued and outstanding as of September 30, 2024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34"/>
        </w:trPr>
        <w:tc>
          <w:tcPr>
            <w:tcW w:w="6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and December 31, 2023, respectively</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6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197,355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191,569</w:t>
            </w:r>
          </w:p>
        </w:tc>
      </w:tr>
      <w:tr>
        <w:trPr>
          <w:trHeight w:val="216"/>
        </w:trPr>
        <w:tc>
          <w:tcPr>
            <w:tcW w:w="6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Accumulated deficit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(138,083)</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(137,650)</w:t>
            </w:r>
          </w:p>
        </w:tc>
      </w:tr>
      <w:tr>
        <w:trPr>
          <w:trHeight w:val="210"/>
        </w:trPr>
        <w:tc>
          <w:tcPr>
            <w:tcW w:w="63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59,274</w:t>
            </w:r>
          </w:p>
        </w:tc>
        <w:tc>
          <w:tcPr>
            <w:tcW w:w="1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53,921</w:t>
            </w:r>
          </w:p>
        </w:tc>
      </w:tr>
      <w:tr>
        <w:trPr>
          <w:trHeight w:val="210"/>
        </w:trPr>
        <w:tc>
          <w:tcPr>
            <w:tcW w:w="63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72,601</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67,303</w:t>
            </w:r>
          </w:p>
        </w:tc>
      </w:tr>
      <w:tr>
        <w:trPr>
          <w:trHeight w:val="20"/>
        </w:trPr>
        <w:tc>
          <w:tcPr>
            <w:tcW w:w="6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 w:name="page4"/>
    <w:bookmarkEnd w:id="3"/>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left="40" w:right="59"/>
        <w:spacing w:after="0" w:line="265" w:lineRule="auto"/>
        <w:rPr>
          <w:sz w:val="20"/>
          <w:szCs w:val="20"/>
          <w:color w:val="auto"/>
        </w:rPr>
      </w:pPr>
      <w:r>
        <w:rPr>
          <w:rFonts w:ascii="Times New Roman" w:cs="Times New Roman" w:eastAsia="Times New Roman" w:hAnsi="Times New Roman"/>
          <w:sz w:val="18"/>
          <w:szCs w:val="18"/>
          <w:b w:val="1"/>
          <w:bCs w:val="1"/>
          <w:color w:val="auto"/>
        </w:rPr>
        <w:t>EVERSPIN TECHNOLOGIES, INC. Condensed Statements of Operations and Comprehensive (Loss) Income (In thousands, except share and per share amounts) (Unaudited)</w:t>
      </w:r>
    </w:p>
    <w:p>
      <w:pPr>
        <w:spacing w:after="0" w:line="200" w:lineRule="exact"/>
        <w:rPr>
          <w:sz w:val="20"/>
          <w:szCs w:val="20"/>
          <w:color w:val="auto"/>
        </w:rPr>
      </w:pPr>
    </w:p>
    <w:p>
      <w:pPr>
        <w:spacing w:after="0" w:line="205"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6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26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41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9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9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9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9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9"/>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 sales</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13,543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31,190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40,726</w:t>
            </w:r>
          </w:p>
        </w:tc>
        <w:tc>
          <w:tcPr>
            <w:tcW w:w="0" w:type="dxa"/>
            <w:vAlign w:val="bottom"/>
          </w:tcPr>
          <w:p>
            <w:pPr>
              <w:spacing w:after="0"/>
              <w:rPr>
                <w:sz w:val="1"/>
                <w:szCs w:val="1"/>
                <w:color w:val="auto"/>
              </w:rPr>
            </w:pPr>
          </w:p>
        </w:tc>
      </w:tr>
      <w:tr>
        <w:trPr>
          <w:trHeight w:val="216"/>
        </w:trPr>
        <w:tc>
          <w:tcPr>
            <w:tcW w:w="41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Licensing, royalty, patent, and other revenue</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1,650</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2,923</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5,969</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6,333</w:t>
            </w:r>
          </w:p>
        </w:tc>
        <w:tc>
          <w:tcPr>
            <w:tcW w:w="0" w:type="dxa"/>
            <w:vAlign w:val="bottom"/>
          </w:tcPr>
          <w:p>
            <w:pPr>
              <w:spacing w:after="0"/>
              <w:rPr>
                <w:sz w:val="1"/>
                <w:szCs w:val="1"/>
                <w:color w:val="auto"/>
              </w:rPr>
            </w:pPr>
          </w:p>
        </w:tc>
      </w:tr>
      <w:tr>
        <w:trPr>
          <w:trHeight w:val="209"/>
        </w:trPr>
        <w:tc>
          <w:tcPr>
            <w:tcW w:w="4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revenue</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16,466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37,159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47,059</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Cost of product sales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16,989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18,133</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licensing, royalty, patent, and other revenue</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1,384</w:t>
            </w:r>
          </w:p>
        </w:tc>
        <w:tc>
          <w:tcPr>
            <w:tcW w:w="0" w:type="dxa"/>
            <w:vAlign w:val="bottom"/>
          </w:tcPr>
          <w:p>
            <w:pPr>
              <w:spacing w:after="0"/>
              <w:rPr>
                <w:sz w:val="1"/>
                <w:szCs w:val="1"/>
                <w:color w:val="auto"/>
              </w:rPr>
            </w:pPr>
          </w:p>
        </w:tc>
      </w:tr>
      <w:tr>
        <w:trPr>
          <w:trHeight w:val="210"/>
        </w:trPr>
        <w:tc>
          <w:tcPr>
            <w:tcW w:w="41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Total cost of sales</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6,141</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6,547</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17,831</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19,517</w:t>
            </w:r>
          </w:p>
        </w:tc>
        <w:tc>
          <w:tcPr>
            <w:tcW w:w="0" w:type="dxa"/>
            <w:vAlign w:val="bottom"/>
          </w:tcPr>
          <w:p>
            <w:pPr>
              <w:spacing w:after="0"/>
              <w:rPr>
                <w:sz w:val="1"/>
                <w:szCs w:val="1"/>
                <w:color w:val="auto"/>
              </w:rPr>
            </w:pPr>
          </w:p>
        </w:tc>
      </w:tr>
      <w:tr>
        <w:trPr>
          <w:trHeight w:val="209"/>
        </w:trPr>
        <w:tc>
          <w:tcPr>
            <w:tcW w:w="4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Gross profit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19,328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27,542</w:t>
            </w:r>
          </w:p>
        </w:tc>
        <w:tc>
          <w:tcPr>
            <w:tcW w:w="0" w:type="dxa"/>
            <w:vAlign w:val="bottom"/>
          </w:tcPr>
          <w:p>
            <w:pPr>
              <w:spacing w:after="0"/>
              <w:rPr>
                <w:sz w:val="1"/>
                <w:szCs w:val="1"/>
                <w:color w:val="auto"/>
              </w:rPr>
            </w:pPr>
          </w:p>
        </w:tc>
      </w:tr>
      <w:tr>
        <w:trPr>
          <w:trHeight w:val="216"/>
        </w:trPr>
        <w:tc>
          <w:tcPr>
            <w:tcW w:w="412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Operating expenses:</w:t>
            </w:r>
            <w:r>
              <w:rPr>
                <w:rFonts w:ascii="Times New Roman" w:cs="Times New Roman" w:eastAsia="Times New Roman" w:hAnsi="Times New Roman"/>
                <w:sz w:val="25"/>
                <w:szCs w:val="25"/>
                <w:color w:val="auto"/>
                <w:vertAlign w:val="superscript"/>
              </w:rPr>
              <w:t>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8,566</w:t>
            </w:r>
          </w:p>
        </w:tc>
        <w:tc>
          <w:tcPr>
            <w:tcW w:w="0" w:type="dxa"/>
            <w:vAlign w:val="bottom"/>
          </w:tcPr>
          <w:p>
            <w:pPr>
              <w:spacing w:after="0"/>
              <w:rPr>
                <w:sz w:val="1"/>
                <w:szCs w:val="1"/>
                <w:color w:val="auto"/>
              </w:rPr>
            </w:pPr>
          </w:p>
        </w:tc>
      </w:tr>
      <w:tr>
        <w:trPr>
          <w:trHeight w:val="216"/>
        </w:trPr>
        <w:tc>
          <w:tcPr>
            <w:tcW w:w="4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10,653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10,660</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Sales and marketing</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1,348</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3,950</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4,018</w:t>
            </w:r>
          </w:p>
        </w:tc>
        <w:tc>
          <w:tcPr>
            <w:tcW w:w="0" w:type="dxa"/>
            <w:vAlign w:val="bottom"/>
          </w:tcPr>
          <w:p>
            <w:pPr>
              <w:spacing w:after="0"/>
              <w:rPr>
                <w:sz w:val="1"/>
                <w:szCs w:val="1"/>
                <w:color w:val="auto"/>
              </w:rPr>
            </w:pPr>
          </w:p>
        </w:tc>
      </w:tr>
      <w:tr>
        <w:trPr>
          <w:trHeight w:val="209"/>
        </w:trPr>
        <w:tc>
          <w:tcPr>
            <w:tcW w:w="41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8,067</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7,940</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24,862</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23,244</w:t>
            </w:r>
          </w:p>
        </w:tc>
        <w:tc>
          <w:tcPr>
            <w:tcW w:w="0" w:type="dxa"/>
            <w:vAlign w:val="bottom"/>
          </w:tcPr>
          <w:p>
            <w:pPr>
              <w:spacing w:after="0"/>
              <w:rPr>
                <w:sz w:val="1"/>
                <w:szCs w:val="1"/>
                <w:color w:val="auto"/>
              </w:rPr>
            </w:pPr>
          </w:p>
        </w:tc>
      </w:tr>
      <w:tr>
        <w:trPr>
          <w:trHeight w:val="210"/>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income from operations</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4,298</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4,396</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5,187</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2,849</w:t>
            </w:r>
          </w:p>
        </w:tc>
        <w:tc>
          <w:tcPr>
            <w:tcW w:w="0" w:type="dxa"/>
            <w:vAlign w:val="bottom"/>
          </w:tcPr>
          <w:p>
            <w:pPr>
              <w:spacing w:after="0"/>
              <w:rPr>
                <w:sz w:val="1"/>
                <w:szCs w:val="1"/>
                <w:color w:val="auto"/>
              </w:rPr>
            </w:pPr>
          </w:p>
        </w:tc>
      </w:tr>
      <w:tr>
        <w:trPr>
          <w:trHeight w:val="210"/>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before income taxes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7,084</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(86)</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income (loss) and comprehensive income (loss)</w:t>
            </w:r>
          </w:p>
        </w:tc>
        <w:tc>
          <w:tcPr>
            <w:tcW w:w="8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2,271</w:t>
            </w:r>
          </w:p>
        </w:tc>
        <w:tc>
          <w:tcPr>
            <w:tcW w:w="18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2,438</w:t>
            </w:r>
          </w:p>
        </w:tc>
        <w:tc>
          <w:tcPr>
            <w:tcW w:w="16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16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7,084</w:t>
            </w:r>
          </w:p>
        </w:tc>
        <w:tc>
          <w:tcPr>
            <w:tcW w:w="0" w:type="dxa"/>
            <w:vAlign w:val="bottom"/>
          </w:tcPr>
          <w:p>
            <w:pPr>
              <w:spacing w:after="0"/>
              <w:rPr>
                <w:sz w:val="1"/>
                <w:szCs w:val="1"/>
                <w:color w:val="auto"/>
              </w:rPr>
            </w:pPr>
          </w:p>
        </w:tc>
      </w:tr>
      <w:tr>
        <w:trPr>
          <w:trHeight w:val="196"/>
        </w:trPr>
        <w:tc>
          <w:tcPr>
            <w:tcW w:w="41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Net (loss) income per common share:</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8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16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(0.02)</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0.34</w:t>
            </w:r>
          </w:p>
        </w:tc>
        <w:tc>
          <w:tcPr>
            <w:tcW w:w="0" w:type="dxa"/>
            <w:vAlign w:val="bottom"/>
          </w:tcPr>
          <w:p>
            <w:pPr>
              <w:spacing w:after="0"/>
              <w:rPr>
                <w:sz w:val="1"/>
                <w:szCs w:val="1"/>
                <w:color w:val="auto"/>
              </w:rPr>
            </w:pPr>
          </w:p>
        </w:tc>
      </w:tr>
      <w:tr>
        <w:trPr>
          <w:trHeight w:val="196"/>
        </w:trPr>
        <w:tc>
          <w:tcPr>
            <w:tcW w:w="4120" w:type="dxa"/>
            <w:vAlign w:val="bottom"/>
            <w:tcBorders>
              <w:top w:val="single" w:sz="8" w:color="CCEEFF"/>
              <w:bottom w:val="single" w:sz="8" w:color="CCEEFF"/>
            </w:tcBorders>
            <w:shd w:val="clear" w:color="auto" w:fill="CCEEFF"/>
          </w:tcPr>
          <w:p>
            <w:pPr>
              <w:ind w:left="12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0.10</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0.11</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(0.02)</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0.33</w:t>
            </w:r>
          </w:p>
        </w:tc>
        <w:tc>
          <w:tcPr>
            <w:tcW w:w="0" w:type="dxa"/>
            <w:vAlign w:val="bottom"/>
          </w:tcPr>
          <w:p>
            <w:pPr>
              <w:spacing w:after="0"/>
              <w:rPr>
                <w:sz w:val="1"/>
                <w:szCs w:val="1"/>
                <w:color w:val="auto"/>
              </w:rPr>
            </w:pPr>
          </w:p>
        </w:tc>
      </w:tr>
      <w:tr>
        <w:trPr>
          <w:trHeight w:val="20"/>
        </w:trPr>
        <w:tc>
          <w:tcPr>
            <w:tcW w:w="4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 average shares of common stock outstanding:</w:t>
            </w: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1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21,767,380</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20,848,558</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21,529,738</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20,653,775</w:t>
            </w:r>
          </w:p>
        </w:tc>
        <w:tc>
          <w:tcPr>
            <w:tcW w:w="0" w:type="dxa"/>
            <w:vAlign w:val="bottom"/>
          </w:tcPr>
          <w:p>
            <w:pPr>
              <w:spacing w:after="0"/>
              <w:rPr>
                <w:sz w:val="1"/>
                <w:szCs w:val="1"/>
                <w:color w:val="auto"/>
              </w:rPr>
            </w:pPr>
          </w:p>
        </w:tc>
      </w:tr>
      <w:tr>
        <w:trPr>
          <w:trHeight w:val="20"/>
        </w:trPr>
        <w:tc>
          <w:tcPr>
            <w:tcW w:w="412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12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21,985,175</w:t>
            </w:r>
          </w:p>
        </w:tc>
        <w:tc>
          <w:tcPr>
            <w:tcW w:w="1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21,828,789</w:t>
            </w:r>
          </w:p>
        </w:tc>
        <w:tc>
          <w:tcPr>
            <w:tcW w:w="1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21,529,738</w:t>
            </w:r>
          </w:p>
        </w:tc>
        <w:tc>
          <w:tcPr>
            <w:tcW w:w="1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21,276,904</w:t>
            </w:r>
          </w:p>
        </w:tc>
        <w:tc>
          <w:tcPr>
            <w:tcW w:w="0" w:type="dxa"/>
            <w:vAlign w:val="bottom"/>
          </w:tcPr>
          <w:p>
            <w:pPr>
              <w:spacing w:after="0"/>
              <w:rPr>
                <w:sz w:val="1"/>
                <w:szCs w:val="1"/>
                <w:color w:val="auto"/>
              </w:rPr>
            </w:pPr>
          </w:p>
        </w:tc>
      </w:tr>
      <w:tr>
        <w:trPr>
          <w:trHeight w:val="196"/>
        </w:trPr>
        <w:tc>
          <w:tcPr>
            <w:tcW w:w="4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40" w:type="dxa"/>
            <w:vAlign w:val="bottom"/>
            <w:gridSpan w:val="5"/>
          </w:tcPr>
          <w:p>
            <w:pPr>
              <w:spacing w:after="0" w:line="216" w:lineRule="exact"/>
              <w:rPr>
                <w:sz w:val="20"/>
                <w:szCs w:val="20"/>
                <w:color w:val="auto"/>
              </w:rPr>
            </w:pP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17"/>
                <w:szCs w:val="17"/>
                <w:color w:val="auto"/>
              </w:rPr>
              <w:t>Operating expenses include stock-based compensation as follows:</w:t>
            </w: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1,454</w:t>
            </w:r>
          </w:p>
        </w:tc>
        <w:tc>
          <w:tcPr>
            <w:tcW w:w="0" w:type="dxa"/>
            <w:vAlign w:val="bottom"/>
          </w:tcPr>
          <w:p>
            <w:pPr>
              <w:spacing w:after="0"/>
              <w:rPr>
                <w:sz w:val="1"/>
                <w:szCs w:val="1"/>
                <w:color w:val="auto"/>
              </w:rPr>
            </w:pPr>
          </w:p>
        </w:tc>
      </w:tr>
      <w:tr>
        <w:trPr>
          <w:trHeight w:val="216"/>
        </w:trPr>
        <w:tc>
          <w:tcPr>
            <w:tcW w:w="4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1,874</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Sales and marketing</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0" w:type="dxa"/>
            <w:vAlign w:val="bottom"/>
          </w:tcPr>
          <w:p>
            <w:pPr>
              <w:spacing w:after="0"/>
              <w:rPr>
                <w:sz w:val="1"/>
                <w:szCs w:val="1"/>
                <w:color w:val="auto"/>
              </w:rPr>
            </w:pPr>
          </w:p>
        </w:tc>
      </w:tr>
      <w:tr>
        <w:trPr>
          <w:trHeight w:val="210"/>
        </w:trPr>
        <w:tc>
          <w:tcPr>
            <w:tcW w:w="4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1,532</w:t>
            </w:r>
          </w:p>
        </w:tc>
        <w:tc>
          <w:tcPr>
            <w:tcW w:w="1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1,280</w:t>
            </w: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5,108</w:t>
            </w:r>
          </w:p>
        </w:tc>
        <w:tc>
          <w:tcPr>
            <w:tcW w:w="1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3,700</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 w:name="page5"/>
    <w:bookmarkEnd w:id="4"/>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EVERSPIN TECHNOLOGIES,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Statements of Stockholders’ Equity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86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920" w:type="dxa"/>
            <w:vAlign w:val="bottom"/>
            <w:tcBorders>
              <w:bottom w:val="single" w:sz="8" w:color="auto"/>
            </w:tcBorders>
            <w:gridSpan w:val="8"/>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Nine Months Ended September 30, 2024</w:t>
            </w:r>
          </w:p>
        </w:tc>
        <w:tc>
          <w:tcPr>
            <w:tcW w:w="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860" w:type="dxa"/>
            <w:vAlign w:val="bottom"/>
          </w:tcPr>
          <w:p>
            <w:pPr>
              <w:spacing w:after="0"/>
              <w:rPr>
                <w:sz w:val="10"/>
                <w:szCs w:val="10"/>
                <w:color w:val="auto"/>
              </w:rPr>
            </w:pPr>
          </w:p>
        </w:tc>
        <w:tc>
          <w:tcPr>
            <w:tcW w:w="1760" w:type="dxa"/>
            <w:vAlign w:val="bottom"/>
            <w:gridSpan w:val="5"/>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Pr>
          <w:p>
            <w:pPr>
              <w:spacing w:after="0"/>
              <w:rPr>
                <w:sz w:val="10"/>
                <w:szCs w:val="10"/>
                <w:color w:val="auto"/>
              </w:rPr>
            </w:pPr>
          </w:p>
        </w:tc>
        <w:tc>
          <w:tcPr>
            <w:tcW w:w="820" w:type="dxa"/>
            <w:vAlign w:val="bottom"/>
          </w:tcPr>
          <w:p>
            <w:pPr>
              <w:jc w:val="center"/>
              <w:ind w:right="8"/>
              <w:spacing w:after="0" w:line="118" w:lineRule="exact"/>
              <w:rPr>
                <w:sz w:val="20"/>
                <w:szCs w:val="20"/>
                <w:color w:val="auto"/>
              </w:rPr>
            </w:pPr>
            <w:r>
              <w:rPr>
                <w:rFonts w:ascii="Times New Roman" w:cs="Times New Roman" w:eastAsia="Times New Roman" w:hAnsi="Times New Roman"/>
                <w:sz w:val="13"/>
                <w:szCs w:val="13"/>
                <w:b w:val="1"/>
                <w:bCs w:val="1"/>
                <w:color w:val="auto"/>
              </w:rPr>
              <w:t>Additional</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Total</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860" w:type="dxa"/>
            <w:vAlign w:val="bottom"/>
          </w:tcPr>
          <w:p>
            <w:pPr>
              <w:spacing w:after="0"/>
              <w:rPr>
                <w:sz w:val="15"/>
                <w:szCs w:val="15"/>
                <w:color w:val="auto"/>
              </w:rPr>
            </w:pPr>
          </w:p>
        </w:tc>
        <w:tc>
          <w:tcPr>
            <w:tcW w:w="1760" w:type="dxa"/>
            <w:vAlign w:val="bottom"/>
            <w:gridSpan w:val="5"/>
            <w:vMerge w:val="continue"/>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3860" w:type="dxa"/>
            <w:vAlign w:val="bottom"/>
          </w:tcPr>
          <w:p>
            <w:pPr>
              <w:spacing w:after="0"/>
              <w:rPr>
                <w:sz w:val="12"/>
                <w:szCs w:val="12"/>
                <w:color w:val="auto"/>
              </w:rPr>
            </w:pPr>
          </w:p>
        </w:tc>
        <w:tc>
          <w:tcPr>
            <w:tcW w:w="980" w:type="dxa"/>
            <w:vAlign w:val="bottom"/>
            <w:tcBorders>
              <w:top w:val="single" w:sz="8" w:color="auto"/>
            </w:tcBorders>
            <w:gridSpan w:val="2"/>
          </w:tcPr>
          <w:p>
            <w:pPr>
              <w:ind w:left="22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386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Balance at December 31, 2023</w:t>
            </w:r>
          </w:p>
        </w:tc>
        <w:tc>
          <w:tcPr>
            <w:tcW w:w="8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21,080,472</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w:t>
            </w: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191,569</w:t>
            </w: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(137,650)</w:t>
            </w:r>
          </w:p>
        </w:tc>
        <w:tc>
          <w:tcPr>
            <w:tcW w:w="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53,921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6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Exercise of stock options</w:t>
            </w: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96,116</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353</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353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6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Issuance of common stock under stock incentive plans</w:t>
            </w: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229,923</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6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9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1,714</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1,714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6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9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(202)</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6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color w:val="auto"/>
              </w:rPr>
              <w:t>Balance at March 31, 2024</w:t>
            </w:r>
          </w:p>
        </w:tc>
        <w:tc>
          <w:tcPr>
            <w:tcW w:w="8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21,406,511</w:t>
            </w:r>
          </w:p>
        </w:tc>
        <w:tc>
          <w:tcPr>
            <w:tcW w:w="120" w:type="dxa"/>
            <w:vAlign w:val="bottom"/>
            <w:tcBorders>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w:t>
            </w:r>
          </w:p>
        </w:tc>
        <w:tc>
          <w:tcPr>
            <w:tcW w:w="12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193,636</w:t>
            </w:r>
          </w:p>
        </w:tc>
        <w:tc>
          <w:tcPr>
            <w:tcW w:w="12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(137,852)</w:t>
            </w:r>
          </w:p>
        </w:tc>
        <w:tc>
          <w:tcPr>
            <w:tcW w:w="6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55,786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3860" w:type="dxa"/>
            <w:vAlign w:val="bottom"/>
            <w:shd w:val="clear" w:color="auto" w:fill="CCEEFF"/>
          </w:tcPr>
          <w:p>
            <w:pPr>
              <w:ind w:left="220"/>
              <w:spacing w:after="0" w:line="129" w:lineRule="exact"/>
              <w:rPr>
                <w:sz w:val="20"/>
                <w:szCs w:val="20"/>
                <w:color w:val="auto"/>
              </w:rPr>
            </w:pPr>
            <w:r>
              <w:rPr>
                <w:rFonts w:ascii="Times New Roman" w:cs="Times New Roman" w:eastAsia="Times New Roman" w:hAnsi="Times New Roman"/>
                <w:sz w:val="14"/>
                <w:szCs w:val="14"/>
                <w:color w:val="auto"/>
              </w:rPr>
              <w:t>Exercise of stock options</w:t>
            </w:r>
          </w:p>
        </w:tc>
        <w:tc>
          <w:tcPr>
            <w:tcW w:w="8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9,549</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35</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35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86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Issuance of common stock under stock incentive plans</w:t>
            </w: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240,623</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241</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6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9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1,862</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1,862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6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9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(2,502)</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(2,502)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86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Balance at June 30, 2024</w:t>
            </w:r>
          </w:p>
        </w:tc>
        <w:tc>
          <w:tcPr>
            <w:tcW w:w="8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21,656,683</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195,774</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(140,354)</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55,422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860" w:type="dxa"/>
            <w:vAlign w:val="bottom"/>
            <w:vMerge w:val="restart"/>
          </w:tcPr>
          <w:p>
            <w:pPr>
              <w:ind w:left="22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860" w:type="dxa"/>
            <w:vAlign w:val="bottom"/>
            <w:vMerge w:val="continue"/>
          </w:tcPr>
          <w:p>
            <w:pPr>
              <w:spacing w:after="0"/>
              <w:rPr>
                <w:sz w:val="11"/>
                <w:szCs w:val="11"/>
                <w:color w:val="auto"/>
              </w:rPr>
            </w:pPr>
          </w:p>
        </w:tc>
        <w:tc>
          <w:tcPr>
            <w:tcW w:w="86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11,177</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44</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44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86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Issuance of common stock under stock incentive plans</w:t>
            </w: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165,181</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6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9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1,532</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1,532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6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9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2,271</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2,271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6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color w:val="auto"/>
              </w:rPr>
              <w:t>Balance at September 30, 2024</w:t>
            </w:r>
          </w:p>
        </w:tc>
        <w:tc>
          <w:tcPr>
            <w:tcW w:w="8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21,833,041</w:t>
            </w:r>
          </w:p>
        </w:tc>
        <w:tc>
          <w:tcPr>
            <w:tcW w:w="120" w:type="dxa"/>
            <w:vAlign w:val="bottom"/>
            <w:tcBorders>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w:t>
            </w:r>
          </w:p>
        </w:tc>
        <w:tc>
          <w:tcPr>
            <w:tcW w:w="12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197,355</w:t>
            </w:r>
          </w:p>
        </w:tc>
        <w:tc>
          <w:tcPr>
            <w:tcW w:w="12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(138,083)</w:t>
            </w:r>
          </w:p>
        </w:tc>
        <w:tc>
          <w:tcPr>
            <w:tcW w:w="6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59,274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38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78"/>
        </w:trPr>
        <w:tc>
          <w:tcPr>
            <w:tcW w:w="386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8"/>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Nine Months Ended September 30, 2023</w:t>
            </w: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3860" w:type="dxa"/>
            <w:vAlign w:val="bottom"/>
          </w:tcPr>
          <w:p>
            <w:pPr>
              <w:spacing w:after="0"/>
              <w:rPr>
                <w:sz w:val="10"/>
                <w:szCs w:val="10"/>
                <w:color w:val="auto"/>
              </w:rPr>
            </w:pPr>
          </w:p>
        </w:tc>
        <w:tc>
          <w:tcPr>
            <w:tcW w:w="1760" w:type="dxa"/>
            <w:vAlign w:val="bottom"/>
            <w:gridSpan w:val="5"/>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Pr>
          <w:p>
            <w:pPr>
              <w:spacing w:after="0"/>
              <w:rPr>
                <w:sz w:val="10"/>
                <w:szCs w:val="10"/>
                <w:color w:val="auto"/>
              </w:rPr>
            </w:pPr>
          </w:p>
        </w:tc>
        <w:tc>
          <w:tcPr>
            <w:tcW w:w="820" w:type="dxa"/>
            <w:vAlign w:val="bottom"/>
          </w:tcPr>
          <w:p>
            <w:pPr>
              <w:jc w:val="center"/>
              <w:ind w:right="8"/>
              <w:spacing w:after="0" w:line="118" w:lineRule="exact"/>
              <w:rPr>
                <w:sz w:val="20"/>
                <w:szCs w:val="20"/>
                <w:color w:val="auto"/>
              </w:rPr>
            </w:pPr>
            <w:r>
              <w:rPr>
                <w:rFonts w:ascii="Times New Roman" w:cs="Times New Roman" w:eastAsia="Times New Roman" w:hAnsi="Times New Roman"/>
                <w:sz w:val="13"/>
                <w:szCs w:val="13"/>
                <w:b w:val="1"/>
                <w:bCs w:val="1"/>
                <w:color w:val="auto"/>
              </w:rPr>
              <w:t>Additional</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Total</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860" w:type="dxa"/>
            <w:vAlign w:val="bottom"/>
          </w:tcPr>
          <w:p>
            <w:pPr>
              <w:spacing w:after="0"/>
              <w:rPr>
                <w:sz w:val="15"/>
                <w:szCs w:val="15"/>
                <w:color w:val="auto"/>
              </w:rPr>
            </w:pPr>
          </w:p>
        </w:tc>
        <w:tc>
          <w:tcPr>
            <w:tcW w:w="1760" w:type="dxa"/>
            <w:vAlign w:val="bottom"/>
            <w:gridSpan w:val="5"/>
            <w:vMerge w:val="continue"/>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3860" w:type="dxa"/>
            <w:vAlign w:val="bottom"/>
          </w:tcPr>
          <w:p>
            <w:pPr>
              <w:spacing w:after="0"/>
              <w:rPr>
                <w:sz w:val="12"/>
                <w:szCs w:val="12"/>
                <w:color w:val="auto"/>
              </w:rPr>
            </w:pPr>
          </w:p>
        </w:tc>
        <w:tc>
          <w:tcPr>
            <w:tcW w:w="980" w:type="dxa"/>
            <w:vAlign w:val="bottom"/>
            <w:tcBorders>
              <w:top w:val="single" w:sz="8" w:color="auto"/>
            </w:tcBorders>
            <w:gridSpan w:val="2"/>
          </w:tcPr>
          <w:p>
            <w:pPr>
              <w:ind w:left="22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386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Balance at December 31, 2022</w:t>
            </w:r>
          </w:p>
        </w:tc>
        <w:tc>
          <w:tcPr>
            <w:tcW w:w="8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20,374,288</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w:t>
            </w: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185,364</w:t>
            </w: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(146,702)</w:t>
            </w:r>
          </w:p>
        </w:tc>
        <w:tc>
          <w:tcPr>
            <w:tcW w:w="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38,664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6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Exercise of stock options</w:t>
            </w: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3,020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6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Issuance of common stock under stock incentive plans</w:t>
            </w: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157,436</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6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9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1,160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1,160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6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9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761</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761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6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color w:val="auto"/>
              </w:rPr>
              <w:t>Balance at March 31, 2023</w:t>
            </w:r>
          </w:p>
        </w:tc>
        <w:tc>
          <w:tcPr>
            <w:tcW w:w="8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20,534,744</w:t>
            </w:r>
          </w:p>
        </w:tc>
        <w:tc>
          <w:tcPr>
            <w:tcW w:w="120" w:type="dxa"/>
            <w:vAlign w:val="bottom"/>
            <w:tcBorders>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w:t>
            </w:r>
          </w:p>
        </w:tc>
        <w:tc>
          <w:tcPr>
            <w:tcW w:w="12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186,537</w:t>
            </w:r>
          </w:p>
        </w:tc>
        <w:tc>
          <w:tcPr>
            <w:tcW w:w="12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(145,941)</w:t>
            </w:r>
          </w:p>
        </w:tc>
        <w:tc>
          <w:tcPr>
            <w:tcW w:w="6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40,598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3860" w:type="dxa"/>
            <w:vAlign w:val="bottom"/>
            <w:shd w:val="clear" w:color="auto" w:fill="CCEEFF"/>
          </w:tcPr>
          <w:p>
            <w:pPr>
              <w:ind w:left="220"/>
              <w:spacing w:after="0" w:line="129" w:lineRule="exact"/>
              <w:rPr>
                <w:sz w:val="20"/>
                <w:szCs w:val="20"/>
                <w:color w:val="auto"/>
              </w:rPr>
            </w:pPr>
            <w:r>
              <w:rPr>
                <w:rFonts w:ascii="Times New Roman" w:cs="Times New Roman" w:eastAsia="Times New Roman" w:hAnsi="Times New Roman"/>
                <w:sz w:val="14"/>
                <w:szCs w:val="14"/>
                <w:color w:val="auto"/>
              </w:rPr>
              <w:t>Exercise of stock options</w:t>
            </w:r>
          </w:p>
        </w:tc>
        <w:tc>
          <w:tcPr>
            <w:tcW w:w="8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36,353</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148</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148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86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Issuance of common stock under stock incentive plans</w:t>
            </w: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172,325</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181</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6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9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1,260</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1,260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6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9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3,885</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3,885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86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Balance at June 30, 2023</w:t>
            </w:r>
          </w:p>
        </w:tc>
        <w:tc>
          <w:tcPr>
            <w:tcW w:w="8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20,743,422</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188,126</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(142,056)</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46,072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860" w:type="dxa"/>
            <w:vAlign w:val="bottom"/>
            <w:vMerge w:val="restart"/>
          </w:tcPr>
          <w:p>
            <w:pPr>
              <w:ind w:left="22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860" w:type="dxa"/>
            <w:vAlign w:val="bottom"/>
            <w:vMerge w:val="continue"/>
          </w:tcPr>
          <w:p>
            <w:pPr>
              <w:spacing w:after="0"/>
              <w:rPr>
                <w:sz w:val="11"/>
                <w:szCs w:val="11"/>
                <w:color w:val="auto"/>
              </w:rPr>
            </w:pPr>
          </w:p>
        </w:tc>
        <w:tc>
          <w:tcPr>
            <w:tcW w:w="86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103,697</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566</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566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86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Issuance of common stock under stock incentive plans</w:t>
            </w: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87,564</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6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Exercise of warrants</w:t>
            </w: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236</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6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9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1,280</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1,280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6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9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2,438</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2,438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86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Balance at September 30, 2023</w:t>
            </w:r>
          </w:p>
        </w:tc>
        <w:tc>
          <w:tcPr>
            <w:tcW w:w="8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20,934,919</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189,974</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(139,618)</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50,358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 w:name="page6"/>
    <w:bookmarkEnd w:id="5"/>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EVERSPIN TECHNOLOGIES, INC.</w:t>
      </w:r>
    </w:p>
    <w:p>
      <w:pPr>
        <w:jc w:val="center"/>
        <w:ind w:right="19"/>
        <w:spacing w:after="0" w:line="229" w:lineRule="auto"/>
        <w:rPr>
          <w:sz w:val="20"/>
          <w:szCs w:val="20"/>
          <w:color w:val="auto"/>
        </w:rPr>
      </w:pPr>
      <w:r>
        <w:rPr>
          <w:rFonts w:ascii="Times New Roman" w:cs="Times New Roman" w:eastAsia="Times New Roman" w:hAnsi="Times New Roman"/>
          <w:sz w:val="14"/>
          <w:szCs w:val="14"/>
          <w:b w:val="1"/>
          <w:bCs w:val="1"/>
          <w:color w:val="auto"/>
        </w:rPr>
        <w:t>Condensed Statements of Cash Flows</w:t>
      </w:r>
    </w:p>
    <w:p>
      <w:pPr>
        <w:jc w:val="center"/>
        <w:ind w:right="19"/>
        <w:spacing w:after="0" w:line="221" w:lineRule="auto"/>
        <w:rPr>
          <w:sz w:val="20"/>
          <w:szCs w:val="20"/>
          <w:color w:val="auto"/>
        </w:rPr>
      </w:pPr>
      <w:r>
        <w:rPr>
          <w:rFonts w:ascii="Times New Roman" w:cs="Times New Roman" w:eastAsia="Times New Roman" w:hAnsi="Times New Roman"/>
          <w:sz w:val="14"/>
          <w:szCs w:val="14"/>
          <w:b w:val="1"/>
          <w:bCs w:val="1"/>
          <w:color w:val="auto"/>
        </w:rPr>
        <w:t>(In thousands)</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080" w:type="dxa"/>
            <w:vAlign w:val="bottom"/>
          </w:tcPr>
          <w:p>
            <w:pPr>
              <w:spacing w:after="0"/>
              <w:rPr>
                <w:sz w:val="15"/>
                <w:szCs w:val="15"/>
                <w:color w:val="auto"/>
              </w:rPr>
            </w:pPr>
          </w:p>
        </w:tc>
        <w:tc>
          <w:tcPr>
            <w:tcW w:w="2860" w:type="dxa"/>
            <w:vAlign w:val="bottom"/>
            <w:gridSpan w:val="7"/>
          </w:tcPr>
          <w:p>
            <w:pPr>
              <w:ind w:left="3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6080" w:type="dxa"/>
            <w:vAlign w:val="bottom"/>
            <w:tcBorders>
              <w:bottom w:val="single" w:sz="8" w:color="CCEEFF"/>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44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608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Cash flows from operating activities</w:t>
            </w:r>
          </w:p>
        </w:tc>
        <w:tc>
          <w:tcPr>
            <w:tcW w:w="8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08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Net (loss) income</w:t>
            </w:r>
          </w:p>
        </w:tc>
        <w:tc>
          <w:tcPr>
            <w:tcW w:w="800" w:type="dxa"/>
            <w:vAlign w:val="bottom"/>
          </w:tcPr>
          <w:p>
            <w:pPr>
              <w:jc w:val="right"/>
              <w:ind w:right="645"/>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gridSpan w:val="2"/>
          </w:tcPr>
          <w:p>
            <w:pPr>
              <w:jc w:val="right"/>
              <w:ind w:right="240"/>
              <w:spacing w:after="0" w:line="162" w:lineRule="exact"/>
              <w:rPr>
                <w:sz w:val="20"/>
                <w:szCs w:val="20"/>
                <w:color w:val="auto"/>
              </w:rPr>
            </w:pPr>
            <w:r>
              <w:rPr>
                <w:rFonts w:ascii="Times New Roman" w:cs="Times New Roman" w:eastAsia="Times New Roman" w:hAnsi="Times New Roman"/>
                <w:sz w:val="15"/>
                <w:szCs w:val="15"/>
                <w:color w:val="auto"/>
              </w:rPr>
              <w:t>(433)</w:t>
            </w:r>
          </w:p>
        </w:tc>
        <w:tc>
          <w:tcPr>
            <w:tcW w:w="300" w:type="dxa"/>
            <w:vAlign w:val="bottom"/>
            <w:gridSpan w:val="2"/>
          </w:tcPr>
          <w:p>
            <w:pPr>
              <w:jc w:val="right"/>
              <w:ind w:right="165"/>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7,084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8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Adjustments to reconcile net (loss) income to net cash provided by operating activities:</w:t>
            </w:r>
          </w:p>
        </w:tc>
        <w:tc>
          <w:tcPr>
            <w:tcW w:w="8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80" w:type="dxa"/>
            <w:vAlign w:val="bottom"/>
          </w:tcPr>
          <w:p>
            <w:pPr>
              <w:ind w:left="120"/>
              <w:spacing w:after="0" w:line="162" w:lineRule="exact"/>
              <w:rPr>
                <w:sz w:val="20"/>
                <w:szCs w:val="20"/>
                <w:color w:val="auto"/>
              </w:rPr>
            </w:pPr>
            <w:r>
              <w:rPr>
                <w:rFonts w:ascii="Times New Roman" w:cs="Times New Roman" w:eastAsia="Times New Roman" w:hAnsi="Times New Roman"/>
                <w:sz w:val="15"/>
                <w:szCs w:val="15"/>
                <w:color w:val="auto"/>
              </w:rPr>
              <w:t>Depreciation and amortization</w:t>
            </w:r>
          </w:p>
        </w:tc>
        <w:tc>
          <w:tcPr>
            <w:tcW w:w="800" w:type="dxa"/>
            <w:vAlign w:val="bottom"/>
          </w:tcPr>
          <w:p>
            <w:pPr>
              <w:spacing w:after="0"/>
              <w:rPr>
                <w:sz w:val="14"/>
                <w:szCs w:val="14"/>
                <w:color w:val="auto"/>
              </w:rPr>
            </w:pPr>
          </w:p>
        </w:tc>
        <w:tc>
          <w:tcPr>
            <w:tcW w:w="4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1,197</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905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80" w:type="dxa"/>
            <w:vAlign w:val="bottom"/>
            <w:shd w:val="clear" w:color="auto" w:fill="CCEEFF"/>
          </w:tcPr>
          <w:p>
            <w:pPr>
              <w:ind w:left="120"/>
              <w:spacing w:after="0" w:line="162" w:lineRule="exact"/>
              <w:rPr>
                <w:sz w:val="20"/>
                <w:szCs w:val="20"/>
                <w:color w:val="auto"/>
              </w:rPr>
            </w:pPr>
            <w:r>
              <w:rPr>
                <w:rFonts w:ascii="Times New Roman" w:cs="Times New Roman" w:eastAsia="Times New Roman" w:hAnsi="Times New Roman"/>
                <w:sz w:val="15"/>
                <w:szCs w:val="15"/>
                <w:color w:val="auto"/>
              </w:rPr>
              <w:t>Gain on sale of property and equipment</w:t>
            </w:r>
          </w:p>
        </w:tc>
        <w:tc>
          <w:tcPr>
            <w:tcW w:w="8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80" w:type="dxa"/>
            <w:vAlign w:val="bottom"/>
          </w:tcPr>
          <w:p>
            <w:pPr>
              <w:ind w:left="120"/>
              <w:spacing w:after="0" w:line="162" w:lineRule="exact"/>
              <w:rPr>
                <w:sz w:val="20"/>
                <w:szCs w:val="20"/>
                <w:color w:val="auto"/>
              </w:rPr>
            </w:pPr>
            <w:r>
              <w:rPr>
                <w:rFonts w:ascii="Times New Roman" w:cs="Times New Roman" w:eastAsia="Times New Roman" w:hAnsi="Times New Roman"/>
                <w:sz w:val="15"/>
                <w:szCs w:val="15"/>
                <w:color w:val="auto"/>
              </w:rPr>
              <w:t>Stock-based compensation</w:t>
            </w:r>
          </w:p>
        </w:tc>
        <w:tc>
          <w:tcPr>
            <w:tcW w:w="800" w:type="dxa"/>
            <w:vAlign w:val="bottom"/>
          </w:tcPr>
          <w:p>
            <w:pPr>
              <w:spacing w:after="0"/>
              <w:rPr>
                <w:sz w:val="14"/>
                <w:szCs w:val="14"/>
                <w:color w:val="auto"/>
              </w:rPr>
            </w:pPr>
          </w:p>
        </w:tc>
        <w:tc>
          <w:tcPr>
            <w:tcW w:w="4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5,108</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3,700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80" w:type="dxa"/>
            <w:vAlign w:val="bottom"/>
            <w:shd w:val="clear" w:color="auto" w:fill="CCEEFF"/>
          </w:tcPr>
          <w:p>
            <w:pPr>
              <w:ind w:left="120"/>
              <w:spacing w:after="0" w:line="162" w:lineRule="exact"/>
              <w:rPr>
                <w:sz w:val="20"/>
                <w:szCs w:val="20"/>
                <w:color w:val="auto"/>
              </w:rPr>
            </w:pPr>
            <w:r>
              <w:rPr>
                <w:rFonts w:ascii="Times New Roman" w:cs="Times New Roman" w:eastAsia="Times New Roman" w:hAnsi="Times New Roman"/>
                <w:sz w:val="15"/>
                <w:szCs w:val="15"/>
                <w:color w:val="auto"/>
              </w:rPr>
              <w:t>Loss on prepayment and termination of credit facility</w:t>
            </w:r>
          </w:p>
        </w:tc>
        <w:tc>
          <w:tcPr>
            <w:tcW w:w="8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170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80" w:type="dxa"/>
            <w:vAlign w:val="bottom"/>
          </w:tcPr>
          <w:p>
            <w:pPr>
              <w:ind w:left="120"/>
              <w:spacing w:after="0" w:line="162" w:lineRule="exact"/>
              <w:rPr>
                <w:sz w:val="20"/>
                <w:szCs w:val="20"/>
                <w:color w:val="auto"/>
              </w:rPr>
            </w:pPr>
            <w:r>
              <w:rPr>
                <w:rFonts w:ascii="Times New Roman" w:cs="Times New Roman" w:eastAsia="Times New Roman" w:hAnsi="Times New Roman"/>
                <w:sz w:val="15"/>
                <w:szCs w:val="15"/>
                <w:color w:val="auto"/>
              </w:rPr>
              <w:t>Non-cash warrant revaluation</w:t>
            </w:r>
          </w:p>
        </w:tc>
        <w:tc>
          <w:tcPr>
            <w:tcW w:w="800" w:type="dxa"/>
            <w:vAlign w:val="bottom"/>
          </w:tcPr>
          <w:p>
            <w:pPr>
              <w:spacing w:after="0"/>
              <w:rPr>
                <w:sz w:val="14"/>
                <w:szCs w:val="14"/>
                <w:color w:val="auto"/>
              </w:rPr>
            </w:pPr>
          </w:p>
        </w:tc>
        <w:tc>
          <w:tcPr>
            <w:tcW w:w="720" w:type="dxa"/>
            <w:vAlign w:val="bottom"/>
            <w:gridSpan w:val="2"/>
          </w:tcPr>
          <w:p>
            <w:pPr>
              <w:jc w:val="right"/>
              <w:ind w:right="2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80" w:type="dxa"/>
            <w:vAlign w:val="bottom"/>
            <w:shd w:val="clear" w:color="auto" w:fill="CCEEFF"/>
          </w:tcPr>
          <w:p>
            <w:pPr>
              <w:ind w:left="120"/>
              <w:spacing w:after="0" w:line="162" w:lineRule="exact"/>
              <w:rPr>
                <w:sz w:val="20"/>
                <w:szCs w:val="20"/>
                <w:color w:val="auto"/>
              </w:rPr>
            </w:pPr>
            <w:r>
              <w:rPr>
                <w:rFonts w:ascii="Times New Roman" w:cs="Times New Roman" w:eastAsia="Times New Roman" w:hAnsi="Times New Roman"/>
                <w:sz w:val="15"/>
                <w:szCs w:val="15"/>
                <w:color w:val="auto"/>
              </w:rPr>
              <w:t>Non-cash interest expense</w:t>
            </w:r>
          </w:p>
        </w:tc>
        <w:tc>
          <w:tcPr>
            <w:tcW w:w="8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8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Changes in operating assets and liabilities:</w:t>
            </w: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80" w:type="dxa"/>
            <w:vAlign w:val="bottom"/>
            <w:shd w:val="clear" w:color="auto" w:fill="CCEEFF"/>
          </w:tcPr>
          <w:p>
            <w:pPr>
              <w:ind w:left="120"/>
              <w:spacing w:after="0" w:line="162" w:lineRule="exact"/>
              <w:rPr>
                <w:sz w:val="20"/>
                <w:szCs w:val="20"/>
                <w:color w:val="auto"/>
              </w:rPr>
            </w:pPr>
            <w:r>
              <w:rPr>
                <w:rFonts w:ascii="Times New Roman" w:cs="Times New Roman" w:eastAsia="Times New Roman" w:hAnsi="Times New Roman"/>
                <w:sz w:val="15"/>
                <w:szCs w:val="15"/>
                <w:color w:val="auto"/>
              </w:rPr>
              <w:t>Accounts receivable</w:t>
            </w:r>
          </w:p>
        </w:tc>
        <w:tc>
          <w:tcPr>
            <w:tcW w:w="8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147</w:t>
            </w:r>
          </w:p>
        </w:tc>
        <w:tc>
          <w:tcPr>
            <w:tcW w:w="2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577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80" w:type="dxa"/>
            <w:vAlign w:val="bottom"/>
          </w:tcPr>
          <w:p>
            <w:pPr>
              <w:ind w:left="120"/>
              <w:spacing w:after="0" w:line="162" w:lineRule="exact"/>
              <w:rPr>
                <w:sz w:val="20"/>
                <w:szCs w:val="20"/>
                <w:color w:val="auto"/>
              </w:rPr>
            </w:pPr>
            <w:r>
              <w:rPr>
                <w:rFonts w:ascii="Times New Roman" w:cs="Times New Roman" w:eastAsia="Times New Roman" w:hAnsi="Times New Roman"/>
                <w:sz w:val="15"/>
                <w:szCs w:val="15"/>
                <w:color w:val="auto"/>
              </w:rPr>
              <w:t>Inventory</w:t>
            </w:r>
          </w:p>
        </w:tc>
        <w:tc>
          <w:tcPr>
            <w:tcW w:w="800" w:type="dxa"/>
            <w:vAlign w:val="bottom"/>
          </w:tcPr>
          <w:p>
            <w:pPr>
              <w:spacing w:after="0"/>
              <w:rPr>
                <w:sz w:val="14"/>
                <w:szCs w:val="14"/>
                <w:color w:val="auto"/>
              </w:rPr>
            </w:pPr>
          </w:p>
        </w:tc>
        <w:tc>
          <w:tcPr>
            <w:tcW w:w="720" w:type="dxa"/>
            <w:vAlign w:val="bottom"/>
            <w:gridSpan w:val="2"/>
          </w:tcPr>
          <w:p>
            <w:pPr>
              <w:jc w:val="right"/>
              <w:ind w:right="240"/>
              <w:spacing w:after="0" w:line="162" w:lineRule="exact"/>
              <w:rPr>
                <w:sz w:val="20"/>
                <w:szCs w:val="20"/>
                <w:color w:val="auto"/>
              </w:rPr>
            </w:pPr>
            <w:r>
              <w:rPr>
                <w:rFonts w:ascii="Times New Roman" w:cs="Times New Roman" w:eastAsia="Times New Roman" w:hAnsi="Times New Roman"/>
                <w:sz w:val="15"/>
                <w:szCs w:val="15"/>
                <w:color w:val="auto"/>
              </w:rPr>
              <w:t>(50)</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(1,954)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80" w:type="dxa"/>
            <w:vAlign w:val="bottom"/>
            <w:shd w:val="clear" w:color="auto" w:fill="CCEEFF"/>
          </w:tcPr>
          <w:p>
            <w:pPr>
              <w:ind w:left="120"/>
              <w:spacing w:after="0" w:line="162" w:lineRule="exact"/>
              <w:rPr>
                <w:sz w:val="20"/>
                <w:szCs w:val="20"/>
                <w:color w:val="auto"/>
              </w:rPr>
            </w:pPr>
            <w:r>
              <w:rPr>
                <w:rFonts w:ascii="Times New Roman" w:cs="Times New Roman" w:eastAsia="Times New Roman" w:hAnsi="Times New Roman"/>
                <w:sz w:val="15"/>
                <w:szCs w:val="15"/>
                <w:color w:val="auto"/>
              </w:rPr>
              <w:t>Prepaid expenses and other current assets</w:t>
            </w:r>
          </w:p>
        </w:tc>
        <w:tc>
          <w:tcPr>
            <w:tcW w:w="8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40"/>
              <w:spacing w:after="0" w:line="162" w:lineRule="exact"/>
              <w:rPr>
                <w:sz w:val="20"/>
                <w:szCs w:val="20"/>
                <w:color w:val="auto"/>
              </w:rPr>
            </w:pPr>
            <w:r>
              <w:rPr>
                <w:rFonts w:ascii="Times New Roman" w:cs="Times New Roman" w:eastAsia="Times New Roman" w:hAnsi="Times New Roman"/>
                <w:sz w:val="15"/>
                <w:szCs w:val="15"/>
                <w:color w:val="auto"/>
              </w:rPr>
              <w:t>(3,597)</w:t>
            </w: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366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80" w:type="dxa"/>
            <w:vAlign w:val="bottom"/>
          </w:tcPr>
          <w:p>
            <w:pPr>
              <w:ind w:left="120"/>
              <w:spacing w:after="0" w:line="162" w:lineRule="exact"/>
              <w:rPr>
                <w:sz w:val="20"/>
                <w:szCs w:val="20"/>
                <w:color w:val="auto"/>
              </w:rPr>
            </w:pPr>
            <w:r>
              <w:rPr>
                <w:rFonts w:ascii="Times New Roman" w:cs="Times New Roman" w:eastAsia="Times New Roman" w:hAnsi="Times New Roman"/>
                <w:sz w:val="15"/>
                <w:szCs w:val="15"/>
                <w:color w:val="auto"/>
              </w:rPr>
              <w:t>Other assets</w:t>
            </w:r>
          </w:p>
        </w:tc>
        <w:tc>
          <w:tcPr>
            <w:tcW w:w="800" w:type="dxa"/>
            <w:vAlign w:val="bottom"/>
          </w:tcPr>
          <w:p>
            <w:pPr>
              <w:spacing w:after="0"/>
              <w:rPr>
                <w:sz w:val="14"/>
                <w:szCs w:val="14"/>
                <w:color w:val="auto"/>
              </w:rPr>
            </w:pPr>
          </w:p>
        </w:tc>
        <w:tc>
          <w:tcPr>
            <w:tcW w:w="720" w:type="dxa"/>
            <w:vAlign w:val="bottom"/>
            <w:gridSpan w:val="2"/>
          </w:tcPr>
          <w:p>
            <w:pPr>
              <w:jc w:val="right"/>
              <w:ind w:right="240"/>
              <w:spacing w:after="0" w:line="162" w:lineRule="exact"/>
              <w:rPr>
                <w:sz w:val="20"/>
                <w:szCs w:val="20"/>
                <w:color w:val="auto"/>
              </w:rPr>
            </w:pPr>
            <w:r>
              <w:rPr>
                <w:rFonts w:ascii="Times New Roman" w:cs="Times New Roman" w:eastAsia="Times New Roman" w:hAnsi="Times New Roman"/>
                <w:sz w:val="15"/>
                <w:szCs w:val="15"/>
                <w:color w:val="auto"/>
              </w:rPr>
              <w:t>(88)</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80" w:type="dxa"/>
            <w:vAlign w:val="bottom"/>
            <w:shd w:val="clear" w:color="auto" w:fill="CCEEFF"/>
          </w:tcPr>
          <w:p>
            <w:pPr>
              <w:ind w:left="120"/>
              <w:spacing w:after="0" w:line="162" w:lineRule="exact"/>
              <w:rPr>
                <w:sz w:val="20"/>
                <w:szCs w:val="20"/>
                <w:color w:val="auto"/>
              </w:rPr>
            </w:pPr>
            <w:r>
              <w:rPr>
                <w:rFonts w:ascii="Times New Roman" w:cs="Times New Roman" w:eastAsia="Times New Roman" w:hAnsi="Times New Roman"/>
                <w:sz w:val="15"/>
                <w:szCs w:val="15"/>
                <w:color w:val="auto"/>
              </w:rPr>
              <w:t>Accounts payable</w:t>
            </w:r>
          </w:p>
        </w:tc>
        <w:tc>
          <w:tcPr>
            <w:tcW w:w="8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236</w:t>
            </w:r>
          </w:p>
        </w:tc>
        <w:tc>
          <w:tcPr>
            <w:tcW w:w="2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599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80" w:type="dxa"/>
            <w:vAlign w:val="bottom"/>
          </w:tcPr>
          <w:p>
            <w:pPr>
              <w:ind w:left="120"/>
              <w:spacing w:after="0" w:line="162" w:lineRule="exact"/>
              <w:rPr>
                <w:sz w:val="20"/>
                <w:szCs w:val="20"/>
                <w:color w:val="auto"/>
              </w:rPr>
            </w:pPr>
            <w:r>
              <w:rPr>
                <w:rFonts w:ascii="Times New Roman" w:cs="Times New Roman" w:eastAsia="Times New Roman" w:hAnsi="Times New Roman"/>
                <w:sz w:val="15"/>
                <w:szCs w:val="15"/>
                <w:color w:val="auto"/>
              </w:rPr>
              <w:t>Accrued liabilities</w:t>
            </w:r>
          </w:p>
        </w:tc>
        <w:tc>
          <w:tcPr>
            <w:tcW w:w="800" w:type="dxa"/>
            <w:vAlign w:val="bottom"/>
          </w:tcPr>
          <w:p>
            <w:pPr>
              <w:spacing w:after="0"/>
              <w:rPr>
                <w:sz w:val="14"/>
                <w:szCs w:val="14"/>
                <w:color w:val="auto"/>
              </w:rPr>
            </w:pPr>
          </w:p>
        </w:tc>
        <w:tc>
          <w:tcPr>
            <w:tcW w:w="720" w:type="dxa"/>
            <w:vAlign w:val="bottom"/>
            <w:gridSpan w:val="2"/>
          </w:tcPr>
          <w:p>
            <w:pPr>
              <w:jc w:val="right"/>
              <w:ind w:right="240"/>
              <w:spacing w:after="0" w:line="162" w:lineRule="exact"/>
              <w:rPr>
                <w:sz w:val="20"/>
                <w:szCs w:val="20"/>
                <w:color w:val="auto"/>
              </w:rPr>
            </w:pPr>
            <w:r>
              <w:rPr>
                <w:rFonts w:ascii="Times New Roman" w:cs="Times New Roman" w:eastAsia="Times New Roman" w:hAnsi="Times New Roman"/>
                <w:sz w:val="15"/>
                <w:szCs w:val="15"/>
                <w:color w:val="auto"/>
              </w:rPr>
              <w:t>(2,248)</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(54)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80" w:type="dxa"/>
            <w:vAlign w:val="bottom"/>
            <w:shd w:val="clear" w:color="auto" w:fill="CCEEFF"/>
          </w:tcPr>
          <w:p>
            <w:pPr>
              <w:ind w:left="120"/>
              <w:spacing w:after="0" w:line="162" w:lineRule="exact"/>
              <w:rPr>
                <w:sz w:val="20"/>
                <w:szCs w:val="20"/>
                <w:color w:val="auto"/>
              </w:rPr>
            </w:pPr>
            <w:r>
              <w:rPr>
                <w:rFonts w:ascii="Times New Roman" w:cs="Times New Roman" w:eastAsia="Times New Roman" w:hAnsi="Times New Roman"/>
                <w:sz w:val="15"/>
                <w:szCs w:val="15"/>
                <w:color w:val="auto"/>
              </w:rPr>
              <w:t>Deferred revenue</w:t>
            </w:r>
          </w:p>
        </w:tc>
        <w:tc>
          <w:tcPr>
            <w:tcW w:w="8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36</w:t>
            </w:r>
          </w:p>
        </w:tc>
        <w:tc>
          <w:tcPr>
            <w:tcW w:w="2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(311)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80" w:type="dxa"/>
            <w:vAlign w:val="bottom"/>
          </w:tcPr>
          <w:p>
            <w:pPr>
              <w:ind w:left="120"/>
              <w:spacing w:after="0" w:line="162" w:lineRule="exact"/>
              <w:rPr>
                <w:sz w:val="20"/>
                <w:szCs w:val="20"/>
                <w:color w:val="auto"/>
              </w:rPr>
            </w:pPr>
            <w:r>
              <w:rPr>
                <w:rFonts w:ascii="Times New Roman" w:cs="Times New Roman" w:eastAsia="Times New Roman" w:hAnsi="Times New Roman"/>
                <w:sz w:val="15"/>
                <w:szCs w:val="15"/>
                <w:color w:val="auto"/>
              </w:rPr>
              <w:t>Contract obligations</w:t>
            </w:r>
          </w:p>
        </w:tc>
        <w:tc>
          <w:tcPr>
            <w:tcW w:w="800" w:type="dxa"/>
            <w:vAlign w:val="bottom"/>
          </w:tcPr>
          <w:p>
            <w:pPr>
              <w:spacing w:after="0"/>
              <w:rPr>
                <w:sz w:val="14"/>
                <w:szCs w:val="14"/>
                <w:color w:val="auto"/>
              </w:rPr>
            </w:pPr>
          </w:p>
        </w:tc>
        <w:tc>
          <w:tcPr>
            <w:tcW w:w="4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2,953</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80" w:type="dxa"/>
            <w:vAlign w:val="bottom"/>
            <w:shd w:val="clear" w:color="auto" w:fill="CCEEFF"/>
          </w:tcPr>
          <w:p>
            <w:pPr>
              <w:ind w:left="120"/>
              <w:spacing w:after="0" w:line="162" w:lineRule="exact"/>
              <w:rPr>
                <w:sz w:val="20"/>
                <w:szCs w:val="20"/>
                <w:color w:val="auto"/>
              </w:rPr>
            </w:pPr>
            <w:r>
              <w:rPr>
                <w:rFonts w:ascii="Times New Roman" w:cs="Times New Roman" w:eastAsia="Times New Roman" w:hAnsi="Times New Roman"/>
                <w:sz w:val="15"/>
                <w:szCs w:val="15"/>
                <w:color w:val="auto"/>
              </w:rPr>
              <w:t>Lease liabilities, net</w:t>
            </w:r>
          </w:p>
        </w:tc>
        <w:tc>
          <w:tcPr>
            <w:tcW w:w="80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5</w:t>
            </w:r>
          </w:p>
        </w:tc>
        <w:tc>
          <w:tcPr>
            <w:tcW w:w="2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080" w:type="dxa"/>
            <w:vAlign w:val="bottom"/>
            <w:tcBorders>
              <w:bottom w:val="single" w:sz="8" w:color="CCEEFF"/>
            </w:tcBorders>
          </w:tcPr>
          <w:p>
            <w:pPr>
              <w:ind w:left="120"/>
              <w:spacing w:after="0" w:line="156" w:lineRule="exact"/>
              <w:rPr>
                <w:sz w:val="20"/>
                <w:szCs w:val="20"/>
                <w:color w:val="auto"/>
              </w:rPr>
            </w:pPr>
            <w:r>
              <w:rPr>
                <w:rFonts w:ascii="Times New Roman" w:cs="Times New Roman" w:eastAsia="Times New Roman" w:hAnsi="Times New Roman"/>
                <w:sz w:val="15"/>
                <w:szCs w:val="15"/>
                <w:color w:val="auto"/>
              </w:rPr>
              <w:t>Net cash provided by operating activities</w:t>
            </w:r>
          </w:p>
        </w:tc>
        <w:tc>
          <w:tcPr>
            <w:tcW w:w="8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3,266</w:t>
            </w:r>
          </w:p>
        </w:tc>
        <w:tc>
          <w:tcPr>
            <w:tcW w:w="24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11,086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08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Cash flows from investing activities</w:t>
            </w:r>
          </w:p>
        </w:tc>
        <w:tc>
          <w:tcPr>
            <w:tcW w:w="8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08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Purchases of property and equipment</w:t>
            </w:r>
          </w:p>
        </w:tc>
        <w:tc>
          <w:tcPr>
            <w:tcW w:w="800" w:type="dxa"/>
            <w:vAlign w:val="bottom"/>
          </w:tcPr>
          <w:p>
            <w:pPr>
              <w:spacing w:after="0"/>
              <w:rPr>
                <w:sz w:val="14"/>
                <w:szCs w:val="14"/>
                <w:color w:val="auto"/>
              </w:rPr>
            </w:pPr>
          </w:p>
        </w:tc>
        <w:tc>
          <w:tcPr>
            <w:tcW w:w="720" w:type="dxa"/>
            <w:vAlign w:val="bottom"/>
            <w:gridSpan w:val="2"/>
          </w:tcPr>
          <w:p>
            <w:pPr>
              <w:jc w:val="right"/>
              <w:ind w:right="240"/>
              <w:spacing w:after="0" w:line="162" w:lineRule="exact"/>
              <w:rPr>
                <w:sz w:val="20"/>
                <w:szCs w:val="20"/>
                <w:color w:val="auto"/>
              </w:rPr>
            </w:pPr>
            <w:r>
              <w:rPr>
                <w:rFonts w:ascii="Times New Roman" w:cs="Times New Roman" w:eastAsia="Times New Roman" w:hAnsi="Times New Roman"/>
                <w:sz w:val="15"/>
                <w:szCs w:val="15"/>
                <w:color w:val="auto"/>
              </w:rPr>
              <w:t>(1,302)</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(1,080)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8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Proceeds received from sale of property and equipment</w:t>
            </w:r>
          </w:p>
        </w:tc>
        <w:tc>
          <w:tcPr>
            <w:tcW w:w="8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080" w:type="dxa"/>
            <w:vAlign w:val="bottom"/>
            <w:tcBorders>
              <w:bottom w:val="single" w:sz="8" w:color="CCEEFF"/>
            </w:tcBorders>
          </w:tcPr>
          <w:p>
            <w:pPr>
              <w:ind w:left="120"/>
              <w:spacing w:after="0" w:line="156" w:lineRule="exact"/>
              <w:rPr>
                <w:sz w:val="20"/>
                <w:szCs w:val="20"/>
                <w:color w:val="auto"/>
              </w:rPr>
            </w:pPr>
            <w:r>
              <w:rPr>
                <w:rFonts w:ascii="Times New Roman" w:cs="Times New Roman" w:eastAsia="Times New Roman" w:hAnsi="Times New Roman"/>
                <w:sz w:val="15"/>
                <w:szCs w:val="15"/>
                <w:color w:val="auto"/>
              </w:rPr>
              <w:t>Net cash used in investing activities</w:t>
            </w:r>
          </w:p>
        </w:tc>
        <w:tc>
          <w:tcPr>
            <w:tcW w:w="800" w:type="dxa"/>
            <w:vAlign w:val="bottom"/>
            <w:tcBorders>
              <w:top w:val="single" w:sz="8" w:color="auto"/>
              <w:bottom w:val="single" w:sz="8" w:color="auto"/>
            </w:tcBorders>
          </w:tcPr>
          <w:p>
            <w:pPr>
              <w:spacing w:after="0"/>
              <w:rPr>
                <w:sz w:val="13"/>
                <w:szCs w:val="13"/>
                <w:color w:val="auto"/>
              </w:rPr>
            </w:pPr>
          </w:p>
        </w:tc>
        <w:tc>
          <w:tcPr>
            <w:tcW w:w="480" w:type="dxa"/>
            <w:vAlign w:val="bottom"/>
            <w:tcBorders>
              <w:top w:val="single" w:sz="8" w:color="auto"/>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(1,302)</w:t>
            </w:r>
          </w:p>
        </w:tc>
        <w:tc>
          <w:tcPr>
            <w:tcW w:w="24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(1,065)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08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Cash flows from financing activities</w:t>
            </w:r>
          </w:p>
        </w:tc>
        <w:tc>
          <w:tcPr>
            <w:tcW w:w="8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08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Payments on long-term debt</w:t>
            </w:r>
          </w:p>
        </w:tc>
        <w:tc>
          <w:tcPr>
            <w:tcW w:w="800" w:type="dxa"/>
            <w:vAlign w:val="bottom"/>
          </w:tcPr>
          <w:p>
            <w:pPr>
              <w:spacing w:after="0"/>
              <w:rPr>
                <w:sz w:val="14"/>
                <w:szCs w:val="14"/>
                <w:color w:val="auto"/>
              </w:rPr>
            </w:pPr>
          </w:p>
        </w:tc>
        <w:tc>
          <w:tcPr>
            <w:tcW w:w="720" w:type="dxa"/>
            <w:vAlign w:val="bottom"/>
            <w:gridSpan w:val="2"/>
          </w:tcPr>
          <w:p>
            <w:pPr>
              <w:jc w:val="right"/>
              <w:ind w:right="2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(2,790)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608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5"/>
                <w:szCs w:val="15"/>
                <w:color w:val="auto"/>
              </w:rPr>
              <w:t>Proceeds from exercise of stock options and purchase of shares in employee stock purchase</w:t>
            </w:r>
          </w:p>
        </w:tc>
        <w:tc>
          <w:tcPr>
            <w:tcW w:w="8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plan</w:t>
            </w:r>
          </w:p>
        </w:tc>
        <w:tc>
          <w:tcPr>
            <w:tcW w:w="80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678</w:t>
            </w:r>
          </w:p>
        </w:tc>
        <w:tc>
          <w:tcPr>
            <w:tcW w:w="2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908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6080" w:type="dxa"/>
            <w:vAlign w:val="bottom"/>
            <w:tcBorders>
              <w:bottom w:val="single" w:sz="8" w:color="CCEEFF"/>
            </w:tcBorders>
          </w:tcPr>
          <w:p>
            <w:pPr>
              <w:ind w:left="120"/>
              <w:spacing w:after="0" w:line="156" w:lineRule="exact"/>
              <w:rPr>
                <w:sz w:val="20"/>
                <w:szCs w:val="20"/>
                <w:color w:val="auto"/>
              </w:rPr>
            </w:pPr>
            <w:r>
              <w:rPr>
                <w:rFonts w:ascii="Times New Roman" w:cs="Times New Roman" w:eastAsia="Times New Roman" w:hAnsi="Times New Roman"/>
                <w:sz w:val="15"/>
                <w:szCs w:val="15"/>
                <w:color w:val="auto"/>
              </w:rPr>
              <w:t>Net cash provided by (used in) financing activities</w:t>
            </w:r>
          </w:p>
        </w:tc>
        <w:tc>
          <w:tcPr>
            <w:tcW w:w="8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678</w:t>
            </w:r>
          </w:p>
        </w:tc>
        <w:tc>
          <w:tcPr>
            <w:tcW w:w="24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(1,882)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08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5"/>
                <w:szCs w:val="15"/>
                <w:color w:val="auto"/>
              </w:rPr>
              <w:t>Net increase in cash and cash equivalents</w:t>
            </w:r>
          </w:p>
        </w:tc>
        <w:tc>
          <w:tcPr>
            <w:tcW w:w="8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2,642</w:t>
            </w:r>
          </w:p>
        </w:tc>
        <w:tc>
          <w:tcPr>
            <w:tcW w:w="2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8,139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080" w:type="dxa"/>
            <w:vAlign w:val="bottom"/>
            <w:tcBorders>
              <w:bottom w:val="single" w:sz="8" w:color="CCEEFF"/>
            </w:tcBorders>
          </w:tcPr>
          <w:p>
            <w:pPr>
              <w:spacing w:after="0" w:line="162" w:lineRule="exact"/>
              <w:rPr>
                <w:sz w:val="20"/>
                <w:szCs w:val="20"/>
                <w:color w:val="auto"/>
              </w:rPr>
            </w:pPr>
            <w:r>
              <w:rPr>
                <w:rFonts w:ascii="Times New Roman" w:cs="Times New Roman" w:eastAsia="Times New Roman" w:hAnsi="Times New Roman"/>
                <w:sz w:val="15"/>
                <w:szCs w:val="15"/>
                <w:color w:val="auto"/>
              </w:rPr>
              <w:t>Cash and cash equivalents at beginning of period</w:t>
            </w:r>
          </w:p>
        </w:tc>
        <w:tc>
          <w:tcPr>
            <w:tcW w:w="8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36,946</w:t>
            </w:r>
          </w:p>
        </w:tc>
        <w:tc>
          <w:tcPr>
            <w:tcW w:w="2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26,795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080" w:type="dxa"/>
            <w:vAlign w:val="bottom"/>
            <w:tcBorders>
              <w:bottom w:val="single" w:sz="8" w:color="CCEEFF"/>
            </w:tcBorders>
            <w:shd w:val="clear" w:color="auto" w:fill="CCEEFF"/>
          </w:tcPr>
          <w:p>
            <w:pPr>
              <w:spacing w:after="0" w:line="156" w:lineRule="exact"/>
              <w:rPr>
                <w:sz w:val="20"/>
                <w:szCs w:val="20"/>
                <w:color w:val="auto"/>
              </w:rPr>
            </w:pPr>
            <w:r>
              <w:rPr>
                <w:rFonts w:ascii="Times New Roman" w:cs="Times New Roman" w:eastAsia="Times New Roman" w:hAnsi="Times New Roman"/>
                <w:sz w:val="15"/>
                <w:szCs w:val="15"/>
                <w:color w:val="auto"/>
              </w:rPr>
              <w:t>Cash and cash equivalents at end of period</w:t>
            </w:r>
          </w:p>
        </w:tc>
        <w:tc>
          <w:tcPr>
            <w:tcW w:w="800" w:type="dxa"/>
            <w:vAlign w:val="bottom"/>
            <w:tcBorders>
              <w:bottom w:val="single" w:sz="8" w:color="auto"/>
            </w:tcBorders>
            <w:shd w:val="clear" w:color="auto" w:fill="CCEEFF"/>
          </w:tcPr>
          <w:p>
            <w:pPr>
              <w:jc w:val="right"/>
              <w:ind w:right="645"/>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48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39,588</w:t>
            </w:r>
          </w:p>
        </w:tc>
        <w:tc>
          <w:tcPr>
            <w:tcW w:w="2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jc w:val="right"/>
              <w:ind w:right="165"/>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34,934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080" w:type="dxa"/>
            <w:vAlign w:val="bottom"/>
            <w:vMerge w:val="restart"/>
          </w:tcPr>
          <w:p>
            <w:pPr>
              <w:spacing w:after="0"/>
              <w:rPr>
                <w:sz w:val="20"/>
                <w:szCs w:val="20"/>
                <w:color w:val="auto"/>
              </w:rPr>
            </w:pPr>
            <w:r>
              <w:rPr>
                <w:rFonts w:ascii="Times New Roman" w:cs="Times New Roman" w:eastAsia="Times New Roman" w:hAnsi="Times New Roman"/>
                <w:sz w:val="15"/>
                <w:szCs w:val="15"/>
                <w:b w:val="1"/>
                <w:bCs w:val="1"/>
                <w:color w:val="auto"/>
              </w:rPr>
              <w:t>Supplementary cash flow information:</w:t>
            </w:r>
          </w:p>
        </w:tc>
        <w:tc>
          <w:tcPr>
            <w:tcW w:w="8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080" w:type="dxa"/>
            <w:vAlign w:val="bottom"/>
            <w:vMerge w:val="continue"/>
          </w:tcPr>
          <w:p>
            <w:pPr>
              <w:spacing w:after="0"/>
              <w:rPr>
                <w:sz w:val="12"/>
                <w:szCs w:val="12"/>
                <w:color w:val="auto"/>
              </w:rPr>
            </w:pPr>
          </w:p>
        </w:tc>
        <w:tc>
          <w:tcPr>
            <w:tcW w:w="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608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Interest paid</w:t>
            </w:r>
          </w:p>
        </w:tc>
        <w:tc>
          <w:tcPr>
            <w:tcW w:w="800" w:type="dxa"/>
            <w:vAlign w:val="bottom"/>
            <w:shd w:val="clear" w:color="auto" w:fill="CCEEFF"/>
          </w:tcPr>
          <w:p>
            <w:pPr>
              <w:jc w:val="right"/>
              <w:ind w:right="645"/>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gridSpan w:val="2"/>
            <w:shd w:val="clear" w:color="auto" w:fill="CCEEFF"/>
          </w:tcPr>
          <w:p>
            <w:pPr>
              <w:jc w:val="right"/>
              <w:ind w:right="2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300" w:type="dxa"/>
            <w:vAlign w:val="bottom"/>
            <w:gridSpan w:val="2"/>
            <w:shd w:val="clear" w:color="auto" w:fill="CCEEFF"/>
          </w:tcPr>
          <w:p>
            <w:pPr>
              <w:jc w:val="right"/>
              <w:ind w:right="165"/>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37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0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5"/>
                <w:szCs w:val="15"/>
                <w:color w:val="auto"/>
              </w:rPr>
              <w:t>Operating cash flows paid for operating leases</w:t>
            </w:r>
          </w:p>
        </w:tc>
        <w:tc>
          <w:tcPr>
            <w:tcW w:w="8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080" w:type="dxa"/>
            <w:vAlign w:val="bottom"/>
            <w:tcBorders>
              <w:bottom w:val="single" w:sz="8" w:color="CCEEFF"/>
            </w:tcBorders>
            <w:vMerge w:val="continue"/>
          </w:tcPr>
          <w:p>
            <w:pPr>
              <w:spacing w:after="0"/>
              <w:rPr>
                <w:sz w:val="15"/>
                <w:szCs w:val="15"/>
                <w:color w:val="auto"/>
              </w:rPr>
            </w:pPr>
          </w:p>
        </w:tc>
        <w:tc>
          <w:tcPr>
            <w:tcW w:w="800" w:type="dxa"/>
            <w:vAlign w:val="bottom"/>
            <w:tcBorders>
              <w:bottom w:val="single" w:sz="8" w:color="auto"/>
            </w:tcBorders>
          </w:tcPr>
          <w:p>
            <w:pPr>
              <w:jc w:val="right"/>
              <w:ind w:right="645"/>
              <w:spacing w:after="0" w:line="143" w:lineRule="exact"/>
              <w:rPr>
                <w:sz w:val="20"/>
                <w:szCs w:val="20"/>
                <w:color w:val="auto"/>
              </w:rPr>
            </w:pPr>
            <w:r>
              <w:rPr>
                <w:rFonts w:ascii="Times New Roman" w:cs="Times New Roman" w:eastAsia="Times New Roman" w:hAnsi="Times New Roman"/>
                <w:sz w:val="15"/>
                <w:szCs w:val="15"/>
                <w:color w:val="auto"/>
                <w:w w:val="79"/>
              </w:rPr>
              <w:t>$</w:t>
            </w:r>
          </w:p>
        </w:tc>
        <w:tc>
          <w:tcPr>
            <w:tcW w:w="48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5"/>
                <w:szCs w:val="15"/>
                <w:color w:val="auto"/>
              </w:rPr>
              <w:t>1,049</w:t>
            </w:r>
          </w:p>
        </w:tc>
        <w:tc>
          <w:tcPr>
            <w:tcW w:w="2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vMerge w:val="continue"/>
          </w:tcPr>
          <w:p>
            <w:pPr>
              <w:spacing w:after="0"/>
              <w:rPr>
                <w:sz w:val="15"/>
                <w:szCs w:val="15"/>
                <w:color w:val="auto"/>
              </w:rPr>
            </w:pPr>
          </w:p>
        </w:tc>
        <w:tc>
          <w:tcPr>
            <w:tcW w:w="280" w:type="dxa"/>
            <w:vAlign w:val="bottom"/>
            <w:tcBorders>
              <w:bottom w:val="single" w:sz="8" w:color="auto"/>
            </w:tcBorders>
          </w:tcPr>
          <w:p>
            <w:pPr>
              <w:jc w:val="right"/>
              <w:ind w:right="165"/>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5"/>
                <w:szCs w:val="15"/>
                <w:color w:val="auto"/>
              </w:rPr>
              <w:t>1,038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6080" w:type="dxa"/>
            <w:vAlign w:val="bottom"/>
            <w:tcBorders>
              <w:bottom w:val="single" w:sz="8" w:color="CCEEFF"/>
            </w:tcBorders>
            <w:shd w:val="clear" w:color="auto" w:fill="CCEEFF"/>
          </w:tcPr>
          <w:p>
            <w:pPr>
              <w:spacing w:after="0" w:line="143" w:lineRule="exact"/>
              <w:rPr>
                <w:sz w:val="20"/>
                <w:szCs w:val="20"/>
                <w:color w:val="auto"/>
              </w:rPr>
            </w:pPr>
            <w:r>
              <w:rPr>
                <w:rFonts w:ascii="Times New Roman" w:cs="Times New Roman" w:eastAsia="Times New Roman" w:hAnsi="Times New Roman"/>
                <w:sz w:val="15"/>
                <w:szCs w:val="15"/>
                <w:color w:val="auto"/>
              </w:rPr>
              <w:t>Financing cash flows paid for finance leases</w:t>
            </w:r>
          </w:p>
        </w:tc>
        <w:tc>
          <w:tcPr>
            <w:tcW w:w="800" w:type="dxa"/>
            <w:vAlign w:val="bottom"/>
            <w:tcBorders>
              <w:bottom w:val="single" w:sz="8" w:color="auto"/>
            </w:tcBorders>
            <w:shd w:val="clear" w:color="auto" w:fill="CCEEFF"/>
          </w:tcPr>
          <w:p>
            <w:pPr>
              <w:jc w:val="right"/>
              <w:ind w:right="645"/>
              <w:spacing w:after="0" w:line="143" w:lineRule="exact"/>
              <w:rPr>
                <w:sz w:val="20"/>
                <w:szCs w:val="20"/>
                <w:color w:val="auto"/>
              </w:rPr>
            </w:pPr>
            <w:r>
              <w:rPr>
                <w:rFonts w:ascii="Times New Roman" w:cs="Times New Roman" w:eastAsia="Times New Roman" w:hAnsi="Times New Roman"/>
                <w:sz w:val="15"/>
                <w:szCs w:val="15"/>
                <w:color w:val="auto"/>
                <w:w w:val="79"/>
              </w:rPr>
              <w:t>$</w:t>
            </w:r>
          </w:p>
        </w:tc>
        <w:tc>
          <w:tcPr>
            <w:tcW w:w="480" w:type="dxa"/>
            <w:vAlign w:val="bottom"/>
            <w:tcBorders>
              <w:bottom w:val="single" w:sz="8" w:color="auto"/>
            </w:tcBorders>
            <w:shd w:val="clear" w:color="auto" w:fill="CCEEFF"/>
          </w:tcPr>
          <w:p>
            <w:pPr>
              <w:jc w:val="right"/>
              <w:spacing w:after="0" w:line="143" w:lineRule="exact"/>
              <w:rPr>
                <w:sz w:val="20"/>
                <w:szCs w:val="20"/>
                <w:color w:val="auto"/>
              </w:rPr>
            </w:pPr>
            <w:r>
              <w:rPr>
                <w:rFonts w:ascii="Times New Roman" w:cs="Times New Roman" w:eastAsia="Times New Roman" w:hAnsi="Times New Roman"/>
                <w:sz w:val="15"/>
                <w:szCs w:val="15"/>
                <w:color w:val="auto"/>
              </w:rPr>
              <w:t>47</w:t>
            </w:r>
          </w:p>
        </w:tc>
        <w:tc>
          <w:tcPr>
            <w:tcW w:w="24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jc w:val="right"/>
              <w:ind w:right="165"/>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bottom w:val="single" w:sz="8" w:color="auto"/>
            </w:tcBorders>
            <w:shd w:val="clear" w:color="auto" w:fill="CCEEFF"/>
          </w:tcPr>
          <w:p>
            <w:pPr>
              <w:jc w:val="right"/>
              <w:spacing w:after="0" w:line="143" w:lineRule="exact"/>
              <w:rPr>
                <w:sz w:val="20"/>
                <w:szCs w:val="20"/>
                <w:color w:val="auto"/>
              </w:rPr>
            </w:pPr>
            <w:r>
              <w:rPr>
                <w:rFonts w:ascii="Times New Roman" w:cs="Times New Roman" w:eastAsia="Times New Roman" w:hAnsi="Times New Roman"/>
                <w:sz w:val="15"/>
                <w:szCs w:val="15"/>
                <w:color w:val="auto"/>
              </w:rPr>
              <w:t>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080" w:type="dxa"/>
            <w:vAlign w:val="bottom"/>
            <w:vMerge w:val="restart"/>
          </w:tcPr>
          <w:p>
            <w:pPr>
              <w:spacing w:after="0"/>
              <w:rPr>
                <w:sz w:val="20"/>
                <w:szCs w:val="20"/>
                <w:color w:val="auto"/>
              </w:rPr>
            </w:pPr>
            <w:r>
              <w:rPr>
                <w:rFonts w:ascii="Times New Roman" w:cs="Times New Roman" w:eastAsia="Times New Roman" w:hAnsi="Times New Roman"/>
                <w:sz w:val="15"/>
                <w:szCs w:val="15"/>
                <w:b w:val="1"/>
                <w:bCs w:val="1"/>
                <w:color w:val="auto"/>
              </w:rPr>
              <w:t>Non-cash investing and financing activities:</w:t>
            </w:r>
          </w:p>
        </w:tc>
        <w:tc>
          <w:tcPr>
            <w:tcW w:w="8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080" w:type="dxa"/>
            <w:vAlign w:val="bottom"/>
            <w:vMerge w:val="continue"/>
          </w:tcPr>
          <w:p>
            <w:pPr>
              <w:spacing w:after="0"/>
              <w:rPr>
                <w:sz w:val="12"/>
                <w:szCs w:val="12"/>
                <w:color w:val="auto"/>
              </w:rPr>
            </w:pPr>
          </w:p>
        </w:tc>
        <w:tc>
          <w:tcPr>
            <w:tcW w:w="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608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Right-of-use assets obtained in exchange for finance lease liabilities</w:t>
            </w:r>
          </w:p>
        </w:tc>
        <w:tc>
          <w:tcPr>
            <w:tcW w:w="800" w:type="dxa"/>
            <w:vAlign w:val="bottom"/>
            <w:shd w:val="clear" w:color="auto" w:fill="CCEEFF"/>
          </w:tcPr>
          <w:p>
            <w:pPr>
              <w:jc w:val="right"/>
              <w:ind w:right="645"/>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4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297</w:t>
            </w:r>
          </w:p>
        </w:tc>
        <w:tc>
          <w:tcPr>
            <w:tcW w:w="240" w:type="dxa"/>
            <w:vAlign w:val="bottom"/>
            <w:shd w:val="clear" w:color="auto" w:fill="CCEEFF"/>
          </w:tcPr>
          <w:p>
            <w:pPr>
              <w:spacing w:after="0"/>
              <w:rPr>
                <w:sz w:val="14"/>
                <w:szCs w:val="14"/>
                <w:color w:val="auto"/>
              </w:rPr>
            </w:pPr>
          </w:p>
        </w:tc>
        <w:tc>
          <w:tcPr>
            <w:tcW w:w="300" w:type="dxa"/>
            <w:vAlign w:val="bottom"/>
            <w:gridSpan w:val="2"/>
            <w:shd w:val="clear" w:color="auto" w:fill="CCEEFF"/>
          </w:tcPr>
          <w:p>
            <w:pPr>
              <w:jc w:val="right"/>
              <w:ind w:right="165"/>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0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5"/>
                <w:szCs w:val="15"/>
                <w:color w:val="auto"/>
              </w:rPr>
              <w:t>Purchases of property and equipment in accounts payable and accrued liabilities</w:t>
            </w:r>
          </w:p>
        </w:tc>
        <w:tc>
          <w:tcPr>
            <w:tcW w:w="8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080" w:type="dxa"/>
            <w:vAlign w:val="bottom"/>
            <w:vMerge w:val="continue"/>
          </w:tcPr>
          <w:p>
            <w:pPr>
              <w:spacing w:after="0"/>
              <w:rPr>
                <w:sz w:val="12"/>
                <w:szCs w:val="12"/>
                <w:color w:val="auto"/>
              </w:rPr>
            </w:pPr>
          </w:p>
        </w:tc>
        <w:tc>
          <w:tcPr>
            <w:tcW w:w="800" w:type="dxa"/>
            <w:vAlign w:val="bottom"/>
            <w:tcBorders>
              <w:bottom w:val="single" w:sz="8" w:color="auto"/>
            </w:tcBorders>
          </w:tcPr>
          <w:p>
            <w:pPr>
              <w:jc w:val="right"/>
              <w:ind w:right="645"/>
              <w:spacing w:after="0" w:line="143" w:lineRule="exact"/>
              <w:rPr>
                <w:sz w:val="20"/>
                <w:szCs w:val="20"/>
                <w:color w:val="auto"/>
              </w:rPr>
            </w:pPr>
            <w:r>
              <w:rPr>
                <w:rFonts w:ascii="Times New Roman" w:cs="Times New Roman" w:eastAsia="Times New Roman" w:hAnsi="Times New Roman"/>
                <w:sz w:val="15"/>
                <w:szCs w:val="15"/>
                <w:color w:val="auto"/>
                <w:w w:val="79"/>
              </w:rPr>
              <w:t>$</w:t>
            </w:r>
          </w:p>
        </w:tc>
        <w:tc>
          <w:tcPr>
            <w:tcW w:w="48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5"/>
                <w:szCs w:val="15"/>
                <w:color w:val="auto"/>
              </w:rPr>
              <w:t>36</w:t>
            </w:r>
          </w:p>
        </w:tc>
        <w:tc>
          <w:tcPr>
            <w:tcW w:w="240" w:type="dxa"/>
            <w:vAlign w:val="bottom"/>
          </w:tcPr>
          <w:p>
            <w:pPr>
              <w:spacing w:after="0"/>
              <w:rPr>
                <w:sz w:val="12"/>
                <w:szCs w:val="12"/>
                <w:color w:val="auto"/>
              </w:rPr>
            </w:pPr>
          </w:p>
        </w:tc>
        <w:tc>
          <w:tcPr>
            <w:tcW w:w="20" w:type="dxa"/>
            <w:vAlign w:val="bottom"/>
            <w:tcBorders>
              <w:bottom w:val="single" w:sz="8" w:color="auto"/>
            </w:tcBorders>
            <w:vMerge w:val="continue"/>
          </w:tcPr>
          <w:p>
            <w:pPr>
              <w:spacing w:after="0"/>
              <w:rPr>
                <w:sz w:val="12"/>
                <w:szCs w:val="12"/>
                <w:color w:val="auto"/>
              </w:rPr>
            </w:pPr>
          </w:p>
        </w:tc>
        <w:tc>
          <w:tcPr>
            <w:tcW w:w="280" w:type="dxa"/>
            <w:vAlign w:val="bottom"/>
            <w:tcBorders>
              <w:bottom w:val="single" w:sz="8" w:color="auto"/>
            </w:tcBorders>
          </w:tcPr>
          <w:p>
            <w:pPr>
              <w:jc w:val="right"/>
              <w:ind w:right="165"/>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5"/>
                <w:szCs w:val="15"/>
                <w:color w:val="auto"/>
              </w:rPr>
              <w:t>—</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 w:name="page7"/>
    <w:bookmarkEnd w:id="6"/>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EVERSPIN TECHNOLOGIES, INC.</w:t>
      </w:r>
    </w:p>
    <w:p>
      <w:pPr>
        <w:spacing w:after="0" w:line="225"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1. Organization and Nature of Business</w:t>
      </w:r>
    </w:p>
    <w:p>
      <w:pPr>
        <w:spacing w:after="0" w:line="229" w:lineRule="exact"/>
        <w:rPr>
          <w:sz w:val="20"/>
          <w:szCs w:val="20"/>
          <w:color w:val="auto"/>
        </w:rPr>
      </w:pPr>
    </w:p>
    <w:p>
      <w:pPr>
        <w:ind w:left="40" w:right="99" w:firstLine="324"/>
        <w:spacing w:after="0" w:line="256" w:lineRule="auto"/>
        <w:rPr>
          <w:sz w:val="20"/>
          <w:szCs w:val="20"/>
          <w:color w:val="auto"/>
        </w:rPr>
      </w:pPr>
      <w:r>
        <w:rPr>
          <w:rFonts w:ascii="Times New Roman" w:cs="Times New Roman" w:eastAsia="Times New Roman" w:hAnsi="Times New Roman"/>
          <w:sz w:val="18"/>
          <w:szCs w:val="18"/>
          <w:color w:val="auto"/>
        </w:rPr>
        <w:t>Everspin Technologies, Inc. (the Company) was incorporated in Delaware on May 16, 2008. The Company’s magnetoresistive random-access memory (MRAM) solutions offer the persistence of non-volatile memory with the speed and endurance of random-access memory (RAM) and enable the protection of mission critical data particularly in the event of power interruption or failure. The Company’s MRAM solutions allow its customers in key markets, such as industrial, medical, automotive/transportation, aerospace and data center markets to design high performance, power efficient and reliable systems without the need for bulky batteries or capacitors.</w:t>
      </w:r>
    </w:p>
    <w:p>
      <w:pPr>
        <w:spacing w:after="0" w:line="18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ind w:left="40" w:right="119" w:firstLine="324"/>
        <w:spacing w:after="0" w:line="253" w:lineRule="auto"/>
        <w:rPr>
          <w:sz w:val="20"/>
          <w:szCs w:val="20"/>
          <w:color w:val="auto"/>
        </w:rPr>
      </w:pPr>
      <w:r>
        <w:rPr>
          <w:rFonts w:ascii="Times New Roman" w:cs="Times New Roman" w:eastAsia="Times New Roman" w:hAnsi="Times New Roman"/>
          <w:sz w:val="18"/>
          <w:szCs w:val="18"/>
          <w:color w:val="auto"/>
        </w:rPr>
        <w:t>The accompanying unaudited condensed financial statements have been prepared in accordance with generally accepted accounting principles in the United States of America (GAAP) and applicable rules and regulations of the Securities and Exchange Commission (SEC) regarding interim financial reporting. As permitted under those rules, certain footnotes or other financial information that are normally required by GAAP have been condensed or omitted, and accordingly the balance sheet as of December 31, 2023, has been derived from the audited financial statements at that date but does not include all of the information required by GAAP for complete financial statements. These unaudited interim condensed financial statements have been prepared on the same basis as the Company’s annual financial statements and, in the opinion of management, reflect all adjustments (consisting only of normal recurring adjustments) that are necessary for a fair statement of the Company’s financial information. The results of operations for the three and nine months ended September 30, 2024, are not necessarily indicative of the results to be expected for the year ending December 31, 2024 or for any other interim period or for any other future year.</w:t>
      </w:r>
    </w:p>
    <w:p>
      <w:pPr>
        <w:spacing w:after="0" w:line="192" w:lineRule="exact"/>
        <w:rPr>
          <w:sz w:val="20"/>
          <w:szCs w:val="20"/>
          <w:color w:val="auto"/>
        </w:rPr>
      </w:pPr>
    </w:p>
    <w:p>
      <w:pPr>
        <w:ind w:left="40" w:right="299" w:firstLine="324"/>
        <w:spacing w:after="0" w:line="266" w:lineRule="auto"/>
        <w:rPr>
          <w:sz w:val="20"/>
          <w:szCs w:val="20"/>
          <w:color w:val="auto"/>
        </w:rPr>
      </w:pPr>
      <w:r>
        <w:rPr>
          <w:rFonts w:ascii="Times New Roman" w:cs="Times New Roman" w:eastAsia="Times New Roman" w:hAnsi="Times New Roman"/>
          <w:sz w:val="18"/>
          <w:szCs w:val="18"/>
          <w:color w:val="auto"/>
        </w:rPr>
        <w:t>The accompanying condensed financial statements and related financial information should be read in conjunction with the audited financial statements and the related notes thereto for the year ended December 31, 2023, included in the Company’s Annual Report on Form 10-K filed with the SEC.</w:t>
      </w:r>
    </w:p>
    <w:p>
      <w:pPr>
        <w:spacing w:after="0" w:line="1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ind w:left="40" w:right="139" w:firstLine="324"/>
        <w:spacing w:after="0" w:line="255" w:lineRule="auto"/>
        <w:rPr>
          <w:sz w:val="20"/>
          <w:szCs w:val="20"/>
          <w:color w:val="auto"/>
        </w:rPr>
      </w:pPr>
      <w:r>
        <w:rPr>
          <w:rFonts w:ascii="Times New Roman" w:cs="Times New Roman" w:eastAsia="Times New Roman" w:hAnsi="Times New Roman"/>
          <w:sz w:val="18"/>
          <w:szCs w:val="18"/>
          <w:color w:val="auto"/>
        </w:rPr>
        <w:t>The preparation of the condensed financial statements in conformity with GAAP requires management to make estimates and assumptions that affect the reported amounts of assets and liabilities and disclosure of contingent assets and liabilities as of the date of the condensed financial statements and the reported amounts of revenues and expenses during the reporting period. On an ongoing basis, management evaluates its estimates, including those related to revenue recognition, fair value of assets and liabilities, inventory net realizable value, deferred tax assets and related valuation allowances, and stock-based compensation. The Company believes its estimates and assumptions are reasonable; however, actual results may differ from the Company’s estimates.</w:t>
      </w:r>
    </w:p>
    <w:p>
      <w:pPr>
        <w:spacing w:after="0" w:line="1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net</w:t>
      </w:r>
    </w:p>
    <w:p>
      <w:pPr>
        <w:spacing w:after="0" w:line="229" w:lineRule="exact"/>
        <w:rPr>
          <w:sz w:val="20"/>
          <w:szCs w:val="20"/>
          <w:color w:val="auto"/>
        </w:rPr>
      </w:pPr>
    </w:p>
    <w:p>
      <w:pPr>
        <w:ind w:left="40" w:right="139" w:firstLine="324"/>
        <w:spacing w:after="0" w:line="256" w:lineRule="auto"/>
        <w:rPr>
          <w:sz w:val="20"/>
          <w:szCs w:val="20"/>
          <w:color w:val="auto"/>
        </w:rPr>
      </w:pPr>
      <w:r>
        <w:rPr>
          <w:rFonts w:ascii="Times New Roman" w:cs="Times New Roman" w:eastAsia="Times New Roman" w:hAnsi="Times New Roman"/>
          <w:sz w:val="18"/>
          <w:szCs w:val="18"/>
          <w:color w:val="auto"/>
        </w:rPr>
        <w:t>The Company establishes an allowance for product returns. The Company analyzes historical returns, current economic trends and changes in customer demand and acceptance of products when evaluating the adequacy of sales returns. Returns are processed as credits on future purchases and, as a result, the allowance is recorded against the balance of trade accounts receivable. In addition, the Company, from time to time, may establish an allowance for estimated price adjustments related to its distributor agreements. The Company estimates credits to distributors based on the historical rate of credits provided to distributors relative to sales and evaluation of current market conditions.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 w:name="page8"/>
    <w:bookmarkEnd w:id="7"/>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Accounts receivable, net consisted of the following (in thousands):</w:t>
      </w:r>
    </w:p>
    <w:p>
      <w:pPr>
        <w:spacing w:after="0" w:line="220"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4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 w:type="dxa"/>
            <w:vAlign w:val="bottom"/>
          </w:tcPr>
          <w:p>
            <w:pPr>
              <w:spacing w:after="0"/>
              <w:rPr>
                <w:sz w:val="13"/>
                <w:szCs w:val="13"/>
                <w:color w:val="auto"/>
              </w:rPr>
            </w:pPr>
          </w:p>
        </w:tc>
        <w:tc>
          <w:tcPr>
            <w:tcW w:w="8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48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09"/>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accounts receivable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11,503</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11,489</w:t>
            </w: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Unbilled accounts receivable</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w:t>
            </w: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Allowance for product returns and price adjustments</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(363)</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w:t>
            </w:r>
          </w:p>
        </w:tc>
      </w:tr>
      <w:tr>
        <w:trPr>
          <w:trHeight w:val="210"/>
        </w:trPr>
        <w:tc>
          <w:tcPr>
            <w:tcW w:w="4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receivable, net</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11,407</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11,554</w:t>
            </w:r>
          </w:p>
        </w:tc>
      </w:tr>
      <w:tr>
        <w:trPr>
          <w:trHeight w:val="20"/>
        </w:trPr>
        <w:tc>
          <w:tcPr>
            <w:tcW w:w="48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229" w:lineRule="exact"/>
        <w:rPr>
          <w:sz w:val="20"/>
          <w:szCs w:val="20"/>
          <w:color w:val="auto"/>
        </w:rPr>
      </w:pPr>
    </w:p>
    <w:p>
      <w:pPr>
        <w:ind w:left="40" w:right="179" w:firstLine="324"/>
        <w:spacing w:after="0" w:line="266" w:lineRule="auto"/>
        <w:rPr>
          <w:sz w:val="20"/>
          <w:szCs w:val="20"/>
          <w:color w:val="auto"/>
        </w:rPr>
      </w:pPr>
      <w:r>
        <w:rPr>
          <w:rFonts w:ascii="Times New Roman" w:cs="Times New Roman" w:eastAsia="Times New Roman" w:hAnsi="Times New Roman"/>
          <w:sz w:val="18"/>
          <w:szCs w:val="18"/>
          <w:color w:val="auto"/>
        </w:rPr>
        <w:t>Financial instruments that potentially expose the Company to a concentration of credit risk consist principally of cash and cash equivalents that are held by a financial institution in the United States and accounts receivable. Amounts on deposit with a financial institution may at times exceed federally insured limits.</w:t>
      </w:r>
    </w:p>
    <w:p>
      <w:pPr>
        <w:spacing w:after="0" w:line="176" w:lineRule="exact"/>
        <w:rPr>
          <w:sz w:val="20"/>
          <w:szCs w:val="20"/>
          <w:color w:val="auto"/>
        </w:rPr>
      </w:pPr>
    </w:p>
    <w:p>
      <w:pPr>
        <w:ind w:left="40" w:right="99" w:firstLine="324"/>
        <w:spacing w:after="0" w:line="256" w:lineRule="auto"/>
        <w:rPr>
          <w:sz w:val="20"/>
          <w:szCs w:val="20"/>
          <w:color w:val="auto"/>
        </w:rPr>
      </w:pPr>
      <w:r>
        <w:rPr>
          <w:rFonts w:ascii="Times New Roman" w:cs="Times New Roman" w:eastAsia="Times New Roman" w:hAnsi="Times New Roman"/>
          <w:sz w:val="18"/>
          <w:szCs w:val="18"/>
          <w:color w:val="auto"/>
        </w:rPr>
        <w:t>Significant customers are those which represent more than 10% of the Company’s total revenue or net accounts receivable balance at each respective balance sheet date. For the purposes of this disclosure, the Company defines “customer” as the entity that is purchasing the products or licenses directly from the Company, which includes the distributors of the Company’s products in addition to end customers that the Company sells to directly. For each significant customer, revenue as a percentage of total revenue and accounts receivable as a percentage of total accounts receivable, net are as follows:</w:t>
      </w:r>
    </w:p>
    <w:p>
      <w:pPr>
        <w:spacing w:after="0" w:line="19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4"/>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56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980" w:type="dxa"/>
            <w:vAlign w:val="bottom"/>
            <w:tcBorders>
              <w:bottom w:val="single" w:sz="8" w:color="auto"/>
            </w:tcBorders>
            <w:gridSpan w:val="3"/>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Accounts Receivable, net</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20" w:type="dxa"/>
            <w:vAlign w:val="bottom"/>
            <w:gridSpan w:val="5"/>
          </w:tcPr>
          <w:p>
            <w:pPr>
              <w:jc w:val="center"/>
              <w:ind w:right="50"/>
              <w:spacing w:after="0" w:line="118" w:lineRule="exact"/>
              <w:rPr>
                <w:sz w:val="20"/>
                <w:szCs w:val="20"/>
                <w:color w:val="auto"/>
              </w:rPr>
            </w:pPr>
            <w:r>
              <w:rPr>
                <w:rFonts w:ascii="Times New Roman" w:cs="Times New Roman" w:eastAsia="Times New Roman" w:hAnsi="Times New Roman"/>
                <w:sz w:val="13"/>
                <w:szCs w:val="13"/>
                <w:b w:val="1"/>
                <w:bCs w:val="1"/>
                <w:color w:val="auto"/>
              </w:rPr>
              <w:t>Three Months</w:t>
            </w:r>
          </w:p>
        </w:tc>
        <w:tc>
          <w:tcPr>
            <w:tcW w:w="1480" w:type="dxa"/>
            <w:vAlign w:val="bottom"/>
            <w:gridSpan w:val="4"/>
            <w:vMerge w:val="restart"/>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140" w:type="dxa"/>
            <w:vAlign w:val="bottom"/>
            <w:gridSpan w:val="4"/>
            <w:vMerge w:val="restart"/>
          </w:tcPr>
          <w:p>
            <w:pPr>
              <w:jc w:val="right"/>
              <w:ind w:right="89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48"/>
        </w:trPr>
        <w:tc>
          <w:tcPr>
            <w:tcW w:w="3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3"/>
          </w:tcPr>
          <w:p>
            <w:pPr>
              <w:jc w:val="center"/>
              <w:ind w:left="299"/>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gridSpan w:val="4"/>
            <w:vMerge w:val="continue"/>
          </w:tcPr>
          <w:p>
            <w:pPr>
              <w:spacing w:after="0"/>
              <w:rPr>
                <w:sz w:val="12"/>
                <w:szCs w:val="12"/>
                <w:color w:val="auto"/>
              </w:rPr>
            </w:pPr>
          </w:p>
        </w:tc>
        <w:tc>
          <w:tcPr>
            <w:tcW w:w="214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gridSpan w:val="5"/>
          </w:tcPr>
          <w:p>
            <w:pPr>
              <w:jc w:val="center"/>
              <w:ind w:right="9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80" w:type="dxa"/>
            <w:vAlign w:val="bottom"/>
            <w:gridSpan w:val="4"/>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40" w:type="dxa"/>
            <w:vAlign w:val="bottom"/>
            <w:gridSpan w:val="2"/>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3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18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Customers</w:t>
            </w:r>
          </w:p>
        </w:tc>
        <w:tc>
          <w:tcPr>
            <w:tcW w:w="540" w:type="dxa"/>
            <w:vAlign w:val="bottom"/>
            <w:tcBorders>
              <w:top w:val="single" w:sz="8" w:color="auto"/>
            </w:tcBorders>
          </w:tcPr>
          <w:p>
            <w:pPr>
              <w:jc w:val="right"/>
              <w:ind w:right="3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160" w:type="dxa"/>
            <w:vAlign w:val="bottom"/>
          </w:tcPr>
          <w:p>
            <w:pPr>
              <w:spacing w:after="0"/>
              <w:rPr>
                <w:sz w:val="12"/>
                <w:szCs w:val="12"/>
                <w:color w:val="auto"/>
              </w:rPr>
            </w:pPr>
          </w:p>
        </w:tc>
        <w:tc>
          <w:tcPr>
            <w:tcW w:w="560" w:type="dxa"/>
            <w:vAlign w:val="bottom"/>
            <w:tcBorders>
              <w:top w:val="single" w:sz="8" w:color="auto"/>
            </w:tcBorders>
          </w:tcPr>
          <w:p>
            <w:pPr>
              <w:jc w:val="right"/>
              <w:ind w:right="3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5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2"/>
                <w:szCs w:val="12"/>
                <w:color w:val="auto"/>
              </w:rPr>
            </w:pPr>
          </w:p>
        </w:tc>
        <w:tc>
          <w:tcPr>
            <w:tcW w:w="940" w:type="dxa"/>
            <w:vAlign w:val="bottom"/>
          </w:tcPr>
          <w:p>
            <w:pPr>
              <w:jc w:val="right"/>
              <w:ind w:right="23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2"/>
                <w:szCs w:val="12"/>
                <w:color w:val="auto"/>
              </w:rPr>
            </w:pPr>
          </w:p>
        </w:tc>
        <w:tc>
          <w:tcPr>
            <w:tcW w:w="880" w:type="dxa"/>
            <w:vAlign w:val="bottom"/>
          </w:tcPr>
          <w:p>
            <w:pPr>
              <w:jc w:val="right"/>
              <w:ind w:right="21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4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A</w:t>
            </w:r>
          </w:p>
        </w:tc>
        <w:tc>
          <w:tcPr>
            <w:tcW w:w="14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Customer B</w:t>
            </w: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11 %</w:t>
            </w:r>
          </w:p>
        </w:tc>
        <w:tc>
          <w:tcPr>
            <w:tcW w:w="8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1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C</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Customer D</w:t>
            </w: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32 %</w:t>
            </w:r>
          </w:p>
        </w:tc>
        <w:tc>
          <w:tcPr>
            <w:tcW w:w="8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51 %</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1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E</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380" w:type="dxa"/>
            <w:vAlign w:val="bottom"/>
            <w:tcBorders>
              <w:bottom w:val="single" w:sz="8" w:color="auto"/>
            </w:tcBorders>
          </w:tcPr>
          <w:p>
            <w:pPr>
              <w:spacing w:after="0"/>
              <w:rPr>
                <w:sz w:val="9"/>
                <w:szCs w:val="9"/>
                <w:color w:val="auto"/>
              </w:rPr>
            </w:pPr>
          </w:p>
        </w:tc>
        <w:tc>
          <w:tcPr>
            <w:tcW w:w="1680" w:type="dxa"/>
            <w:vAlign w:val="bottom"/>
            <w:tcBorders>
              <w:bottom w:val="single" w:sz="8" w:color="auto"/>
            </w:tcBorders>
            <w:gridSpan w:val="2"/>
          </w:tcPr>
          <w:p>
            <w:pPr>
              <w:spacing w:after="0"/>
              <w:rPr>
                <w:sz w:val="9"/>
                <w:szCs w:val="9"/>
                <w:color w:val="auto"/>
              </w:rPr>
            </w:pPr>
          </w:p>
        </w:tc>
        <w:tc>
          <w:tcPr>
            <w:tcW w:w="1020" w:type="dxa"/>
            <w:vAlign w:val="bottom"/>
            <w:gridSpan w:val="2"/>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4"/>
        </w:trPr>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700" w:type="dxa"/>
            <w:vAlign w:val="bottom"/>
            <w:gridSpan w:val="4"/>
          </w:tcPr>
          <w:p>
            <w:pPr>
              <w:ind w:left="280"/>
              <w:spacing w:after="0"/>
              <w:rPr>
                <w:sz w:val="20"/>
                <w:szCs w:val="20"/>
                <w:color w:val="auto"/>
              </w:rPr>
            </w:pPr>
            <w:r>
              <w:rPr>
                <w:rFonts w:ascii="Times New Roman" w:cs="Times New Roman" w:eastAsia="Times New Roman" w:hAnsi="Times New Roman"/>
                <w:sz w:val="18"/>
                <w:szCs w:val="18"/>
                <w:color w:val="auto"/>
              </w:rPr>
              <w:t>Less than 10%</w:t>
            </w: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229" w:lineRule="exact"/>
        <w:rPr>
          <w:sz w:val="20"/>
          <w:szCs w:val="20"/>
          <w:color w:val="auto"/>
        </w:rPr>
      </w:pPr>
    </w:p>
    <w:p>
      <w:pPr>
        <w:jc w:val="both"/>
        <w:ind w:left="40" w:right="79" w:firstLine="324"/>
        <w:spacing w:after="0" w:line="266" w:lineRule="auto"/>
        <w:rPr>
          <w:sz w:val="20"/>
          <w:szCs w:val="20"/>
          <w:color w:val="auto"/>
        </w:rPr>
      </w:pPr>
      <w:r>
        <w:rPr>
          <w:rFonts w:ascii="Times New Roman" w:cs="Times New Roman" w:eastAsia="Times New Roman" w:hAnsi="Times New Roman"/>
          <w:sz w:val="18"/>
          <w:szCs w:val="18"/>
          <w:color w:val="auto"/>
        </w:rPr>
        <w:t>Fair value is defined as an exit price, representing the amount that would be received to sell an asset, or paid to transfer a liability, in an orderly transaction between market participants. The framework for measuring fair value provides a three-tier hierarchy prioritizing inputs to valuation techniques used in measuring fair value as follows:</w:t>
      </w:r>
    </w:p>
    <w:p>
      <w:pPr>
        <w:spacing w:after="0" w:line="17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Level 1— Observable inputs such as quoted prices for identical assets or liabilities in active markets;</w:t>
      </w:r>
    </w:p>
    <w:p>
      <w:pPr>
        <w:spacing w:after="0" w:line="225" w:lineRule="exact"/>
        <w:rPr>
          <w:sz w:val="20"/>
          <w:szCs w:val="20"/>
          <w:color w:val="auto"/>
        </w:rPr>
      </w:pPr>
    </w:p>
    <w:p>
      <w:pPr>
        <w:ind w:left="360" w:right="419"/>
        <w:spacing w:after="0" w:line="282" w:lineRule="auto"/>
        <w:rPr>
          <w:sz w:val="20"/>
          <w:szCs w:val="20"/>
          <w:color w:val="auto"/>
        </w:rPr>
      </w:pPr>
      <w:r>
        <w:rPr>
          <w:rFonts w:ascii="Times New Roman" w:cs="Times New Roman" w:eastAsia="Times New Roman" w:hAnsi="Times New Roman"/>
          <w:sz w:val="18"/>
          <w:szCs w:val="18"/>
          <w:color w:val="auto"/>
        </w:rPr>
        <w:t>Level 2— Inputs, other than quoted prices for identical assets or liabilities in active markets, which are observable either directly or indirectly; and</w:t>
      </w:r>
    </w:p>
    <w:p>
      <w:pPr>
        <w:spacing w:after="0" w:line="162" w:lineRule="exact"/>
        <w:rPr>
          <w:sz w:val="20"/>
          <w:szCs w:val="20"/>
          <w:color w:val="auto"/>
        </w:rPr>
      </w:pPr>
    </w:p>
    <w:p>
      <w:pPr>
        <w:ind w:left="360" w:right="339"/>
        <w:spacing w:after="0" w:line="282" w:lineRule="auto"/>
        <w:rPr>
          <w:sz w:val="20"/>
          <w:szCs w:val="20"/>
          <w:color w:val="auto"/>
        </w:rPr>
      </w:pPr>
      <w:r>
        <w:rPr>
          <w:rFonts w:ascii="Times New Roman" w:cs="Times New Roman" w:eastAsia="Times New Roman" w:hAnsi="Times New Roman"/>
          <w:sz w:val="18"/>
          <w:szCs w:val="18"/>
          <w:color w:val="auto"/>
        </w:rPr>
        <w:t>Level 3— Unobservable inputs in which there is little or no market data requiring the reporting entity to develop its own assumptions.</w:t>
      </w:r>
    </w:p>
    <w:p>
      <w:pPr>
        <w:spacing w:after="0" w:line="162" w:lineRule="exact"/>
        <w:rPr>
          <w:sz w:val="20"/>
          <w:szCs w:val="20"/>
          <w:color w:val="auto"/>
        </w:rPr>
      </w:pPr>
    </w:p>
    <w:p>
      <w:pPr>
        <w:ind w:left="40" w:right="99" w:firstLine="324"/>
        <w:spacing w:after="0" w:line="261" w:lineRule="auto"/>
        <w:rPr>
          <w:sz w:val="20"/>
          <w:szCs w:val="20"/>
          <w:color w:val="auto"/>
        </w:rPr>
      </w:pPr>
      <w:r>
        <w:rPr>
          <w:rFonts w:ascii="Times New Roman" w:cs="Times New Roman" w:eastAsia="Times New Roman" w:hAnsi="Times New Roman"/>
          <w:sz w:val="18"/>
          <w:szCs w:val="18"/>
          <w:color w:val="auto"/>
        </w:rPr>
        <w:t>The carrying value of accounts receivable, accounts payable, and other accruals readily convertible into cash approximate fair value because of the short-term nature of the instruments. The Company’s financial instruments consist of Level 1 assets. Where quoted prices are available in an active market, securities are classified as Level 1. Level 1 assets consist of highly liquid money market funds that are included in cash equivalents.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 w:name="page9"/>
    <w:bookmarkEnd w:id="8"/>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0" w:right="11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tables sets forth the fair value of the Company’s financial assets and liabilities measured at fair value on a recurring basis (in thousands):</w:t>
      </w:r>
    </w:p>
    <w:p>
      <w:pPr>
        <w:spacing w:after="0" w:line="169"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28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r>
      <w:tr>
        <w:trPr>
          <w:trHeight w:val="142"/>
        </w:trPr>
        <w:tc>
          <w:tcPr>
            <w:tcW w:w="28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Pr>
          <w:p>
            <w:pPr>
              <w:spacing w:after="0"/>
              <w:rPr>
                <w:sz w:val="12"/>
                <w:szCs w:val="12"/>
                <w:color w:val="auto"/>
              </w:rPr>
            </w:pPr>
          </w:p>
        </w:tc>
        <w:tc>
          <w:tcPr>
            <w:tcW w:w="680" w:type="dxa"/>
            <w:vAlign w:val="bottom"/>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ind w:right="176"/>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r>
      <w:tr>
        <w:trPr>
          <w:trHeight w:val="209"/>
        </w:trPr>
        <w:tc>
          <w:tcPr>
            <w:tcW w:w="28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r>
      <w:tr>
        <w:trPr>
          <w:trHeight w:val="216"/>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39,588</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39,588</w:t>
            </w:r>
          </w:p>
        </w:tc>
      </w:tr>
      <w:tr>
        <w:trPr>
          <w:trHeight w:val="210"/>
        </w:trPr>
        <w:tc>
          <w:tcPr>
            <w:tcW w:w="28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4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39,588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39,588</w:t>
            </w:r>
          </w:p>
        </w:tc>
      </w:tr>
      <w:tr>
        <w:trPr>
          <w:trHeight w:val="20"/>
        </w:trPr>
        <w:tc>
          <w:tcPr>
            <w:tcW w:w="28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574"/>
        </w:trPr>
        <w:tc>
          <w:tcPr>
            <w:tcW w:w="2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4"/>
          </w:tcPr>
          <w:p>
            <w:pPr>
              <w:ind w:left="2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r>
      <w:tr>
        <w:trPr>
          <w:trHeight w:val="142"/>
        </w:trPr>
        <w:tc>
          <w:tcPr>
            <w:tcW w:w="28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Pr>
          <w:p>
            <w:pPr>
              <w:spacing w:after="0"/>
              <w:rPr>
                <w:sz w:val="12"/>
                <w:szCs w:val="12"/>
                <w:color w:val="auto"/>
              </w:rPr>
            </w:pPr>
          </w:p>
        </w:tc>
        <w:tc>
          <w:tcPr>
            <w:tcW w:w="680" w:type="dxa"/>
            <w:vAlign w:val="bottom"/>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ind w:right="176"/>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r>
      <w:tr>
        <w:trPr>
          <w:trHeight w:val="209"/>
        </w:trPr>
        <w:tc>
          <w:tcPr>
            <w:tcW w:w="28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r>
      <w:tr>
        <w:trPr>
          <w:trHeight w:val="216"/>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36,946</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36,946</w:t>
            </w:r>
          </w:p>
        </w:tc>
      </w:tr>
      <w:tr>
        <w:trPr>
          <w:trHeight w:val="210"/>
        </w:trPr>
        <w:tc>
          <w:tcPr>
            <w:tcW w:w="28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4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36,946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36,946</w:t>
            </w:r>
          </w:p>
        </w:tc>
      </w:tr>
      <w:tr>
        <w:trPr>
          <w:trHeight w:val="20"/>
        </w:trPr>
        <w:tc>
          <w:tcPr>
            <w:tcW w:w="28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 Under Evaluation</w:t>
      </w:r>
    </w:p>
    <w:p>
      <w:pPr>
        <w:spacing w:after="0" w:line="227" w:lineRule="exact"/>
        <w:rPr>
          <w:sz w:val="20"/>
          <w:szCs w:val="20"/>
          <w:color w:val="auto"/>
        </w:rPr>
      </w:pPr>
    </w:p>
    <w:p>
      <w:pPr>
        <w:ind w:left="40" w:right="79" w:firstLine="324"/>
        <w:spacing w:after="0" w:line="256" w:lineRule="auto"/>
        <w:rPr>
          <w:sz w:val="20"/>
          <w:szCs w:val="20"/>
          <w:color w:val="auto"/>
        </w:rPr>
      </w:pPr>
      <w:r>
        <w:rPr>
          <w:rFonts w:ascii="Times New Roman" w:cs="Times New Roman" w:eastAsia="Times New Roman" w:hAnsi="Times New Roman"/>
          <w:sz w:val="18"/>
          <w:szCs w:val="18"/>
          <w:color w:val="auto"/>
        </w:rPr>
        <w:t xml:space="preserve">In November 2023, the FASB issued ASU No. 2023-07, </w:t>
      </w:r>
      <w:r>
        <w:rPr>
          <w:rFonts w:ascii="Times New Roman" w:cs="Times New Roman" w:eastAsia="Times New Roman" w:hAnsi="Times New Roman"/>
          <w:sz w:val="18"/>
          <w:szCs w:val="18"/>
          <w:i w:val="1"/>
          <w:iCs w:val="1"/>
          <w:color w:val="auto"/>
        </w:rPr>
        <w:t>Segment Reporting (Topic 280) – Improvements to Reportable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Segment Disclosures</w:t>
      </w:r>
      <w:r>
        <w:rPr>
          <w:rFonts w:ascii="Times New Roman" w:cs="Times New Roman" w:eastAsia="Times New Roman" w:hAnsi="Times New Roman"/>
          <w:sz w:val="18"/>
          <w:szCs w:val="18"/>
          <w:color w:val="auto"/>
        </w:rPr>
        <w:t>, which improves reportable segment disclosure requirements, primarily through enhanced disclosures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about significant segment expenses. This ASU also expands disclosure requirements to enable users of financial statements to better understand the entity’s measurement and assessment of segment performance and resource allocation. This guidance is effective for fiscal years beginning after December 15, 2023, and interim periods within fiscal years beginning after December 15, 2024, with early adoption permitted. The Company is currently evaluating the impact that the standard will have on its condensed financial statements.</w:t>
      </w:r>
    </w:p>
    <w:p>
      <w:pPr>
        <w:spacing w:after="0" w:line="183" w:lineRule="exact"/>
        <w:rPr>
          <w:sz w:val="20"/>
          <w:szCs w:val="20"/>
          <w:color w:val="auto"/>
        </w:rPr>
      </w:pPr>
    </w:p>
    <w:p>
      <w:pPr>
        <w:ind w:left="40" w:right="159" w:firstLine="324"/>
        <w:spacing w:after="0" w:line="257" w:lineRule="auto"/>
        <w:rPr>
          <w:sz w:val="20"/>
          <w:szCs w:val="20"/>
          <w:color w:val="auto"/>
        </w:rPr>
      </w:pPr>
      <w:r>
        <w:rPr>
          <w:rFonts w:ascii="Times New Roman" w:cs="Times New Roman" w:eastAsia="Times New Roman" w:hAnsi="Times New Roman"/>
          <w:sz w:val="18"/>
          <w:szCs w:val="18"/>
          <w:color w:val="auto"/>
        </w:rPr>
        <w:t>In December 2023, the FASB issued ASU No. 2023-09</w:t>
      </w:r>
      <w:r>
        <w:rPr>
          <w:rFonts w:ascii="Times New Roman" w:cs="Times New Roman" w:eastAsia="Times New Roman" w:hAnsi="Times New Roman"/>
          <w:sz w:val="18"/>
          <w:szCs w:val="18"/>
          <w:i w:val="1"/>
          <w:iCs w:val="1"/>
          <w:color w:val="auto"/>
        </w:rPr>
        <w:t>, Income Taxes (Topic 740): Improvements to Income 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Disclosures</w:t>
      </w:r>
      <w:r>
        <w:rPr>
          <w:rFonts w:ascii="Times New Roman" w:cs="Times New Roman" w:eastAsia="Times New Roman" w:hAnsi="Times New Roman"/>
          <w:sz w:val="18"/>
          <w:szCs w:val="18"/>
          <w:color w:val="auto"/>
        </w:rPr>
        <w:t>, which is intended to improve an entity’s income tax disclosures, primarily through disaggregated information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about an entity’s effective income tax rate reconciliation and additional disclosures regarding income taxes paid. ASU 2023-09 is effective for the Company’s annual reporting periods, and interim periods within those years, beginning after December 15, 2024, on a prospective basis. The Company is currently evaluating the impact that the standard will have on its condensed financial statements.</w:t>
      </w:r>
    </w:p>
    <w:p>
      <w:pPr>
        <w:spacing w:after="0" w:line="184" w:lineRule="exact"/>
        <w:rPr>
          <w:sz w:val="20"/>
          <w:szCs w:val="20"/>
          <w:color w:val="auto"/>
        </w:rPr>
      </w:pPr>
    </w:p>
    <w:p>
      <w:pPr>
        <w:ind w:left="40" w:right="219" w:firstLine="324"/>
        <w:spacing w:after="0" w:line="282" w:lineRule="auto"/>
        <w:rPr>
          <w:sz w:val="20"/>
          <w:szCs w:val="20"/>
          <w:color w:val="auto"/>
        </w:rPr>
      </w:pPr>
      <w:r>
        <w:rPr>
          <w:rFonts w:ascii="Times New Roman" w:cs="Times New Roman" w:eastAsia="Times New Roman" w:hAnsi="Times New Roman"/>
          <w:sz w:val="18"/>
          <w:szCs w:val="18"/>
          <w:color w:val="212529"/>
        </w:rPr>
        <w:t xml:space="preserve">The Company </w:t>
      </w:r>
      <w:r>
        <w:rPr>
          <w:rFonts w:ascii="Times New Roman" w:cs="Times New Roman" w:eastAsia="Times New Roman" w:hAnsi="Times New Roman"/>
          <w:sz w:val="18"/>
          <w:szCs w:val="18"/>
          <w:color w:val="000000"/>
        </w:rPr>
        <w:t>reviewed</w:t>
      </w:r>
      <w:r>
        <w:rPr>
          <w:rFonts w:ascii="Times New Roman" w:cs="Times New Roman" w:eastAsia="Times New Roman" w:hAnsi="Times New Roman"/>
          <w:sz w:val="18"/>
          <w:szCs w:val="18"/>
          <w:color w:val="212529"/>
        </w:rPr>
        <w:t xml:space="preserve"> all other recently issued accounting pronouncements and concluded that they were either not applicable or not expected to have a significant impact to the condensed financial statements.</w:t>
      </w:r>
    </w:p>
    <w:p>
      <w:pPr>
        <w:spacing w:after="0" w:line="1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3. Statements of Operations and Comprehensive (Loss) Income Components</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ind w:left="40" w:right="199" w:firstLine="324"/>
        <w:spacing w:after="0" w:line="266" w:lineRule="auto"/>
        <w:rPr>
          <w:sz w:val="20"/>
          <w:szCs w:val="20"/>
          <w:color w:val="auto"/>
        </w:rPr>
      </w:pPr>
      <w:r>
        <w:rPr>
          <w:rFonts w:ascii="Times New Roman" w:cs="Times New Roman" w:eastAsia="Times New Roman" w:hAnsi="Times New Roman"/>
          <w:sz w:val="18"/>
          <w:szCs w:val="18"/>
          <w:color w:val="auto"/>
        </w:rPr>
        <w:t>The Company sells products to its distributors, original design manufacturers (ODMs), and original equipment manufacturers (OEMs). The Company also recognizes revenue under licensing, patent, and royalty agreements with some customers.</w:t>
      </w:r>
    </w:p>
    <w:p>
      <w:pPr>
        <w:spacing w:after="0" w:line="17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following table presents the Company’s revenues disaggregated by sales channel (in thousands):</w:t>
      </w:r>
    </w:p>
    <w:p>
      <w:pPr>
        <w:spacing w:after="0" w:line="232"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230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40" w:type="dxa"/>
            <w:vAlign w:val="bottom"/>
          </w:tcPr>
          <w:p>
            <w:pPr>
              <w:spacing w:after="0"/>
              <w:rPr>
                <w:sz w:val="15"/>
                <w:szCs w:val="15"/>
                <w:color w:val="auto"/>
              </w:rPr>
            </w:pPr>
          </w:p>
        </w:tc>
        <w:tc>
          <w:tcPr>
            <w:tcW w:w="222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42"/>
        </w:trPr>
        <w:tc>
          <w:tcPr>
            <w:tcW w:w="20" w:type="dxa"/>
            <w:vAlign w:val="bottom"/>
          </w:tcPr>
          <w:p>
            <w:pPr>
              <w:spacing w:after="0"/>
              <w:rPr>
                <w:sz w:val="12"/>
                <w:szCs w:val="12"/>
                <w:color w:val="auto"/>
              </w:rPr>
            </w:pPr>
          </w:p>
        </w:tc>
        <w:tc>
          <w:tcPr>
            <w:tcW w:w="244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9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1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7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9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209"/>
        </w:trPr>
        <w:tc>
          <w:tcPr>
            <w:tcW w:w="20" w:type="dxa"/>
            <w:vAlign w:val="bottom"/>
          </w:tcPr>
          <w:p>
            <w:pPr>
              <w:spacing w:after="0"/>
              <w:rPr>
                <w:sz w:val="18"/>
                <w:szCs w:val="18"/>
                <w:color w:val="auto"/>
              </w:rPr>
            </w:pPr>
          </w:p>
        </w:tc>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Distributor</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10,152</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12,964</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29,666</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38,171</w:t>
            </w:r>
          </w:p>
        </w:tc>
      </w:tr>
      <w:tr>
        <w:trPr>
          <w:trHeight w:val="216"/>
        </w:trPr>
        <w:tc>
          <w:tcPr>
            <w:tcW w:w="20" w:type="dxa"/>
            <w:vAlign w:val="bottom"/>
          </w:tcPr>
          <w:p>
            <w:pPr>
              <w:spacing w:after="0"/>
              <w:rPr>
                <w:sz w:val="18"/>
                <w:szCs w:val="18"/>
                <w:color w:val="auto"/>
              </w:rPr>
            </w:pPr>
          </w:p>
        </w:tc>
        <w:tc>
          <w:tcPr>
            <w:tcW w:w="2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Non-distributor</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1,941</w:t>
            </w:r>
          </w:p>
        </w:tc>
        <w:tc>
          <w:tcPr>
            <w:tcW w:w="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3,502</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7,493</w:t>
            </w:r>
          </w:p>
        </w:tc>
        <w:tc>
          <w:tcPr>
            <w:tcW w:w="1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8,888</w:t>
            </w:r>
          </w:p>
        </w:tc>
      </w:tr>
      <w:tr>
        <w:trPr>
          <w:trHeight w:val="209"/>
        </w:trPr>
        <w:tc>
          <w:tcPr>
            <w:tcW w:w="20" w:type="dxa"/>
            <w:vAlign w:val="bottom"/>
          </w:tcPr>
          <w:p>
            <w:pPr>
              <w:spacing w:after="0"/>
              <w:rPr>
                <w:sz w:val="18"/>
                <w:szCs w:val="18"/>
                <w:color w:val="auto"/>
              </w:rPr>
            </w:pPr>
          </w:p>
        </w:tc>
        <w:tc>
          <w:tcPr>
            <w:tcW w:w="24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revenue</w:t>
            </w:r>
          </w:p>
        </w:tc>
        <w:tc>
          <w:tcPr>
            <w:tcW w:w="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12,093</w:t>
            </w:r>
          </w:p>
        </w:tc>
        <w:tc>
          <w:tcPr>
            <w:tcW w:w="1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16,466</w:t>
            </w:r>
          </w:p>
        </w:tc>
        <w:tc>
          <w:tcPr>
            <w:tcW w:w="1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37,159</w:t>
            </w:r>
          </w:p>
        </w:tc>
        <w:tc>
          <w:tcPr>
            <w:tcW w:w="1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47,059</w:t>
            </w:r>
          </w:p>
        </w:tc>
      </w:tr>
      <w:tr>
        <w:trPr>
          <w:trHeight w:val="20"/>
        </w:trPr>
        <w:tc>
          <w:tcPr>
            <w:tcW w:w="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 w:name="page10"/>
    <w:bookmarkEnd w:id="9"/>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following table presents the Company’s revenues disaggregated by timing of recognition (in thousands):</w:t>
      </w:r>
    </w:p>
    <w:p>
      <w:pPr>
        <w:spacing w:after="0" w:line="165" w:lineRule="exact"/>
        <w:rPr>
          <w:sz w:val="20"/>
          <w:szCs w:val="20"/>
          <w:color w:val="auto"/>
        </w:rPr>
      </w:pPr>
    </w:p>
    <w:tbl>
      <w:tblPr>
        <w:tblLayout w:type="fixed"/>
        <w:tblInd w:w="960" w:type="dxa"/>
        <w:tblCellMar>
          <w:top w:w="0" w:type="dxa"/>
          <w:left w:w="0" w:type="dxa"/>
          <w:bottom w:w="0" w:type="dxa"/>
          <w:right w:w="0" w:type="dxa"/>
        </w:tblCellMar>
      </w:tblPr>
      <w:tr>
        <w:trPr>
          <w:trHeight w:val="173"/>
        </w:trPr>
        <w:tc>
          <w:tcPr>
            <w:tcW w:w="2440" w:type="dxa"/>
            <w:vAlign w:val="bottom"/>
          </w:tcPr>
          <w:p>
            <w:pPr>
              <w:spacing w:after="0"/>
              <w:rPr>
                <w:sz w:val="15"/>
                <w:szCs w:val="15"/>
                <w:color w:val="auto"/>
              </w:rPr>
            </w:pPr>
          </w:p>
        </w:tc>
        <w:tc>
          <w:tcPr>
            <w:tcW w:w="230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40" w:type="dxa"/>
            <w:vAlign w:val="bottom"/>
          </w:tcPr>
          <w:p>
            <w:pPr>
              <w:spacing w:after="0"/>
              <w:rPr>
                <w:sz w:val="15"/>
                <w:szCs w:val="15"/>
                <w:color w:val="auto"/>
              </w:rPr>
            </w:pPr>
          </w:p>
        </w:tc>
        <w:tc>
          <w:tcPr>
            <w:tcW w:w="222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42"/>
        </w:trPr>
        <w:tc>
          <w:tcPr>
            <w:tcW w:w="244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9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1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7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9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209"/>
        </w:trPr>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Point in time</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10,557</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13,825</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31,586</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41,485</w:t>
            </w:r>
          </w:p>
        </w:tc>
      </w:tr>
      <w:tr>
        <w:trPr>
          <w:trHeight w:val="216"/>
        </w:trPr>
        <w:tc>
          <w:tcPr>
            <w:tcW w:w="2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Over time</w:t>
            </w: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1,536</w:t>
            </w:r>
          </w:p>
        </w:tc>
        <w:tc>
          <w:tcPr>
            <w:tcW w:w="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2,641</w:t>
            </w:r>
          </w:p>
        </w:tc>
        <w:tc>
          <w:tcPr>
            <w:tcW w:w="1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5,573</w:t>
            </w:r>
          </w:p>
        </w:tc>
        <w:tc>
          <w:tcPr>
            <w:tcW w:w="1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5,574</w:t>
            </w:r>
          </w:p>
        </w:tc>
      </w:tr>
      <w:tr>
        <w:trPr>
          <w:trHeight w:val="210"/>
        </w:trPr>
        <w:tc>
          <w:tcPr>
            <w:tcW w:w="24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revenue</w:t>
            </w:r>
          </w:p>
        </w:tc>
        <w:tc>
          <w:tcPr>
            <w:tcW w:w="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12,093</w:t>
            </w:r>
          </w:p>
        </w:tc>
        <w:tc>
          <w:tcPr>
            <w:tcW w:w="1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16,466</w:t>
            </w:r>
          </w:p>
        </w:tc>
        <w:tc>
          <w:tcPr>
            <w:tcW w:w="1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37,159</w:t>
            </w:r>
          </w:p>
        </w:tc>
        <w:tc>
          <w:tcPr>
            <w:tcW w:w="1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47,059</w:t>
            </w:r>
          </w:p>
        </w:tc>
      </w:tr>
      <w:tr>
        <w:trPr>
          <w:trHeight w:val="20"/>
        </w:trPr>
        <w:tc>
          <w:tcPr>
            <w:tcW w:w="2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following table presents the Company’s revenues disaggregated by type (in thousands):</w:t>
      </w:r>
    </w:p>
    <w:p>
      <w:pPr>
        <w:spacing w:after="0" w:line="232" w:lineRule="exact"/>
        <w:rPr>
          <w:sz w:val="20"/>
          <w:szCs w:val="20"/>
          <w:color w:val="auto"/>
        </w:rPr>
      </w:pPr>
    </w:p>
    <w:tbl>
      <w:tblPr>
        <w:tblLayout w:type="fixed"/>
        <w:tblInd w:w="920" w:type="dxa"/>
        <w:tblCellMar>
          <w:top w:w="0" w:type="dxa"/>
          <w:left w:w="0" w:type="dxa"/>
          <w:bottom w:w="0" w:type="dxa"/>
          <w:right w:w="0" w:type="dxa"/>
        </w:tblCellMar>
      </w:tblPr>
      <w:tr>
        <w:trPr>
          <w:trHeight w:val="173"/>
        </w:trPr>
        <w:tc>
          <w:tcPr>
            <w:tcW w:w="2500" w:type="dxa"/>
            <w:vAlign w:val="bottom"/>
          </w:tcPr>
          <w:p>
            <w:pPr>
              <w:spacing w:after="0"/>
              <w:rPr>
                <w:sz w:val="15"/>
                <w:szCs w:val="15"/>
                <w:color w:val="auto"/>
              </w:rPr>
            </w:pPr>
          </w:p>
        </w:tc>
        <w:tc>
          <w:tcPr>
            <w:tcW w:w="230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40" w:type="dxa"/>
            <w:vAlign w:val="bottom"/>
          </w:tcPr>
          <w:p>
            <w:pPr>
              <w:spacing w:after="0"/>
              <w:rPr>
                <w:sz w:val="15"/>
                <w:szCs w:val="15"/>
                <w:color w:val="auto"/>
              </w:rPr>
            </w:pPr>
          </w:p>
        </w:tc>
        <w:tc>
          <w:tcPr>
            <w:tcW w:w="224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42"/>
        </w:trPr>
        <w:tc>
          <w:tcPr>
            <w:tcW w:w="25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1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1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9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9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209"/>
        </w:trPr>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 sales</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10,443</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13,543</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31,190</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40,726</w:t>
            </w:r>
          </w:p>
        </w:tc>
      </w:tr>
      <w:tr>
        <w:trPr>
          <w:trHeight w:val="216"/>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Licensing</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1,195</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1,893</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4,722</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4,710</w:t>
            </w:r>
          </w:p>
        </w:tc>
      </w:tr>
      <w:tr>
        <w:trPr>
          <w:trHeight w:val="216"/>
        </w:trPr>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Royalties</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w:t>
            </w:r>
          </w:p>
        </w:tc>
      </w:tr>
      <w:tr>
        <w:trPr>
          <w:trHeight w:val="216"/>
        </w:trPr>
        <w:tc>
          <w:tcPr>
            <w:tcW w:w="25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revenue</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1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798</w:t>
            </w:r>
          </w:p>
        </w:tc>
        <w:tc>
          <w:tcPr>
            <w:tcW w:w="1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851</w:t>
            </w: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1,062</w:t>
            </w:r>
          </w:p>
        </w:tc>
      </w:tr>
      <w:tr>
        <w:trPr>
          <w:trHeight w:val="209"/>
        </w:trPr>
        <w:tc>
          <w:tcPr>
            <w:tcW w:w="25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revenue</w:t>
            </w:r>
          </w:p>
        </w:tc>
        <w:tc>
          <w:tcPr>
            <w:tcW w:w="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12,093</w:t>
            </w:r>
          </w:p>
        </w:tc>
        <w:tc>
          <w:tcPr>
            <w:tcW w:w="1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16,466</w:t>
            </w:r>
          </w:p>
        </w:tc>
        <w:tc>
          <w:tcPr>
            <w:tcW w:w="1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37,159</w:t>
            </w:r>
          </w:p>
        </w:tc>
        <w:tc>
          <w:tcPr>
            <w:tcW w:w="1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47,059</w:t>
            </w:r>
          </w:p>
        </w:tc>
      </w:tr>
      <w:tr>
        <w:trPr>
          <w:trHeight w:val="20"/>
        </w:trPr>
        <w:tc>
          <w:tcPr>
            <w:tcW w:w="25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40" w:right="319" w:firstLine="324"/>
        <w:spacing w:after="0" w:line="261" w:lineRule="auto"/>
        <w:rPr>
          <w:sz w:val="20"/>
          <w:szCs w:val="20"/>
          <w:color w:val="auto"/>
        </w:rPr>
      </w:pPr>
      <w:r>
        <w:rPr>
          <w:rFonts w:ascii="Times New Roman" w:cs="Times New Roman" w:eastAsia="Times New Roman" w:hAnsi="Times New Roman"/>
          <w:sz w:val="18"/>
          <w:szCs w:val="18"/>
          <w:color w:val="auto"/>
        </w:rPr>
        <w:t>The Company recognizes revenue in three primary geographic regions: Asia-Pacific (APAC); North America; and Europe, Middle East and Africa (EMEA). The Company recognizes revenue by geography based on the region in which the Company’s products are sold, and not to where the end products in which they are assembled are shipped. The Company’s revenue by region for the periods indicated was as follows (in thousands):</w:t>
      </w:r>
    </w:p>
    <w:p>
      <w:pPr>
        <w:spacing w:after="0" w:line="187" w:lineRule="exact"/>
        <w:rPr>
          <w:sz w:val="20"/>
          <w:szCs w:val="20"/>
          <w:color w:val="auto"/>
        </w:rPr>
      </w:pPr>
    </w:p>
    <w:tbl>
      <w:tblPr>
        <w:tblLayout w:type="fixed"/>
        <w:tblInd w:w="960" w:type="dxa"/>
        <w:tblCellMar>
          <w:top w:w="0" w:type="dxa"/>
          <w:left w:w="0" w:type="dxa"/>
          <w:bottom w:w="0" w:type="dxa"/>
          <w:right w:w="0" w:type="dxa"/>
        </w:tblCellMar>
      </w:tblPr>
      <w:tr>
        <w:trPr>
          <w:trHeight w:val="173"/>
        </w:trPr>
        <w:tc>
          <w:tcPr>
            <w:tcW w:w="2440" w:type="dxa"/>
            <w:vAlign w:val="bottom"/>
          </w:tcPr>
          <w:p>
            <w:pPr>
              <w:spacing w:after="0"/>
              <w:rPr>
                <w:sz w:val="15"/>
                <w:szCs w:val="15"/>
                <w:color w:val="auto"/>
              </w:rPr>
            </w:pPr>
          </w:p>
        </w:tc>
        <w:tc>
          <w:tcPr>
            <w:tcW w:w="230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40" w:type="dxa"/>
            <w:vAlign w:val="bottom"/>
          </w:tcPr>
          <w:p>
            <w:pPr>
              <w:spacing w:after="0"/>
              <w:rPr>
                <w:sz w:val="15"/>
                <w:szCs w:val="15"/>
                <w:color w:val="auto"/>
              </w:rPr>
            </w:pPr>
          </w:p>
        </w:tc>
        <w:tc>
          <w:tcPr>
            <w:tcW w:w="222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42"/>
        </w:trPr>
        <w:tc>
          <w:tcPr>
            <w:tcW w:w="244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9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1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7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9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210"/>
        </w:trPr>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APAC</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7,923</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8,663</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21,163</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24,218</w:t>
            </w:r>
          </w:p>
        </w:tc>
      </w:tr>
      <w:tr>
        <w:trPr>
          <w:trHeight w:val="216"/>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North America</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1,874</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4,607</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7,857</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10,798</w:t>
            </w:r>
          </w:p>
        </w:tc>
      </w:tr>
      <w:tr>
        <w:trPr>
          <w:trHeight w:val="216"/>
        </w:trPr>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EMEA</w:t>
            </w: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2,296</w:t>
            </w:r>
          </w:p>
        </w:tc>
        <w:tc>
          <w:tcPr>
            <w:tcW w:w="1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3,196</w:t>
            </w:r>
          </w:p>
        </w:tc>
        <w:tc>
          <w:tcPr>
            <w:tcW w:w="1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8,139</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12,043</w:t>
            </w:r>
          </w:p>
        </w:tc>
      </w:tr>
      <w:tr>
        <w:trPr>
          <w:trHeight w:val="210"/>
        </w:trPr>
        <w:tc>
          <w:tcPr>
            <w:tcW w:w="2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revenue</w:t>
            </w:r>
          </w:p>
        </w:tc>
        <w:tc>
          <w:tcPr>
            <w:tcW w:w="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12,093</w:t>
            </w:r>
          </w:p>
        </w:tc>
        <w:tc>
          <w:tcPr>
            <w:tcW w:w="180" w:type="dxa"/>
            <w:vAlign w:val="bottom"/>
          </w:tcPr>
          <w:p>
            <w:pPr>
              <w:spacing w:after="0"/>
              <w:rPr>
                <w:sz w:val="18"/>
                <w:szCs w:val="18"/>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16,466</w:t>
            </w:r>
          </w:p>
        </w:tc>
        <w:tc>
          <w:tcPr>
            <w:tcW w:w="140" w:type="dxa"/>
            <w:vAlign w:val="bottom"/>
          </w:tcPr>
          <w:p>
            <w:pPr>
              <w:spacing w:after="0"/>
              <w:rPr>
                <w:sz w:val="18"/>
                <w:szCs w:val="18"/>
                <w:color w:val="auto"/>
              </w:rPr>
            </w:pPr>
          </w:p>
        </w:tc>
        <w:tc>
          <w:tcPr>
            <w:tcW w:w="24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37,159</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47,059</w:t>
            </w:r>
          </w:p>
        </w:tc>
      </w:tr>
      <w:tr>
        <w:trPr>
          <w:trHeight w:val="20"/>
        </w:trPr>
        <w:tc>
          <w:tcPr>
            <w:tcW w:w="2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229" w:lineRule="exact"/>
        <w:rPr>
          <w:sz w:val="20"/>
          <w:szCs w:val="20"/>
          <w:color w:val="auto"/>
        </w:rPr>
      </w:pPr>
    </w:p>
    <w:p>
      <w:pPr>
        <w:ind w:left="40" w:right="139" w:firstLine="324"/>
        <w:spacing w:after="0" w:line="258" w:lineRule="auto"/>
        <w:rPr>
          <w:sz w:val="20"/>
          <w:szCs w:val="20"/>
          <w:color w:val="auto"/>
        </w:rPr>
      </w:pPr>
      <w:r>
        <w:rPr>
          <w:rFonts w:ascii="Times New Roman" w:cs="Times New Roman" w:eastAsia="Times New Roman" w:hAnsi="Times New Roman"/>
          <w:sz w:val="18"/>
          <w:szCs w:val="18"/>
          <w:color w:val="auto"/>
        </w:rPr>
        <w:t>On August 14, 2024, the Company received a strategic award to develop a long-term plan to provide manufacturing services for aerospace and defense segments (the Award). Under the Award, the Company will provide a plan to mitigate risks to its MRAM manufacturing supply chain. Pursuant to the Award, the Company may receive cash payments upon the achievement of certain technical tasks and deliverables. The Award allows for milestones totaling up to approximately $14.6 million for the Company over a span of 2.5 years.</w:t>
      </w:r>
    </w:p>
    <w:p>
      <w:pPr>
        <w:spacing w:after="0" w:line="18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Award is not in the ordinary course of the Company’s business and hence not a contract with a customer.</w:t>
      </w:r>
    </w:p>
    <w:p>
      <w:pPr>
        <w:spacing w:after="0" w:line="225" w:lineRule="exact"/>
        <w:rPr>
          <w:sz w:val="20"/>
          <w:szCs w:val="20"/>
          <w:color w:val="auto"/>
        </w:rPr>
      </w:pPr>
    </w:p>
    <w:p>
      <w:pPr>
        <w:ind w:left="40" w:right="59" w:firstLine="324"/>
        <w:spacing w:after="0" w:line="254" w:lineRule="auto"/>
        <w:rPr>
          <w:sz w:val="20"/>
          <w:szCs w:val="20"/>
          <w:color w:val="auto"/>
        </w:rPr>
      </w:pPr>
      <w:r>
        <w:rPr>
          <w:rFonts w:ascii="Times New Roman" w:cs="Times New Roman" w:eastAsia="Times New Roman" w:hAnsi="Times New Roman"/>
          <w:sz w:val="18"/>
          <w:szCs w:val="18"/>
          <w:color w:val="auto"/>
        </w:rPr>
        <w:t>During the three months ended September 30, 2024, the Company billed $6.9 million relating to the Award and recorded $4.0 million of other income. The Company has recorded this other income using an input method based on costs incurred to date relative to the total expected costs of the Award over its term. The remaining $2.9 million of the billed amount is recorded as contract obligations liability on the condensed balance sheets. This amount represents the Company’s obligation to perform future services for which the Company has received or is entitled to receive payment but which are not yet fulfilled. The Company has collected $3.0 million relating to this award during the three months ended September 30, 2024 and recorded the remaining $3.9 million in prepaid expenses and other current assets on the condensed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 w:name="page11"/>
    <w:bookmarkEnd w:id="10"/>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4. Balance Sheet Components</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Inventory</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Inventory consisted of the following (in thousands):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880" w:type="dxa"/>
            <w:vAlign w:val="bottom"/>
          </w:tcPr>
          <w:p>
            <w:pPr>
              <w:spacing w:after="0"/>
              <w:rPr>
                <w:sz w:val="13"/>
                <w:szCs w:val="13"/>
                <w:color w:val="auto"/>
              </w:rPr>
            </w:pPr>
          </w:p>
        </w:tc>
        <w:tc>
          <w:tcPr>
            <w:tcW w:w="4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880" w:type="dxa"/>
            <w:vAlign w:val="bottom"/>
          </w:tcPr>
          <w:p>
            <w:pPr>
              <w:spacing w:after="0"/>
              <w:rPr>
                <w:sz w:val="15"/>
                <w:szCs w:val="15"/>
                <w:color w:val="auto"/>
              </w:rPr>
            </w:pPr>
          </w:p>
        </w:tc>
        <w:tc>
          <w:tcPr>
            <w:tcW w:w="4480" w:type="dxa"/>
            <w:vAlign w:val="bottom"/>
            <w:tcBorders>
              <w:bottom w:val="single" w:sz="8" w:color="CCEEFF"/>
            </w:tcBorders>
          </w:tcPr>
          <w:p>
            <w:pPr>
              <w:spacing w:after="0"/>
              <w:rPr>
                <w:sz w:val="15"/>
                <w:szCs w:val="15"/>
                <w:color w:val="auto"/>
              </w:rPr>
            </w:pPr>
          </w:p>
        </w:tc>
        <w:tc>
          <w:tcPr>
            <w:tcW w:w="6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9"/>
        </w:trPr>
        <w:tc>
          <w:tcPr>
            <w:tcW w:w="88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Work-in-process</w:t>
            </w: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6,724</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6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1,107</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1,478</w:t>
            </w:r>
          </w:p>
        </w:tc>
        <w:tc>
          <w:tcPr>
            <w:tcW w:w="0" w:type="dxa"/>
            <w:vAlign w:val="bottom"/>
          </w:tcPr>
          <w:p>
            <w:pPr>
              <w:spacing w:after="0"/>
              <w:rPr>
                <w:sz w:val="1"/>
                <w:szCs w:val="1"/>
                <w:color w:val="auto"/>
              </w:rPr>
            </w:pPr>
          </w:p>
        </w:tc>
      </w:tr>
      <w:tr>
        <w:trPr>
          <w:trHeight w:val="209"/>
        </w:trPr>
        <w:tc>
          <w:tcPr>
            <w:tcW w:w="880" w:type="dxa"/>
            <w:vAlign w:val="bottom"/>
          </w:tcPr>
          <w:p>
            <w:pPr>
              <w:spacing w:after="0"/>
              <w:rPr>
                <w:sz w:val="18"/>
                <w:szCs w:val="18"/>
                <w:color w:val="auto"/>
              </w:rPr>
            </w:pPr>
          </w:p>
        </w:tc>
        <w:tc>
          <w:tcPr>
            <w:tcW w:w="4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inventory</w:t>
            </w:r>
          </w:p>
        </w:tc>
        <w:tc>
          <w:tcPr>
            <w:tcW w:w="680" w:type="dxa"/>
            <w:vAlign w:val="bottom"/>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8,441</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8,391</w:t>
            </w:r>
          </w:p>
        </w:tc>
        <w:tc>
          <w:tcPr>
            <w:tcW w:w="0" w:type="dxa"/>
            <w:vAlign w:val="bottom"/>
          </w:tcPr>
          <w:p>
            <w:pPr>
              <w:spacing w:after="0"/>
              <w:rPr>
                <w:sz w:val="1"/>
                <w:szCs w:val="1"/>
                <w:color w:val="auto"/>
              </w:rPr>
            </w:pPr>
          </w:p>
        </w:tc>
      </w:tr>
      <w:tr>
        <w:trPr>
          <w:trHeight w:val="20"/>
        </w:trPr>
        <w:tc>
          <w:tcPr>
            <w:tcW w:w="53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Liabilities</w:t>
            </w:r>
          </w:p>
        </w:tc>
        <w:tc>
          <w:tcPr>
            <w:tcW w:w="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360" w:type="dxa"/>
            <w:vAlign w:val="bottom"/>
            <w:gridSpan w:val="2"/>
            <w:vMerge w:val="continue"/>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3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Accrued liabilities consisted of the following (in thousands):</w:t>
            </w: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88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880" w:type="dxa"/>
            <w:vAlign w:val="bottom"/>
          </w:tcPr>
          <w:p>
            <w:pPr>
              <w:spacing w:after="0"/>
              <w:rPr>
                <w:sz w:val="15"/>
                <w:szCs w:val="15"/>
                <w:color w:val="auto"/>
              </w:rPr>
            </w:pPr>
          </w:p>
        </w:tc>
        <w:tc>
          <w:tcPr>
            <w:tcW w:w="4480" w:type="dxa"/>
            <w:vAlign w:val="bottom"/>
            <w:tcBorders>
              <w:bottom w:val="single" w:sz="8" w:color="CCEEFF"/>
            </w:tcBorders>
          </w:tcPr>
          <w:p>
            <w:pPr>
              <w:spacing w:after="0"/>
              <w:rPr>
                <w:sz w:val="15"/>
                <w:szCs w:val="15"/>
                <w:color w:val="auto"/>
              </w:rPr>
            </w:pPr>
          </w:p>
        </w:tc>
        <w:tc>
          <w:tcPr>
            <w:tcW w:w="6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9"/>
        </w:trPr>
        <w:tc>
          <w:tcPr>
            <w:tcW w:w="88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Payroll-related expenses</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w:t>
            </w:r>
          </w:p>
        </w:tc>
        <w:tc>
          <w:tcPr>
            <w:tcW w:w="160" w:type="dxa"/>
            <w:vAlign w:val="bottom"/>
            <w:gridSpan w:val="2"/>
            <w:shd w:val="clear" w:color="auto" w:fill="CCEEFF"/>
          </w:tcPr>
          <w:p>
            <w:pPr>
              <w:spacing w:after="0"/>
              <w:rPr>
                <w:sz w:val="18"/>
                <w:szCs w:val="18"/>
                <w:color w:val="auto"/>
              </w:rPr>
            </w:pPr>
          </w:p>
        </w:tc>
        <w:tc>
          <w:tcPr>
            <w:tcW w:w="1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3,347</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Inventory</w:t>
            </w: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6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0" w:type="dxa"/>
            <w:vAlign w:val="bottom"/>
          </w:tcPr>
          <w:p>
            <w:pPr>
              <w:spacing w:after="0"/>
              <w:rPr>
                <w:sz w:val="1"/>
                <w:szCs w:val="1"/>
                <w:color w:val="auto"/>
              </w:rPr>
            </w:pPr>
          </w:p>
        </w:tc>
      </w:tr>
      <w:tr>
        <w:trPr>
          <w:trHeight w:val="209"/>
        </w:trPr>
        <w:tc>
          <w:tcPr>
            <w:tcW w:w="880" w:type="dxa"/>
            <w:vAlign w:val="bottom"/>
          </w:tcPr>
          <w:p>
            <w:pPr>
              <w:spacing w:after="0"/>
              <w:rPr>
                <w:sz w:val="18"/>
                <w:szCs w:val="18"/>
                <w:color w:val="auto"/>
              </w:rPr>
            </w:pPr>
          </w:p>
        </w:tc>
        <w:tc>
          <w:tcPr>
            <w:tcW w:w="4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accrued liabilities</w:t>
            </w:r>
          </w:p>
        </w:tc>
        <w:tc>
          <w:tcPr>
            <w:tcW w:w="68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2,140</w:t>
            </w:r>
          </w:p>
        </w:tc>
        <w:tc>
          <w:tcPr>
            <w:tcW w:w="160" w:type="dxa"/>
            <w:vAlign w:val="bottom"/>
            <w:gridSpan w:val="2"/>
          </w:tcPr>
          <w:p>
            <w:pPr>
              <w:spacing w:after="0"/>
              <w:rPr>
                <w:sz w:val="18"/>
                <w:szCs w:val="18"/>
                <w:color w:val="auto"/>
              </w:rPr>
            </w:pPr>
          </w:p>
        </w:tc>
        <w:tc>
          <w:tcPr>
            <w:tcW w:w="180" w:type="dxa"/>
            <w:vAlign w:val="bottom"/>
          </w:tcPr>
          <w:p>
            <w:pPr>
              <w:jc w:val="right"/>
              <w:ind w:right="20"/>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4,336</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Deferred Revenue</w:t>
      </w:r>
    </w:p>
    <w:p>
      <w:pPr>
        <w:spacing w:after="0" w:line="229" w:lineRule="exact"/>
        <w:rPr>
          <w:sz w:val="20"/>
          <w:szCs w:val="20"/>
          <w:color w:val="auto"/>
        </w:rPr>
      </w:pPr>
    </w:p>
    <w:p>
      <w:pPr>
        <w:ind w:left="40" w:right="59" w:firstLine="324"/>
        <w:spacing w:after="0" w:line="258" w:lineRule="auto"/>
        <w:rPr>
          <w:sz w:val="20"/>
          <w:szCs w:val="20"/>
          <w:color w:val="auto"/>
        </w:rPr>
      </w:pPr>
      <w:r>
        <w:rPr>
          <w:rFonts w:ascii="Times New Roman" w:cs="Times New Roman" w:eastAsia="Times New Roman" w:hAnsi="Times New Roman"/>
          <w:sz w:val="18"/>
          <w:szCs w:val="18"/>
          <w:color w:val="auto"/>
        </w:rPr>
        <w:t>In the nine months ended September 30, 2024, the Company executed a contractual arrangement with a customer for the development of a strategic radiation hardened field programmable gate array product. The total consideration in the arrangement is $1.8 million. The Company is recognizing revenue related to the performance obligation over time using the input method based on costs incurred to date relative to the total expected costs of the contract and began recognizing revenue in the third quarter of 2024.</w:t>
      </w:r>
    </w:p>
    <w:p>
      <w:pPr>
        <w:spacing w:after="0" w:line="183" w:lineRule="exact"/>
        <w:rPr>
          <w:sz w:val="20"/>
          <w:szCs w:val="20"/>
          <w:color w:val="auto"/>
        </w:rPr>
      </w:pPr>
    </w:p>
    <w:p>
      <w:pPr>
        <w:ind w:left="40" w:right="59" w:firstLine="324"/>
        <w:spacing w:after="0" w:line="258" w:lineRule="auto"/>
        <w:rPr>
          <w:sz w:val="20"/>
          <w:szCs w:val="20"/>
          <w:color w:val="auto"/>
        </w:rPr>
      </w:pPr>
      <w:r>
        <w:rPr>
          <w:rFonts w:ascii="Times New Roman" w:cs="Times New Roman" w:eastAsia="Times New Roman" w:hAnsi="Times New Roman"/>
          <w:sz w:val="18"/>
          <w:szCs w:val="18"/>
          <w:color w:val="auto"/>
        </w:rPr>
        <w:t>As of September 30, 2024, the Company has billed $0.7 million for the performance under the agreement. Under the input method of recognition, the Company has recognized $0.4 million in revenue for the three and nine months ended September 30, 2024. As a result, the Company has recorded $0.3 million in deferred revenue as of September 30, 2024. The Company expects to recognize the remaining $1.4 million of the transaction price as services are performed throughout the contractual period and performance is expected to be complete in the year ended December 31, 2025.</w:t>
      </w:r>
    </w:p>
    <w:p>
      <w:pPr>
        <w:spacing w:after="0" w:line="183" w:lineRule="exact"/>
        <w:rPr>
          <w:sz w:val="20"/>
          <w:szCs w:val="20"/>
          <w:color w:val="auto"/>
        </w:rPr>
      </w:pPr>
    </w:p>
    <w:p>
      <w:pPr>
        <w:ind w:left="40" w:right="59" w:firstLine="324"/>
        <w:spacing w:after="0" w:line="258" w:lineRule="auto"/>
        <w:rPr>
          <w:sz w:val="20"/>
          <w:szCs w:val="20"/>
          <w:color w:val="auto"/>
        </w:rPr>
      </w:pPr>
      <w:r>
        <w:rPr>
          <w:rFonts w:ascii="Times New Roman" w:cs="Times New Roman" w:eastAsia="Times New Roman" w:hAnsi="Times New Roman"/>
          <w:sz w:val="18"/>
          <w:szCs w:val="18"/>
          <w:color w:val="auto"/>
        </w:rPr>
        <w:t>In the nine months ended September 30, 2024, the Company executed a contractual arrangement with a customer for the development of a strategic radiation hardened high-reliability eMRAM macro. The total consideration in the arrangement is $1.2 million. The Company is recognizing revenue related to the performance obligation over time using the input method based on costs incurred to date relative to the total expected costs of the contract and began recognizing revenue in the third quarter of 2024.</w:t>
      </w:r>
    </w:p>
    <w:p>
      <w:pPr>
        <w:spacing w:after="0" w:line="183" w:lineRule="exact"/>
        <w:rPr>
          <w:sz w:val="20"/>
          <w:szCs w:val="20"/>
          <w:color w:val="auto"/>
        </w:rPr>
      </w:pPr>
    </w:p>
    <w:p>
      <w:pPr>
        <w:ind w:left="40" w:right="59" w:firstLine="324"/>
        <w:spacing w:after="0" w:line="258" w:lineRule="auto"/>
        <w:rPr>
          <w:sz w:val="20"/>
          <w:szCs w:val="20"/>
          <w:color w:val="auto"/>
        </w:rPr>
      </w:pPr>
      <w:r>
        <w:rPr>
          <w:rFonts w:ascii="Times New Roman" w:cs="Times New Roman" w:eastAsia="Times New Roman" w:hAnsi="Times New Roman"/>
          <w:sz w:val="18"/>
          <w:szCs w:val="18"/>
          <w:color w:val="auto"/>
        </w:rPr>
        <w:t>As of September 30, 2024, the Company has billed $0.8 million for the performance under the agreement. Under the input method of recognition, the Company has recognized $0.7 million in revenue for the three and nine months ended September 30, 2024. As a result, the Company has recorded $0.1 million in deferred revenue as of September 30, 2024. The Company expects to recognize the remaining $0.5 million of the transaction price as services are performed throughout the contractual period and performance is expected to be complete in the year ended December 31, 2025.</w:t>
      </w:r>
    </w:p>
    <w:p>
      <w:pPr>
        <w:spacing w:after="0" w:line="183" w:lineRule="exact"/>
        <w:rPr>
          <w:sz w:val="20"/>
          <w:szCs w:val="20"/>
          <w:color w:val="auto"/>
        </w:rPr>
      </w:pPr>
    </w:p>
    <w:p>
      <w:pPr>
        <w:ind w:left="40" w:right="279" w:firstLine="324"/>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2021, the Company executed contractual arrangements with a customer for the development of a RAD-Hard product, consisting of a technology license, design license agreement and development subcontract (RAD-Hard 1). The Company does not share in the rights to future revenues or royalties. The total arrangements are for $6.5 million in consideration.</w:t>
      </w:r>
    </w:p>
    <w:p>
      <w:pPr>
        <w:spacing w:after="0" w:line="180" w:lineRule="exact"/>
        <w:rPr>
          <w:sz w:val="20"/>
          <w:szCs w:val="20"/>
          <w:color w:val="auto"/>
        </w:rPr>
      </w:pPr>
    </w:p>
    <w:p>
      <w:pPr>
        <w:ind w:left="40" w:right="219" w:firstLine="324"/>
        <w:spacing w:after="0" w:line="282" w:lineRule="auto"/>
        <w:rPr>
          <w:sz w:val="20"/>
          <w:szCs w:val="20"/>
          <w:color w:val="auto"/>
        </w:rPr>
      </w:pPr>
      <w:r>
        <w:rPr>
          <w:rFonts w:ascii="Times New Roman" w:cs="Times New Roman" w:eastAsia="Times New Roman" w:hAnsi="Times New Roman"/>
          <w:sz w:val="18"/>
          <w:szCs w:val="18"/>
          <w:color w:val="auto"/>
        </w:rPr>
        <w:t>The Company concluded these contractual arrangements represent one arrangement and evaluated its promises to the customer and whether the performance obligations granted under the arrangement were distinct. The licenses</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 w:name="page12"/>
    <w:bookmarkEnd w:id="11"/>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0" w:right="219"/>
        <w:spacing w:after="0" w:line="258" w:lineRule="auto"/>
        <w:rPr>
          <w:sz w:val="20"/>
          <w:szCs w:val="20"/>
          <w:color w:val="auto"/>
        </w:rPr>
      </w:pPr>
      <w:r>
        <w:rPr>
          <w:rFonts w:ascii="Times New Roman" w:cs="Times New Roman" w:eastAsia="Times New Roman" w:hAnsi="Times New Roman"/>
          <w:sz w:val="18"/>
          <w:szCs w:val="18"/>
          <w:color w:val="auto"/>
        </w:rPr>
        <w:t>provided to the customer are not transferable, are of limited value without the promised development services, and the customer cannot benefit from the license agreements without the specific obligated services in the development subcontract, as there is strong interdependency between the licenses and the development subcontract. Accordingly, the Company determined the licenses were not distinct within the context of the contract and combined the license with other performance obligations. The total transaction price of $6.5 million was allocated to the single performance obligation.</w:t>
      </w:r>
    </w:p>
    <w:p>
      <w:pPr>
        <w:spacing w:after="0" w:line="143" w:lineRule="exact"/>
        <w:rPr>
          <w:sz w:val="20"/>
          <w:szCs w:val="20"/>
          <w:color w:val="auto"/>
        </w:rPr>
      </w:pPr>
    </w:p>
    <w:p>
      <w:pPr>
        <w:ind w:left="40" w:right="139" w:firstLine="324"/>
        <w:spacing w:after="0" w:line="258" w:lineRule="auto"/>
        <w:rPr>
          <w:sz w:val="20"/>
          <w:szCs w:val="20"/>
          <w:color w:val="auto"/>
        </w:rPr>
      </w:pPr>
      <w:r>
        <w:rPr>
          <w:rFonts w:ascii="Times New Roman" w:cs="Times New Roman" w:eastAsia="Times New Roman" w:hAnsi="Times New Roman"/>
          <w:sz w:val="18"/>
          <w:szCs w:val="18"/>
          <w:color w:val="auto"/>
        </w:rPr>
        <w:t>The Company recognizes revenue related to the performance obligations over time using the input method based on costs incurred to date relative to the total expected costs of the contract and began recognizing revenue in the second quarter of 2021 over the contract period. This method depicts performance under the contract and requires the Company to make estimates about the future costs expected to be incurred to perform under the contact, including labor and material costs.</w:t>
      </w:r>
    </w:p>
    <w:p>
      <w:pPr>
        <w:spacing w:after="0" w:line="183" w:lineRule="exact"/>
        <w:rPr>
          <w:sz w:val="20"/>
          <w:szCs w:val="20"/>
          <w:color w:val="auto"/>
        </w:rPr>
      </w:pPr>
    </w:p>
    <w:p>
      <w:pPr>
        <w:ind w:left="40" w:right="99" w:firstLine="324"/>
        <w:spacing w:after="0" w:line="261" w:lineRule="auto"/>
        <w:rPr>
          <w:sz w:val="20"/>
          <w:szCs w:val="20"/>
          <w:color w:val="auto"/>
        </w:rPr>
      </w:pPr>
      <w:r>
        <w:rPr>
          <w:rFonts w:ascii="Times New Roman" w:cs="Times New Roman" w:eastAsia="Times New Roman" w:hAnsi="Times New Roman"/>
          <w:sz w:val="18"/>
          <w:szCs w:val="18"/>
          <w:color w:val="auto"/>
        </w:rPr>
        <w:t>The Company has recognized $0.1 million and $0.7 million in revenue for the three and nine months ended September 30, 2024, respectively, and $6.4 million in revenue since inception of the contractual agreements. The Company expects to recognize the remaining $0.1 million of the transaction price as services are performed throughout the contractual period and performance is expected to be complete in the year ending December 31, 2024.</w:t>
      </w: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5. Leases</w:t>
      </w:r>
    </w:p>
    <w:p>
      <w:pPr>
        <w:spacing w:after="0" w:line="229" w:lineRule="exact"/>
        <w:rPr>
          <w:sz w:val="20"/>
          <w:szCs w:val="20"/>
          <w:color w:val="auto"/>
        </w:rPr>
      </w:pPr>
    </w:p>
    <w:p>
      <w:pPr>
        <w:ind w:left="40" w:right="179" w:firstLine="324"/>
        <w:spacing w:after="0" w:line="266" w:lineRule="auto"/>
        <w:rPr>
          <w:sz w:val="20"/>
          <w:szCs w:val="20"/>
          <w:color w:val="auto"/>
        </w:rPr>
      </w:pPr>
      <w:r>
        <w:rPr>
          <w:rFonts w:ascii="Times New Roman" w:cs="Times New Roman" w:eastAsia="Times New Roman" w:hAnsi="Times New Roman"/>
          <w:sz w:val="18"/>
          <w:szCs w:val="18"/>
          <w:color w:val="auto"/>
        </w:rPr>
        <w:t>Operating leases consist primarily of office space and manufacturing facilities expiring at various dates through 2029. Finance leases relate to server leases expiring at various dates through 2029. The Company’s lease agreements do not contain any material residual value guarantees or material restrictive covenants.</w:t>
      </w:r>
    </w:p>
    <w:p>
      <w:pPr>
        <w:spacing w:after="0" w:line="176" w:lineRule="exact"/>
        <w:rPr>
          <w:sz w:val="20"/>
          <w:szCs w:val="20"/>
          <w:color w:val="auto"/>
        </w:rPr>
      </w:pPr>
    </w:p>
    <w:p>
      <w:pPr>
        <w:ind w:left="40" w:right="319" w:firstLine="324"/>
        <w:spacing w:after="0" w:line="282" w:lineRule="auto"/>
        <w:rPr>
          <w:sz w:val="20"/>
          <w:szCs w:val="20"/>
          <w:color w:val="auto"/>
        </w:rPr>
      </w:pPr>
      <w:r>
        <w:rPr>
          <w:rFonts w:ascii="Times New Roman" w:cs="Times New Roman" w:eastAsia="Times New Roman" w:hAnsi="Times New Roman"/>
          <w:sz w:val="18"/>
          <w:szCs w:val="18"/>
          <w:color w:val="auto"/>
        </w:rPr>
        <w:t>The undiscounted future non-cancellable lease payments under the Company’s operating and finance leases were as follows (in thousands):</w:t>
      </w:r>
    </w:p>
    <w:p>
      <w:pPr>
        <w:spacing w:after="0" w:line="236" w:lineRule="exact"/>
        <w:rPr>
          <w:sz w:val="20"/>
          <w:szCs w:val="20"/>
          <w:color w:val="auto"/>
        </w:rPr>
      </w:pPr>
    </w:p>
    <w:tbl>
      <w:tblPr>
        <w:tblLayout w:type="fixed"/>
        <w:tblInd w:w="360" w:type="dxa"/>
        <w:tblCellMar>
          <w:top w:w="0" w:type="dxa"/>
          <w:left w:w="0" w:type="dxa"/>
          <w:bottom w:w="0" w:type="dxa"/>
          <w:right w:w="0" w:type="dxa"/>
        </w:tblCellMar>
      </w:tblPr>
      <w:tr>
        <w:trPr>
          <w:trHeight w:val="173"/>
        </w:trPr>
        <w:tc>
          <w:tcPr>
            <w:tcW w:w="5660" w:type="dxa"/>
            <w:vAlign w:val="bottom"/>
            <w:gridSpan w:val="2"/>
          </w:tcPr>
          <w:p>
            <w:pPr>
              <w:ind w:left="560"/>
              <w:spacing w:after="0"/>
              <w:rPr>
                <w:sz w:val="20"/>
                <w:szCs w:val="20"/>
                <w:color w:val="auto"/>
              </w:rPr>
            </w:pPr>
            <w:r>
              <w:rPr>
                <w:rFonts w:ascii="Times New Roman" w:cs="Times New Roman" w:eastAsia="Times New Roman" w:hAnsi="Times New Roman"/>
                <w:sz w:val="14"/>
                <w:szCs w:val="14"/>
                <w:b w:val="1"/>
                <w:bCs w:val="1"/>
                <w:color w:val="auto"/>
              </w:rPr>
              <w:t>As of September 30, 2024</w:t>
            </w:r>
          </w:p>
        </w:tc>
        <w:tc>
          <w:tcPr>
            <w:tcW w:w="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10"/>
        </w:trPr>
        <w:tc>
          <w:tcPr>
            <w:tcW w:w="580" w:type="dxa"/>
            <w:vAlign w:val="bottom"/>
            <w:tcBorders>
              <w:right w:val="single" w:sz="8" w:color="CCEEFF"/>
            </w:tcBorders>
          </w:tcPr>
          <w:p>
            <w:pPr>
              <w:spacing w:after="0"/>
              <w:rPr>
                <w:sz w:val="18"/>
                <w:szCs w:val="18"/>
                <w:color w:val="auto"/>
              </w:rPr>
            </w:pPr>
          </w:p>
        </w:tc>
        <w:tc>
          <w:tcPr>
            <w:tcW w:w="5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9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Borders>
              <w:right w:val="single" w:sz="8" w:color="CCEEFF"/>
            </w:tcBorders>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Borders>
              <w:right w:val="single" w:sz="8" w:color="CCEEFF"/>
            </w:tcBorders>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0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9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0" w:type="dxa"/>
            <w:vAlign w:val="bottom"/>
            <w:tcBorders>
              <w:right w:val="single" w:sz="8" w:color="CCEEFF"/>
            </w:tcBorders>
          </w:tcPr>
          <w:p>
            <w:pPr>
              <w:spacing w:after="0"/>
              <w:rPr>
                <w:sz w:val="18"/>
                <w:szCs w:val="18"/>
                <w:color w:val="auto"/>
              </w:rPr>
            </w:pPr>
          </w:p>
        </w:tc>
        <w:tc>
          <w:tcPr>
            <w:tcW w:w="50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lease payments</w:t>
            </w: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08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Less: imputed interest</w:t>
            </w:r>
          </w:p>
        </w:tc>
        <w:tc>
          <w:tcPr>
            <w:tcW w:w="9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(412)</w:t>
            </w:r>
          </w:p>
        </w:tc>
        <w:tc>
          <w:tcPr>
            <w:tcW w:w="0" w:type="dxa"/>
            <w:vAlign w:val="bottom"/>
          </w:tcPr>
          <w:p>
            <w:pPr>
              <w:spacing w:after="0"/>
              <w:rPr>
                <w:sz w:val="1"/>
                <w:szCs w:val="1"/>
                <w:color w:val="auto"/>
              </w:rPr>
            </w:pPr>
          </w:p>
        </w:tc>
      </w:tr>
      <w:tr>
        <w:trPr>
          <w:trHeight w:val="210"/>
        </w:trPr>
        <w:tc>
          <w:tcPr>
            <w:tcW w:w="580" w:type="dxa"/>
            <w:vAlign w:val="bottom"/>
            <w:tcBorders>
              <w:right w:val="single" w:sz="8" w:color="CCEEFF"/>
            </w:tcBorders>
          </w:tcPr>
          <w:p>
            <w:pPr>
              <w:spacing w:after="0"/>
              <w:rPr>
                <w:sz w:val="18"/>
                <w:szCs w:val="18"/>
                <w:color w:val="auto"/>
              </w:rPr>
            </w:pPr>
          </w:p>
        </w:tc>
        <w:tc>
          <w:tcPr>
            <w:tcW w:w="50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lease liabilities</w:t>
            </w: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08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Less: current portion of lease liabilities</w:t>
            </w:r>
          </w:p>
        </w:tc>
        <w:tc>
          <w:tcPr>
            <w:tcW w:w="9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(1,290)</w:t>
            </w:r>
          </w:p>
        </w:tc>
        <w:tc>
          <w:tcPr>
            <w:tcW w:w="0" w:type="dxa"/>
            <w:vAlign w:val="bottom"/>
          </w:tcPr>
          <w:p>
            <w:pPr>
              <w:spacing w:after="0"/>
              <w:rPr>
                <w:sz w:val="1"/>
                <w:szCs w:val="1"/>
                <w:color w:val="auto"/>
              </w:rPr>
            </w:pPr>
          </w:p>
        </w:tc>
      </w:tr>
      <w:tr>
        <w:trPr>
          <w:trHeight w:val="210"/>
        </w:trPr>
        <w:tc>
          <w:tcPr>
            <w:tcW w:w="580" w:type="dxa"/>
            <w:vAlign w:val="bottom"/>
            <w:tcBorders>
              <w:right w:val="single" w:sz="8" w:color="CCEEFF"/>
            </w:tcBorders>
          </w:tcPr>
          <w:p>
            <w:pPr>
              <w:spacing w:after="0"/>
              <w:rPr>
                <w:sz w:val="18"/>
                <w:szCs w:val="18"/>
                <w:color w:val="auto"/>
              </w:rPr>
            </w:pPr>
          </w:p>
        </w:tc>
        <w:tc>
          <w:tcPr>
            <w:tcW w:w="50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lease liabilities, net of current portion</w:t>
            </w:r>
          </w:p>
        </w:tc>
        <w:tc>
          <w:tcPr>
            <w:tcW w:w="9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3,668</w:t>
            </w:r>
          </w:p>
        </w:tc>
        <w:tc>
          <w:tcPr>
            <w:tcW w:w="4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Other information related to the Company’s operating lease liabilities was as follows:</w:t>
            </w: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620" w:type="dxa"/>
            <w:vAlign w:val="bottom"/>
            <w:gridSpan w:val="3"/>
            <w:vMerge w:val="continue"/>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8"/>
        </w:trPr>
        <w:tc>
          <w:tcPr>
            <w:tcW w:w="58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580" w:type="dxa"/>
            <w:vAlign w:val="bottom"/>
          </w:tcPr>
          <w:p>
            <w:pPr>
              <w:spacing w:after="0"/>
              <w:rPr>
                <w:sz w:val="15"/>
                <w:szCs w:val="15"/>
                <w:color w:val="auto"/>
              </w:rPr>
            </w:pPr>
          </w:p>
        </w:tc>
        <w:tc>
          <w:tcPr>
            <w:tcW w:w="508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remaining lease term (years)</w:t>
            </w:r>
          </w:p>
        </w:tc>
        <w:tc>
          <w:tcPr>
            <w:tcW w:w="9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3.64</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4.37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9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4.50 %</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7"/>
              </w:rPr>
              <w:t>4.50 %</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Other information related to the Company’s finance lease liabilities was as follows:</w:t>
      </w:r>
    </w:p>
    <w:p>
      <w:pPr>
        <w:spacing w:after="0" w:line="300" w:lineRule="exact"/>
        <w:rPr>
          <w:sz w:val="20"/>
          <w:szCs w:val="20"/>
          <w:color w:val="auto"/>
        </w:rPr>
      </w:pPr>
    </w:p>
    <w:tbl>
      <w:tblPr>
        <w:tblLayout w:type="fixed"/>
        <w:tblInd w:w="940" w:type="dxa"/>
        <w:tblCellMar>
          <w:top w:w="0" w:type="dxa"/>
          <w:left w:w="0" w:type="dxa"/>
          <w:bottom w:w="0" w:type="dxa"/>
          <w:right w:w="0" w:type="dxa"/>
        </w:tblCellMar>
      </w:tblPr>
      <w:tr>
        <w:trPr>
          <w:trHeight w:val="176"/>
        </w:trPr>
        <w:tc>
          <w:tcPr>
            <w:tcW w:w="5080" w:type="dxa"/>
            <w:vAlign w:val="bottom"/>
          </w:tcPr>
          <w:p>
            <w:pPr>
              <w:spacing w:after="0"/>
              <w:rPr>
                <w:sz w:val="15"/>
                <w:szCs w:val="15"/>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508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0"/>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remaining lease term (years)</w:t>
            </w:r>
          </w:p>
        </w:tc>
        <w:tc>
          <w:tcPr>
            <w:tcW w:w="9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4.36</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1.09</w:t>
            </w:r>
          </w:p>
        </w:tc>
      </w:tr>
      <w:tr>
        <w:trPr>
          <w:trHeight w:val="234"/>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9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3.91 %</w:t>
            </w:r>
          </w:p>
        </w:tc>
        <w:tc>
          <w:tcPr>
            <w:tcW w:w="140" w:type="dxa"/>
            <w:vAlign w:val="bottom"/>
          </w:tcPr>
          <w:p>
            <w:pPr>
              <w:spacing w:after="0"/>
              <w:rPr>
                <w:sz w:val="20"/>
                <w:szCs w:val="20"/>
                <w:color w:val="auto"/>
              </w:rPr>
            </w:pPr>
          </w:p>
        </w:tc>
        <w:tc>
          <w:tcPr>
            <w:tcW w:w="94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7"/>
              </w:rPr>
              <w:t>4.50 %</w:t>
            </w: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 w:name="page13"/>
    <w:bookmarkEnd w:id="12"/>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6. Debt</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2019 Credit Facility</w:t>
      </w:r>
    </w:p>
    <w:p>
      <w:pPr>
        <w:spacing w:after="0" w:line="229" w:lineRule="exact"/>
        <w:rPr>
          <w:sz w:val="20"/>
          <w:szCs w:val="20"/>
          <w:color w:val="auto"/>
        </w:rPr>
      </w:pPr>
    </w:p>
    <w:p>
      <w:pPr>
        <w:ind w:left="40" w:right="279" w:firstLine="324"/>
        <w:spacing w:after="0" w:line="258" w:lineRule="auto"/>
        <w:rPr>
          <w:sz w:val="20"/>
          <w:szCs w:val="20"/>
          <w:color w:val="auto"/>
        </w:rPr>
      </w:pPr>
      <w:r>
        <w:rPr>
          <w:rFonts w:ascii="Times New Roman" w:cs="Times New Roman" w:eastAsia="Times New Roman" w:hAnsi="Times New Roman"/>
          <w:sz w:val="18"/>
          <w:szCs w:val="18"/>
          <w:color w:val="auto"/>
        </w:rPr>
        <w:t>In March 2023, the Company’s credit facility with a lender pursuant to an Amended and Restated Loan and Security Agreement (the 2019 Credit Facility), consisting of a term loan and line of credit, was paid in full, and there was no outstanding balance as of September 30, 2024. The Company paid an early termination and prepayment fee of $170,000, which was recorded within other income (expense) within the condensed statements of operations and comprehensive (loss) income for the nine months ended September 30, 2023.</w:t>
      </w:r>
    </w:p>
    <w:p>
      <w:pPr>
        <w:spacing w:after="0" w:line="18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Company was in compliance with all covenants throughout the 2019 Credit Facility payoff date in March 2023.</w:t>
      </w:r>
    </w:p>
    <w:p>
      <w:pPr>
        <w:spacing w:after="0" w:line="225" w:lineRule="exact"/>
        <w:rPr>
          <w:sz w:val="20"/>
          <w:szCs w:val="20"/>
          <w:color w:val="auto"/>
        </w:rPr>
      </w:pPr>
    </w:p>
    <w:p>
      <w:pPr>
        <w:jc w:val="both"/>
        <w:ind w:left="40" w:right="79" w:firstLine="324"/>
        <w:spacing w:after="0" w:line="266" w:lineRule="auto"/>
        <w:rPr>
          <w:sz w:val="20"/>
          <w:szCs w:val="20"/>
          <w:color w:val="auto"/>
        </w:rPr>
      </w:pPr>
      <w:r>
        <w:rPr>
          <w:rFonts w:ascii="Times New Roman" w:cs="Times New Roman" w:eastAsia="Times New Roman" w:hAnsi="Times New Roman"/>
          <w:sz w:val="18"/>
          <w:szCs w:val="18"/>
          <w:color w:val="auto"/>
        </w:rPr>
        <w:t>The amortization of the debt issuance costs and accretion of the debt discount is included in interest expense within the condensed statements of operations and comprehensive (loss) income and included in non-cash interest expense within the statement of cash flows.</w:t>
      </w:r>
    </w:p>
    <w:p>
      <w:pPr>
        <w:spacing w:after="0" w:line="1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7. Stock-Based Compensation</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Summary of Stock Option and Award Activity</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following table summarizes the stock option and award activity for the nine months ended September 30, 2024:</w:t>
      </w:r>
    </w:p>
    <w:p>
      <w:pPr>
        <w:spacing w:after="0" w:line="232"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25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Options Outstanding</w:t>
            </w: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500" w:type="dxa"/>
            <w:vAlign w:val="bottom"/>
          </w:tcPr>
          <w:p>
            <w:pPr>
              <w:spacing w:after="0"/>
              <w:rPr>
                <w:sz w:val="10"/>
                <w:szCs w:val="10"/>
                <w:color w:val="auto"/>
              </w:rPr>
            </w:pPr>
          </w:p>
        </w:tc>
        <w:tc>
          <w:tcPr>
            <w:tcW w:w="10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Options and</w:t>
            </w:r>
          </w:p>
        </w:tc>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gridSpan w:val="3"/>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900" w:type="dxa"/>
            <w:vAlign w:val="bottom"/>
            <w:gridSpan w:val="2"/>
          </w:tcPr>
          <w:p>
            <w:pPr>
              <w:jc w:val="center"/>
              <w:ind w:right="140"/>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120" w:type="dxa"/>
            <w:vAlign w:val="bottom"/>
          </w:tcPr>
          <w:p>
            <w:pPr>
              <w:spacing w:after="0"/>
              <w:rPr>
                <w:sz w:val="10"/>
                <w:szCs w:val="10"/>
                <w:color w:val="auto"/>
              </w:rPr>
            </w:pPr>
          </w:p>
        </w:tc>
        <w:tc>
          <w:tcPr>
            <w:tcW w:w="800" w:type="dxa"/>
            <w:vAlign w:val="bottom"/>
            <w:vMerge w:val="restart"/>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25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9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00" w:type="dxa"/>
            <w:vAlign w:val="bottom"/>
          </w:tcPr>
          <w:p>
            <w:pPr>
              <w:spacing w:after="0"/>
              <w:rPr>
                <w:sz w:val="12"/>
                <w:szCs w:val="12"/>
                <w:color w:val="auto"/>
              </w:rPr>
            </w:pPr>
          </w:p>
        </w:tc>
        <w:tc>
          <w:tcPr>
            <w:tcW w:w="10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9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800" w:type="dxa"/>
            <w:vAlign w:val="bottom"/>
            <w:gridSpan w:val="3"/>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9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20" w:type="dxa"/>
            <w:vAlign w:val="bottom"/>
          </w:tcPr>
          <w:p>
            <w:pPr>
              <w:spacing w:after="0"/>
              <w:rPr>
                <w:sz w:val="12"/>
                <w:szCs w:val="12"/>
                <w:color w:val="auto"/>
              </w:rPr>
            </w:pPr>
          </w:p>
        </w:tc>
        <w:tc>
          <w:tcPr>
            <w:tcW w:w="800" w:type="dxa"/>
            <w:vAlign w:val="bottom"/>
          </w:tcPr>
          <w:p>
            <w:pPr>
              <w:jc w:val="center"/>
              <w:ind w:right="18"/>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48"/>
        </w:trPr>
        <w:tc>
          <w:tcPr>
            <w:tcW w:w="2500" w:type="dxa"/>
            <w:vAlign w:val="bottom"/>
          </w:tcPr>
          <w:p>
            <w:pPr>
              <w:spacing w:after="0"/>
              <w:rPr>
                <w:sz w:val="12"/>
                <w:szCs w:val="12"/>
                <w:color w:val="auto"/>
              </w:rPr>
            </w:pPr>
          </w:p>
        </w:tc>
        <w:tc>
          <w:tcPr>
            <w:tcW w:w="10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Available for</w:t>
            </w:r>
          </w:p>
        </w:tc>
        <w:tc>
          <w:tcPr>
            <w:tcW w:w="960" w:type="dxa"/>
            <w:vAlign w:val="bottom"/>
            <w:gridSpan w:val="2"/>
            <w:vMerge w:val="continue"/>
          </w:tcPr>
          <w:p>
            <w:pPr>
              <w:spacing w:after="0"/>
              <w:rPr>
                <w:sz w:val="12"/>
                <w:szCs w:val="12"/>
                <w:color w:val="auto"/>
              </w:rPr>
            </w:pPr>
          </w:p>
        </w:tc>
        <w:tc>
          <w:tcPr>
            <w:tcW w:w="80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Price Per</w:t>
            </w:r>
          </w:p>
        </w:tc>
        <w:tc>
          <w:tcPr>
            <w:tcW w:w="9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20" w:type="dxa"/>
            <w:vAlign w:val="bottom"/>
          </w:tcPr>
          <w:p>
            <w:pPr>
              <w:spacing w:after="0"/>
              <w:rPr>
                <w:sz w:val="12"/>
                <w:szCs w:val="12"/>
                <w:color w:val="auto"/>
              </w:rPr>
            </w:pPr>
          </w:p>
        </w:tc>
        <w:tc>
          <w:tcPr>
            <w:tcW w:w="800" w:type="dxa"/>
            <w:vAlign w:val="bottom"/>
          </w:tcPr>
          <w:p>
            <w:pPr>
              <w:jc w:val="center"/>
              <w:ind w:right="18"/>
              <w:spacing w:after="0" w:line="149" w:lineRule="exact"/>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73"/>
        </w:trPr>
        <w:tc>
          <w:tcPr>
            <w:tcW w:w="2500" w:type="dxa"/>
            <w:vAlign w:val="bottom"/>
          </w:tcPr>
          <w:p>
            <w:pPr>
              <w:spacing w:after="0"/>
              <w:rPr>
                <w:sz w:val="15"/>
                <w:szCs w:val="15"/>
                <w:color w:val="auto"/>
              </w:rPr>
            </w:pPr>
          </w:p>
        </w:tc>
        <w:tc>
          <w:tcPr>
            <w:tcW w:w="10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Grant</w:t>
            </w: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20" w:type="dxa"/>
            <w:vAlign w:val="bottom"/>
          </w:tcPr>
          <w:p>
            <w:pPr>
              <w:spacing w:after="0"/>
              <w:rPr>
                <w:sz w:val="15"/>
                <w:szCs w:val="15"/>
                <w:color w:val="auto"/>
              </w:rPr>
            </w:pPr>
          </w:p>
        </w:tc>
        <w:tc>
          <w:tcPr>
            <w:tcW w:w="6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9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10"/>
        </w:trPr>
        <w:tc>
          <w:tcPr>
            <w:tcW w:w="2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Balance—December 31, 2023</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598,397</w:t>
            </w:r>
          </w:p>
        </w:tc>
        <w:tc>
          <w:tcPr>
            <w:tcW w:w="1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1,829,428</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1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5,676</w:t>
            </w:r>
          </w:p>
        </w:tc>
        <w:tc>
          <w:tcPr>
            <w:tcW w:w="0" w:type="dxa"/>
            <w:vAlign w:val="bottom"/>
          </w:tcPr>
          <w:p>
            <w:pPr>
              <w:spacing w:after="0"/>
              <w:rPr>
                <w:sz w:val="1"/>
                <w:szCs w:val="1"/>
                <w:color w:val="auto"/>
              </w:rPr>
            </w:pPr>
          </w:p>
        </w:tc>
      </w:tr>
      <w:tr>
        <w:trPr>
          <w:trHeight w:val="216"/>
        </w:trPr>
        <w:tc>
          <w:tcPr>
            <w:tcW w:w="2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Authorized</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632,414</w:t>
            </w: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RSUs granted</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(1,023,060)</w:t>
            </w: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RSUs cancelled/forfeited</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220,678</w:t>
            </w: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Warrants exercised</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Options granted</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Options exercised</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(116,842)</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0" w:type="dxa"/>
            <w:vAlign w:val="bottom"/>
          </w:tcPr>
          <w:p>
            <w:pPr>
              <w:spacing w:after="0"/>
              <w:rPr>
                <w:sz w:val="1"/>
                <w:szCs w:val="1"/>
                <w:color w:val="auto"/>
              </w:rPr>
            </w:pPr>
          </w:p>
        </w:tc>
      </w:tr>
      <w:tr>
        <w:trPr>
          <w:trHeight w:val="216"/>
        </w:trPr>
        <w:tc>
          <w:tcPr>
            <w:tcW w:w="2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Options cancelled/forfeited</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59,533</w:t>
            </w:r>
          </w:p>
        </w:tc>
        <w:tc>
          <w:tcPr>
            <w:tcW w:w="16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(60,147)</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5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Balance—September 30, 2024</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487,962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1,652,439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w:t>
            </w:r>
          </w:p>
        </w:tc>
        <w:tc>
          <w:tcPr>
            <w:tcW w:w="0" w:type="dxa"/>
            <w:vAlign w:val="bottom"/>
          </w:tcPr>
          <w:p>
            <w:pPr>
              <w:spacing w:after="0"/>
              <w:rPr>
                <w:sz w:val="1"/>
                <w:szCs w:val="1"/>
                <w:color w:val="auto"/>
              </w:rPr>
            </w:pPr>
          </w:p>
        </w:tc>
      </w:tr>
      <w:tr>
        <w:trPr>
          <w:trHeight w:val="20"/>
        </w:trPr>
        <w:tc>
          <w:tcPr>
            <w:tcW w:w="2500" w:type="dxa"/>
            <w:vAlign w:val="bottom"/>
            <w:vMerge w:val="restart"/>
          </w:tcPr>
          <w:p>
            <w:pPr>
              <w:spacing w:after="0" w:line="191" w:lineRule="exact"/>
              <w:rPr>
                <w:sz w:val="20"/>
                <w:szCs w:val="20"/>
                <w:color w:val="auto"/>
              </w:rPr>
            </w:pPr>
            <w:r>
              <w:rPr>
                <w:rFonts w:ascii="Times New Roman" w:cs="Times New Roman" w:eastAsia="Times New Roman" w:hAnsi="Times New Roman"/>
                <w:sz w:val="18"/>
                <w:szCs w:val="18"/>
                <w:color w:val="auto"/>
              </w:rPr>
              <w:t>Options exercisable—</w:t>
            </w: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2500" w:type="dxa"/>
            <w:vAlign w:val="bottom"/>
            <w:vMerge w:val="continue"/>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1,424,898</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6"/>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September 30, 2024</w:t>
            </w: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40" w:type="dxa"/>
            <w:vAlign w:val="bottom"/>
          </w:tcPr>
          <w:p>
            <w:pPr>
              <w:spacing w:after="0"/>
              <w:rPr>
                <w:sz w:val="19"/>
                <w:szCs w:val="19"/>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w:t>
            </w: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40" w:right="99" w:firstLine="324"/>
        <w:spacing w:after="0" w:line="266" w:lineRule="auto"/>
        <w:rPr>
          <w:sz w:val="20"/>
          <w:szCs w:val="20"/>
          <w:color w:val="auto"/>
        </w:rPr>
      </w:pPr>
      <w:r>
        <w:rPr>
          <w:rFonts w:ascii="Times New Roman" w:cs="Times New Roman" w:eastAsia="Times New Roman" w:hAnsi="Times New Roman"/>
          <w:sz w:val="18"/>
          <w:szCs w:val="18"/>
          <w:color w:val="auto"/>
        </w:rPr>
        <w:t>The total grant date fair value of options vested was $0.3 million and $0.4 million during the three months ended September 30, 2024 and 2023, respectively, and $0.9 million and $1.7 million during the nine months ended September 30, 2024 and 2023, respectively.</w:t>
      </w:r>
    </w:p>
    <w:p>
      <w:pPr>
        <w:spacing w:after="0" w:line="176" w:lineRule="exact"/>
        <w:rPr>
          <w:sz w:val="20"/>
          <w:szCs w:val="20"/>
          <w:color w:val="auto"/>
        </w:rPr>
      </w:pPr>
    </w:p>
    <w:p>
      <w:pPr>
        <w:jc w:val="both"/>
        <w:ind w:left="40" w:right="79" w:firstLine="324"/>
        <w:spacing w:after="0" w:line="266" w:lineRule="auto"/>
        <w:rPr>
          <w:sz w:val="20"/>
          <w:szCs w:val="20"/>
          <w:color w:val="auto"/>
        </w:rPr>
      </w:pPr>
      <w:r>
        <w:rPr>
          <w:rFonts w:ascii="Times New Roman" w:cs="Times New Roman" w:eastAsia="Times New Roman" w:hAnsi="Times New Roman"/>
          <w:sz w:val="18"/>
          <w:szCs w:val="18"/>
          <w:color w:val="auto"/>
        </w:rPr>
        <w:t>No options were granted in the three months ended September 30, 2024 or 2023, respectively. No options were granted in the nine months ended September 30, 2024. The weighted-average grant date fair value of options granted was $3.85 per share during the nine months ended September 30, 2023.</w:t>
      </w:r>
    </w:p>
    <w:p>
      <w:pPr>
        <w:spacing w:after="0" w:line="176" w:lineRule="exact"/>
        <w:rPr>
          <w:sz w:val="20"/>
          <w:szCs w:val="20"/>
          <w:color w:val="auto"/>
        </w:rPr>
      </w:pPr>
    </w:p>
    <w:p>
      <w:pPr>
        <w:ind w:left="40" w:right="99" w:firstLine="324"/>
        <w:spacing w:after="0" w:line="289" w:lineRule="auto"/>
        <w:rPr>
          <w:sz w:val="20"/>
          <w:szCs w:val="20"/>
          <w:color w:val="auto"/>
        </w:rPr>
      </w:pPr>
      <w:r>
        <w:rPr>
          <w:rFonts w:ascii="Times New Roman" w:cs="Times New Roman" w:eastAsia="Times New Roman" w:hAnsi="Times New Roman"/>
          <w:sz w:val="17"/>
          <w:szCs w:val="17"/>
          <w:color w:val="auto"/>
        </w:rPr>
        <w:t>As of September 30, 2024, there was $1.0 million of total unrecognized stock-based compensation expense related to unvested options which is expected to be recognized over a weighted-average period of 1.07 years. Stock-based compensation cost for options capitalized within inventory at September 30, 2024 and 2023, respectively, was not material.</w:t>
      </w: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 w:name="page14"/>
    <w:bookmarkEnd w:id="13"/>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2016 Employee Stock Purchase Plan</w:t>
      </w:r>
    </w:p>
    <w:p>
      <w:pPr>
        <w:spacing w:after="0" w:line="229" w:lineRule="exact"/>
        <w:rPr>
          <w:sz w:val="20"/>
          <w:szCs w:val="20"/>
          <w:color w:val="auto"/>
        </w:rPr>
      </w:pPr>
    </w:p>
    <w:p>
      <w:pPr>
        <w:ind w:left="40" w:right="179" w:firstLine="324"/>
        <w:spacing w:after="0" w:line="256" w:lineRule="auto"/>
        <w:rPr>
          <w:sz w:val="20"/>
          <w:szCs w:val="20"/>
          <w:color w:val="auto"/>
        </w:rPr>
      </w:pPr>
      <w:r>
        <w:rPr>
          <w:rFonts w:ascii="Times New Roman" w:cs="Times New Roman" w:eastAsia="Times New Roman" w:hAnsi="Times New Roman"/>
          <w:sz w:val="18"/>
          <w:szCs w:val="18"/>
          <w:color w:val="auto"/>
        </w:rPr>
        <w:t>In January 2024, there was an increase of 210,804 shares reserved for issuance under the Company’s Employee Stock Purchase Plan (ESPP) pursuant to the terms of the ESPP. The Company had 1,063,270 shares available for future issuance under the Company’s ESPP as of September 30, 2024. Employees did not purchase any shares during the three months ended September 30, 2024 and 2023, respectively. Employees purchased 37,696 shares for $0.2 million during the nine months ended September 30, 2024. Employees purchased 40,894 shares for $0.2 million during the nine months ended September 30, 2023.</w:t>
      </w:r>
    </w:p>
    <w:p>
      <w:pPr>
        <w:spacing w:after="0" w:line="18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following table summarizes restricted stock units (RSUs) activity for the nine months ended September 30, 2024:</w:t>
      </w:r>
    </w:p>
    <w:p>
      <w:pPr>
        <w:spacing w:after="0" w:line="232"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5040" w:type="dxa"/>
            <w:vAlign w:val="bottom"/>
          </w:tcPr>
          <w:p>
            <w:pPr>
              <w:spacing w:after="0"/>
              <w:rPr>
                <w:sz w:val="15"/>
                <w:szCs w:val="15"/>
                <w:color w:val="auto"/>
              </w:rPr>
            </w:pPr>
          </w:p>
        </w:tc>
        <w:tc>
          <w:tcPr>
            <w:tcW w:w="2080" w:type="dxa"/>
            <w:vAlign w:val="bottom"/>
            <w:tcBorders>
              <w:bottom w:val="single" w:sz="8" w:color="auto"/>
            </w:tcBorders>
            <w:gridSpan w:val="5"/>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RSUs Outstanding</w:t>
            </w:r>
          </w:p>
        </w:tc>
        <w:tc>
          <w:tcPr>
            <w:tcW w:w="0" w:type="dxa"/>
            <w:vAlign w:val="bottom"/>
          </w:tcPr>
          <w:p>
            <w:pPr>
              <w:spacing w:after="0"/>
              <w:rPr>
                <w:sz w:val="1"/>
                <w:szCs w:val="1"/>
                <w:color w:val="auto"/>
              </w:rPr>
            </w:pPr>
          </w:p>
        </w:tc>
      </w:tr>
      <w:tr>
        <w:trPr>
          <w:trHeight w:val="117"/>
        </w:trPr>
        <w:tc>
          <w:tcPr>
            <w:tcW w:w="50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tcPr>
          <w:p>
            <w:pPr>
              <w:jc w:val="center"/>
              <w:ind w:right="19"/>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0" w:type="dxa"/>
            <w:vAlign w:val="bottom"/>
          </w:tcPr>
          <w:p>
            <w:pPr>
              <w:spacing w:after="0"/>
              <w:rPr>
                <w:sz w:val="1"/>
                <w:szCs w:val="1"/>
                <w:color w:val="auto"/>
              </w:rPr>
            </w:pPr>
          </w:p>
        </w:tc>
      </w:tr>
      <w:tr>
        <w:trPr>
          <w:trHeight w:val="149"/>
        </w:trPr>
        <w:tc>
          <w:tcPr>
            <w:tcW w:w="5040" w:type="dxa"/>
            <w:vAlign w:val="bottom"/>
          </w:tcPr>
          <w:p>
            <w:pPr>
              <w:spacing w:after="0"/>
              <w:rPr>
                <w:sz w:val="12"/>
                <w:szCs w:val="12"/>
                <w:color w:val="auto"/>
              </w:rPr>
            </w:pPr>
          </w:p>
        </w:tc>
        <w:tc>
          <w:tcPr>
            <w:tcW w:w="11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Pr>
          <w:p>
            <w:pPr>
              <w:jc w:val="center"/>
              <w:ind w:right="19"/>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504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Pr>
          <w:p>
            <w:pPr>
              <w:jc w:val="center"/>
              <w:ind w:right="19"/>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48"/>
        </w:trPr>
        <w:tc>
          <w:tcPr>
            <w:tcW w:w="5040" w:type="dxa"/>
            <w:vAlign w:val="bottom"/>
          </w:tcPr>
          <w:p>
            <w:pPr>
              <w:spacing w:after="0"/>
              <w:rPr>
                <w:sz w:val="12"/>
                <w:szCs w:val="12"/>
                <w:color w:val="auto"/>
              </w:rPr>
            </w:pPr>
          </w:p>
        </w:tc>
        <w:tc>
          <w:tcPr>
            <w:tcW w:w="11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Restricted Stock</w:t>
            </w:r>
          </w:p>
        </w:tc>
        <w:tc>
          <w:tcPr>
            <w:tcW w:w="92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Fair Value Per</w:t>
            </w:r>
          </w:p>
        </w:tc>
        <w:tc>
          <w:tcPr>
            <w:tcW w:w="0" w:type="dxa"/>
            <w:vAlign w:val="bottom"/>
          </w:tcPr>
          <w:p>
            <w:pPr>
              <w:spacing w:after="0"/>
              <w:rPr>
                <w:sz w:val="1"/>
                <w:szCs w:val="1"/>
                <w:color w:val="auto"/>
              </w:rPr>
            </w:pPr>
          </w:p>
        </w:tc>
      </w:tr>
      <w:tr>
        <w:trPr>
          <w:trHeight w:val="173"/>
        </w:trPr>
        <w:tc>
          <w:tcPr>
            <w:tcW w:w="5040" w:type="dxa"/>
            <w:vAlign w:val="bottom"/>
          </w:tcPr>
          <w:p>
            <w:pPr>
              <w:spacing w:after="0"/>
              <w:rPr>
                <w:sz w:val="15"/>
                <w:szCs w:val="15"/>
                <w:color w:val="auto"/>
              </w:rPr>
            </w:pPr>
          </w:p>
        </w:tc>
        <w:tc>
          <w:tcPr>
            <w:tcW w:w="11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w w:val="97"/>
              </w:rPr>
              <w:t>Share</w:t>
            </w:r>
          </w:p>
        </w:tc>
        <w:tc>
          <w:tcPr>
            <w:tcW w:w="0" w:type="dxa"/>
            <w:vAlign w:val="bottom"/>
          </w:tcPr>
          <w:p>
            <w:pPr>
              <w:spacing w:after="0"/>
              <w:rPr>
                <w:sz w:val="1"/>
                <w:szCs w:val="1"/>
                <w:color w:val="auto"/>
              </w:rPr>
            </w:pPr>
          </w:p>
        </w:tc>
      </w:tr>
      <w:tr>
        <w:trPr>
          <w:trHeight w:val="210"/>
        </w:trPr>
        <w:tc>
          <w:tcPr>
            <w:tcW w:w="5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Balance—December 31, 2023</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905,781</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0" w:type="dxa"/>
            <w:vAlign w:val="bottom"/>
          </w:tcPr>
          <w:p>
            <w:pPr>
              <w:spacing w:after="0"/>
              <w:rPr>
                <w:sz w:val="1"/>
                <w:szCs w:val="1"/>
                <w:color w:val="auto"/>
              </w:rPr>
            </w:pPr>
          </w:p>
        </w:tc>
      </w:tr>
      <w:tr>
        <w:trPr>
          <w:trHeight w:val="216"/>
        </w:trPr>
        <w:tc>
          <w:tcPr>
            <w:tcW w:w="5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Granted</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1,023,060</w:t>
            </w:r>
          </w:p>
        </w:tc>
        <w:tc>
          <w:tcPr>
            <w:tcW w:w="140" w:type="dxa"/>
            <w:vAlign w:val="bottom"/>
          </w:tcPr>
          <w:p>
            <w:pPr>
              <w:spacing w:after="0"/>
              <w:rPr>
                <w:sz w:val="18"/>
                <w:szCs w:val="18"/>
                <w:color w:val="auto"/>
              </w:rPr>
            </w:pPr>
          </w:p>
        </w:tc>
        <w:tc>
          <w:tcPr>
            <w:tcW w:w="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8.51</w:t>
            </w: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Vested</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(598,031)</w:t>
            </w:r>
          </w:p>
        </w:tc>
        <w:tc>
          <w:tcPr>
            <w:tcW w:w="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0" w:type="dxa"/>
            <w:vAlign w:val="bottom"/>
          </w:tcPr>
          <w:p>
            <w:pPr>
              <w:spacing w:after="0"/>
              <w:rPr>
                <w:sz w:val="1"/>
                <w:szCs w:val="1"/>
                <w:color w:val="auto"/>
              </w:rPr>
            </w:pPr>
          </w:p>
        </w:tc>
      </w:tr>
      <w:tr>
        <w:trPr>
          <w:trHeight w:val="216"/>
        </w:trPr>
        <w:tc>
          <w:tcPr>
            <w:tcW w:w="5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Cancelled/forfeited</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(220,678)</w:t>
            </w:r>
          </w:p>
        </w:tc>
        <w:tc>
          <w:tcPr>
            <w:tcW w:w="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w:t>
            </w:r>
          </w:p>
        </w:tc>
        <w:tc>
          <w:tcPr>
            <w:tcW w:w="0" w:type="dxa"/>
            <w:vAlign w:val="bottom"/>
          </w:tcPr>
          <w:p>
            <w:pPr>
              <w:spacing w:after="0"/>
              <w:rPr>
                <w:sz w:val="1"/>
                <w:szCs w:val="1"/>
                <w:color w:val="auto"/>
              </w:rPr>
            </w:pPr>
          </w:p>
        </w:tc>
      </w:tr>
      <w:tr>
        <w:trPr>
          <w:trHeight w:val="210"/>
        </w:trPr>
        <w:tc>
          <w:tcPr>
            <w:tcW w:w="50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Balance—September 30, 2024</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1,110,132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20" w:type="dxa"/>
            <w:vAlign w:val="bottom"/>
            <w:tcBorders>
              <w:top w:val="single" w:sz="8" w:color="auto"/>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40" w:right="199" w:firstLine="324"/>
        <w:spacing w:after="0" w:line="282" w:lineRule="auto"/>
        <w:rPr>
          <w:sz w:val="20"/>
          <w:szCs w:val="20"/>
          <w:color w:val="auto"/>
        </w:rPr>
      </w:pPr>
      <w:r>
        <w:rPr>
          <w:rFonts w:ascii="Times New Roman" w:cs="Times New Roman" w:eastAsia="Times New Roman" w:hAnsi="Times New Roman"/>
          <w:sz w:val="18"/>
          <w:szCs w:val="18"/>
          <w:color w:val="auto"/>
        </w:rPr>
        <w:t>The fair value of RSUs is determined on the date of grant based on the market price of the Company’s common stock on that date.</w:t>
      </w:r>
    </w:p>
    <w:p>
      <w:pPr>
        <w:spacing w:after="0" w:line="162" w:lineRule="exact"/>
        <w:rPr>
          <w:sz w:val="20"/>
          <w:szCs w:val="20"/>
          <w:color w:val="auto"/>
        </w:rPr>
      </w:pPr>
    </w:p>
    <w:p>
      <w:pPr>
        <w:ind w:left="40" w:right="119" w:firstLine="324"/>
        <w:spacing w:after="0" w:line="266" w:lineRule="auto"/>
        <w:rPr>
          <w:sz w:val="20"/>
          <w:szCs w:val="20"/>
          <w:color w:val="auto"/>
        </w:rPr>
      </w:pPr>
      <w:r>
        <w:rPr>
          <w:rFonts w:ascii="Times New Roman" w:cs="Times New Roman" w:eastAsia="Times New Roman" w:hAnsi="Times New Roman"/>
          <w:sz w:val="18"/>
          <w:szCs w:val="18"/>
          <w:color w:val="auto"/>
        </w:rPr>
        <w:t>As of September 30, 2024, there was $7.5 million of unrecognized stock-based compensation expense related to RSUs to be recognized over a weighted-average period of 2.5 years. Stock-based compensation cost related to RSUs capitalized within inventory at September 30, 2024 and 2023, respectively, was not material.</w:t>
      </w:r>
    </w:p>
    <w:p>
      <w:pPr>
        <w:spacing w:after="0" w:line="1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8. Significant Agreements</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GLOBALFOUNDRIES, Inc. Joint Development Agreement</w:t>
      </w:r>
    </w:p>
    <w:p>
      <w:pPr>
        <w:spacing w:after="0" w:line="229" w:lineRule="exact"/>
        <w:rPr>
          <w:sz w:val="20"/>
          <w:szCs w:val="20"/>
          <w:color w:val="auto"/>
        </w:rPr>
      </w:pPr>
    </w:p>
    <w:p>
      <w:pPr>
        <w:ind w:left="40" w:right="359" w:firstLine="324"/>
        <w:spacing w:after="0" w:line="258" w:lineRule="auto"/>
        <w:rPr>
          <w:sz w:val="20"/>
          <w:szCs w:val="20"/>
          <w:color w:val="auto"/>
        </w:rPr>
      </w:pPr>
      <w:r>
        <w:rPr>
          <w:rFonts w:ascii="Times New Roman" w:cs="Times New Roman" w:eastAsia="Times New Roman" w:hAnsi="Times New Roman"/>
          <w:sz w:val="18"/>
          <w:szCs w:val="18"/>
          <w:color w:val="auto"/>
        </w:rPr>
        <w:t>Since October 17, 2014, the Company has participated in a joint development agreement (JDA) with GLOBALFOUNDRIES Inc. (GF), a semiconductor foundry, for the joint development of Spin-transfer Torque MRAM (STT-MRAM), technology to produce a family of discrete and embedded MRAM technologies. The term of the JDA is until the completion, termination, or expiration of the last statement of work entered into pursuant to the JDA. The JDA was extended on December 31, 2019, to include a new phase of support for 12nm MRAM development.</w:t>
      </w:r>
    </w:p>
    <w:p>
      <w:pPr>
        <w:spacing w:after="0" w:line="183" w:lineRule="exact"/>
        <w:rPr>
          <w:sz w:val="20"/>
          <w:szCs w:val="20"/>
          <w:color w:val="auto"/>
        </w:rPr>
      </w:pPr>
    </w:p>
    <w:p>
      <w:pPr>
        <w:ind w:left="40" w:right="59" w:firstLine="401"/>
        <w:spacing w:after="0" w:line="255" w:lineRule="auto"/>
        <w:rPr>
          <w:sz w:val="20"/>
          <w:szCs w:val="20"/>
          <w:color w:val="auto"/>
        </w:rPr>
      </w:pPr>
      <w:r>
        <w:rPr>
          <w:rFonts w:ascii="Times New Roman" w:cs="Times New Roman" w:eastAsia="Times New Roman" w:hAnsi="Times New Roman"/>
          <w:sz w:val="18"/>
          <w:szCs w:val="18"/>
          <w:color w:val="auto"/>
        </w:rPr>
        <w:t>Under the current JDA extension terms, each party licenses its relevant intellectual property to the other party. For certain jointly developed works, the parties have agreed to follow an invention allocation procedure to determine ownership. In addition, GF possesses the exclusive right to manufacture the Company’s discrete and embedded STT-MRAM devices developed pursuant to the JDA until the earlier of three years after the qualification of the MRAM device for a particular technology node or four years after the completion of the relevant statement of work under which the device was developed. For the same exclusivity period associated with the relevant device, GF agreed not to license intellectual property developed in connection with the JDA to named competitors of the Company.</w:t>
      </w:r>
    </w:p>
    <w:p>
      <w:pPr>
        <w:spacing w:after="0" w:line="81" w:lineRule="exact"/>
        <w:rPr>
          <w:sz w:val="20"/>
          <w:szCs w:val="20"/>
          <w:color w:val="auto"/>
        </w:rPr>
      </w:pPr>
    </w:p>
    <w:p>
      <w:pPr>
        <w:ind w:left="40" w:right="79" w:firstLine="401"/>
        <w:spacing w:after="0" w:line="282" w:lineRule="auto"/>
        <w:rPr>
          <w:sz w:val="20"/>
          <w:szCs w:val="20"/>
          <w:color w:val="auto"/>
        </w:rPr>
      </w:pPr>
      <w:r>
        <w:rPr>
          <w:rFonts w:ascii="Times New Roman" w:cs="Times New Roman" w:eastAsia="Times New Roman" w:hAnsi="Times New Roman"/>
          <w:sz w:val="18"/>
          <w:szCs w:val="18"/>
          <w:color w:val="auto"/>
        </w:rPr>
        <w:t>If GF manufactures, sells, or transfers to customers wafers containing production quantified STT-MRAM devices that utilize certain design information, GF will be required to pay the Company a royalty.</w:t>
      </w:r>
    </w:p>
    <w:p>
      <w:pPr>
        <w:spacing w:after="0" w:line="2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9. Net (Loss) Income Per Common Share</w:t>
      </w:r>
    </w:p>
    <w:p>
      <w:pPr>
        <w:spacing w:after="0" w:line="229" w:lineRule="exact"/>
        <w:rPr>
          <w:sz w:val="20"/>
          <w:szCs w:val="20"/>
          <w:color w:val="auto"/>
        </w:rPr>
      </w:pPr>
    </w:p>
    <w:p>
      <w:pPr>
        <w:ind w:left="40" w:right="59" w:firstLine="441"/>
        <w:spacing w:after="0" w:line="282" w:lineRule="auto"/>
        <w:rPr>
          <w:sz w:val="20"/>
          <w:szCs w:val="20"/>
          <w:color w:val="auto"/>
        </w:rPr>
      </w:pPr>
      <w:r>
        <w:rPr>
          <w:rFonts w:ascii="Times New Roman" w:cs="Times New Roman" w:eastAsia="Times New Roman" w:hAnsi="Times New Roman"/>
          <w:sz w:val="18"/>
          <w:szCs w:val="18"/>
          <w:color w:val="auto"/>
        </w:rPr>
        <w:t>Basic net (loss) income per common share is calculated by dividing the net income by the weighted-average number of shares of common stock outstanding for the period less shares subject to repurchase, without consideration of potentially</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4" w:name="page15"/>
    <w:bookmarkEnd w:id="14"/>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both"/>
        <w:ind w:left="40" w:right="59"/>
        <w:spacing w:after="0" w:line="261" w:lineRule="auto"/>
        <w:rPr>
          <w:sz w:val="20"/>
          <w:szCs w:val="20"/>
          <w:color w:val="auto"/>
        </w:rPr>
      </w:pPr>
      <w:r>
        <w:rPr>
          <w:rFonts w:ascii="Times New Roman" w:cs="Times New Roman" w:eastAsia="Times New Roman" w:hAnsi="Times New Roman"/>
          <w:sz w:val="18"/>
          <w:szCs w:val="18"/>
          <w:color w:val="auto"/>
        </w:rPr>
        <w:t>dilutive securities. Diluted earnings per share is calculated using the treasury stock method by dividing net income by the total weighted average shares of common stock outstanding in addition to the potential impact of dilutive securities including restricted stock units, warrants, and options. In periods with a net loss, potentially dilutive securities are excluded from the Company’s calculation of earnings per share as their inclusion would have an antidilutive effect.</w:t>
      </w:r>
    </w:p>
    <w:p>
      <w:pPr>
        <w:spacing w:after="0" w:line="180" w:lineRule="exact"/>
        <w:rPr>
          <w:sz w:val="20"/>
          <w:szCs w:val="20"/>
          <w:color w:val="auto"/>
        </w:rPr>
      </w:pPr>
    </w:p>
    <w:p>
      <w:pPr>
        <w:jc w:val="both"/>
        <w:ind w:left="40" w:right="59" w:firstLine="441"/>
        <w:spacing w:after="0" w:line="282" w:lineRule="auto"/>
        <w:rPr>
          <w:sz w:val="20"/>
          <w:szCs w:val="20"/>
          <w:color w:val="auto"/>
        </w:rPr>
      </w:pPr>
      <w:r>
        <w:rPr>
          <w:rFonts w:ascii="Times New Roman" w:cs="Times New Roman" w:eastAsia="Times New Roman" w:hAnsi="Times New Roman"/>
          <w:sz w:val="18"/>
          <w:szCs w:val="18"/>
          <w:color w:val="auto"/>
        </w:rPr>
        <w:t>The following tables set forth the computation of basic and diluted net (loss) income per share attributable to common stockholders (in thousands, except share and per share amounts):</w:t>
      </w:r>
    </w:p>
    <w:p>
      <w:pPr>
        <w:spacing w:after="0" w:line="16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u w:val="single" w:color="auto"/>
          <w:color w:val="auto"/>
        </w:rPr>
        <w:t>Basic EPS</w:t>
      </w:r>
    </w:p>
    <w:p>
      <w:pPr>
        <w:spacing w:after="0" w:line="232" w:lineRule="exact"/>
        <w:rPr>
          <w:sz w:val="20"/>
          <w:szCs w:val="20"/>
          <w:color w:val="auto"/>
        </w:rPr>
      </w:pPr>
    </w:p>
    <w:tbl>
      <w:tblPr>
        <w:tblLayout w:type="fixed"/>
        <w:tblInd w:w="360" w:type="dxa"/>
        <w:tblCellMar>
          <w:top w:w="0" w:type="dxa"/>
          <w:left w:w="0" w:type="dxa"/>
          <w:bottom w:w="0" w:type="dxa"/>
          <w:right w:w="0" w:type="dxa"/>
        </w:tblCellMar>
      </w:tblPr>
      <w:tr>
        <w:trPr>
          <w:trHeight w:val="173"/>
        </w:trPr>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242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24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580" w:type="dxa"/>
            <w:vAlign w:val="bottom"/>
          </w:tcPr>
          <w:p>
            <w:pPr>
              <w:spacing w:after="0"/>
              <w:rPr>
                <w:sz w:val="12"/>
                <w:szCs w:val="12"/>
                <w:color w:val="auto"/>
              </w:rPr>
            </w:pPr>
          </w:p>
        </w:tc>
        <w:tc>
          <w:tcPr>
            <w:tcW w:w="24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14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9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1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9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24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(loss) income</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(433)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7,084</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246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24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80" w:type="dxa"/>
            <w:vAlign w:val="bottom"/>
          </w:tcPr>
          <w:p>
            <w:pPr>
              <w:spacing w:after="0"/>
              <w:rPr>
                <w:sz w:val="17"/>
                <w:szCs w:val="17"/>
                <w:color w:val="auto"/>
              </w:rPr>
            </w:pPr>
          </w:p>
        </w:tc>
        <w:tc>
          <w:tcPr>
            <w:tcW w:w="2460" w:type="dxa"/>
            <w:vAlign w:val="bottom"/>
            <w:gridSpan w:val="2"/>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Weighted-average shares of</w:t>
            </w: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common stock outstanding,</w:t>
            </w:r>
          </w:p>
        </w:tc>
        <w:tc>
          <w:tcPr>
            <w:tcW w:w="140" w:type="dxa"/>
            <w:vAlign w:val="bottom"/>
            <w:shd w:val="clear" w:color="auto" w:fill="CCEEFF"/>
          </w:tcPr>
          <w:p>
            <w:pPr>
              <w:spacing w:after="0"/>
              <w:rPr>
                <w:sz w:val="18"/>
                <w:szCs w:val="18"/>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21,767,380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20,848,558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21,529,738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20,653,775</w:t>
            </w:r>
          </w:p>
        </w:tc>
        <w:tc>
          <w:tcPr>
            <w:tcW w:w="0" w:type="dxa"/>
            <w:vAlign w:val="bottom"/>
          </w:tcPr>
          <w:p>
            <w:pPr>
              <w:spacing w:after="0"/>
              <w:rPr>
                <w:sz w:val="1"/>
                <w:szCs w:val="1"/>
                <w:color w:val="auto"/>
              </w:rPr>
            </w:pPr>
          </w:p>
        </w:tc>
      </w:tr>
      <w:tr>
        <w:trPr>
          <w:trHeight w:val="221"/>
        </w:trPr>
        <w:tc>
          <w:tcPr>
            <w:tcW w:w="580" w:type="dxa"/>
            <w:vAlign w:val="bottom"/>
          </w:tcPr>
          <w:p>
            <w:pPr>
              <w:spacing w:after="0"/>
              <w:rPr>
                <w:sz w:val="19"/>
                <w:szCs w:val="19"/>
                <w:color w:val="auto"/>
              </w:rPr>
            </w:pPr>
          </w:p>
        </w:tc>
        <w:tc>
          <w:tcPr>
            <w:tcW w:w="246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basic</w:t>
            </w:r>
          </w:p>
        </w:tc>
        <w:tc>
          <w:tcPr>
            <w:tcW w:w="1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2460" w:type="dxa"/>
            <w:vAlign w:val="bottom"/>
            <w:gridSpan w:val="2"/>
            <w:vMerge w:val="restart"/>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Net (loss) income per</w:t>
            </w: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580" w:type="dxa"/>
            <w:vAlign w:val="bottom"/>
          </w:tcPr>
          <w:p>
            <w:pPr>
              <w:spacing w:after="0"/>
              <w:rPr>
                <w:sz w:val="12"/>
                <w:szCs w:val="12"/>
                <w:color w:val="auto"/>
              </w:rPr>
            </w:pPr>
          </w:p>
        </w:tc>
        <w:tc>
          <w:tcPr>
            <w:tcW w:w="2460" w:type="dxa"/>
            <w:vAlign w:val="bottom"/>
            <w:gridSpan w:val="2"/>
            <w:vMerge w:val="continue"/>
          </w:tcPr>
          <w:p>
            <w:pPr>
              <w:spacing w:after="0"/>
              <w:rPr>
                <w:sz w:val="12"/>
                <w:szCs w:val="12"/>
                <w:color w:val="auto"/>
              </w:rPr>
            </w:pPr>
          </w:p>
        </w:tc>
        <w:tc>
          <w:tcPr>
            <w:tcW w:w="1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6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14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(0.02)</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0.34</w:t>
            </w:r>
          </w:p>
        </w:tc>
        <w:tc>
          <w:tcPr>
            <w:tcW w:w="0" w:type="dxa"/>
            <w:vAlign w:val="bottom"/>
          </w:tcPr>
          <w:p>
            <w:pPr>
              <w:spacing w:after="0"/>
              <w:rPr>
                <w:sz w:val="1"/>
                <w:szCs w:val="1"/>
                <w:color w:val="auto"/>
              </w:rPr>
            </w:pPr>
          </w:p>
        </w:tc>
      </w:tr>
      <w:tr>
        <w:trPr>
          <w:trHeight w:val="225"/>
        </w:trPr>
        <w:tc>
          <w:tcPr>
            <w:tcW w:w="580" w:type="dxa"/>
            <w:vAlign w:val="bottom"/>
          </w:tcPr>
          <w:p>
            <w:pPr>
              <w:spacing w:after="0"/>
              <w:rPr>
                <w:sz w:val="19"/>
                <w:szCs w:val="19"/>
                <w:color w:val="auto"/>
              </w:rPr>
            </w:pPr>
          </w:p>
        </w:tc>
        <w:tc>
          <w:tcPr>
            <w:tcW w:w="24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common share, basic</w:t>
            </w:r>
          </w:p>
        </w:tc>
        <w:tc>
          <w:tcPr>
            <w:tcW w:w="140" w:type="dxa"/>
            <w:vAlign w:val="bottom"/>
            <w:vMerge w:val="continue"/>
          </w:tcPr>
          <w:p>
            <w:pPr>
              <w:spacing w:after="0"/>
              <w:rPr>
                <w:sz w:val="19"/>
                <w:szCs w:val="19"/>
                <w:color w:val="auto"/>
              </w:rPr>
            </w:pPr>
          </w:p>
        </w:tc>
        <w:tc>
          <w:tcPr>
            <w:tcW w:w="92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vMerge w:val="continue"/>
          </w:tcPr>
          <w:p>
            <w:pPr>
              <w:spacing w:after="0"/>
              <w:rPr>
                <w:sz w:val="19"/>
                <w:szCs w:val="19"/>
                <w:color w:val="auto"/>
              </w:rPr>
            </w:pPr>
          </w:p>
        </w:tc>
        <w:tc>
          <w:tcPr>
            <w:tcW w:w="92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vMerge w:val="continue"/>
          </w:tcPr>
          <w:p>
            <w:pPr>
              <w:spacing w:after="0"/>
              <w:rPr>
                <w:sz w:val="19"/>
                <w:szCs w:val="19"/>
                <w:color w:val="auto"/>
              </w:rPr>
            </w:pPr>
          </w:p>
        </w:tc>
        <w:tc>
          <w:tcPr>
            <w:tcW w:w="1060" w:type="dxa"/>
            <w:vAlign w:val="bottom"/>
            <w:gridSpan w:val="2"/>
            <w:vMerge w:val="continue"/>
          </w:tcPr>
          <w:p>
            <w:pPr>
              <w:spacing w:after="0"/>
              <w:rPr>
                <w:sz w:val="19"/>
                <w:szCs w:val="19"/>
                <w:color w:val="auto"/>
              </w:rPr>
            </w:pPr>
          </w:p>
        </w:tc>
        <w:tc>
          <w:tcPr>
            <w:tcW w:w="140" w:type="dxa"/>
            <w:vAlign w:val="bottom"/>
            <w:vMerge w:val="continue"/>
          </w:tcPr>
          <w:p>
            <w:pPr>
              <w:spacing w:after="0"/>
              <w:rPr>
                <w:sz w:val="19"/>
                <w:szCs w:val="19"/>
                <w:color w:val="auto"/>
              </w:rPr>
            </w:pPr>
          </w:p>
        </w:tc>
        <w:tc>
          <w:tcPr>
            <w:tcW w:w="9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Diluted EPS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3040" w:type="dxa"/>
            <w:vAlign w:val="bottom"/>
            <w:gridSpan w:val="3"/>
            <w:vMerge w:val="continue"/>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58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2140" w:type="dxa"/>
            <w:vAlign w:val="bottom"/>
          </w:tcPr>
          <w:p>
            <w:pPr>
              <w:spacing w:after="0"/>
              <w:rPr>
                <w:sz w:val="24"/>
                <w:szCs w:val="24"/>
                <w:color w:val="auto"/>
              </w:rPr>
            </w:pPr>
          </w:p>
        </w:tc>
        <w:tc>
          <w:tcPr>
            <w:tcW w:w="242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24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580" w:type="dxa"/>
            <w:vAlign w:val="bottom"/>
          </w:tcPr>
          <w:p>
            <w:pPr>
              <w:spacing w:after="0"/>
              <w:rPr>
                <w:sz w:val="12"/>
                <w:szCs w:val="12"/>
                <w:color w:val="auto"/>
              </w:rPr>
            </w:pPr>
          </w:p>
        </w:tc>
        <w:tc>
          <w:tcPr>
            <w:tcW w:w="24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14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9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1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9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24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(loss) income</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(433)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7,084</w:t>
            </w:r>
          </w:p>
        </w:tc>
        <w:tc>
          <w:tcPr>
            <w:tcW w:w="0" w:type="dxa"/>
            <w:vAlign w:val="bottom"/>
          </w:tcPr>
          <w:p>
            <w:pPr>
              <w:spacing w:after="0"/>
              <w:rPr>
                <w:sz w:val="1"/>
                <w:szCs w:val="1"/>
                <w:color w:val="auto"/>
              </w:rPr>
            </w:pPr>
          </w:p>
        </w:tc>
      </w:tr>
      <w:tr>
        <w:trPr>
          <w:trHeight w:val="198"/>
        </w:trPr>
        <w:tc>
          <w:tcPr>
            <w:tcW w:w="580" w:type="dxa"/>
            <w:vAlign w:val="bottom"/>
          </w:tcPr>
          <w:p>
            <w:pPr>
              <w:spacing w:after="0"/>
              <w:rPr>
                <w:sz w:val="17"/>
                <w:szCs w:val="17"/>
                <w:color w:val="auto"/>
              </w:rPr>
            </w:pPr>
          </w:p>
        </w:tc>
        <w:tc>
          <w:tcPr>
            <w:tcW w:w="2460" w:type="dxa"/>
            <w:vAlign w:val="bottom"/>
            <w:gridSpan w:val="2"/>
          </w:tcPr>
          <w:p>
            <w:pPr>
              <w:ind w:left="100"/>
              <w:spacing w:after="0" w:line="198" w:lineRule="exact"/>
              <w:rPr>
                <w:sz w:val="20"/>
                <w:szCs w:val="20"/>
                <w:color w:val="auto"/>
              </w:rPr>
            </w:pPr>
            <w:r>
              <w:rPr>
                <w:rFonts w:ascii="Times New Roman" w:cs="Times New Roman" w:eastAsia="Times New Roman" w:hAnsi="Times New Roman"/>
                <w:sz w:val="18"/>
                <w:szCs w:val="18"/>
                <w:color w:val="auto"/>
              </w:rPr>
              <w:t>Warrant liability fair value</w:t>
            </w: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24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loss recognized</w:t>
            </w:r>
          </w:p>
        </w:tc>
        <w:tc>
          <w:tcPr>
            <w:tcW w:w="1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(48)</w:t>
            </w:r>
          </w:p>
        </w:tc>
        <w:tc>
          <w:tcPr>
            <w:tcW w:w="14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178"/>
        </w:trPr>
        <w:tc>
          <w:tcPr>
            <w:tcW w:w="580" w:type="dxa"/>
            <w:vAlign w:val="bottom"/>
          </w:tcPr>
          <w:p>
            <w:pPr>
              <w:spacing w:after="0"/>
              <w:rPr>
                <w:sz w:val="15"/>
                <w:szCs w:val="15"/>
                <w:color w:val="auto"/>
              </w:rPr>
            </w:pPr>
          </w:p>
        </w:tc>
        <w:tc>
          <w:tcPr>
            <w:tcW w:w="2460" w:type="dxa"/>
            <w:vAlign w:val="bottom"/>
            <w:tcBorders>
              <w:top w:val="single" w:sz="8" w:color="CCEEFF"/>
            </w:tcBorders>
            <w:gridSpan w:val="2"/>
            <w:shd w:val="clear" w:color="auto" w:fill="CCEEFF"/>
          </w:tcPr>
          <w:p>
            <w:pPr>
              <w:ind w:left="100"/>
              <w:spacing w:after="0" w:line="177" w:lineRule="exact"/>
              <w:rPr>
                <w:sz w:val="20"/>
                <w:szCs w:val="20"/>
                <w:color w:val="auto"/>
              </w:rPr>
            </w:pPr>
            <w:r>
              <w:rPr>
                <w:rFonts w:ascii="Times New Roman" w:cs="Times New Roman" w:eastAsia="Times New Roman" w:hAnsi="Times New Roman"/>
                <w:sz w:val="18"/>
                <w:szCs w:val="18"/>
                <w:color w:val="auto"/>
              </w:rPr>
              <w:t>Net (loss) income attributable</w:t>
            </w:r>
          </w:p>
        </w:tc>
        <w:tc>
          <w:tcPr>
            <w:tcW w:w="14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 common stockholders,</w:t>
            </w:r>
          </w:p>
        </w:tc>
        <w:tc>
          <w:tcPr>
            <w:tcW w:w="1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2,271</w:t>
            </w:r>
          </w:p>
        </w:tc>
        <w:tc>
          <w:tcPr>
            <w:tcW w:w="160" w:type="dxa"/>
            <w:vAlign w:val="bottom"/>
            <w:shd w:val="clear" w:color="auto" w:fill="CCEEFF"/>
          </w:tcPr>
          <w:p>
            <w:pPr>
              <w:spacing w:after="0"/>
              <w:rPr>
                <w:sz w:val="18"/>
                <w:szCs w:val="18"/>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2,390</w:t>
            </w:r>
          </w:p>
        </w:tc>
        <w:tc>
          <w:tcPr>
            <w:tcW w:w="140" w:type="dxa"/>
            <w:vAlign w:val="bottom"/>
            <w:shd w:val="clear" w:color="auto" w:fill="CCEEFF"/>
          </w:tcPr>
          <w:p>
            <w:pPr>
              <w:spacing w:after="0"/>
              <w:rPr>
                <w:sz w:val="18"/>
                <w:szCs w:val="18"/>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(433)</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7,059</w:t>
            </w:r>
          </w:p>
        </w:tc>
        <w:tc>
          <w:tcPr>
            <w:tcW w:w="0" w:type="dxa"/>
            <w:vAlign w:val="bottom"/>
          </w:tcPr>
          <w:p>
            <w:pPr>
              <w:spacing w:after="0"/>
              <w:rPr>
                <w:sz w:val="1"/>
                <w:szCs w:val="1"/>
                <w:color w:val="auto"/>
              </w:rPr>
            </w:pPr>
          </w:p>
        </w:tc>
      </w:tr>
      <w:tr>
        <w:trPr>
          <w:trHeight w:val="221"/>
        </w:trPr>
        <w:tc>
          <w:tcPr>
            <w:tcW w:w="580" w:type="dxa"/>
            <w:vAlign w:val="bottom"/>
          </w:tcPr>
          <w:p>
            <w:pPr>
              <w:spacing w:after="0"/>
              <w:rPr>
                <w:sz w:val="19"/>
                <w:szCs w:val="19"/>
                <w:color w:val="auto"/>
              </w:rPr>
            </w:pPr>
          </w:p>
        </w:tc>
        <w:tc>
          <w:tcPr>
            <w:tcW w:w="2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diluted</w:t>
            </w:r>
          </w:p>
        </w:tc>
        <w:tc>
          <w:tcPr>
            <w:tcW w:w="140" w:type="dxa"/>
            <w:vAlign w:val="bottom"/>
            <w:vMerge w:val="continue"/>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1060" w:type="dxa"/>
            <w:vAlign w:val="bottom"/>
            <w:gridSpan w:val="2"/>
            <w:vMerge w:val="continue"/>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246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24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80" w:type="dxa"/>
            <w:vAlign w:val="bottom"/>
          </w:tcPr>
          <w:p>
            <w:pPr>
              <w:spacing w:after="0"/>
              <w:rPr>
                <w:sz w:val="17"/>
                <w:szCs w:val="17"/>
                <w:color w:val="auto"/>
              </w:rPr>
            </w:pPr>
          </w:p>
        </w:tc>
        <w:tc>
          <w:tcPr>
            <w:tcW w:w="2460" w:type="dxa"/>
            <w:vAlign w:val="bottom"/>
            <w:gridSpan w:val="2"/>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Weighted-average shares of</w:t>
            </w: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common stock outstanding,</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2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basic</w:t>
            </w: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21,767,380</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20,848,558</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21,529,738</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20,653,775</w:t>
            </w:r>
          </w:p>
        </w:tc>
        <w:tc>
          <w:tcPr>
            <w:tcW w:w="0" w:type="dxa"/>
            <w:vAlign w:val="bottom"/>
          </w:tcPr>
          <w:p>
            <w:pPr>
              <w:spacing w:after="0"/>
              <w:rPr>
                <w:sz w:val="1"/>
                <w:szCs w:val="1"/>
                <w:color w:val="auto"/>
              </w:rPr>
            </w:pPr>
          </w:p>
        </w:tc>
      </w:tr>
      <w:tr>
        <w:trPr>
          <w:trHeight w:val="198"/>
        </w:trPr>
        <w:tc>
          <w:tcPr>
            <w:tcW w:w="580" w:type="dxa"/>
            <w:vAlign w:val="bottom"/>
          </w:tcPr>
          <w:p>
            <w:pPr>
              <w:spacing w:after="0"/>
              <w:rPr>
                <w:sz w:val="17"/>
                <w:szCs w:val="17"/>
                <w:color w:val="auto"/>
              </w:rPr>
            </w:pPr>
          </w:p>
        </w:tc>
        <w:tc>
          <w:tcPr>
            <w:tcW w:w="2460" w:type="dxa"/>
            <w:vAlign w:val="bottom"/>
            <w:gridSpan w:val="2"/>
          </w:tcPr>
          <w:p>
            <w:pPr>
              <w:ind w:left="100"/>
              <w:spacing w:after="0" w:line="198" w:lineRule="exact"/>
              <w:rPr>
                <w:sz w:val="20"/>
                <w:szCs w:val="20"/>
                <w:color w:val="auto"/>
              </w:rPr>
            </w:pPr>
            <w:r>
              <w:rPr>
                <w:rFonts w:ascii="Times New Roman" w:cs="Times New Roman" w:eastAsia="Times New Roman" w:hAnsi="Times New Roman"/>
                <w:sz w:val="18"/>
                <w:szCs w:val="18"/>
                <w:color w:val="auto"/>
              </w:rPr>
              <w:t>Dilutive effect of stock</w:t>
            </w: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24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options and RSUs</w:t>
            </w: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217,795</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980,231</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623,129</w:t>
            </w:r>
          </w:p>
        </w:tc>
        <w:tc>
          <w:tcPr>
            <w:tcW w:w="0" w:type="dxa"/>
            <w:vAlign w:val="bottom"/>
          </w:tcPr>
          <w:p>
            <w:pPr>
              <w:spacing w:after="0"/>
              <w:rPr>
                <w:sz w:val="1"/>
                <w:szCs w:val="1"/>
                <w:color w:val="auto"/>
              </w:rPr>
            </w:pPr>
          </w:p>
        </w:tc>
      </w:tr>
      <w:tr>
        <w:trPr>
          <w:trHeight w:val="178"/>
        </w:trPr>
        <w:tc>
          <w:tcPr>
            <w:tcW w:w="580" w:type="dxa"/>
            <w:vAlign w:val="bottom"/>
          </w:tcPr>
          <w:p>
            <w:pPr>
              <w:spacing w:after="0"/>
              <w:rPr>
                <w:sz w:val="15"/>
                <w:szCs w:val="15"/>
                <w:color w:val="auto"/>
              </w:rPr>
            </w:pPr>
          </w:p>
        </w:tc>
        <w:tc>
          <w:tcPr>
            <w:tcW w:w="2460" w:type="dxa"/>
            <w:vAlign w:val="bottom"/>
            <w:tcBorders>
              <w:top w:val="single" w:sz="8" w:color="CCEEFF"/>
            </w:tcBorders>
            <w:gridSpan w:val="2"/>
            <w:shd w:val="clear" w:color="auto" w:fill="CCEEFF"/>
          </w:tcPr>
          <w:p>
            <w:pPr>
              <w:ind w:left="100"/>
              <w:spacing w:after="0" w:line="177" w:lineRule="exact"/>
              <w:rPr>
                <w:sz w:val="20"/>
                <w:szCs w:val="20"/>
                <w:color w:val="auto"/>
              </w:rPr>
            </w:pPr>
            <w:r>
              <w:rPr>
                <w:rFonts w:ascii="Times New Roman" w:cs="Times New Roman" w:eastAsia="Times New Roman" w:hAnsi="Times New Roman"/>
                <w:sz w:val="18"/>
                <w:szCs w:val="18"/>
                <w:color w:val="auto"/>
              </w:rPr>
              <w:t>Weighted-average shares of</w:t>
            </w:r>
          </w:p>
        </w:tc>
        <w:tc>
          <w:tcPr>
            <w:tcW w:w="14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common stock outstanding,</w:t>
            </w:r>
          </w:p>
        </w:tc>
        <w:tc>
          <w:tcPr>
            <w:tcW w:w="140" w:type="dxa"/>
            <w:vAlign w:val="bottom"/>
            <w:shd w:val="clear" w:color="auto" w:fill="CCEEFF"/>
          </w:tcPr>
          <w:p>
            <w:pPr>
              <w:spacing w:after="0"/>
              <w:rPr>
                <w:sz w:val="18"/>
                <w:szCs w:val="18"/>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21,985,175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21,828,789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21,529,738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21,276,904</w:t>
            </w:r>
          </w:p>
        </w:tc>
        <w:tc>
          <w:tcPr>
            <w:tcW w:w="0" w:type="dxa"/>
            <w:vAlign w:val="bottom"/>
          </w:tcPr>
          <w:p>
            <w:pPr>
              <w:spacing w:after="0"/>
              <w:rPr>
                <w:sz w:val="1"/>
                <w:szCs w:val="1"/>
                <w:color w:val="auto"/>
              </w:rPr>
            </w:pPr>
          </w:p>
        </w:tc>
      </w:tr>
      <w:tr>
        <w:trPr>
          <w:trHeight w:val="221"/>
        </w:trPr>
        <w:tc>
          <w:tcPr>
            <w:tcW w:w="580" w:type="dxa"/>
            <w:vAlign w:val="bottom"/>
          </w:tcPr>
          <w:p>
            <w:pPr>
              <w:spacing w:after="0"/>
              <w:rPr>
                <w:sz w:val="19"/>
                <w:szCs w:val="19"/>
                <w:color w:val="auto"/>
              </w:rPr>
            </w:pPr>
          </w:p>
        </w:tc>
        <w:tc>
          <w:tcPr>
            <w:tcW w:w="246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diluted</w:t>
            </w:r>
          </w:p>
        </w:tc>
        <w:tc>
          <w:tcPr>
            <w:tcW w:w="1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2460" w:type="dxa"/>
            <w:vAlign w:val="bottom"/>
            <w:gridSpan w:val="2"/>
            <w:vMerge w:val="restart"/>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Net (loss) income per</w:t>
            </w: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580" w:type="dxa"/>
            <w:vAlign w:val="bottom"/>
          </w:tcPr>
          <w:p>
            <w:pPr>
              <w:spacing w:after="0"/>
              <w:rPr>
                <w:sz w:val="12"/>
                <w:szCs w:val="12"/>
                <w:color w:val="auto"/>
              </w:rPr>
            </w:pPr>
          </w:p>
        </w:tc>
        <w:tc>
          <w:tcPr>
            <w:tcW w:w="2460" w:type="dxa"/>
            <w:vAlign w:val="bottom"/>
            <w:gridSpan w:val="2"/>
            <w:vMerge w:val="continue"/>
          </w:tcPr>
          <w:p>
            <w:pPr>
              <w:spacing w:after="0"/>
              <w:rPr>
                <w:sz w:val="12"/>
                <w:szCs w:val="12"/>
                <w:color w:val="auto"/>
              </w:rPr>
            </w:pPr>
          </w:p>
        </w:tc>
        <w:tc>
          <w:tcPr>
            <w:tcW w:w="1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6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14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(0.02)</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0" w:type="dxa"/>
            <w:vAlign w:val="bottom"/>
          </w:tcPr>
          <w:p>
            <w:pPr>
              <w:spacing w:after="0"/>
              <w:rPr>
                <w:sz w:val="1"/>
                <w:szCs w:val="1"/>
                <w:color w:val="auto"/>
              </w:rPr>
            </w:pPr>
          </w:p>
        </w:tc>
      </w:tr>
      <w:tr>
        <w:trPr>
          <w:trHeight w:val="225"/>
        </w:trPr>
        <w:tc>
          <w:tcPr>
            <w:tcW w:w="580" w:type="dxa"/>
            <w:vAlign w:val="bottom"/>
          </w:tcPr>
          <w:p>
            <w:pPr>
              <w:spacing w:after="0"/>
              <w:rPr>
                <w:sz w:val="19"/>
                <w:szCs w:val="19"/>
                <w:color w:val="auto"/>
              </w:rPr>
            </w:pPr>
          </w:p>
        </w:tc>
        <w:tc>
          <w:tcPr>
            <w:tcW w:w="24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common share, diluted</w:t>
            </w:r>
          </w:p>
        </w:tc>
        <w:tc>
          <w:tcPr>
            <w:tcW w:w="140" w:type="dxa"/>
            <w:vAlign w:val="bottom"/>
            <w:vMerge w:val="continue"/>
          </w:tcPr>
          <w:p>
            <w:pPr>
              <w:spacing w:after="0"/>
              <w:rPr>
                <w:sz w:val="19"/>
                <w:szCs w:val="19"/>
                <w:color w:val="auto"/>
              </w:rPr>
            </w:pPr>
          </w:p>
        </w:tc>
        <w:tc>
          <w:tcPr>
            <w:tcW w:w="92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vMerge w:val="continue"/>
          </w:tcPr>
          <w:p>
            <w:pPr>
              <w:spacing w:after="0"/>
              <w:rPr>
                <w:sz w:val="19"/>
                <w:szCs w:val="19"/>
                <w:color w:val="auto"/>
              </w:rPr>
            </w:pPr>
          </w:p>
        </w:tc>
        <w:tc>
          <w:tcPr>
            <w:tcW w:w="92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vMerge w:val="continue"/>
          </w:tcPr>
          <w:p>
            <w:pPr>
              <w:spacing w:after="0"/>
              <w:rPr>
                <w:sz w:val="19"/>
                <w:szCs w:val="19"/>
                <w:color w:val="auto"/>
              </w:rPr>
            </w:pPr>
          </w:p>
        </w:tc>
        <w:tc>
          <w:tcPr>
            <w:tcW w:w="1060" w:type="dxa"/>
            <w:vAlign w:val="bottom"/>
            <w:gridSpan w:val="2"/>
            <w:vMerge w:val="continue"/>
          </w:tcPr>
          <w:p>
            <w:pPr>
              <w:spacing w:after="0"/>
              <w:rPr>
                <w:sz w:val="19"/>
                <w:szCs w:val="19"/>
                <w:color w:val="auto"/>
              </w:rPr>
            </w:pPr>
          </w:p>
        </w:tc>
        <w:tc>
          <w:tcPr>
            <w:tcW w:w="140" w:type="dxa"/>
            <w:vAlign w:val="bottom"/>
            <w:vMerge w:val="continue"/>
          </w:tcPr>
          <w:p>
            <w:pPr>
              <w:spacing w:after="0"/>
              <w:rPr>
                <w:sz w:val="19"/>
                <w:szCs w:val="19"/>
                <w:color w:val="auto"/>
              </w:rPr>
            </w:pPr>
          </w:p>
        </w:tc>
        <w:tc>
          <w:tcPr>
            <w:tcW w:w="9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40" w:right="79" w:firstLine="324"/>
        <w:spacing w:after="0" w:line="281" w:lineRule="auto"/>
        <w:rPr>
          <w:sz w:val="20"/>
          <w:szCs w:val="20"/>
          <w:color w:val="auto"/>
        </w:rPr>
      </w:pPr>
      <w:r>
        <w:rPr>
          <w:rFonts w:ascii="Times New Roman" w:cs="Times New Roman" w:eastAsia="Times New Roman" w:hAnsi="Times New Roman"/>
          <w:sz w:val="17"/>
          <w:szCs w:val="17"/>
          <w:color w:val="auto"/>
        </w:rPr>
        <w:t>Potentially dilutive securities representing 2.2 million and 0.5 million stock options and RSUs that were outstanding during the three months ended September 30, 2024, and 2023, respectively, and 1.9 million and 0.8 million stock options and RSUs outstanding during the nine months ended September 30, 2024 and 2023, respectively, were excluded from the computation of diluted earnings per common share during these periods as their inclusion would have an antidilutive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5" w:name="page16"/>
    <w:bookmarkEnd w:id="15"/>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jc w:val="both"/>
        <w:ind w:left="40" w:right="399"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our condensed financial statements and related notes included in Part I, Item 1 of this report and with our audited financial statements and related notes thereto included as part of our Annual Report on Form 10-K for the year ended December 31, 2023.</w:t>
      </w:r>
    </w:p>
    <w:p>
      <w:pPr>
        <w:spacing w:after="0" w:line="17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w:t>
      </w:r>
    </w:p>
    <w:p>
      <w:pPr>
        <w:spacing w:after="0" w:line="227" w:lineRule="exact"/>
        <w:rPr>
          <w:sz w:val="20"/>
          <w:szCs w:val="20"/>
          <w:color w:val="auto"/>
        </w:rPr>
      </w:pPr>
    </w:p>
    <w:p>
      <w:pPr>
        <w:ind w:left="40" w:right="79" w:firstLine="324"/>
        <w:spacing w:after="0" w:line="252" w:lineRule="auto"/>
        <w:rPr>
          <w:sz w:val="20"/>
          <w:szCs w:val="20"/>
          <w:color w:val="auto"/>
        </w:rPr>
      </w:pPr>
      <w:r>
        <w:rPr>
          <w:rFonts w:ascii="Times New Roman" w:cs="Times New Roman" w:eastAsia="Times New Roman" w:hAnsi="Times New Roman"/>
          <w:sz w:val="18"/>
          <w:szCs w:val="18"/>
          <w:i w:val="1"/>
          <w:iCs w:val="1"/>
          <w:color w:val="auto"/>
        </w:rPr>
        <w:t>This discussion contains certain forward-looking statements within the meaning of Section 27A of the Securities Act of 1933, as amended (Securities Act), and Section 21E of the Securities Exchange Act of 1934, as amended (Exchange Act). Forward-looking statements are identified by words such as “believe,” “will,” “may,” “estimate,” “continue,” “anticipate,” “intend,” “should,” “plan,” “expect,” “predict,” “could,” “potentially” or the negative of these terms or similar expressions. You should read these statements carefully because they discuss future expectations, contain projections of future results of operations or financial condition, or state other “forward-looking” information. These statements relate to, among other things, our industry, business, future plans, strategies, objectives, expectations, intentions and financial performance. These forward-looking statements are subject to certain risks and uncertainties that could cause actual results to differ materially from those anticipated in the forward-looking statements. Factors that might cause such a difference include, but are not limited to, those discussed in this report in Part II, Item 1A — “Risk Factors,” and elsewhere in this report, as well as in our other filings with the Securities and Exchange Commission (SEC). Forward-looking statements are based on our management’s beliefs and assumptions and on information currently available to our management. These statements, like all statements in this report, speak only as of their date, and we undertake no obligation to update or revise these statements in light of future developments. In addition, statements that “we believe” and similar statements reflect our beliefs and opinions on the relevant subject. These statements are based on information available to us as of the date of this Quarterly Report on Form 10-Q. While we believe that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 We caution investors that our business and financial performance are subject to substantial risks and uncertainties.</w:t>
      </w:r>
    </w:p>
    <w:p>
      <w:pPr>
        <w:spacing w:after="0" w:line="1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left="40" w:right="379" w:firstLine="324"/>
        <w:spacing w:after="0" w:line="255" w:lineRule="auto"/>
        <w:rPr>
          <w:sz w:val="20"/>
          <w:szCs w:val="20"/>
          <w:color w:val="auto"/>
        </w:rPr>
      </w:pPr>
      <w:r>
        <w:rPr>
          <w:rFonts w:ascii="Times New Roman" w:cs="Times New Roman" w:eastAsia="Times New Roman" w:hAnsi="Times New Roman"/>
          <w:sz w:val="18"/>
          <w:szCs w:val="18"/>
          <w:color w:val="auto"/>
        </w:rPr>
        <w:t>Everspin is a pioneer in the successful commercialization of Magnetoresistive Random Access Memory (MRAM) technology. Our portfolio of MRAM technologies, including Toggle MRAM and Spin-transfer Torque MRAM (STT-MRAM), is delivering superior performance, persistence and reliability in non-volatile memories that transform how mission-critical data is protected against power loss. With over 15 years of MRAM technology and manufacturing leadership, our memory solutions deliver significant value to our customers in key markets such as industrial, medical, automotive/transportation, aerospace and data center. We are the leading supplier of discrete MRAM components and a successful licensor of our broad portfolio of related technology intellectual property.</w:t>
      </w:r>
    </w:p>
    <w:p>
      <w:pPr>
        <w:spacing w:after="0" w:line="18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We sell our products directly and through our established distribution channels to industry-leading OEMs and ODMs.</w:t>
      </w:r>
    </w:p>
    <w:p>
      <w:pPr>
        <w:spacing w:after="0" w:line="225" w:lineRule="exact"/>
        <w:rPr>
          <w:sz w:val="20"/>
          <w:szCs w:val="20"/>
          <w:color w:val="auto"/>
        </w:rPr>
      </w:pPr>
    </w:p>
    <w:p>
      <w:pPr>
        <w:ind w:left="40" w:right="199" w:firstLine="324"/>
        <w:spacing w:after="0" w:line="258" w:lineRule="auto"/>
        <w:rPr>
          <w:sz w:val="20"/>
          <w:szCs w:val="20"/>
          <w:color w:val="auto"/>
        </w:rPr>
      </w:pPr>
      <w:r>
        <w:rPr>
          <w:rFonts w:ascii="Times New Roman" w:cs="Times New Roman" w:eastAsia="Times New Roman" w:hAnsi="Times New Roman"/>
          <w:sz w:val="18"/>
          <w:szCs w:val="18"/>
          <w:color w:val="auto"/>
        </w:rPr>
        <w:t>We manufacture our MRAM products using both captive and third-party manufacturing capabilities. We purchase industry-standard complementary metal-oxide semiconductor (CMOS) wafers from semiconductor foundries and perform back end of line (BEOL) processing that includes our magnetic-bit technology at our 200mm fabrication facility in Chandler, Arizona. We also manufacture full-flow 300mm CMOS wafers with our STT-MRAM magnetic-bit technology integrated in BEOL as part of our strategic relationship with GLOBALFOUNDRIES.</w:t>
      </w:r>
    </w:p>
    <w:p>
      <w:pPr>
        <w:spacing w:after="0" w:line="1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Key Metrics</w:t>
      </w:r>
    </w:p>
    <w:p>
      <w:pPr>
        <w:spacing w:after="0" w:line="229" w:lineRule="exact"/>
        <w:rPr>
          <w:sz w:val="20"/>
          <w:szCs w:val="20"/>
          <w:color w:val="auto"/>
        </w:rPr>
      </w:pPr>
    </w:p>
    <w:p>
      <w:pPr>
        <w:ind w:left="40" w:right="59" w:firstLine="324"/>
        <w:spacing w:after="0" w:line="258" w:lineRule="auto"/>
        <w:rPr>
          <w:sz w:val="20"/>
          <w:szCs w:val="20"/>
          <w:color w:val="auto"/>
        </w:rPr>
      </w:pPr>
      <w:r>
        <w:rPr>
          <w:rFonts w:ascii="Times New Roman" w:cs="Times New Roman" w:eastAsia="Times New Roman" w:hAnsi="Times New Roman"/>
          <w:sz w:val="18"/>
          <w:szCs w:val="18"/>
          <w:color w:val="auto"/>
        </w:rPr>
        <w:t>We monitor a variety of key financial metrics to help us evaluate trends, establish budgets, measure the effectiveness of our business strategies and assess operational efficiencies. These financial metrics include revenue, gross margin, operating expenses and operating income determined in accordance with GAAP. Additionally, we monitor and project cash flow to determine our sources and uses for working capital to fund our operations. We also monitor Adjusted EBITDA, a non-GAAP financial measure, and design wins. We define Adjusted EBITDA as net income or loss adjusted</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6" w:name="page17"/>
    <w:bookmarkEnd w:id="16"/>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0" w:right="339"/>
        <w:spacing w:after="0" w:line="282" w:lineRule="auto"/>
        <w:rPr>
          <w:sz w:val="20"/>
          <w:szCs w:val="20"/>
          <w:color w:val="auto"/>
        </w:rPr>
      </w:pPr>
      <w:r>
        <w:rPr>
          <w:rFonts w:ascii="Times New Roman" w:cs="Times New Roman" w:eastAsia="Times New Roman" w:hAnsi="Times New Roman"/>
          <w:sz w:val="18"/>
          <w:szCs w:val="18"/>
          <w:color w:val="auto"/>
        </w:rPr>
        <w:t>for interest expense, taxes, depreciation and amortization, stock-based compensation expense, and restructuring costs, if any.</w:t>
      </w:r>
    </w:p>
    <w:p>
      <w:pPr>
        <w:spacing w:after="0" w:line="160" w:lineRule="exact"/>
        <w:rPr>
          <w:sz w:val="20"/>
          <w:szCs w:val="20"/>
          <w:color w:val="auto"/>
        </w:rPr>
      </w:pPr>
    </w:p>
    <w:p>
      <w:pPr>
        <w:ind w:left="40" w:right="99"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Adjusted EBITDA. </w:t>
      </w:r>
      <w:r>
        <w:rPr>
          <w:rFonts w:ascii="Times New Roman" w:cs="Times New Roman" w:eastAsia="Times New Roman" w:hAnsi="Times New Roman"/>
          <w:sz w:val="18"/>
          <w:szCs w:val="18"/>
          <w:color w:val="auto"/>
        </w:rPr>
        <w:t>Our management and board of directors use Adjusted EBITDA to understand and evaluate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operating performance and trends, to prepare and approve our annual budget and to develop short-term and long-term operating and financing plans. Accordingly, we believe that Adjusted EBITDA provides useful information for investors in understanding and evaluating our operating results in the same manner as our management and our board of directors. Adjusted EBITDA is a non-GAAP financial measure and should be considered in addition to, not as superior to, or as a substitute for, net income reported in accordance with GAAP. The following table presents a reconciliation of net income, the most directly comparable GAAP measure, to Adjusted EBITDA for the periods indicated:</w:t>
      </w:r>
    </w:p>
    <w:p>
      <w:pPr>
        <w:spacing w:after="0" w:line="192"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2460" w:type="dxa"/>
            <w:vAlign w:val="bottom"/>
          </w:tcPr>
          <w:p>
            <w:pPr>
              <w:spacing w:after="0"/>
              <w:rPr>
                <w:sz w:val="15"/>
                <w:szCs w:val="15"/>
                <w:color w:val="auto"/>
              </w:rPr>
            </w:pPr>
          </w:p>
        </w:tc>
        <w:tc>
          <w:tcPr>
            <w:tcW w:w="230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40" w:type="dxa"/>
            <w:vAlign w:val="bottom"/>
          </w:tcPr>
          <w:p>
            <w:pPr>
              <w:spacing w:after="0"/>
              <w:rPr>
                <w:sz w:val="15"/>
                <w:szCs w:val="15"/>
                <w:color w:val="auto"/>
              </w:rPr>
            </w:pPr>
          </w:p>
        </w:tc>
        <w:tc>
          <w:tcPr>
            <w:tcW w:w="222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42"/>
        </w:trPr>
        <w:tc>
          <w:tcPr>
            <w:tcW w:w="246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7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3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7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7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174"/>
        </w:trPr>
        <w:tc>
          <w:tcPr>
            <w:tcW w:w="246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Adjusted EBITDA</w:t>
            </w: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r>
      <w:tr>
        <w:trPr>
          <w:trHeight w:val="238"/>
        </w:trPr>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reconciliation:</w:t>
            </w: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r>
      <w:tr>
        <w:trPr>
          <w:trHeight w:val="216"/>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2,271</w:t>
            </w:r>
          </w:p>
        </w:tc>
        <w:tc>
          <w:tcPr>
            <w:tcW w:w="42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2,438</w:t>
            </w:r>
          </w:p>
        </w:tc>
        <w:tc>
          <w:tcPr>
            <w:tcW w:w="380" w:type="dxa"/>
            <w:vAlign w:val="bottom"/>
            <w:gridSpan w:val="2"/>
          </w:tcPr>
          <w:p>
            <w:pPr>
              <w:jc w:val="right"/>
              <w:ind w:right="59"/>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(433)</w:t>
            </w:r>
          </w:p>
        </w:tc>
        <w:tc>
          <w:tcPr>
            <w:tcW w:w="3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7,084</w:t>
            </w:r>
          </w:p>
        </w:tc>
      </w:tr>
      <w:tr>
        <w:trPr>
          <w:trHeight w:val="216"/>
        </w:trPr>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w:t>
            </w:r>
          </w:p>
        </w:tc>
      </w:tr>
      <w:tr>
        <w:trPr>
          <w:trHeight w:val="198"/>
        </w:trPr>
        <w:tc>
          <w:tcPr>
            <w:tcW w:w="24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Stock-based compensation</w:t>
            </w: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34"/>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expense</w:t>
            </w: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1,532</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1,280</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5,108</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3,700</w:t>
            </w:r>
          </w:p>
        </w:tc>
      </w:tr>
      <w:tr>
        <w:trPr>
          <w:trHeight w:val="216"/>
        </w:trPr>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2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24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Adjusted EBITDA</w:t>
            </w:r>
          </w:p>
        </w:tc>
        <w:tc>
          <w:tcPr>
            <w:tcW w:w="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4,215</w:t>
            </w:r>
          </w:p>
        </w:tc>
        <w:tc>
          <w:tcPr>
            <w:tcW w:w="1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4,006</w:t>
            </w:r>
          </w:p>
        </w:tc>
        <w:tc>
          <w:tcPr>
            <w:tcW w:w="1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5,958</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11,752</w:t>
            </w:r>
          </w:p>
        </w:tc>
      </w:tr>
      <w:tr>
        <w:trPr>
          <w:trHeight w:val="20"/>
        </w:trPr>
        <w:tc>
          <w:tcPr>
            <w:tcW w:w="24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7" w:name="page18"/>
    <w:bookmarkEnd w:id="17"/>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following tables set forth our results of operations for the periods indicated:</w:t>
      </w:r>
    </w:p>
    <w:p>
      <w:pPr>
        <w:spacing w:after="0" w:line="232" w:lineRule="exact"/>
        <w:rPr>
          <w:sz w:val="20"/>
          <w:szCs w:val="20"/>
          <w:color w:val="auto"/>
        </w:rPr>
      </w:pPr>
    </w:p>
    <w:tbl>
      <w:tblPr>
        <w:tblLayout w:type="fixed"/>
        <w:tblInd w:w="500" w:type="dxa"/>
        <w:tblCellMar>
          <w:top w:w="0" w:type="dxa"/>
          <w:left w:w="0" w:type="dxa"/>
          <w:bottom w:w="0" w:type="dxa"/>
          <w:right w:w="0" w:type="dxa"/>
        </w:tblCellMar>
      </w:tblPr>
      <w:tr>
        <w:trPr>
          <w:trHeight w:val="173"/>
        </w:trPr>
        <w:tc>
          <w:tcPr>
            <w:tcW w:w="3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880" w:type="dxa"/>
            <w:vAlign w:val="bottom"/>
            <w:tcBorders>
              <w:bottom w:val="single" w:sz="8" w:color="auto"/>
            </w:tcBorders>
            <w:gridSpan w:val="9"/>
          </w:tcPr>
          <w:p>
            <w:pPr>
              <w:jc w:val="center"/>
              <w:ind w:left="373"/>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6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r>
      <w:tr>
        <w:trPr>
          <w:trHeight w:val="142"/>
        </w:trPr>
        <w:tc>
          <w:tcPr>
            <w:tcW w:w="3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7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2"/>
                <w:szCs w:val="12"/>
                <w:color w:val="auto"/>
              </w:rPr>
            </w:pPr>
          </w:p>
        </w:tc>
        <w:tc>
          <w:tcPr>
            <w:tcW w:w="800" w:type="dxa"/>
            <w:vAlign w:val="bottom"/>
            <w:tcBorders>
              <w:bottom w:val="single" w:sz="8" w:color="auto"/>
            </w:tcBorders>
          </w:tcPr>
          <w:p>
            <w:pPr>
              <w:jc w:val="right"/>
              <w:ind w:right="17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9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2"/>
                <w:szCs w:val="12"/>
                <w:color w:val="auto"/>
              </w:rPr>
            </w:pPr>
          </w:p>
        </w:tc>
      </w:tr>
      <w:tr>
        <w:trPr>
          <w:trHeight w:val="128"/>
        </w:trPr>
        <w:tc>
          <w:tcPr>
            <w:tcW w:w="3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80" w:type="dxa"/>
            <w:vAlign w:val="bottom"/>
            <w:gridSpan w:val="5"/>
          </w:tcPr>
          <w:p>
            <w:pPr>
              <w:jc w:val="right"/>
              <w:ind w:right="351"/>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1"/>
                <w:szCs w:val="11"/>
                <w:color w:val="auto"/>
              </w:rPr>
            </w:pPr>
          </w:p>
        </w:tc>
        <w:tc>
          <w:tcPr>
            <w:tcW w:w="96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w w:val="94"/>
              </w:rPr>
              <w:t>(As a percentage</w:t>
            </w:r>
          </w:p>
        </w:tc>
        <w:tc>
          <w:tcPr>
            <w:tcW w:w="84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of revenue)</w:t>
            </w:r>
          </w:p>
        </w:tc>
        <w:tc>
          <w:tcPr>
            <w:tcW w:w="160" w:type="dxa"/>
            <w:vAlign w:val="bottom"/>
          </w:tcPr>
          <w:p>
            <w:pPr>
              <w:spacing w:after="0"/>
              <w:rPr>
                <w:sz w:val="11"/>
                <w:szCs w:val="11"/>
                <w:color w:val="auto"/>
              </w:rPr>
            </w:pP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 sales</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10,443</w:t>
            </w:r>
          </w:p>
        </w:tc>
        <w:tc>
          <w:tcPr>
            <w:tcW w:w="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13,543</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86 %</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82 %</w:t>
            </w:r>
          </w:p>
        </w:tc>
      </w:tr>
      <w:tr>
        <w:trPr>
          <w:trHeight w:val="216"/>
        </w:trPr>
        <w:tc>
          <w:tcPr>
            <w:tcW w:w="3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Licensing, royalty, patent, and other revenue</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1,650</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2,923</w:t>
            </w:r>
          </w:p>
        </w:tc>
        <w:tc>
          <w:tcPr>
            <w:tcW w:w="16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60" w:type="dxa"/>
            <w:vAlign w:val="bottom"/>
            <w:tcBorders>
              <w:bottom w:val="single" w:sz="8" w:color="CCEEFF"/>
            </w:tcBorders>
          </w:tcPr>
          <w:p>
            <w:pPr>
              <w:spacing w:after="0"/>
              <w:rPr>
                <w:sz w:val="18"/>
                <w:szCs w:val="18"/>
                <w:color w:val="auto"/>
              </w:rPr>
            </w:pPr>
          </w:p>
        </w:tc>
      </w:tr>
      <w:tr>
        <w:trPr>
          <w:trHeight w:val="209"/>
        </w:trPr>
        <w:tc>
          <w:tcPr>
            <w:tcW w:w="3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revenue</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16,466</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shd w:val="clear" w:color="auto" w:fill="CCEEFF"/>
          </w:tcPr>
          <w:p>
            <w:pPr>
              <w:spacing w:after="0"/>
              <w:rPr>
                <w:sz w:val="18"/>
                <w:szCs w:val="18"/>
                <w:color w:val="auto"/>
              </w:rPr>
            </w:pP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Cost of product sales</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5,920</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60" w:type="dxa"/>
            <w:vAlign w:val="bottom"/>
          </w:tcPr>
          <w:p>
            <w:pPr>
              <w:spacing w:after="0"/>
              <w:rPr>
                <w:sz w:val="18"/>
                <w:szCs w:val="18"/>
                <w:color w:val="auto"/>
              </w:rPr>
            </w:pP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licensing, royalty, patent, and other revenue</w:t>
            </w: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16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shd w:val="clear" w:color="auto" w:fill="CCEEFF"/>
          </w:tcPr>
          <w:p>
            <w:pPr>
              <w:spacing w:after="0"/>
              <w:rPr>
                <w:sz w:val="18"/>
                <w:szCs w:val="18"/>
                <w:color w:val="auto"/>
              </w:rPr>
            </w:pPr>
          </w:p>
        </w:tc>
      </w:tr>
      <w:tr>
        <w:trPr>
          <w:trHeight w:val="210"/>
        </w:trPr>
        <w:tc>
          <w:tcPr>
            <w:tcW w:w="39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Total cost of sales</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6,141</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6,547</w:t>
            </w:r>
          </w:p>
        </w:tc>
        <w:tc>
          <w:tcPr>
            <w:tcW w:w="16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60" w:type="dxa"/>
            <w:vAlign w:val="bottom"/>
            <w:tcBorders>
              <w:bottom w:val="single" w:sz="8" w:color="CCEEFF"/>
            </w:tcBorders>
          </w:tcPr>
          <w:p>
            <w:pPr>
              <w:spacing w:after="0"/>
              <w:rPr>
                <w:sz w:val="18"/>
                <w:szCs w:val="18"/>
                <w:color w:val="auto"/>
              </w:rPr>
            </w:pPr>
          </w:p>
        </w:tc>
      </w:tr>
      <w:tr>
        <w:trPr>
          <w:trHeight w:val="209"/>
        </w:trPr>
        <w:tc>
          <w:tcPr>
            <w:tcW w:w="3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Gross profit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9,919</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60" w:type="dxa"/>
            <w:vAlign w:val="bottom"/>
            <w:shd w:val="clear" w:color="auto" w:fill="CCEEFF"/>
          </w:tcPr>
          <w:p>
            <w:pPr>
              <w:spacing w:after="0"/>
              <w:rPr>
                <w:sz w:val="18"/>
                <w:szCs w:val="18"/>
                <w:color w:val="auto"/>
              </w:rPr>
            </w:pP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2,659</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60" w:type="dxa"/>
            <w:vAlign w:val="bottom"/>
            <w:shd w:val="clear" w:color="auto" w:fill="CCEEFF"/>
          </w:tcPr>
          <w:p>
            <w:pPr>
              <w:spacing w:after="0"/>
              <w:rPr>
                <w:sz w:val="18"/>
                <w:szCs w:val="18"/>
                <w:color w:val="auto"/>
              </w:rPr>
            </w:pPr>
          </w:p>
        </w:tc>
      </w:tr>
      <w:tr>
        <w:trPr>
          <w:trHeight w:val="216"/>
        </w:trPr>
        <w:tc>
          <w:tcPr>
            <w:tcW w:w="3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3,933</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60" w:type="dxa"/>
            <w:vAlign w:val="bottom"/>
          </w:tcPr>
          <w:p>
            <w:pPr>
              <w:spacing w:after="0"/>
              <w:rPr>
                <w:sz w:val="18"/>
                <w:szCs w:val="18"/>
                <w:color w:val="auto"/>
              </w:rPr>
            </w:pPr>
          </w:p>
        </w:tc>
      </w:tr>
      <w:tr>
        <w:trPr>
          <w:trHeight w:val="216"/>
        </w:trPr>
        <w:tc>
          <w:tcPr>
            <w:tcW w:w="3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Sales and marketing</w:t>
            </w: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1,348</w:t>
            </w:r>
          </w:p>
        </w:tc>
        <w:tc>
          <w:tcPr>
            <w:tcW w:w="16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shd w:val="clear" w:color="auto" w:fill="CCEEFF"/>
          </w:tcPr>
          <w:p>
            <w:pPr>
              <w:spacing w:after="0"/>
              <w:rPr>
                <w:sz w:val="18"/>
                <w:szCs w:val="18"/>
                <w:color w:val="auto"/>
              </w:rPr>
            </w:pPr>
          </w:p>
        </w:tc>
      </w:tr>
      <w:tr>
        <w:trPr>
          <w:trHeight w:val="209"/>
        </w:trPr>
        <w:tc>
          <w:tcPr>
            <w:tcW w:w="39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8,067</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7,940</w:t>
            </w:r>
          </w:p>
        </w:tc>
        <w:tc>
          <w:tcPr>
            <w:tcW w:w="16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60" w:type="dxa"/>
            <w:vAlign w:val="bottom"/>
            <w:tcBorders>
              <w:bottom w:val="single" w:sz="8" w:color="CCEEFF"/>
            </w:tcBorders>
          </w:tcPr>
          <w:p>
            <w:pPr>
              <w:spacing w:after="0"/>
              <w:rPr>
                <w:sz w:val="18"/>
                <w:szCs w:val="18"/>
                <w:color w:val="auto"/>
              </w:rPr>
            </w:pPr>
          </w:p>
        </w:tc>
      </w:tr>
      <w:tr>
        <w:trPr>
          <w:trHeight w:val="210"/>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income from operations</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1,979</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shd w:val="clear" w:color="auto" w:fill="CCEEFF"/>
          </w:tcPr>
          <w:p>
            <w:pPr>
              <w:spacing w:after="0"/>
              <w:rPr>
                <w:sz w:val="18"/>
                <w:szCs w:val="18"/>
                <w:color w:val="auto"/>
              </w:rPr>
            </w:pPr>
          </w:p>
        </w:tc>
      </w:tr>
      <w:tr>
        <w:trPr>
          <w:trHeight w:val="216"/>
        </w:trPr>
        <w:tc>
          <w:tcPr>
            <w:tcW w:w="3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4,396</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16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Borders>
              <w:bottom w:val="single" w:sz="8" w:color="CCEEFF"/>
            </w:tcBorders>
          </w:tcPr>
          <w:p>
            <w:pPr>
              <w:spacing w:after="0"/>
              <w:rPr>
                <w:sz w:val="18"/>
                <w:szCs w:val="18"/>
                <w:color w:val="auto"/>
              </w:rPr>
            </w:pPr>
          </w:p>
        </w:tc>
      </w:tr>
      <w:tr>
        <w:trPr>
          <w:trHeight w:val="209"/>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before income taxes</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2,438</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shd w:val="clear" w:color="auto" w:fill="CCEEFF"/>
          </w:tcPr>
          <w:p>
            <w:pPr>
              <w:spacing w:after="0"/>
              <w:rPr>
                <w:sz w:val="18"/>
                <w:szCs w:val="18"/>
                <w:color w:val="auto"/>
              </w:rPr>
            </w:pP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tcPr>
          <w:p>
            <w:pPr>
              <w:jc w:val="right"/>
              <w:ind w:right="308"/>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9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and comprehensive income (loss)</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2,271</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0"/>
        </w:trPr>
        <w:tc>
          <w:tcPr>
            <w:tcW w:w="3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26"/>
        </w:trPr>
        <w:tc>
          <w:tcPr>
            <w:tcW w:w="3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9"/>
          </w:tcPr>
          <w:p>
            <w:pPr>
              <w:jc w:val="center"/>
              <w:ind w:left="373"/>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66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196"/>
        </w:trPr>
        <w:tc>
          <w:tcPr>
            <w:tcW w:w="3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7"/>
                <w:szCs w:val="17"/>
                <w:color w:val="auto"/>
              </w:rPr>
            </w:pPr>
          </w:p>
        </w:tc>
        <w:tc>
          <w:tcPr>
            <w:tcW w:w="80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7"/>
                <w:szCs w:val="17"/>
                <w:color w:val="auto"/>
              </w:rPr>
            </w:pPr>
          </w:p>
        </w:tc>
      </w:tr>
      <w:tr>
        <w:trPr>
          <w:trHeight w:val="196"/>
        </w:trPr>
        <w:tc>
          <w:tcPr>
            <w:tcW w:w="3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40" w:type="dxa"/>
            <w:vAlign w:val="bottom"/>
            <w:gridSpan w:val="6"/>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960" w:type="dxa"/>
            <w:vAlign w:val="bottom"/>
            <w:gridSpan w:val="5"/>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(As a percentage of revenue)</w:t>
            </w: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 sales</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31,190</w:t>
            </w:r>
          </w:p>
        </w:tc>
        <w:tc>
          <w:tcPr>
            <w:tcW w:w="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40,726</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84 %</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87 %</w:t>
            </w:r>
          </w:p>
        </w:tc>
      </w:tr>
      <w:tr>
        <w:trPr>
          <w:trHeight w:val="216"/>
        </w:trPr>
        <w:tc>
          <w:tcPr>
            <w:tcW w:w="3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Licensing, royalty, patent, and other revenue</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5,969</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6,333</w:t>
            </w:r>
          </w:p>
        </w:tc>
        <w:tc>
          <w:tcPr>
            <w:tcW w:w="16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tcBorders>
              <w:bottom w:val="single" w:sz="8" w:color="CCEEFF"/>
            </w:tcBorders>
          </w:tcPr>
          <w:p>
            <w:pPr>
              <w:spacing w:after="0"/>
              <w:rPr>
                <w:sz w:val="18"/>
                <w:szCs w:val="18"/>
                <w:color w:val="auto"/>
              </w:rPr>
            </w:pPr>
          </w:p>
        </w:tc>
      </w:tr>
      <w:tr>
        <w:trPr>
          <w:trHeight w:val="210"/>
        </w:trPr>
        <w:tc>
          <w:tcPr>
            <w:tcW w:w="3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revenue</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37,159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47,059</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shd w:val="clear" w:color="auto" w:fill="CCEEFF"/>
          </w:tcPr>
          <w:p>
            <w:pPr>
              <w:spacing w:after="0"/>
              <w:rPr>
                <w:sz w:val="18"/>
                <w:szCs w:val="18"/>
                <w:color w:val="auto"/>
              </w:rPr>
            </w:pP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Cost of product sales</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16,989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18,133</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60" w:type="dxa"/>
            <w:vAlign w:val="bottom"/>
          </w:tcPr>
          <w:p>
            <w:pPr>
              <w:spacing w:after="0"/>
              <w:rPr>
                <w:sz w:val="18"/>
                <w:szCs w:val="18"/>
                <w:color w:val="auto"/>
              </w:rPr>
            </w:pP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licensing, royalty, patent, and other revenue</w:t>
            </w: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1,384</w:t>
            </w:r>
          </w:p>
        </w:tc>
        <w:tc>
          <w:tcPr>
            <w:tcW w:w="16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shd w:val="clear" w:color="auto" w:fill="CCEEFF"/>
          </w:tcPr>
          <w:p>
            <w:pPr>
              <w:spacing w:after="0"/>
              <w:rPr>
                <w:sz w:val="18"/>
                <w:szCs w:val="18"/>
                <w:color w:val="auto"/>
              </w:rPr>
            </w:pPr>
          </w:p>
        </w:tc>
      </w:tr>
      <w:tr>
        <w:trPr>
          <w:trHeight w:val="210"/>
        </w:trPr>
        <w:tc>
          <w:tcPr>
            <w:tcW w:w="39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Total cost of sales</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17,831</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19,517</w:t>
            </w:r>
          </w:p>
        </w:tc>
        <w:tc>
          <w:tcPr>
            <w:tcW w:w="16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60" w:type="dxa"/>
            <w:vAlign w:val="bottom"/>
            <w:tcBorders>
              <w:bottom w:val="single" w:sz="8" w:color="CCEEFF"/>
            </w:tcBorders>
          </w:tcPr>
          <w:p>
            <w:pPr>
              <w:spacing w:after="0"/>
              <w:rPr>
                <w:sz w:val="18"/>
                <w:szCs w:val="18"/>
                <w:color w:val="auto"/>
              </w:rPr>
            </w:pPr>
          </w:p>
        </w:tc>
      </w:tr>
      <w:tr>
        <w:trPr>
          <w:trHeight w:val="209"/>
        </w:trPr>
        <w:tc>
          <w:tcPr>
            <w:tcW w:w="3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Gross profit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19,328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27,542</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60" w:type="dxa"/>
            <w:vAlign w:val="bottom"/>
            <w:shd w:val="clear" w:color="auto" w:fill="CCEEFF"/>
          </w:tcPr>
          <w:p>
            <w:pPr>
              <w:spacing w:after="0"/>
              <w:rPr>
                <w:sz w:val="18"/>
                <w:szCs w:val="18"/>
                <w:color w:val="auto"/>
              </w:rPr>
            </w:pP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8,566</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60" w:type="dxa"/>
            <w:vAlign w:val="bottom"/>
            <w:shd w:val="clear" w:color="auto" w:fill="CCEEFF"/>
          </w:tcPr>
          <w:p>
            <w:pPr>
              <w:spacing w:after="0"/>
              <w:rPr>
                <w:sz w:val="18"/>
                <w:szCs w:val="18"/>
                <w:color w:val="auto"/>
              </w:rPr>
            </w:pPr>
          </w:p>
        </w:tc>
      </w:tr>
      <w:tr>
        <w:trPr>
          <w:trHeight w:val="216"/>
        </w:trPr>
        <w:tc>
          <w:tcPr>
            <w:tcW w:w="3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10,653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10,660</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60" w:type="dxa"/>
            <w:vAlign w:val="bottom"/>
          </w:tcPr>
          <w:p>
            <w:pPr>
              <w:spacing w:after="0"/>
              <w:rPr>
                <w:sz w:val="18"/>
                <w:szCs w:val="18"/>
                <w:color w:val="auto"/>
              </w:rPr>
            </w:pPr>
          </w:p>
        </w:tc>
      </w:tr>
      <w:tr>
        <w:trPr>
          <w:trHeight w:val="216"/>
        </w:trPr>
        <w:tc>
          <w:tcPr>
            <w:tcW w:w="3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Sales and marketing</w:t>
            </w: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4,018</w:t>
            </w:r>
          </w:p>
        </w:tc>
        <w:tc>
          <w:tcPr>
            <w:tcW w:w="16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shd w:val="clear" w:color="auto" w:fill="CCEEFF"/>
          </w:tcPr>
          <w:p>
            <w:pPr>
              <w:spacing w:after="0"/>
              <w:rPr>
                <w:sz w:val="18"/>
                <w:szCs w:val="18"/>
                <w:color w:val="auto"/>
              </w:rPr>
            </w:pPr>
          </w:p>
        </w:tc>
      </w:tr>
      <w:tr>
        <w:trPr>
          <w:trHeight w:val="210"/>
        </w:trPr>
        <w:tc>
          <w:tcPr>
            <w:tcW w:w="39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24,862</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23,244</w:t>
            </w:r>
          </w:p>
        </w:tc>
        <w:tc>
          <w:tcPr>
            <w:tcW w:w="16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60" w:type="dxa"/>
            <w:vAlign w:val="bottom"/>
            <w:tcBorders>
              <w:bottom w:val="single" w:sz="8" w:color="CCEEFF"/>
            </w:tcBorders>
          </w:tcPr>
          <w:p>
            <w:pPr>
              <w:spacing w:after="0"/>
              <w:rPr>
                <w:sz w:val="18"/>
                <w:szCs w:val="18"/>
                <w:color w:val="auto"/>
              </w:rPr>
            </w:pPr>
          </w:p>
        </w:tc>
      </w:tr>
      <w:tr>
        <w:trPr>
          <w:trHeight w:val="209"/>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income from operations</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4,298</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shd w:val="clear" w:color="auto" w:fill="CCEEFF"/>
          </w:tcPr>
          <w:p>
            <w:pPr>
              <w:spacing w:after="0"/>
              <w:rPr>
                <w:sz w:val="18"/>
                <w:szCs w:val="18"/>
                <w:color w:val="auto"/>
              </w:rPr>
            </w:pP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(63)</w:t>
            </w:r>
          </w:p>
        </w:tc>
        <w:tc>
          <w:tcPr>
            <w:tcW w:w="1140" w:type="dxa"/>
            <w:vAlign w:val="bottom"/>
            <w:gridSpan w:val="3"/>
          </w:tcPr>
          <w:p>
            <w:pPr>
              <w:jc w:val="right"/>
              <w:ind w:right="308"/>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2,849</w:t>
            </w:r>
          </w:p>
        </w:tc>
        <w:tc>
          <w:tcPr>
            <w:tcW w:w="16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shd w:val="clear" w:color="auto" w:fill="CCEEFF"/>
          </w:tcPr>
          <w:p>
            <w:pPr>
              <w:spacing w:after="0"/>
              <w:rPr>
                <w:sz w:val="18"/>
                <w:szCs w:val="18"/>
                <w:color w:val="auto"/>
              </w:rPr>
            </w:pPr>
          </w:p>
        </w:tc>
      </w:tr>
      <w:tr>
        <w:trPr>
          <w:trHeight w:val="210"/>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before income taxes</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7,084</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tcPr>
          <w:p>
            <w:pPr>
              <w:spacing w:after="0"/>
              <w:rPr>
                <w:sz w:val="18"/>
                <w:szCs w:val="18"/>
                <w:color w:val="auto"/>
              </w:rPr>
            </w:pP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shd w:val="clear" w:color="auto" w:fill="CCEEFF"/>
          </w:tcPr>
          <w:p>
            <w:pPr>
              <w:jc w:val="right"/>
              <w:ind w:right="308"/>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and comprehensive income (loss)</w:t>
            </w:r>
          </w:p>
        </w:tc>
        <w:tc>
          <w:tcPr>
            <w:tcW w:w="2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7,084</w:t>
            </w:r>
          </w:p>
        </w:tc>
        <w:tc>
          <w:tcPr>
            <w:tcW w:w="16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8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0"/>
        </w:trPr>
        <w:tc>
          <w:tcPr>
            <w:tcW w:w="3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September 30, 2024 and 2023</w:t>
      </w:r>
    </w:p>
    <w:p>
      <w:pPr>
        <w:spacing w:after="0" w:line="2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227" w:lineRule="exact"/>
        <w:rPr>
          <w:sz w:val="20"/>
          <w:szCs w:val="20"/>
          <w:color w:val="auto"/>
        </w:rPr>
      </w:pPr>
    </w:p>
    <w:p>
      <w:pPr>
        <w:ind w:left="40" w:right="279" w:firstLine="324"/>
        <w:spacing w:after="0" w:line="282" w:lineRule="auto"/>
        <w:rPr>
          <w:sz w:val="20"/>
          <w:szCs w:val="20"/>
          <w:color w:val="auto"/>
        </w:rPr>
      </w:pPr>
      <w:r>
        <w:rPr>
          <w:rFonts w:ascii="Times New Roman" w:cs="Times New Roman" w:eastAsia="Times New Roman" w:hAnsi="Times New Roman"/>
          <w:sz w:val="18"/>
          <w:szCs w:val="18"/>
          <w:color w:val="auto"/>
        </w:rPr>
        <w:t>We generated 84% and 79% of our revenue from products sold to distributors for the three months ended September 30, 2024 and 2023, respectively.</w:t>
      </w:r>
    </w:p>
    <w:p>
      <w:pPr>
        <w:spacing w:after="0" w:line="162" w:lineRule="exact"/>
        <w:rPr>
          <w:sz w:val="20"/>
          <w:szCs w:val="20"/>
          <w:color w:val="auto"/>
        </w:rPr>
      </w:pPr>
    </w:p>
    <w:p>
      <w:pPr>
        <w:ind w:left="40" w:right="219" w:firstLine="324"/>
        <w:spacing w:after="0" w:line="282" w:lineRule="auto"/>
        <w:rPr>
          <w:sz w:val="20"/>
          <w:szCs w:val="20"/>
          <w:color w:val="auto"/>
        </w:rPr>
      </w:pPr>
      <w:r>
        <w:rPr>
          <w:rFonts w:ascii="Times New Roman" w:cs="Times New Roman" w:eastAsia="Times New Roman" w:hAnsi="Times New Roman"/>
          <w:sz w:val="18"/>
          <w:szCs w:val="18"/>
          <w:color w:val="auto"/>
        </w:rPr>
        <w:t>In addition to selling our products to our distributors, we maintain a direct selling relationship, for strategic purposes, with several key customer accounts. We have organized our sales team and representatives into three primary</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8" w:name="page19"/>
    <w:bookmarkEnd w:id="18"/>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0" w:right="179"/>
        <w:spacing w:after="0" w:line="266" w:lineRule="auto"/>
        <w:rPr>
          <w:sz w:val="20"/>
          <w:szCs w:val="20"/>
          <w:color w:val="auto"/>
        </w:rPr>
      </w:pPr>
      <w:r>
        <w:rPr>
          <w:rFonts w:ascii="Times New Roman" w:cs="Times New Roman" w:eastAsia="Times New Roman" w:hAnsi="Times New Roman"/>
          <w:sz w:val="18"/>
          <w:szCs w:val="18"/>
          <w:color w:val="auto"/>
        </w:rPr>
        <w:t>regions: North America; EMEA; and APAC. We recognize revenue by geography based on the region in which our customer is located and to which our products are sold, and not to where the end products in which they are assembled are shipped. Our revenue by region and by type of revenue for the periods indicated were as follows (in thousands):</w:t>
      </w:r>
    </w:p>
    <w:p>
      <w:pPr>
        <w:spacing w:after="0" w:line="250"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2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60" w:type="dxa"/>
            <w:vAlign w:val="bottom"/>
            <w:tcBorders>
              <w:bottom w:val="single" w:sz="8" w:color="auto"/>
            </w:tcBorders>
            <w:gridSpan w:val="10"/>
          </w:tcPr>
          <w:p>
            <w:pPr>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0" w:type="dxa"/>
            <w:vAlign w:val="bottom"/>
          </w:tcPr>
          <w:p>
            <w:pPr>
              <w:spacing w:after="0"/>
              <w:rPr>
                <w:sz w:val="1"/>
                <w:szCs w:val="1"/>
                <w:color w:val="auto"/>
              </w:rPr>
            </w:pPr>
          </w:p>
        </w:tc>
      </w:tr>
      <w:tr>
        <w:trPr>
          <w:trHeight w:val="196"/>
        </w:trPr>
        <w:tc>
          <w:tcPr>
            <w:tcW w:w="280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70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6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APAC</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8,663</w:t>
            </w:r>
          </w:p>
        </w:tc>
        <w:tc>
          <w:tcPr>
            <w:tcW w:w="0" w:type="dxa"/>
            <w:vAlign w:val="bottom"/>
          </w:tcPr>
          <w:p>
            <w:pPr>
              <w:spacing w:after="0"/>
              <w:rPr>
                <w:sz w:val="1"/>
                <w:szCs w:val="1"/>
                <w:color w:val="auto"/>
              </w:rPr>
            </w:pPr>
          </w:p>
        </w:tc>
      </w:tr>
      <w:tr>
        <w:trPr>
          <w:trHeight w:val="216"/>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North America</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4,607</w:t>
            </w:r>
          </w:p>
        </w:tc>
        <w:tc>
          <w:tcPr>
            <w:tcW w:w="0" w:type="dxa"/>
            <w:vAlign w:val="bottom"/>
          </w:tcPr>
          <w:p>
            <w:pPr>
              <w:spacing w:after="0"/>
              <w:rPr>
                <w:sz w:val="1"/>
                <w:szCs w:val="1"/>
                <w:color w:val="auto"/>
              </w:rPr>
            </w:pPr>
          </w:p>
        </w:tc>
      </w:tr>
      <w:tr>
        <w:trPr>
          <w:trHeight w:val="216"/>
        </w:trPr>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EMEA</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3,196</w:t>
            </w:r>
          </w:p>
        </w:tc>
        <w:tc>
          <w:tcPr>
            <w:tcW w:w="0" w:type="dxa"/>
            <w:vAlign w:val="bottom"/>
          </w:tcPr>
          <w:p>
            <w:pPr>
              <w:spacing w:after="0"/>
              <w:rPr>
                <w:sz w:val="1"/>
                <w:szCs w:val="1"/>
                <w:color w:val="auto"/>
              </w:rPr>
            </w:pPr>
          </w:p>
        </w:tc>
      </w:tr>
      <w:tr>
        <w:trPr>
          <w:trHeight w:val="209"/>
        </w:trPr>
        <w:tc>
          <w:tcPr>
            <w:tcW w:w="2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revenue</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12,093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16,466</w:t>
            </w: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2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gridSpan w:val="5"/>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5"/>
            <w:vMerge w:val="restart"/>
          </w:tcPr>
          <w:p>
            <w:pPr>
              <w:ind w:left="5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2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5"/>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5"/>
            <w:vMerge w:val="continue"/>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ind w:right="21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ind w:right="117"/>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3"/>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jc w:val="right"/>
              <w:ind w:right="234"/>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gridSpan w:val="2"/>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(Dollars in</w:t>
            </w:r>
          </w:p>
        </w:tc>
        <w:tc>
          <w:tcPr>
            <w:tcW w:w="160" w:type="dxa"/>
            <w:vAlign w:val="bottom"/>
          </w:tcPr>
          <w:p>
            <w:pPr>
              <w:spacing w:after="0"/>
              <w:rPr>
                <w:sz w:val="11"/>
                <w:szCs w:val="11"/>
                <w:color w:val="auto"/>
              </w:rPr>
            </w:pPr>
          </w:p>
        </w:tc>
        <w:tc>
          <w:tcPr>
            <w:tcW w:w="880" w:type="dxa"/>
            <w:vAlign w:val="bottom"/>
            <w:tcBorders>
              <w:top w:val="single" w:sz="8" w:color="auto"/>
            </w:tcBorders>
            <w:gridSpan w:val="3"/>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thousands)</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 sales</w:t>
            </w:r>
          </w:p>
        </w:tc>
        <w:tc>
          <w:tcPr>
            <w:tcW w:w="42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13,543</w:t>
            </w:r>
          </w:p>
        </w:tc>
        <w:tc>
          <w:tcPr>
            <w:tcW w:w="2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(3,100)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0" w:type="dxa"/>
            <w:vAlign w:val="bottom"/>
          </w:tcPr>
          <w:p>
            <w:pPr>
              <w:spacing w:after="0"/>
              <w:rPr>
                <w:sz w:val="1"/>
                <w:szCs w:val="1"/>
                <w:color w:val="auto"/>
              </w:rPr>
            </w:pPr>
          </w:p>
        </w:tc>
      </w:tr>
      <w:tr>
        <w:trPr>
          <w:trHeight w:val="198"/>
        </w:trPr>
        <w:tc>
          <w:tcPr>
            <w:tcW w:w="28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Licensing, royalty, patent, and other</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revenue</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1,650</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2,923</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(1,273)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0" w:type="dxa"/>
            <w:vAlign w:val="bottom"/>
          </w:tcPr>
          <w:p>
            <w:pPr>
              <w:spacing w:after="0"/>
              <w:rPr>
                <w:sz w:val="1"/>
                <w:szCs w:val="1"/>
                <w:color w:val="auto"/>
              </w:rPr>
            </w:pPr>
          </w:p>
        </w:tc>
      </w:tr>
      <w:tr>
        <w:trPr>
          <w:trHeight w:val="209"/>
        </w:trPr>
        <w:tc>
          <w:tcPr>
            <w:tcW w:w="28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16,466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w w:val="95"/>
              </w:rPr>
              <w:t>(4,373)</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40" w:right="159" w:firstLine="324"/>
        <w:spacing w:after="0" w:line="261" w:lineRule="auto"/>
        <w:rPr>
          <w:sz w:val="20"/>
          <w:szCs w:val="20"/>
          <w:color w:val="auto"/>
        </w:rPr>
      </w:pPr>
      <w:r>
        <w:rPr>
          <w:rFonts w:ascii="Times New Roman" w:cs="Times New Roman" w:eastAsia="Times New Roman" w:hAnsi="Times New Roman"/>
          <w:sz w:val="18"/>
          <w:szCs w:val="18"/>
          <w:color w:val="auto"/>
        </w:rPr>
        <w:t>Total revenue decreased by $4.4 million, or 26.6%, from $16.5 million during the three months ended September 30, 2023 to $12.1 million during the three months ended September 30, 2024. The decrease was primarily due to a decrease in product sales of $3.1 million due to timing of customer demand and a decrease in licensing, royalty, patent, and other revenue of $1.3 million.</w:t>
      </w:r>
    </w:p>
    <w:p>
      <w:pPr>
        <w:spacing w:after="0" w:line="180" w:lineRule="exact"/>
        <w:rPr>
          <w:sz w:val="20"/>
          <w:szCs w:val="20"/>
          <w:color w:val="auto"/>
        </w:rPr>
      </w:pPr>
    </w:p>
    <w:p>
      <w:pPr>
        <w:ind w:left="40" w:right="59" w:firstLine="324"/>
        <w:spacing w:after="0" w:line="254" w:lineRule="auto"/>
        <w:rPr>
          <w:sz w:val="20"/>
          <w:szCs w:val="20"/>
          <w:color w:val="auto"/>
        </w:rPr>
      </w:pPr>
      <w:r>
        <w:rPr>
          <w:rFonts w:ascii="Times New Roman" w:cs="Times New Roman" w:eastAsia="Times New Roman" w:hAnsi="Times New Roman"/>
          <w:sz w:val="18"/>
          <w:szCs w:val="18"/>
          <w:color w:val="auto"/>
        </w:rPr>
        <w:t>Licensing, royalty, patent, and other revenue is a highly variable revenue item characterized by a small number of transactions annually with revenue based on size and terms of each transaction. Our best estimate of royalty revenue earned is made throughout the year for royalty contracts with an annual performance period, with an annual adjustment recognized for actual sales in the first quarter of each fiscal year. Licensing, royalty, patent, and other revenue decreased by $1.3 million, or 43.6% from $2.9 million during the three months ended September 30, 2023, to $1.7 million during the three months ended September 30, 2024. The decrease was driven by licensing revenue generated from our RAD-Hard projects of $0.7 million, a decrease of $0.5 million in other revenue related to professional services and a decrease of $0.1 million in royalty revenue.</w:t>
      </w:r>
    </w:p>
    <w:p>
      <w:pPr>
        <w:spacing w:after="0" w:line="19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Cost of Sales and Gross Margin</w:t>
      </w:r>
    </w:p>
    <w:p>
      <w:pPr>
        <w:spacing w:after="0" w:line="222"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4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0" w:type="dxa"/>
            <w:vAlign w:val="bottom"/>
            <w:gridSpan w:val="4"/>
          </w:tcPr>
          <w:p>
            <w:pPr>
              <w:jc w:val="center"/>
              <w:ind w:right="19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0" w:type="dxa"/>
            <w:vAlign w:val="bottom"/>
          </w:tcPr>
          <w:p>
            <w:pPr>
              <w:spacing w:after="0"/>
              <w:rPr>
                <w:sz w:val="13"/>
                <w:szCs w:val="13"/>
                <w:color w:val="auto"/>
              </w:rPr>
            </w:pPr>
          </w:p>
        </w:tc>
        <w:tc>
          <w:tcPr>
            <w:tcW w:w="1320" w:type="dxa"/>
            <w:vAlign w:val="bottom"/>
            <w:gridSpan w:val="4"/>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73"/>
        </w:trPr>
        <w:tc>
          <w:tcPr>
            <w:tcW w:w="4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gridSpan w:val="4"/>
          </w:tcPr>
          <w:p>
            <w:pPr>
              <w:jc w:val="center"/>
              <w:ind w:right="23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0" w:type="dxa"/>
            <w:vAlign w:val="bottom"/>
          </w:tcPr>
          <w:p>
            <w:pPr>
              <w:spacing w:after="0"/>
              <w:rPr>
                <w:sz w:val="15"/>
                <w:szCs w:val="15"/>
                <w:color w:val="auto"/>
              </w:rPr>
            </w:pPr>
          </w:p>
        </w:tc>
        <w:tc>
          <w:tcPr>
            <w:tcW w:w="132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0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7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140" w:type="dxa"/>
            <w:vAlign w:val="bottom"/>
            <w:tcBorders>
              <w:top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95"/>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4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20" w:type="dxa"/>
            <w:vAlign w:val="bottom"/>
            <w:gridSpan w:val="5"/>
          </w:tcPr>
          <w:p>
            <w:pPr>
              <w:jc w:val="right"/>
              <w:ind w:right="62"/>
              <w:spacing w:after="0" w:line="129"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32"/>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product sales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5,751</w:t>
            </w:r>
          </w:p>
        </w:tc>
        <w:tc>
          <w:tcPr>
            <w:tcW w:w="24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$ 5,920</w:t>
            </w:r>
          </w:p>
        </w:tc>
        <w:tc>
          <w:tcPr>
            <w:tcW w:w="200" w:type="dxa"/>
            <w:vAlign w:val="bottom"/>
            <w:shd w:val="clear" w:color="auto" w:fill="CCEEFF"/>
          </w:tcPr>
          <w:p>
            <w:pPr>
              <w:spacing w:after="0"/>
              <w:rPr>
                <w:sz w:val="24"/>
                <w:szCs w:val="24"/>
                <w:color w:val="auto"/>
              </w:rPr>
            </w:pPr>
          </w:p>
        </w:tc>
        <w:tc>
          <w:tcPr>
            <w:tcW w:w="7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(169)</w:t>
            </w: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432"/>
        </w:trPr>
        <w:tc>
          <w:tcPr>
            <w:tcW w:w="40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Cost of licensing, royalty, patent, and other revenue</w:t>
            </w: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240" w:type="dxa"/>
            <w:vAlign w:val="bottom"/>
            <w:tcBorders>
              <w:bottom w:val="single" w:sz="8" w:color="CCEEFF"/>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20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40" w:type="dxa"/>
            <w:vAlign w:val="bottom"/>
            <w:tcBorders>
              <w:bottom w:val="single" w:sz="8" w:color="CCEEFF"/>
            </w:tcBorders>
          </w:tcPr>
          <w:p>
            <w:pPr>
              <w:spacing w:after="0"/>
              <w:rPr>
                <w:sz w:val="24"/>
                <w:szCs w:val="24"/>
                <w:color w:val="auto"/>
              </w:rPr>
            </w:pPr>
          </w:p>
        </w:tc>
        <w:tc>
          <w:tcPr>
            <w:tcW w:w="660" w:type="dxa"/>
            <w:vAlign w:val="bottom"/>
            <w:tcBorders>
              <w:bottom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(37.8)%</w:t>
            </w:r>
          </w:p>
        </w:tc>
        <w:tc>
          <w:tcPr>
            <w:tcW w:w="0" w:type="dxa"/>
            <w:vAlign w:val="bottom"/>
          </w:tcPr>
          <w:p>
            <w:pPr>
              <w:spacing w:after="0"/>
              <w:rPr>
                <w:sz w:val="1"/>
                <w:szCs w:val="1"/>
                <w:color w:val="auto"/>
              </w:rPr>
            </w:pPr>
          </w:p>
        </w:tc>
      </w:tr>
      <w:tr>
        <w:trPr>
          <w:trHeight w:val="425"/>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cost of sales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6,141</w:t>
            </w:r>
          </w:p>
        </w:tc>
        <w:tc>
          <w:tcPr>
            <w:tcW w:w="24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$ 6,547</w:t>
            </w:r>
          </w:p>
        </w:tc>
        <w:tc>
          <w:tcPr>
            <w:tcW w:w="200" w:type="dxa"/>
            <w:vAlign w:val="bottom"/>
            <w:shd w:val="clear" w:color="auto" w:fill="CCEEFF"/>
          </w:tcPr>
          <w:p>
            <w:pPr>
              <w:spacing w:after="0"/>
              <w:rPr>
                <w:sz w:val="24"/>
                <w:szCs w:val="24"/>
                <w:color w:val="auto"/>
              </w:rPr>
            </w:pPr>
          </w:p>
        </w:tc>
        <w:tc>
          <w:tcPr>
            <w:tcW w:w="7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(406)</w:t>
            </w: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CCEEFF"/>
            </w:tcBorders>
            <w:vMerge w:val="restart"/>
          </w:tcPr>
          <w:p>
            <w:pPr>
              <w:jc w:val="right"/>
              <w:ind w:right="19"/>
              <w:spacing w:after="0"/>
              <w:rPr>
                <w:sz w:val="20"/>
                <w:szCs w:val="20"/>
                <w:color w:val="auto"/>
              </w:rPr>
            </w:pPr>
            <w:r>
              <w:rPr>
                <w:rFonts w:ascii="Times New Roman" w:cs="Times New Roman" w:eastAsia="Times New Roman" w:hAnsi="Times New Roman"/>
                <w:sz w:val="18"/>
                <w:szCs w:val="18"/>
                <w:color w:val="auto"/>
                <w:w w:val="79"/>
              </w:rPr>
              <w:t>%</w:t>
            </w: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40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240" w:type="dxa"/>
            <w:vAlign w:val="bottom"/>
            <w:vMerge w:val="continue"/>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20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95" w:lineRule="exact"/>
        <w:rPr>
          <w:sz w:val="20"/>
          <w:szCs w:val="20"/>
          <w:color w:val="auto"/>
        </w:rPr>
      </w:pPr>
    </w:p>
    <w:p>
      <w:pPr>
        <w:ind w:left="40" w:right="59" w:firstLine="324"/>
        <w:spacing w:after="0" w:line="266" w:lineRule="auto"/>
        <w:rPr>
          <w:sz w:val="20"/>
          <w:szCs w:val="20"/>
          <w:color w:val="auto"/>
        </w:rPr>
      </w:pPr>
      <w:r>
        <w:rPr>
          <w:rFonts w:ascii="Times New Roman" w:cs="Times New Roman" w:eastAsia="Times New Roman" w:hAnsi="Times New Roman"/>
          <w:sz w:val="18"/>
          <w:szCs w:val="18"/>
          <w:color w:val="auto"/>
        </w:rPr>
        <w:t>Cost of product sales decreased by $0.2 million, or 2.9%, from $5.9 million during the three months ended September 30, 2023, to $5.8 million during the three months ended September 30, 2024. The decrease was primarily due to a reduction in product sales and increased yields on our toggle products.</w:t>
      </w:r>
    </w:p>
    <w:p>
      <w:pPr>
        <w:spacing w:after="0" w:line="176" w:lineRule="exact"/>
        <w:rPr>
          <w:sz w:val="20"/>
          <w:szCs w:val="20"/>
          <w:color w:val="auto"/>
        </w:rPr>
      </w:pPr>
    </w:p>
    <w:p>
      <w:pPr>
        <w:ind w:left="40" w:right="159" w:firstLine="324"/>
        <w:spacing w:after="0" w:line="261" w:lineRule="auto"/>
        <w:rPr>
          <w:sz w:val="20"/>
          <w:szCs w:val="20"/>
          <w:color w:val="auto"/>
        </w:rPr>
      </w:pPr>
      <w:r>
        <w:rPr>
          <w:rFonts w:ascii="Times New Roman" w:cs="Times New Roman" w:eastAsia="Times New Roman" w:hAnsi="Times New Roman"/>
          <w:sz w:val="18"/>
          <w:szCs w:val="18"/>
          <w:color w:val="auto"/>
        </w:rPr>
        <w:t>Cost of licensing, royalty, patent, and other revenue decreased by $0.2 million, or 37.8% from $0.6 million during the three months ended September 30, 2023, to $0.4 million during the three months ended September 30, 2024. The decrease was primarily due to a decrease in licensing costs related to labor and materials associated with the progression of our RAD-Hard projects.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9" w:name="page20"/>
    <w:bookmarkEnd w:id="19"/>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0" w:right="379" w:firstLine="324"/>
        <w:spacing w:after="0" w:line="266" w:lineRule="auto"/>
        <w:rPr>
          <w:sz w:val="20"/>
          <w:szCs w:val="20"/>
          <w:color w:val="auto"/>
        </w:rPr>
      </w:pPr>
      <w:r>
        <w:rPr>
          <w:rFonts w:ascii="Times New Roman" w:cs="Times New Roman" w:eastAsia="Times New Roman" w:hAnsi="Times New Roman"/>
          <w:sz w:val="18"/>
          <w:szCs w:val="18"/>
          <w:color w:val="auto"/>
        </w:rPr>
        <w:t>Gross margin decreased from 60.2% during the three months ended September 30, 2023, to 49.2% during the three months ended September 30, 2024. Gross margin decreased as a result of a shift in product mix, a decrease in FAB loadings, and a decrease in licensing revenue partially offset by increased yields on our toggle products.</w:t>
      </w:r>
    </w:p>
    <w:p>
      <w:pPr>
        <w:spacing w:after="0" w:line="17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Operating Expenses</w:t>
      </w:r>
    </w:p>
    <w:p>
      <w:pPr>
        <w:spacing w:after="0" w:line="227" w:lineRule="exact"/>
        <w:rPr>
          <w:sz w:val="20"/>
          <w:szCs w:val="20"/>
          <w:color w:val="auto"/>
        </w:rPr>
      </w:pPr>
    </w:p>
    <w:p>
      <w:pPr>
        <w:ind w:left="40" w:right="239" w:firstLine="324"/>
        <w:spacing w:after="0" w:line="266" w:lineRule="auto"/>
        <w:rPr>
          <w:sz w:val="20"/>
          <w:szCs w:val="20"/>
          <w:color w:val="auto"/>
        </w:rPr>
      </w:pPr>
      <w:r>
        <w:rPr>
          <w:rFonts w:ascii="Times New Roman" w:cs="Times New Roman" w:eastAsia="Times New Roman" w:hAnsi="Times New Roman"/>
          <w:sz w:val="18"/>
          <w:szCs w:val="18"/>
          <w:color w:val="auto"/>
        </w:rPr>
        <w:t>Our operating expenses consist of research and development, general and administrative and sales and marketing expenses. Personnel-related expenses, including salaries, benefits, bonuses and stock-based compensation, are among the most significant components of each of our operating expense categories.</w:t>
      </w:r>
    </w:p>
    <w:p>
      <w:pPr>
        <w:spacing w:after="0" w:line="170"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4160" w:type="dxa"/>
            <w:vAlign w:val="bottom"/>
          </w:tcPr>
          <w:p>
            <w:pPr>
              <w:spacing w:after="0"/>
              <w:rPr>
                <w:sz w:val="13"/>
                <w:szCs w:val="13"/>
                <w:color w:val="auto"/>
              </w:rPr>
            </w:pPr>
          </w:p>
        </w:tc>
        <w:tc>
          <w:tcPr>
            <w:tcW w:w="1700" w:type="dxa"/>
            <w:vAlign w:val="bottom"/>
            <w:gridSpan w:val="5"/>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60" w:type="dxa"/>
            <w:vAlign w:val="bottom"/>
            <w:gridSpan w:val="4"/>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73"/>
        </w:trPr>
        <w:tc>
          <w:tcPr>
            <w:tcW w:w="4160" w:type="dxa"/>
            <w:vAlign w:val="bottom"/>
          </w:tcPr>
          <w:p>
            <w:pPr>
              <w:spacing w:after="0"/>
              <w:rPr>
                <w:sz w:val="15"/>
                <w:szCs w:val="15"/>
                <w:color w:val="auto"/>
              </w:rPr>
            </w:pPr>
          </w:p>
        </w:tc>
        <w:tc>
          <w:tcPr>
            <w:tcW w:w="1700" w:type="dxa"/>
            <w:vAlign w:val="bottom"/>
            <w:gridSpan w:val="5"/>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6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16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ind w:right="8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8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2"/>
                <w:szCs w:val="12"/>
                <w:color w:val="auto"/>
              </w:rPr>
            </w:pPr>
          </w:p>
        </w:tc>
        <w:tc>
          <w:tcPr>
            <w:tcW w:w="520" w:type="dxa"/>
            <w:vAlign w:val="bottom"/>
            <w:tcBorders>
              <w:top w:val="single" w:sz="8" w:color="auto"/>
              <w:bottom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160" w:type="dxa"/>
            <w:vAlign w:val="bottom"/>
            <w:tcBorders>
              <w:top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5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4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20" w:type="dxa"/>
            <w:vAlign w:val="bottom"/>
            <w:gridSpan w:val="5"/>
          </w:tcPr>
          <w:p>
            <w:pPr>
              <w:ind w:left="120"/>
              <w:spacing w:after="0" w:line="129"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$ 3,384</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$ 2,659</w:t>
            </w: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$ 725</w:t>
            </w: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27.3 %</w:t>
            </w:r>
          </w:p>
        </w:tc>
        <w:tc>
          <w:tcPr>
            <w:tcW w:w="0" w:type="dxa"/>
            <w:vAlign w:val="bottom"/>
          </w:tcPr>
          <w:p>
            <w:pPr>
              <w:spacing w:after="0"/>
              <w:rPr>
                <w:sz w:val="1"/>
                <w:szCs w:val="1"/>
                <w:color w:val="auto"/>
              </w:rPr>
            </w:pPr>
          </w:p>
        </w:tc>
      </w:tr>
      <w:tr>
        <w:trPr>
          <w:trHeight w:val="234"/>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as a % of revenue</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9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16 %</w:t>
            </w: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7" w:lineRule="exact"/>
        <w:rPr>
          <w:sz w:val="20"/>
          <w:szCs w:val="20"/>
          <w:color w:val="auto"/>
        </w:rPr>
      </w:pPr>
    </w:p>
    <w:p>
      <w:pPr>
        <w:ind w:left="40" w:right="79"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Expenses. </w:t>
      </w:r>
      <w:r>
        <w:rPr>
          <w:rFonts w:ascii="Times New Roman" w:cs="Times New Roman" w:eastAsia="Times New Roman" w:hAnsi="Times New Roman"/>
          <w:sz w:val="18"/>
          <w:szCs w:val="18"/>
          <w:color w:val="auto"/>
        </w:rPr>
        <w:t>Research and development expenses increased by $0.7 million, or 27.3%,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$2.7 million during the three months ended September 30, 2023, to $3.3 million during the three months ended September 30, 2024. The primary driver of research and development expenses relates to our new Extended Serial Peripheral Interface (xSPI) family of STT-MRAM products. Our xSPI products offer high-performance, multiple I/O, SPI-compatibility and feature a high-speed, low pin count SPI compatible interface.</w:t>
      </w:r>
    </w:p>
    <w:p>
      <w:pPr>
        <w:spacing w:after="0" w:line="180" w:lineRule="exact"/>
        <w:rPr>
          <w:sz w:val="20"/>
          <w:szCs w:val="20"/>
          <w:color w:val="auto"/>
        </w:rPr>
      </w:pPr>
    </w:p>
    <w:tbl>
      <w:tblPr>
        <w:tblLayout w:type="fixed"/>
        <w:tblInd w:w="900" w:type="dxa"/>
        <w:tblCellMar>
          <w:top w:w="0" w:type="dxa"/>
          <w:left w:w="0" w:type="dxa"/>
          <w:bottom w:w="0" w:type="dxa"/>
          <w:right w:w="0" w:type="dxa"/>
        </w:tblCellMar>
      </w:tblPr>
      <w:tr>
        <w:trPr>
          <w:trHeight w:val="161"/>
        </w:trPr>
        <w:tc>
          <w:tcPr>
            <w:tcW w:w="37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40" w:type="dxa"/>
            <w:vAlign w:val="bottom"/>
            <w:gridSpan w:val="5"/>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0" w:type="dxa"/>
            <w:vAlign w:val="bottom"/>
          </w:tcPr>
          <w:p>
            <w:pPr>
              <w:spacing w:after="0"/>
              <w:rPr>
                <w:sz w:val="13"/>
                <w:szCs w:val="13"/>
                <w:color w:val="auto"/>
              </w:rPr>
            </w:pPr>
          </w:p>
        </w:tc>
        <w:tc>
          <w:tcPr>
            <w:tcW w:w="1320" w:type="dxa"/>
            <w:vAlign w:val="bottom"/>
            <w:gridSpan w:val="4"/>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73"/>
        </w:trPr>
        <w:tc>
          <w:tcPr>
            <w:tcW w:w="37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40" w:type="dxa"/>
            <w:vAlign w:val="bottom"/>
            <w:gridSpan w:val="5"/>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0" w:type="dxa"/>
            <w:vAlign w:val="bottom"/>
          </w:tcPr>
          <w:p>
            <w:pPr>
              <w:spacing w:after="0"/>
              <w:rPr>
                <w:sz w:val="15"/>
                <w:szCs w:val="15"/>
                <w:color w:val="auto"/>
              </w:rPr>
            </w:pPr>
          </w:p>
        </w:tc>
        <w:tc>
          <w:tcPr>
            <w:tcW w:w="132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7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ind w:right="8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0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Borders>
              <w:top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9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37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20" w:type="dxa"/>
            <w:vAlign w:val="bottom"/>
            <w:gridSpan w:val="6"/>
          </w:tcPr>
          <w:p>
            <w:pPr>
              <w:ind w:left="140"/>
              <w:spacing w:after="0" w:line="129"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32"/>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$ 3,363</w:t>
            </w:r>
          </w:p>
        </w:tc>
        <w:tc>
          <w:tcPr>
            <w:tcW w:w="20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$ 3,933</w:t>
            </w:r>
          </w:p>
        </w:tc>
        <w:tc>
          <w:tcPr>
            <w:tcW w:w="180" w:type="dxa"/>
            <w:vAlign w:val="bottom"/>
            <w:shd w:val="clear" w:color="auto" w:fill="CCEEFF"/>
          </w:tcPr>
          <w:p>
            <w:pPr>
              <w:spacing w:after="0"/>
              <w:rPr>
                <w:sz w:val="24"/>
                <w:szCs w:val="24"/>
                <w:color w:val="auto"/>
              </w:rPr>
            </w:pPr>
          </w:p>
        </w:tc>
        <w:tc>
          <w:tcPr>
            <w:tcW w:w="5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5"/>
              </w:rPr>
              <w:t>$ (570)</w:t>
            </w:r>
          </w:p>
        </w:tc>
        <w:tc>
          <w:tcPr>
            <w:tcW w:w="160" w:type="dxa"/>
            <w:vAlign w:val="bottom"/>
            <w:shd w:val="clear" w:color="auto" w:fill="CCEEFF"/>
          </w:tcPr>
          <w:p>
            <w:pPr>
              <w:spacing w:after="0"/>
              <w:rPr>
                <w:sz w:val="24"/>
                <w:szCs w:val="24"/>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r>
        <w:trPr>
          <w:trHeight w:val="234"/>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as a % of revenue</w:t>
            </w: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8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24 %</w:t>
            </w: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7" w:lineRule="exact"/>
        <w:rPr>
          <w:sz w:val="20"/>
          <w:szCs w:val="20"/>
          <w:color w:val="auto"/>
        </w:rPr>
      </w:pPr>
    </w:p>
    <w:p>
      <w:pPr>
        <w:jc w:val="both"/>
        <w:ind w:left="40" w:right="99"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Expenses. </w:t>
      </w:r>
      <w:r>
        <w:rPr>
          <w:rFonts w:ascii="Times New Roman" w:cs="Times New Roman" w:eastAsia="Times New Roman" w:hAnsi="Times New Roman"/>
          <w:sz w:val="18"/>
          <w:szCs w:val="18"/>
          <w:color w:val="auto"/>
        </w:rPr>
        <w:t>General and administrative expenses decreased by $0.6 million, or 14.5%,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$3.9 million during the three months ended September 30, 2023, to $3.3 million during the three months ended September 30, 2024. The decrease is primarily due to reduced professional services costs.</w:t>
      </w:r>
    </w:p>
    <w:p>
      <w:pPr>
        <w:spacing w:after="0" w:line="170"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4180" w:type="dxa"/>
            <w:vAlign w:val="bottom"/>
          </w:tcPr>
          <w:p>
            <w:pPr>
              <w:spacing w:after="0"/>
              <w:rPr>
                <w:sz w:val="13"/>
                <w:szCs w:val="13"/>
                <w:color w:val="auto"/>
              </w:rPr>
            </w:pPr>
          </w:p>
        </w:tc>
        <w:tc>
          <w:tcPr>
            <w:tcW w:w="1680" w:type="dxa"/>
            <w:vAlign w:val="bottom"/>
            <w:gridSpan w:val="4"/>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0" w:type="dxa"/>
            <w:vAlign w:val="bottom"/>
          </w:tcPr>
          <w:p>
            <w:pPr>
              <w:spacing w:after="0"/>
              <w:rPr>
                <w:sz w:val="13"/>
                <w:szCs w:val="13"/>
                <w:color w:val="auto"/>
              </w:rPr>
            </w:pPr>
          </w:p>
        </w:tc>
        <w:tc>
          <w:tcPr>
            <w:tcW w:w="1220" w:type="dxa"/>
            <w:vAlign w:val="bottom"/>
            <w:gridSpan w:val="4"/>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73"/>
        </w:trPr>
        <w:tc>
          <w:tcPr>
            <w:tcW w:w="4180" w:type="dxa"/>
            <w:vAlign w:val="bottom"/>
          </w:tcPr>
          <w:p>
            <w:pPr>
              <w:spacing w:after="0"/>
              <w:rPr>
                <w:sz w:val="15"/>
                <w:szCs w:val="15"/>
                <w:color w:val="auto"/>
              </w:rPr>
            </w:pPr>
          </w:p>
        </w:tc>
        <w:tc>
          <w:tcPr>
            <w:tcW w:w="1680" w:type="dxa"/>
            <w:vAlign w:val="bottom"/>
            <w:gridSpan w:val="4"/>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0" w:type="dxa"/>
            <w:vAlign w:val="bottom"/>
          </w:tcPr>
          <w:p>
            <w:pPr>
              <w:spacing w:after="0"/>
              <w:rPr>
                <w:sz w:val="15"/>
                <w:szCs w:val="15"/>
                <w:color w:val="auto"/>
              </w:rPr>
            </w:pPr>
          </w:p>
        </w:tc>
        <w:tc>
          <w:tcPr>
            <w:tcW w:w="122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18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right"/>
              <w:ind w:right="8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76"/>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Borders>
              <w:top w:val="single" w:sz="8" w:color="auto"/>
              <w:bottom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160" w:type="dxa"/>
            <w:vAlign w:val="bottom"/>
            <w:tcBorders>
              <w:top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ind w:right="3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4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20" w:type="dxa"/>
            <w:vAlign w:val="bottom"/>
            <w:gridSpan w:val="5"/>
          </w:tcPr>
          <w:p>
            <w:pPr>
              <w:ind w:left="100"/>
              <w:spacing w:after="0" w:line="129"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$ 1,320</w:t>
            </w: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$ 1,348</w:t>
            </w:r>
          </w:p>
        </w:tc>
        <w:tc>
          <w:tcPr>
            <w:tcW w:w="2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(28)</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34"/>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 as a % of revenue</w:t>
            </w:r>
          </w:p>
        </w:tc>
        <w:tc>
          <w:tcPr>
            <w:tcW w:w="86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11 %</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8 %</w:t>
            </w:r>
          </w:p>
        </w:tc>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7" w:lineRule="exact"/>
        <w:rPr>
          <w:sz w:val="20"/>
          <w:szCs w:val="20"/>
          <w:color w:val="auto"/>
        </w:rPr>
      </w:pPr>
    </w:p>
    <w:p>
      <w:pPr>
        <w:ind w:left="40" w:right="199"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Sales and Marketing Expenses. </w:t>
      </w:r>
      <w:r>
        <w:rPr>
          <w:rFonts w:ascii="Times New Roman" w:cs="Times New Roman" w:eastAsia="Times New Roman" w:hAnsi="Times New Roman"/>
          <w:sz w:val="18"/>
          <w:szCs w:val="18"/>
          <w:color w:val="auto"/>
        </w:rPr>
        <w:t>Sales and marketing expenses remained consistent at $1.3 million during the three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September 30, 2024 and 2023, respectively. Sales and marketing expenses relate primarily to compensation costs and contract labor.</w:t>
      </w:r>
    </w:p>
    <w:p>
      <w:pPr>
        <w:spacing w:after="0" w:line="17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Other Income, Net</w:t>
      </w:r>
    </w:p>
    <w:p>
      <w:pPr>
        <w:spacing w:after="0" w:line="222"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6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58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80" w:type="dxa"/>
            <w:vAlign w:val="bottom"/>
            <w:gridSpan w:val="4"/>
            <w:vMerge w:val="restart"/>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73"/>
        </w:trPr>
        <w:tc>
          <w:tcPr>
            <w:tcW w:w="26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580" w:type="dxa"/>
            <w:vAlign w:val="bottom"/>
            <w:gridSpan w:val="4"/>
          </w:tcPr>
          <w:p>
            <w:pPr>
              <w:ind w:left="2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8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6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780" w:type="dxa"/>
            <w:vAlign w:val="bottom"/>
            <w:tcBorders>
              <w:top w:val="single" w:sz="8" w:color="auto"/>
              <w:bottom w:val="single" w:sz="8" w:color="auto"/>
            </w:tcBorders>
          </w:tcPr>
          <w:p>
            <w:pPr>
              <w:ind w:left="24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top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Borders>
              <w:top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68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2"/>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(Dollars in</w:t>
            </w:r>
          </w:p>
        </w:tc>
        <w:tc>
          <w:tcPr>
            <w:tcW w:w="62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w w:val="91"/>
              </w:rPr>
              <w:t>thousands)</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2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4,396</w:t>
            </w:r>
          </w:p>
        </w:tc>
        <w:tc>
          <w:tcPr>
            <w:tcW w:w="6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$ 459</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$ 3,937</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857.7 %</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40" w:right="99" w:firstLine="324"/>
        <w:spacing w:after="0" w:line="266" w:lineRule="auto"/>
        <w:rPr>
          <w:sz w:val="20"/>
          <w:szCs w:val="20"/>
          <w:color w:val="auto"/>
        </w:rPr>
      </w:pPr>
      <w:r>
        <w:rPr>
          <w:rFonts w:ascii="Times New Roman" w:cs="Times New Roman" w:eastAsia="Times New Roman" w:hAnsi="Times New Roman"/>
          <w:sz w:val="18"/>
          <w:szCs w:val="18"/>
          <w:color w:val="auto"/>
        </w:rPr>
        <w:t>Other income, net increased by $3.9 million, or 857.7%, from $0.5 million during the three months ended September 30, 2023, to $4.4 million during the three months ended September 30, 2024. The change was primarily due to $4.0 million recorded as other income on the condensed statements of operations and comprehensive (loss) income.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0" w:name="page21"/>
    <w:bookmarkEnd w:id="20"/>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nine months ended September 30, 2024 and 2023</w:t>
      </w:r>
    </w:p>
    <w:p>
      <w:pPr>
        <w:spacing w:after="0" w:line="2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227" w:lineRule="exact"/>
        <w:rPr>
          <w:sz w:val="20"/>
          <w:szCs w:val="20"/>
          <w:color w:val="auto"/>
        </w:rPr>
      </w:pPr>
    </w:p>
    <w:p>
      <w:pPr>
        <w:ind w:left="40" w:right="59" w:firstLine="324"/>
        <w:spacing w:after="0" w:line="282" w:lineRule="auto"/>
        <w:rPr>
          <w:sz w:val="20"/>
          <w:szCs w:val="20"/>
          <w:color w:val="auto"/>
        </w:rPr>
      </w:pPr>
      <w:r>
        <w:rPr>
          <w:rFonts w:ascii="Times New Roman" w:cs="Times New Roman" w:eastAsia="Times New Roman" w:hAnsi="Times New Roman"/>
          <w:sz w:val="18"/>
          <w:szCs w:val="18"/>
          <w:color w:val="auto"/>
        </w:rPr>
        <w:t>We generated 80% and 81% of our revenue from products sold to distributors for the nine months ended September 30, 2024 and 2023, respectively.</w:t>
      </w:r>
    </w:p>
    <w:p>
      <w:pPr>
        <w:spacing w:after="0" w:line="16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Our revenue by region and by type of revenue for the periods indicated were as follows (in thousands).</w:t>
      </w:r>
    </w:p>
    <w:p>
      <w:pPr>
        <w:spacing w:after="0" w:line="300"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2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0" w:type="dxa"/>
            <w:vAlign w:val="bottom"/>
            <w:tcBorders>
              <w:bottom w:val="single" w:sz="8" w:color="auto"/>
            </w:tcBorders>
            <w:gridSpan w:val="11"/>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96"/>
        </w:trPr>
        <w:tc>
          <w:tcPr>
            <w:tcW w:w="280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70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68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APAC</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21,163</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CEEFF"/>
          </w:tcPr>
          <w:p>
            <w:pPr>
              <w:jc w:val="center"/>
              <w:ind w:left="74"/>
              <w:spacing w:after="0"/>
              <w:rPr>
                <w:sz w:val="20"/>
                <w:szCs w:val="20"/>
                <w:color w:val="auto"/>
              </w:rPr>
            </w:pPr>
            <w:r>
              <w:rPr>
                <w:rFonts w:ascii="Times New Roman" w:cs="Times New Roman" w:eastAsia="Times New Roman" w:hAnsi="Times New Roman"/>
                <w:sz w:val="18"/>
                <w:szCs w:val="18"/>
                <w:color w:val="auto"/>
              </w:rPr>
              <w:t>24,218</w:t>
            </w:r>
          </w:p>
        </w:tc>
        <w:tc>
          <w:tcPr>
            <w:tcW w:w="0" w:type="dxa"/>
            <w:vAlign w:val="bottom"/>
          </w:tcPr>
          <w:p>
            <w:pPr>
              <w:spacing w:after="0"/>
              <w:rPr>
                <w:sz w:val="1"/>
                <w:szCs w:val="1"/>
                <w:color w:val="auto"/>
              </w:rPr>
            </w:pPr>
          </w:p>
        </w:tc>
      </w:tr>
      <w:tr>
        <w:trPr>
          <w:trHeight w:val="216"/>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North America</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7,857</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gridSpan w:val="2"/>
          </w:tcPr>
          <w:p>
            <w:pPr>
              <w:jc w:val="center"/>
              <w:ind w:left="74"/>
              <w:spacing w:after="0"/>
              <w:rPr>
                <w:sz w:val="20"/>
                <w:szCs w:val="20"/>
                <w:color w:val="auto"/>
              </w:rPr>
            </w:pPr>
            <w:r>
              <w:rPr>
                <w:rFonts w:ascii="Times New Roman" w:cs="Times New Roman" w:eastAsia="Times New Roman" w:hAnsi="Times New Roman"/>
                <w:sz w:val="18"/>
                <w:szCs w:val="18"/>
                <w:color w:val="auto"/>
              </w:rPr>
              <w:t>10,798</w:t>
            </w:r>
          </w:p>
        </w:tc>
        <w:tc>
          <w:tcPr>
            <w:tcW w:w="0" w:type="dxa"/>
            <w:vAlign w:val="bottom"/>
          </w:tcPr>
          <w:p>
            <w:pPr>
              <w:spacing w:after="0"/>
              <w:rPr>
                <w:sz w:val="1"/>
                <w:szCs w:val="1"/>
                <w:color w:val="auto"/>
              </w:rPr>
            </w:pPr>
          </w:p>
        </w:tc>
      </w:tr>
      <w:tr>
        <w:trPr>
          <w:trHeight w:val="216"/>
        </w:trPr>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EMEA</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8,139</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gridSpan w:val="2"/>
            <w:shd w:val="clear" w:color="auto" w:fill="CCEEFF"/>
          </w:tcPr>
          <w:p>
            <w:pPr>
              <w:jc w:val="center"/>
              <w:ind w:left="74"/>
              <w:spacing w:after="0"/>
              <w:rPr>
                <w:sz w:val="20"/>
                <w:szCs w:val="20"/>
                <w:color w:val="auto"/>
              </w:rPr>
            </w:pPr>
            <w:r>
              <w:rPr>
                <w:rFonts w:ascii="Times New Roman" w:cs="Times New Roman" w:eastAsia="Times New Roman" w:hAnsi="Times New Roman"/>
                <w:sz w:val="18"/>
                <w:szCs w:val="18"/>
                <w:color w:val="auto"/>
              </w:rPr>
              <w:t>12,043</w:t>
            </w:r>
          </w:p>
        </w:tc>
        <w:tc>
          <w:tcPr>
            <w:tcW w:w="0" w:type="dxa"/>
            <w:vAlign w:val="bottom"/>
          </w:tcPr>
          <w:p>
            <w:pPr>
              <w:spacing w:after="0"/>
              <w:rPr>
                <w:sz w:val="1"/>
                <w:szCs w:val="1"/>
                <w:color w:val="auto"/>
              </w:rPr>
            </w:pPr>
          </w:p>
        </w:tc>
      </w:tr>
      <w:tr>
        <w:trPr>
          <w:trHeight w:val="209"/>
        </w:trPr>
        <w:tc>
          <w:tcPr>
            <w:tcW w:w="2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revenue</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37,159</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Borders>
              <w:bottom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gridSpan w:val="2"/>
          </w:tcPr>
          <w:p>
            <w:pPr>
              <w:jc w:val="center"/>
              <w:ind w:left="74"/>
              <w:spacing w:after="0"/>
              <w:rPr>
                <w:sz w:val="20"/>
                <w:szCs w:val="20"/>
                <w:color w:val="auto"/>
              </w:rPr>
            </w:pPr>
            <w:r>
              <w:rPr>
                <w:rFonts w:ascii="Times New Roman" w:cs="Times New Roman" w:eastAsia="Times New Roman" w:hAnsi="Times New Roman"/>
                <w:sz w:val="18"/>
                <w:szCs w:val="18"/>
                <w:color w:val="auto"/>
              </w:rPr>
              <w:t>47,059</w:t>
            </w: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0"/>
        </w:trPr>
        <w:tc>
          <w:tcPr>
            <w:tcW w:w="2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00" w:type="dxa"/>
            <w:vAlign w:val="bottom"/>
            <w:gridSpan w:val="4"/>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6"/>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2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4"/>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6"/>
            <w:vMerge w:val="continue"/>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ind w:right="21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ind w:right="177"/>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3"/>
          </w:tcPr>
          <w:p>
            <w:pPr>
              <w:jc w:val="right"/>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jc w:val="right"/>
              <w:ind w:right="234"/>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gridSpan w:val="2"/>
          </w:tcPr>
          <w:p>
            <w:pPr>
              <w:ind w:left="60"/>
              <w:spacing w:after="0" w:line="129" w:lineRule="exact"/>
              <w:rPr>
                <w:sz w:val="20"/>
                <w:szCs w:val="20"/>
                <w:color w:val="auto"/>
              </w:rPr>
            </w:pPr>
            <w:r>
              <w:rPr>
                <w:rFonts w:ascii="Times New Roman" w:cs="Times New Roman" w:eastAsia="Times New Roman" w:hAnsi="Times New Roman"/>
                <w:sz w:val="14"/>
                <w:szCs w:val="14"/>
                <w:b w:val="1"/>
                <w:bCs w:val="1"/>
                <w:color w:val="auto"/>
              </w:rPr>
              <w:t>(Dollars in</w:t>
            </w:r>
          </w:p>
        </w:tc>
        <w:tc>
          <w:tcPr>
            <w:tcW w:w="160" w:type="dxa"/>
            <w:vAlign w:val="bottom"/>
          </w:tcPr>
          <w:p>
            <w:pPr>
              <w:spacing w:after="0"/>
              <w:rPr>
                <w:sz w:val="11"/>
                <w:szCs w:val="11"/>
                <w:color w:val="auto"/>
              </w:rPr>
            </w:pPr>
          </w:p>
        </w:tc>
        <w:tc>
          <w:tcPr>
            <w:tcW w:w="880" w:type="dxa"/>
            <w:vAlign w:val="bottom"/>
            <w:tcBorders>
              <w:top w:val="single" w:sz="8" w:color="auto"/>
            </w:tcBorders>
            <w:gridSpan w:val="3"/>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thousands)</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 sales</w:t>
            </w:r>
          </w:p>
        </w:tc>
        <w:tc>
          <w:tcPr>
            <w:tcW w:w="42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31,190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40,726</w:t>
            </w:r>
          </w:p>
        </w:tc>
        <w:tc>
          <w:tcPr>
            <w:tcW w:w="32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(9,536)</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center"/>
              <w:ind w:left="74"/>
              <w:spacing w:after="0"/>
              <w:rPr>
                <w:sz w:val="20"/>
                <w:szCs w:val="20"/>
                <w:color w:val="auto"/>
              </w:rPr>
            </w:pPr>
            <w:r>
              <w:rPr>
                <w:rFonts w:ascii="Times New Roman" w:cs="Times New Roman" w:eastAsia="Times New Roman" w:hAnsi="Times New Roman"/>
                <w:sz w:val="18"/>
                <w:szCs w:val="18"/>
                <w:color w:val="auto"/>
                <w:w w:val="99"/>
              </w:rPr>
              <w:t>(23.4)%</w:t>
            </w:r>
          </w:p>
        </w:tc>
        <w:tc>
          <w:tcPr>
            <w:tcW w:w="0" w:type="dxa"/>
            <w:vAlign w:val="bottom"/>
          </w:tcPr>
          <w:p>
            <w:pPr>
              <w:spacing w:after="0"/>
              <w:rPr>
                <w:sz w:val="1"/>
                <w:szCs w:val="1"/>
                <w:color w:val="auto"/>
              </w:rPr>
            </w:pPr>
          </w:p>
        </w:tc>
      </w:tr>
      <w:tr>
        <w:trPr>
          <w:trHeight w:val="198"/>
        </w:trPr>
        <w:tc>
          <w:tcPr>
            <w:tcW w:w="28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Licensing, royalty, patent, and other</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revenue</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5,969</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6,333</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(364)</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10"/>
        </w:trPr>
        <w:tc>
          <w:tcPr>
            <w:tcW w:w="28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37,159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47,059</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(9,900)</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CCEEFF"/>
              <w:bottom w:val="single" w:sz="8" w:color="CCEEFF"/>
            </w:tcBorders>
            <w:gridSpan w:val="2"/>
            <w:shd w:val="clear" w:color="auto" w:fill="CCEEFF"/>
          </w:tcPr>
          <w:p>
            <w:pPr>
              <w:jc w:val="center"/>
              <w:ind w:left="74"/>
              <w:spacing w:after="0"/>
              <w:rPr>
                <w:sz w:val="20"/>
                <w:szCs w:val="20"/>
                <w:color w:val="auto"/>
              </w:rPr>
            </w:pPr>
            <w:r>
              <w:rPr>
                <w:rFonts w:ascii="Times New Roman" w:cs="Times New Roman" w:eastAsia="Times New Roman" w:hAnsi="Times New Roman"/>
                <w:sz w:val="18"/>
                <w:szCs w:val="18"/>
                <w:color w:val="auto"/>
                <w:w w:val="99"/>
              </w:rPr>
              <w:t>(21.0)%</w:t>
            </w: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ind w:left="40" w:right="179" w:firstLine="324"/>
        <w:spacing w:after="0" w:line="261" w:lineRule="auto"/>
        <w:rPr>
          <w:sz w:val="20"/>
          <w:szCs w:val="20"/>
          <w:color w:val="auto"/>
        </w:rPr>
      </w:pPr>
      <w:r>
        <w:rPr>
          <w:rFonts w:ascii="Times New Roman" w:cs="Times New Roman" w:eastAsia="Times New Roman" w:hAnsi="Times New Roman"/>
          <w:sz w:val="18"/>
          <w:szCs w:val="18"/>
          <w:color w:val="auto"/>
        </w:rPr>
        <w:t>Total revenue decreased by $9.9 million, or 21.0%, from $47.1 million during the nine months ended September 30, 2023 to $37.2 million during the nine months ended September 30, 2024. The decrease was primarily due to a decrease in product sales of $9.5 million due to timing of customer demand and a decrease of $0.4 million in licensing, royalty, patent and other revenue.</w:t>
      </w:r>
    </w:p>
    <w:p>
      <w:pPr>
        <w:spacing w:after="0" w:line="180" w:lineRule="exact"/>
        <w:rPr>
          <w:sz w:val="20"/>
          <w:szCs w:val="20"/>
          <w:color w:val="auto"/>
        </w:rPr>
      </w:pPr>
    </w:p>
    <w:p>
      <w:pPr>
        <w:ind w:left="40" w:right="139" w:firstLine="324"/>
        <w:spacing w:after="0" w:line="255" w:lineRule="auto"/>
        <w:rPr>
          <w:sz w:val="20"/>
          <w:szCs w:val="20"/>
          <w:color w:val="auto"/>
        </w:rPr>
      </w:pPr>
      <w:r>
        <w:rPr>
          <w:rFonts w:ascii="Times New Roman" w:cs="Times New Roman" w:eastAsia="Times New Roman" w:hAnsi="Times New Roman"/>
          <w:sz w:val="18"/>
          <w:szCs w:val="18"/>
          <w:color w:val="auto"/>
        </w:rPr>
        <w:t>Licensing, royalty, patent and other revenue is a highly variable revenue item characterized by a small number of transactions annually with revenue based on size and term of each transaction. Our best estimate of royalty revenue earned is made through the year, with an annual adjustment recognized for actual sales in the first quarter of each fiscal year. Licensing, royalty, patent, and other revenue decreased by $0.4 million, or 5.7%, from $6.3 million during the nine months ended September 30, 2023, to $6.0 million during the nine months ended September 30, 2024. The decrease was driven by a decrease of $0.3 million in other revenue related to professional services and a decrease of $0.1 million in royalty revenue.</w:t>
      </w:r>
    </w:p>
    <w:p>
      <w:pPr>
        <w:spacing w:after="0" w:line="1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Cost of Sales and Gross Margin</w:t>
      </w:r>
    </w:p>
    <w:p>
      <w:pPr>
        <w:spacing w:after="0" w:line="222"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34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60" w:type="dxa"/>
            <w:vAlign w:val="bottom"/>
          </w:tcPr>
          <w:p>
            <w:pPr>
              <w:spacing w:after="0"/>
              <w:rPr>
                <w:sz w:val="13"/>
                <w:szCs w:val="13"/>
                <w:color w:val="auto"/>
              </w:rPr>
            </w:pPr>
          </w:p>
        </w:tc>
        <w:tc>
          <w:tcPr>
            <w:tcW w:w="1460" w:type="dxa"/>
            <w:vAlign w:val="bottom"/>
            <w:gridSpan w:val="4"/>
            <w:vMerge w:val="restart"/>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73"/>
        </w:trPr>
        <w:tc>
          <w:tcPr>
            <w:tcW w:w="3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0" w:type="dxa"/>
            <w:vAlign w:val="bottom"/>
          </w:tcPr>
          <w:p>
            <w:pPr>
              <w:spacing w:after="0"/>
              <w:rPr>
                <w:sz w:val="15"/>
                <w:szCs w:val="15"/>
                <w:color w:val="auto"/>
              </w:rPr>
            </w:pPr>
          </w:p>
        </w:tc>
        <w:tc>
          <w:tcPr>
            <w:tcW w:w="146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Borders>
              <w:top w:val="single" w:sz="8" w:color="auto"/>
              <w:bottom w:val="single" w:sz="8" w:color="auto"/>
            </w:tcBorders>
          </w:tcPr>
          <w:p>
            <w:pPr>
              <w:ind w:left="20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22"/>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Borders>
              <w:top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5"/>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20" w:type="dxa"/>
            <w:vAlign w:val="bottom"/>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product sales</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$ 16,989</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$ 18,133</w:t>
            </w:r>
          </w:p>
        </w:tc>
        <w:tc>
          <w:tcPr>
            <w:tcW w:w="1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(1,144)</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198"/>
        </w:trPr>
        <w:tc>
          <w:tcPr>
            <w:tcW w:w="34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Cost of licensing, royalty, patent, and other</w:t>
            </w: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revenue</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842</w:t>
            </w:r>
          </w:p>
        </w:tc>
        <w:tc>
          <w:tcPr>
            <w:tcW w:w="18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1,384</w:t>
            </w:r>
          </w:p>
        </w:tc>
        <w:tc>
          <w:tcPr>
            <w:tcW w:w="180" w:type="dxa"/>
            <w:vAlign w:val="bottom"/>
          </w:tcPr>
          <w:p>
            <w:pPr>
              <w:spacing w:after="0"/>
              <w:rPr>
                <w:sz w:val="20"/>
                <w:szCs w:val="20"/>
                <w:color w:val="auto"/>
              </w:rPr>
            </w:pPr>
          </w:p>
        </w:tc>
        <w:tc>
          <w:tcPr>
            <w:tcW w:w="8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(542)</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0" w:type="dxa"/>
            <w:vAlign w:val="bottom"/>
          </w:tcPr>
          <w:p>
            <w:pPr>
              <w:spacing w:after="0"/>
              <w:rPr>
                <w:sz w:val="1"/>
                <w:szCs w:val="1"/>
                <w:color w:val="auto"/>
              </w:rPr>
            </w:pPr>
          </w:p>
        </w:tc>
      </w:tr>
      <w:tr>
        <w:trPr>
          <w:trHeight w:val="209"/>
        </w:trPr>
        <w:tc>
          <w:tcPr>
            <w:tcW w:w="34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cost of sales</w:t>
            </w:r>
          </w:p>
        </w:tc>
        <w:tc>
          <w:tcPr>
            <w:tcW w:w="36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$ 17,831</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$ 19,517</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(1,686)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64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0"/>
        </w:trPr>
        <w:tc>
          <w:tcPr>
            <w:tcW w:w="34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360" w:type="dxa"/>
            <w:vAlign w:val="bottom"/>
            <w:vMerge w:val="restart"/>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60" w:type="dxa"/>
            <w:vAlign w:val="bottom"/>
            <w:vMerge w:val="restart"/>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3440" w:type="dxa"/>
            <w:vAlign w:val="bottom"/>
            <w:vMerge w:val="continue"/>
          </w:tcPr>
          <w:p>
            <w:pPr>
              <w:spacing w:after="0"/>
              <w:rPr>
                <w:sz w:val="18"/>
                <w:szCs w:val="18"/>
                <w:color w:val="auto"/>
              </w:rPr>
            </w:pPr>
          </w:p>
        </w:tc>
        <w:tc>
          <w:tcPr>
            <w:tcW w:w="360" w:type="dxa"/>
            <w:vAlign w:val="bottom"/>
            <w:vMerge w:val="continue"/>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180" w:type="dxa"/>
            <w:vAlign w:val="bottom"/>
            <w:vMerge w:val="continue"/>
          </w:tcPr>
          <w:p>
            <w:pPr>
              <w:spacing w:after="0"/>
              <w:rPr>
                <w:sz w:val="18"/>
                <w:szCs w:val="18"/>
                <w:color w:val="auto"/>
              </w:rPr>
            </w:pPr>
          </w:p>
        </w:tc>
        <w:tc>
          <w:tcPr>
            <w:tcW w:w="60" w:type="dxa"/>
            <w:vAlign w:val="bottom"/>
            <w:vMerge w:val="continue"/>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18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40" w:right="119" w:firstLine="324"/>
        <w:spacing w:after="0" w:line="266" w:lineRule="auto"/>
        <w:rPr>
          <w:sz w:val="20"/>
          <w:szCs w:val="20"/>
          <w:color w:val="auto"/>
        </w:rPr>
      </w:pPr>
      <w:r>
        <w:rPr>
          <w:rFonts w:ascii="Times New Roman" w:cs="Times New Roman" w:eastAsia="Times New Roman" w:hAnsi="Times New Roman"/>
          <w:sz w:val="18"/>
          <w:szCs w:val="18"/>
          <w:color w:val="auto"/>
        </w:rPr>
        <w:t>Cost of product sales decreased by $1.1 million, or 6.3%, from $18.1 million during the nine months ended September 30, 2023, to $17.0 million during the nine months ended September 30, 2024. The decrease was primarily due to a reduction in product sales and increased yields on our toggle products.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1" w:name="page22"/>
    <w:bookmarkEnd w:id="21"/>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0" w:right="139" w:firstLine="324"/>
        <w:spacing w:after="0" w:line="261" w:lineRule="auto"/>
        <w:rPr>
          <w:sz w:val="20"/>
          <w:szCs w:val="20"/>
          <w:color w:val="auto"/>
        </w:rPr>
      </w:pPr>
      <w:r>
        <w:rPr>
          <w:rFonts w:ascii="Times New Roman" w:cs="Times New Roman" w:eastAsia="Times New Roman" w:hAnsi="Times New Roman"/>
          <w:sz w:val="18"/>
          <w:szCs w:val="18"/>
          <w:color w:val="auto"/>
        </w:rPr>
        <w:t>Cost of licensing, royalty, patent, and other revenue decreased by $0.5 million, or 39.2%, from $1.4 million during the nine months ended September 30, 2023, to $0.8 million during the nine months ended September 30, 2024. The decrease was due to a decrease in licensing costs related to labor and materials associated with the progression of our RAD-Hard projects.</w:t>
      </w:r>
    </w:p>
    <w:p>
      <w:pPr>
        <w:spacing w:after="0" w:line="180" w:lineRule="exact"/>
        <w:rPr>
          <w:sz w:val="20"/>
          <w:szCs w:val="20"/>
          <w:color w:val="auto"/>
        </w:rPr>
      </w:pPr>
    </w:p>
    <w:p>
      <w:pPr>
        <w:ind w:left="40" w:right="479" w:firstLine="324"/>
        <w:spacing w:after="0" w:line="266" w:lineRule="auto"/>
        <w:rPr>
          <w:sz w:val="20"/>
          <w:szCs w:val="20"/>
          <w:color w:val="auto"/>
        </w:rPr>
      </w:pPr>
      <w:r>
        <w:rPr>
          <w:rFonts w:ascii="Times New Roman" w:cs="Times New Roman" w:eastAsia="Times New Roman" w:hAnsi="Times New Roman"/>
          <w:sz w:val="18"/>
          <w:szCs w:val="18"/>
          <w:color w:val="auto"/>
        </w:rPr>
        <w:t>Gross margin decreased from 58.5% during the nine months ended September 30, 2023, to 52.0% during the nine months ended September 30, 2024. Gross margin decreased as a result of a shift in product mix, a decrease in FAB loadings, and a decrease in licensing revenue partially offset by increased yields on our toggle products.</w:t>
      </w:r>
    </w:p>
    <w:p>
      <w:pPr>
        <w:spacing w:after="0" w:line="17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Operating Expenses</w:t>
      </w:r>
    </w:p>
    <w:p>
      <w:pPr>
        <w:spacing w:after="0" w:line="227" w:lineRule="exact"/>
        <w:rPr>
          <w:sz w:val="20"/>
          <w:szCs w:val="20"/>
          <w:color w:val="auto"/>
        </w:rPr>
      </w:pPr>
    </w:p>
    <w:p>
      <w:pPr>
        <w:ind w:left="40" w:right="239" w:firstLine="324"/>
        <w:spacing w:after="0" w:line="266" w:lineRule="auto"/>
        <w:rPr>
          <w:sz w:val="20"/>
          <w:szCs w:val="20"/>
          <w:color w:val="auto"/>
        </w:rPr>
      </w:pPr>
      <w:r>
        <w:rPr>
          <w:rFonts w:ascii="Times New Roman" w:cs="Times New Roman" w:eastAsia="Times New Roman" w:hAnsi="Times New Roman"/>
          <w:sz w:val="18"/>
          <w:szCs w:val="18"/>
          <w:color w:val="auto"/>
        </w:rPr>
        <w:t>Our operating expenses consist of research and development, general and administrative and sales and marketing expenses. Personnel-related expenses, including salaries, benefits, bonuses and stock-based compensation, are among the most significant components of each of our operating expense categories.</w:t>
      </w:r>
    </w:p>
    <w:p>
      <w:pPr>
        <w:spacing w:after="0" w:line="183"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2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40" w:type="dxa"/>
            <w:vAlign w:val="bottom"/>
            <w:gridSpan w:val="7"/>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40" w:type="dxa"/>
            <w:vAlign w:val="bottom"/>
          </w:tcPr>
          <w:p>
            <w:pPr>
              <w:spacing w:after="0"/>
              <w:rPr>
                <w:sz w:val="15"/>
                <w:szCs w:val="15"/>
                <w:color w:val="auto"/>
              </w:rPr>
            </w:pPr>
          </w:p>
        </w:tc>
        <w:tc>
          <w:tcPr>
            <w:tcW w:w="1360" w:type="dxa"/>
            <w:vAlign w:val="bottom"/>
            <w:gridSpan w:val="4"/>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42"/>
        </w:trPr>
        <w:tc>
          <w:tcPr>
            <w:tcW w:w="29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5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76"/>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Borders>
              <w:top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7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2"/>
                <w:szCs w:val="12"/>
                <w:color w:val="auto"/>
              </w:rPr>
            </w:pPr>
          </w:p>
        </w:tc>
      </w:tr>
      <w:tr>
        <w:trPr>
          <w:trHeight w:val="128"/>
        </w:trPr>
        <w:tc>
          <w:tcPr>
            <w:tcW w:w="29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4"/>
          </w:tcPr>
          <w:p>
            <w:pPr>
              <w:spacing w:after="0" w:line="129" w:lineRule="exact"/>
              <w:rPr>
                <w:sz w:val="20"/>
                <w:szCs w:val="20"/>
                <w:color w:val="auto"/>
              </w:rPr>
            </w:pPr>
            <w:r>
              <w:rPr>
                <w:rFonts w:ascii="Times New Roman" w:cs="Times New Roman" w:eastAsia="Times New Roman" w:hAnsi="Times New Roman"/>
                <w:sz w:val="14"/>
                <w:szCs w:val="14"/>
                <w:b w:val="1"/>
                <w:bCs w:val="1"/>
                <w:color w:val="auto"/>
                <w:w w:val="93"/>
              </w:rPr>
              <w:t>(Dollars in thousands)</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216"/>
        </w:trPr>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54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10,259</w:t>
            </w:r>
          </w:p>
        </w:tc>
        <w:tc>
          <w:tcPr>
            <w:tcW w:w="1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8,566</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$ 1,693</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19.8 %</w:t>
            </w:r>
          </w:p>
        </w:tc>
      </w:tr>
      <w:tr>
        <w:trPr>
          <w:trHeight w:val="198"/>
        </w:trPr>
        <w:tc>
          <w:tcPr>
            <w:tcW w:w="29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Research and development as a % of</w:t>
            </w: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4"/>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revenue</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18 %</w:t>
            </w:r>
          </w:p>
        </w:tc>
        <w:tc>
          <w:tcPr>
            <w:tcW w:w="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r>
    </w:tbl>
    <w:p>
      <w:pPr>
        <w:spacing w:after="0" w:line="200" w:lineRule="exact"/>
        <w:rPr>
          <w:sz w:val="20"/>
          <w:szCs w:val="20"/>
          <w:color w:val="auto"/>
        </w:rPr>
      </w:pPr>
    </w:p>
    <w:p>
      <w:pPr>
        <w:spacing w:after="0" w:line="212" w:lineRule="exact"/>
        <w:rPr>
          <w:sz w:val="20"/>
          <w:szCs w:val="20"/>
          <w:color w:val="auto"/>
        </w:rPr>
      </w:pPr>
    </w:p>
    <w:p>
      <w:pPr>
        <w:ind w:left="40" w:right="179"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Expenses. </w:t>
      </w:r>
      <w:r>
        <w:rPr>
          <w:rFonts w:ascii="Times New Roman" w:cs="Times New Roman" w:eastAsia="Times New Roman" w:hAnsi="Times New Roman"/>
          <w:sz w:val="18"/>
          <w:szCs w:val="18"/>
          <w:color w:val="auto"/>
        </w:rPr>
        <w:t>Research and development expenses increased by $1.7 million, or 19.8%,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$8.6 million during the nine months ended September 30, 2023, to $10.2 million during the nine months ended September 30, 2024. The primary driver of research and development expenses relates to our new xSPI family of STT-MRAM products.</w:t>
      </w:r>
    </w:p>
    <w:p>
      <w:pPr>
        <w:spacing w:after="0" w:line="189"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30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500" w:type="dxa"/>
            <w:vAlign w:val="bottom"/>
            <w:gridSpan w:val="6"/>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240" w:type="dxa"/>
            <w:vAlign w:val="bottom"/>
            <w:gridSpan w:val="4"/>
          </w:tcPr>
          <w:p>
            <w:pPr>
              <w:ind w:left="32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42"/>
        </w:trPr>
        <w:tc>
          <w:tcPr>
            <w:tcW w:w="30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7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76"/>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2"/>
                <w:szCs w:val="12"/>
                <w:color w:val="auto"/>
              </w:rPr>
            </w:pPr>
          </w:p>
        </w:tc>
        <w:tc>
          <w:tcPr>
            <w:tcW w:w="540" w:type="dxa"/>
            <w:vAlign w:val="bottom"/>
            <w:tcBorders>
              <w:top w:val="single" w:sz="8" w:color="auto"/>
              <w:bottom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Borders>
              <w:top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3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2"/>
                <w:szCs w:val="12"/>
                <w:color w:val="auto"/>
              </w:rPr>
            </w:pPr>
          </w:p>
        </w:tc>
      </w:tr>
      <w:tr>
        <w:trPr>
          <w:trHeight w:val="128"/>
        </w:trPr>
        <w:tc>
          <w:tcPr>
            <w:tcW w:w="30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3"/>
          </w:tcPr>
          <w:p>
            <w:pPr>
              <w:spacing w:after="0" w:line="129" w:lineRule="exact"/>
              <w:rPr>
                <w:sz w:val="20"/>
                <w:szCs w:val="20"/>
                <w:color w:val="auto"/>
              </w:rPr>
            </w:pPr>
            <w:r>
              <w:rPr>
                <w:rFonts w:ascii="Times New Roman" w:cs="Times New Roman" w:eastAsia="Times New Roman" w:hAnsi="Times New Roman"/>
                <w:sz w:val="14"/>
                <w:szCs w:val="14"/>
                <w:b w:val="1"/>
                <w:bCs w:val="1"/>
                <w:color w:val="auto"/>
                <w:w w:val="93"/>
              </w:rPr>
              <w:t>(Dollars in thousands)</w:t>
            </w: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216"/>
        </w:trPr>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58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10,653</w:t>
            </w:r>
          </w:p>
        </w:tc>
        <w:tc>
          <w:tcPr>
            <w:tcW w:w="4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10,660</w:t>
            </w: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(7)</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198"/>
        </w:trPr>
        <w:tc>
          <w:tcPr>
            <w:tcW w:w="30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General and administrative as a % of</w:t>
            </w: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4"/>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revenue</w:t>
            </w: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29 %</w:t>
            </w:r>
          </w:p>
        </w:tc>
        <w:tc>
          <w:tcPr>
            <w:tcW w:w="22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23 %</w:t>
            </w: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r>
    </w:tbl>
    <w:p>
      <w:pPr>
        <w:spacing w:after="0" w:line="196" w:lineRule="exact"/>
        <w:rPr>
          <w:sz w:val="20"/>
          <w:szCs w:val="20"/>
          <w:color w:val="auto"/>
        </w:rPr>
      </w:pPr>
    </w:p>
    <w:p>
      <w:pPr>
        <w:ind w:left="40" w:right="519"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Expenses. </w:t>
      </w:r>
      <w:r>
        <w:rPr>
          <w:rFonts w:ascii="Times New Roman" w:cs="Times New Roman" w:eastAsia="Times New Roman" w:hAnsi="Times New Roman"/>
          <w:sz w:val="18"/>
          <w:szCs w:val="18"/>
          <w:color w:val="auto"/>
        </w:rPr>
        <w:t>General and administrative expenses remained consistent at $10.7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during both the nine months ended September 30, 2023 and 2024.</w:t>
      </w:r>
    </w:p>
    <w:p>
      <w:pPr>
        <w:spacing w:after="0" w:line="167"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30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500" w:type="dxa"/>
            <w:vAlign w:val="bottom"/>
            <w:gridSpan w:val="6"/>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240" w:type="dxa"/>
            <w:vAlign w:val="bottom"/>
            <w:gridSpan w:val="4"/>
          </w:tcPr>
          <w:p>
            <w:pPr>
              <w:ind w:left="32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42"/>
        </w:trPr>
        <w:tc>
          <w:tcPr>
            <w:tcW w:w="30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7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76"/>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2"/>
                <w:szCs w:val="12"/>
                <w:color w:val="auto"/>
              </w:rPr>
            </w:pPr>
          </w:p>
        </w:tc>
        <w:tc>
          <w:tcPr>
            <w:tcW w:w="540" w:type="dxa"/>
            <w:vAlign w:val="bottom"/>
            <w:tcBorders>
              <w:top w:val="single" w:sz="8" w:color="auto"/>
              <w:bottom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Borders>
              <w:top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3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2"/>
                <w:szCs w:val="12"/>
                <w:color w:val="auto"/>
              </w:rPr>
            </w:pPr>
          </w:p>
        </w:tc>
      </w:tr>
      <w:tr>
        <w:trPr>
          <w:trHeight w:val="129"/>
        </w:trPr>
        <w:tc>
          <w:tcPr>
            <w:tcW w:w="30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3"/>
          </w:tcPr>
          <w:p>
            <w:pPr>
              <w:spacing w:after="0" w:line="129" w:lineRule="exact"/>
              <w:rPr>
                <w:sz w:val="20"/>
                <w:szCs w:val="20"/>
                <w:color w:val="auto"/>
              </w:rPr>
            </w:pPr>
            <w:r>
              <w:rPr>
                <w:rFonts w:ascii="Times New Roman" w:cs="Times New Roman" w:eastAsia="Times New Roman" w:hAnsi="Times New Roman"/>
                <w:sz w:val="14"/>
                <w:szCs w:val="14"/>
                <w:b w:val="1"/>
                <w:bCs w:val="1"/>
                <w:color w:val="auto"/>
                <w:w w:val="93"/>
              </w:rPr>
              <w:t>(Dollars in thousands)</w:t>
            </w: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216"/>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52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3,950</w:t>
            </w:r>
          </w:p>
        </w:tc>
        <w:tc>
          <w:tcPr>
            <w:tcW w:w="4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4,018</w:t>
            </w: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(68)</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34"/>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 as a % of revenue</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11 %</w:t>
            </w:r>
          </w:p>
        </w:tc>
        <w:tc>
          <w:tcPr>
            <w:tcW w:w="22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9 %</w:t>
            </w: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r>
    </w:tbl>
    <w:p>
      <w:pPr>
        <w:spacing w:after="0" w:line="177" w:lineRule="exact"/>
        <w:rPr>
          <w:sz w:val="20"/>
          <w:szCs w:val="20"/>
          <w:color w:val="auto"/>
        </w:rPr>
      </w:pPr>
    </w:p>
    <w:p>
      <w:pPr>
        <w:ind w:left="40" w:right="159"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Sales and Marketing Expenses. </w:t>
      </w:r>
      <w:r>
        <w:rPr>
          <w:rFonts w:ascii="Times New Roman" w:cs="Times New Roman" w:eastAsia="Times New Roman" w:hAnsi="Times New Roman"/>
          <w:sz w:val="18"/>
          <w:szCs w:val="18"/>
          <w:color w:val="auto"/>
        </w:rPr>
        <w:t>Sales and marketing expenses decreased by $0.1 million, or 1.7%, from $4.0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during the nine months ended September 30, 2023, to $3.9 million during the nine months ended September 30, 2024. The decrease was primarily due to a decrease in variable compensation costs and contract labor.</w:t>
      </w:r>
    </w:p>
    <w:p>
      <w:pPr>
        <w:spacing w:after="0" w:line="17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6" w:lineRule="exact"/>
        <w:rPr>
          <w:sz w:val="20"/>
          <w:szCs w:val="20"/>
          <w:color w:val="auto"/>
        </w:rPr>
      </w:pPr>
    </w:p>
    <w:tbl>
      <w:tblPr>
        <w:tblLayout w:type="fixed"/>
        <w:tblInd w:w="820" w:type="dxa"/>
        <w:tblCellMar>
          <w:top w:w="0" w:type="dxa"/>
          <w:left w:w="0" w:type="dxa"/>
          <w:bottom w:w="0" w:type="dxa"/>
          <w:right w:w="0" w:type="dxa"/>
        </w:tblCellMar>
      </w:tblPr>
      <w:tr>
        <w:trPr>
          <w:trHeight w:val="161"/>
        </w:trPr>
        <w:tc>
          <w:tcPr>
            <w:tcW w:w="27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700" w:type="dxa"/>
            <w:vAlign w:val="bottom"/>
            <w:gridSpan w:val="6"/>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400" w:type="dxa"/>
            <w:vAlign w:val="bottom"/>
            <w:gridSpan w:val="4"/>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73"/>
        </w:trPr>
        <w:tc>
          <w:tcPr>
            <w:tcW w:w="27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700" w:type="dxa"/>
            <w:vAlign w:val="bottom"/>
            <w:gridSpan w:val="6"/>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0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7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5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79"/>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2"/>
                <w:szCs w:val="12"/>
                <w:color w:val="auto"/>
              </w:rPr>
            </w:pPr>
          </w:p>
        </w:tc>
        <w:tc>
          <w:tcPr>
            <w:tcW w:w="66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580" w:type="dxa"/>
            <w:vAlign w:val="bottom"/>
            <w:tcBorders>
              <w:top w:val="single" w:sz="8" w:color="auto"/>
            </w:tcBorders>
          </w:tcPr>
          <w:p>
            <w:pPr>
              <w:jc w:val="right"/>
              <w:ind w:right="13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72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40" w:type="dxa"/>
            <w:vAlign w:val="bottom"/>
            <w:gridSpan w:val="5"/>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060" w:type="dxa"/>
            <w:vAlign w:val="bottom"/>
            <w:gridSpan w:val="2"/>
            <w:shd w:val="clear" w:color="auto" w:fill="CCEEFF"/>
          </w:tcPr>
          <w:p>
            <w:pPr>
              <w:jc w:val="right"/>
              <w:ind w:right="348"/>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3"/>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(63)</w:t>
            </w: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40" w:right="119" w:firstLine="324"/>
        <w:spacing w:after="0" w:line="261" w:lineRule="auto"/>
        <w:rPr>
          <w:sz w:val="20"/>
          <w:szCs w:val="20"/>
          <w:color w:val="auto"/>
        </w:rPr>
      </w:pPr>
      <w:r>
        <w:rPr>
          <w:rFonts w:ascii="Times New Roman" w:cs="Times New Roman" w:eastAsia="Times New Roman" w:hAnsi="Times New Roman"/>
          <w:sz w:val="18"/>
          <w:szCs w:val="18"/>
          <w:color w:val="auto"/>
        </w:rPr>
        <w:t>Interest expense decreased by $0.1 million, or 100.0%, from $0.1 million during the nine months ended September 30, 2023, to zero during the nine months ended September 30, 2024. The decrease was due to having no outstanding balance under our 2019 Credit Facility that we paid off in full in March 2023, resulting in no interest incurred during the nine months ended September 31, 2024.</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2" w:name="page23"/>
    <w:bookmarkEnd w:id="22"/>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Other Income, Net</w:t>
      </w:r>
    </w:p>
    <w:p>
      <w:pPr>
        <w:spacing w:after="0" w:line="29" w:lineRule="exact"/>
        <w:rPr>
          <w:sz w:val="20"/>
          <w:szCs w:val="20"/>
          <w:color w:val="auto"/>
        </w:rPr>
      </w:pPr>
    </w:p>
    <w:tbl>
      <w:tblPr>
        <w:tblLayout w:type="fixed"/>
        <w:tblInd w:w="940" w:type="dxa"/>
        <w:tblCellMar>
          <w:top w:w="0" w:type="dxa"/>
          <w:left w:w="0" w:type="dxa"/>
          <w:bottom w:w="0" w:type="dxa"/>
          <w:right w:w="0" w:type="dxa"/>
        </w:tblCellMar>
      </w:tblPr>
      <w:tr>
        <w:trPr>
          <w:trHeight w:val="190"/>
        </w:trPr>
        <w:tc>
          <w:tcPr>
            <w:tcW w:w="26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5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188"/>
        </w:trPr>
        <w:tc>
          <w:tcPr>
            <w:tcW w:w="26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5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6"/>
                <w:szCs w:val="16"/>
                <w:color w:val="auto"/>
              </w:rPr>
            </w:pPr>
          </w:p>
        </w:tc>
        <w:tc>
          <w:tcPr>
            <w:tcW w:w="1380" w:type="dxa"/>
            <w:vAlign w:val="bottom"/>
            <w:gridSpan w:val="4"/>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42"/>
        </w:trPr>
        <w:tc>
          <w:tcPr>
            <w:tcW w:w="26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780" w:type="dxa"/>
            <w:vAlign w:val="bottom"/>
            <w:tcBorders>
              <w:top w:val="single" w:sz="8" w:color="auto"/>
            </w:tcBorders>
          </w:tcPr>
          <w:p>
            <w:pPr>
              <w:jc w:val="right"/>
              <w:ind w:right="16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740" w:type="dxa"/>
            <w:vAlign w:val="bottom"/>
            <w:tcBorders>
              <w:top w:val="single" w:sz="8" w:color="auto"/>
            </w:tcBorders>
            <w:gridSpan w:val="2"/>
          </w:tcPr>
          <w:p>
            <w:pPr>
              <w:jc w:val="center"/>
              <w:ind w:left="59"/>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160" w:type="dxa"/>
            <w:vAlign w:val="bottom"/>
          </w:tcPr>
          <w:p>
            <w:pPr>
              <w:spacing w:after="0"/>
              <w:rPr>
                <w:sz w:val="12"/>
                <w:szCs w:val="12"/>
                <w:color w:val="auto"/>
              </w:rPr>
            </w:pPr>
          </w:p>
        </w:tc>
        <w:tc>
          <w:tcPr>
            <w:tcW w:w="760" w:type="dxa"/>
            <w:vAlign w:val="bottom"/>
            <w:tcBorders>
              <w:top w:val="single" w:sz="8" w:color="auto"/>
            </w:tcBorders>
            <w:gridSpan w:val="2"/>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420" w:type="dxa"/>
            <w:vAlign w:val="bottom"/>
            <w:tcBorders>
              <w:top w:val="single" w:sz="8" w:color="auto"/>
            </w:tcBorders>
          </w:tcPr>
          <w:p>
            <w:pPr>
              <w:jc w:val="right"/>
              <w:ind w:right="5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2"/>
                <w:szCs w:val="12"/>
                <w:color w:val="auto"/>
              </w:rPr>
            </w:pPr>
          </w:p>
        </w:tc>
      </w:tr>
      <w:tr>
        <w:trPr>
          <w:trHeight w:val="128"/>
        </w:trPr>
        <w:tc>
          <w:tcPr>
            <w:tcW w:w="268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w w:val="91"/>
              </w:rPr>
              <w:t>(Dollars in</w:t>
            </w:r>
          </w:p>
        </w:tc>
        <w:tc>
          <w:tcPr>
            <w:tcW w:w="160" w:type="dxa"/>
            <w:vAlign w:val="bottom"/>
          </w:tcPr>
          <w:p>
            <w:pPr>
              <w:spacing w:after="0"/>
              <w:rPr>
                <w:sz w:val="11"/>
                <w:szCs w:val="11"/>
                <w:color w:val="auto"/>
              </w:rPr>
            </w:pPr>
          </w:p>
        </w:tc>
        <w:tc>
          <w:tcPr>
            <w:tcW w:w="60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w w:val="79"/>
              </w:rPr>
              <w:t>thousands)</w:t>
            </w:r>
          </w:p>
        </w:tc>
        <w:tc>
          <w:tcPr>
            <w:tcW w:w="160" w:type="dxa"/>
            <w:vAlign w:val="bottom"/>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r>
      <w:tr>
        <w:trPr>
          <w:trHeight w:val="216"/>
        </w:trPr>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2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5,187</w:t>
            </w:r>
          </w:p>
        </w:tc>
        <w:tc>
          <w:tcPr>
            <w:tcW w:w="740" w:type="dxa"/>
            <w:vAlign w:val="bottom"/>
            <w:gridSpan w:val="2"/>
            <w:shd w:val="clear" w:color="auto" w:fill="CCEEFF"/>
          </w:tcPr>
          <w:p>
            <w:pPr>
              <w:jc w:val="center"/>
              <w:ind w:left="19"/>
              <w:spacing w:after="0"/>
              <w:rPr>
                <w:sz w:val="20"/>
                <w:szCs w:val="20"/>
                <w:color w:val="auto"/>
              </w:rPr>
            </w:pPr>
            <w:r>
              <w:rPr>
                <w:rFonts w:ascii="Times New Roman" w:cs="Times New Roman" w:eastAsia="Times New Roman" w:hAnsi="Times New Roman"/>
                <w:sz w:val="18"/>
                <w:szCs w:val="18"/>
                <w:color w:val="auto"/>
              </w:rPr>
              <w:t>$ 2,849</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$ 2,338</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82.1 %</w:t>
            </w:r>
          </w:p>
        </w:tc>
      </w:tr>
    </w:tbl>
    <w:p>
      <w:pPr>
        <w:spacing w:after="0" w:line="198" w:lineRule="exact"/>
        <w:rPr>
          <w:sz w:val="20"/>
          <w:szCs w:val="20"/>
          <w:color w:val="auto"/>
        </w:rPr>
      </w:pPr>
    </w:p>
    <w:p>
      <w:pPr>
        <w:ind w:left="40" w:right="99" w:firstLine="324"/>
        <w:spacing w:after="0" w:line="261" w:lineRule="auto"/>
        <w:rPr>
          <w:sz w:val="20"/>
          <w:szCs w:val="20"/>
          <w:color w:val="auto"/>
        </w:rPr>
      </w:pPr>
      <w:r>
        <w:rPr>
          <w:rFonts w:ascii="Times New Roman" w:cs="Times New Roman" w:eastAsia="Times New Roman" w:hAnsi="Times New Roman"/>
          <w:sz w:val="18"/>
          <w:szCs w:val="18"/>
          <w:color w:val="auto"/>
        </w:rPr>
        <w:t>Other income, net increased by $2.3 million, or 82.1%, from $2.8 million during the nine months ended September 30, 2023, to $5.2 million during the nine months ended September 30, 2024. The increase was primarily due to $4.0 million recorded as other income on the condensed statements of operations and comprehensive (loss) income partially offset by the employee retention tax credit of $2.0 million recorded during the nine months ended September 30, 2023.</w:t>
      </w:r>
    </w:p>
    <w:p>
      <w:pPr>
        <w:spacing w:after="0" w:line="17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left="40" w:right="119" w:firstLine="324"/>
        <w:spacing w:after="0" w:line="256" w:lineRule="auto"/>
        <w:rPr>
          <w:sz w:val="20"/>
          <w:szCs w:val="20"/>
          <w:color w:val="auto"/>
        </w:rPr>
      </w:pPr>
      <w:r>
        <w:rPr>
          <w:rFonts w:ascii="Times New Roman" w:cs="Times New Roman" w:eastAsia="Times New Roman" w:hAnsi="Times New Roman"/>
          <w:sz w:val="18"/>
          <w:szCs w:val="18"/>
          <w:color w:val="auto"/>
        </w:rPr>
        <w:t>As of September 30, 2024, we had $39.6 million of cash and cash equivalents, compared to $36.9 million as of December 31, 2023. As of September 30, 2024, we have no outstanding debt as we paid off our 2019 Credit Facility in full in March 2023. We believe our cash and cash equivalents are sufficient to meet our anticipated capital requirements in the next 12 months. Our future capital requirements will depend on many factors, including, among other things, our growth rate, the timing and extent of our spending to support research and development activities, the timing and cost of establishing additional sales and marketing capabilities, and the introduction of new products.</w:t>
      </w:r>
    </w:p>
    <w:p>
      <w:pPr>
        <w:spacing w:after="0" w:line="18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indicated (in thousands):</w:t>
      </w:r>
    </w:p>
    <w:p>
      <w:pPr>
        <w:spacing w:after="0" w:line="232"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4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2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42"/>
        </w:trPr>
        <w:tc>
          <w:tcPr>
            <w:tcW w:w="4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7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7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2"/>
                <w:szCs w:val="12"/>
                <w:color w:val="auto"/>
              </w:rPr>
            </w:pPr>
          </w:p>
        </w:tc>
      </w:tr>
      <w:tr>
        <w:trPr>
          <w:trHeight w:val="129"/>
        </w:trPr>
        <w:tc>
          <w:tcPr>
            <w:tcW w:w="4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960" w:type="dxa"/>
            <w:vAlign w:val="bottom"/>
            <w:gridSpan w:val="4"/>
          </w:tcPr>
          <w:p>
            <w:pPr>
              <w:jc w:val="right"/>
              <w:ind w:right="555"/>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0" w:type="dxa"/>
            <w:vAlign w:val="bottom"/>
          </w:tcPr>
          <w:p>
            <w:pPr>
              <w:spacing w:after="0"/>
              <w:rPr>
                <w:sz w:val="11"/>
                <w:szCs w:val="11"/>
                <w:color w:val="auto"/>
              </w:rPr>
            </w:pPr>
          </w:p>
        </w:tc>
      </w:tr>
      <w:tr>
        <w:trPr>
          <w:trHeight w:val="216"/>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provided by operating activities</w:t>
            </w:r>
          </w:p>
        </w:tc>
        <w:tc>
          <w:tcPr>
            <w:tcW w:w="102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3,266</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11,086</w:t>
            </w:r>
          </w:p>
        </w:tc>
        <w:tc>
          <w:tcPr>
            <w:tcW w:w="20" w:type="dxa"/>
            <w:vAlign w:val="bottom"/>
          </w:tcPr>
          <w:p>
            <w:pPr>
              <w:spacing w:after="0"/>
              <w:rPr>
                <w:sz w:val="18"/>
                <w:szCs w:val="18"/>
                <w:color w:val="auto"/>
              </w:rPr>
            </w:pP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Cash used in investing activities</w:t>
            </w: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(1,302)</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(1,065)</w:t>
            </w:r>
          </w:p>
        </w:tc>
        <w:tc>
          <w:tcPr>
            <w:tcW w:w="20" w:type="dxa"/>
            <w:vAlign w:val="bottom"/>
          </w:tcPr>
          <w:p>
            <w:pPr>
              <w:spacing w:after="0"/>
              <w:rPr>
                <w:sz w:val="18"/>
                <w:szCs w:val="18"/>
                <w:color w:val="auto"/>
              </w:rPr>
            </w:pPr>
          </w:p>
        </w:tc>
      </w:tr>
      <w:tr>
        <w:trPr>
          <w:trHeight w:val="216"/>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provided by (used in) financing activities</w:t>
            </w: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(1,882)</w:t>
            </w:r>
          </w:p>
        </w:tc>
        <w:tc>
          <w:tcPr>
            <w:tcW w:w="20" w:type="dxa"/>
            <w:vAlign w:val="bottom"/>
          </w:tcPr>
          <w:p>
            <w:pPr>
              <w:spacing w:after="0"/>
              <w:rPr>
                <w:sz w:val="18"/>
                <w:szCs w:val="18"/>
                <w:color w:val="auto"/>
              </w:rPr>
            </w:pPr>
          </w:p>
        </w:tc>
      </w:tr>
    </w:tbl>
    <w:p>
      <w:pPr>
        <w:spacing w:after="0" w:line="19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Operating Activities</w:t>
      </w:r>
    </w:p>
    <w:p>
      <w:pPr>
        <w:spacing w:after="0" w:line="229" w:lineRule="exact"/>
        <w:rPr>
          <w:sz w:val="20"/>
          <w:szCs w:val="20"/>
          <w:color w:val="auto"/>
        </w:rPr>
      </w:pPr>
    </w:p>
    <w:p>
      <w:pPr>
        <w:ind w:left="40" w:right="159" w:firstLine="324"/>
        <w:spacing w:after="0" w:line="255" w:lineRule="auto"/>
        <w:rPr>
          <w:sz w:val="20"/>
          <w:szCs w:val="20"/>
          <w:color w:val="auto"/>
        </w:rPr>
      </w:pPr>
      <w:r>
        <w:rPr>
          <w:rFonts w:ascii="Times New Roman" w:cs="Times New Roman" w:eastAsia="Times New Roman" w:hAnsi="Times New Roman"/>
          <w:sz w:val="18"/>
          <w:szCs w:val="18"/>
          <w:color w:val="auto"/>
        </w:rPr>
        <w:t>During the nine months ended September 30, 2024, cash provided by operating activities was $3.3 million, which consisted of net loss of $0.4 million, non-cash charges of $6.3 million and changes of net operating assets and liabilities of $2.6 million. The non-cash charges primarily consisted of stock-based compensation of $5.1 million, depreciation and amortization of $1.2 million. The change in our net operating assets and liabilities was primarily due to an increase in accounts payable of $0.2 million, an increase in contract obligations of $3.0 million, an increase in prepaid and other current assets of $3.6 million, a decrease in accounts receivable of $0.1 million due to timing of cash receipts for outstanding balances, and a decrease in accrued liabilities of $2.2 million.</w:t>
      </w:r>
    </w:p>
    <w:p>
      <w:pPr>
        <w:spacing w:after="0" w:line="189" w:lineRule="exact"/>
        <w:rPr>
          <w:sz w:val="20"/>
          <w:szCs w:val="20"/>
          <w:color w:val="auto"/>
        </w:rPr>
      </w:pPr>
    </w:p>
    <w:p>
      <w:pPr>
        <w:ind w:left="40" w:right="99" w:firstLine="324"/>
        <w:spacing w:after="0" w:line="254" w:lineRule="auto"/>
        <w:rPr>
          <w:sz w:val="20"/>
          <w:szCs w:val="20"/>
          <w:color w:val="auto"/>
        </w:rPr>
      </w:pPr>
      <w:r>
        <w:rPr>
          <w:rFonts w:ascii="Times New Roman" w:cs="Times New Roman" w:eastAsia="Times New Roman" w:hAnsi="Times New Roman"/>
          <w:sz w:val="18"/>
          <w:szCs w:val="18"/>
          <w:color w:val="auto"/>
        </w:rPr>
        <w:t>During the nine months ended September 30, 2023, cash provided by operating activities was $11.1 million, which consisted of net income of $7.1 million, non-cash charges of $4.8 million and changes of net operating assets and liabilities of $0.8 million. The non-cash charges primarily consisted of stock-based compensation of $3.7 million, depreciation and amortization of $0.9 million, and a loss on prepayment and termination of our 2019 Credit Facility of $0.2 million. The change in our net operating assets and liabilities was primarily due to a decrease in accounts receivable of $0.6 million due to timing of cash receipts for outstanding balances, an increase in inventory of $2.0 million to meet anticipated production volumes, a decrease in prepaid and other current assets of $0.4 million, an increase in accounts payable of $0.6 million, a decrease in accrued liabilities of $0.1 million, and a decrease in deferred revenue of $0.3 million.</w:t>
      </w:r>
    </w:p>
    <w:p>
      <w:pPr>
        <w:spacing w:after="0" w:line="1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Investing Activities</w:t>
      </w:r>
    </w:p>
    <w:p>
      <w:pPr>
        <w:spacing w:after="0" w:line="229" w:lineRule="exact"/>
        <w:rPr>
          <w:sz w:val="20"/>
          <w:szCs w:val="20"/>
          <w:color w:val="auto"/>
        </w:rPr>
      </w:pPr>
    </w:p>
    <w:p>
      <w:pPr>
        <w:ind w:left="40" w:right="199" w:firstLine="324"/>
        <w:spacing w:after="0" w:line="282" w:lineRule="auto"/>
        <w:rPr>
          <w:sz w:val="20"/>
          <w:szCs w:val="20"/>
          <w:color w:val="auto"/>
        </w:rPr>
      </w:pPr>
      <w:r>
        <w:rPr>
          <w:rFonts w:ascii="Times New Roman" w:cs="Times New Roman" w:eastAsia="Times New Roman" w:hAnsi="Times New Roman"/>
          <w:sz w:val="18"/>
          <w:szCs w:val="18"/>
          <w:color w:val="auto"/>
        </w:rPr>
        <w:t>Cash used in investing activities during the nine months ended September 30, 2024 was $1.3 million for the purchase of manufacturing equipment.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3" w:name="page24"/>
    <w:bookmarkEnd w:id="23"/>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0" w:right="179" w:firstLine="324"/>
        <w:spacing w:after="0" w:line="282" w:lineRule="auto"/>
        <w:rPr>
          <w:sz w:val="20"/>
          <w:szCs w:val="20"/>
          <w:color w:val="auto"/>
        </w:rPr>
      </w:pPr>
      <w:r>
        <w:rPr>
          <w:rFonts w:ascii="Times New Roman" w:cs="Times New Roman" w:eastAsia="Times New Roman" w:hAnsi="Times New Roman"/>
          <w:sz w:val="18"/>
          <w:szCs w:val="18"/>
          <w:color w:val="auto"/>
        </w:rPr>
        <w:t>Cash used in investing activities during the nine months ended September 30, 2023 was $1.1 million primarily for the purchase of manufacturing.</w:t>
      </w:r>
    </w:p>
    <w:p>
      <w:pPr>
        <w:spacing w:after="0" w:line="1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Financing Activities</w:t>
      </w:r>
    </w:p>
    <w:p>
      <w:pPr>
        <w:spacing w:after="0" w:line="229" w:lineRule="exact"/>
        <w:rPr>
          <w:sz w:val="20"/>
          <w:szCs w:val="20"/>
          <w:color w:val="auto"/>
        </w:rPr>
      </w:pPr>
    </w:p>
    <w:p>
      <w:pPr>
        <w:jc w:val="both"/>
        <w:ind w:left="40" w:right="179" w:firstLine="324"/>
        <w:spacing w:after="0" w:line="312" w:lineRule="auto"/>
        <w:rPr>
          <w:sz w:val="20"/>
          <w:szCs w:val="20"/>
          <w:color w:val="auto"/>
        </w:rPr>
      </w:pPr>
      <w:r>
        <w:rPr>
          <w:rFonts w:ascii="Times New Roman" w:cs="Times New Roman" w:eastAsia="Times New Roman" w:hAnsi="Times New Roman"/>
          <w:sz w:val="17"/>
          <w:szCs w:val="17"/>
          <w:color w:val="auto"/>
        </w:rPr>
        <w:t>Cash provided by financing activities during the nine months ended September 30, 2024, was $0.7 million, consisting of proceeds from the exercise of employee stock options and purchase of shares under our employee stock purchase plan.</w:t>
      </w:r>
    </w:p>
    <w:p>
      <w:pPr>
        <w:spacing w:after="0" w:line="140" w:lineRule="exact"/>
        <w:rPr>
          <w:sz w:val="20"/>
          <w:szCs w:val="20"/>
          <w:color w:val="auto"/>
        </w:rPr>
      </w:pPr>
    </w:p>
    <w:p>
      <w:pPr>
        <w:ind w:left="40" w:right="99" w:firstLine="324"/>
        <w:spacing w:after="0" w:line="266" w:lineRule="auto"/>
        <w:rPr>
          <w:sz w:val="20"/>
          <w:szCs w:val="20"/>
          <w:color w:val="auto"/>
        </w:rPr>
      </w:pPr>
      <w:r>
        <w:rPr>
          <w:rFonts w:ascii="Times New Roman" w:cs="Times New Roman" w:eastAsia="Times New Roman" w:hAnsi="Times New Roman"/>
          <w:sz w:val="18"/>
          <w:szCs w:val="18"/>
          <w:color w:val="auto"/>
        </w:rPr>
        <w:t>Cash used in financing activities during the nine months ended September 30, 2023, was $1.9 million, consisting mainly of $2.8 million of payments to pay off our 2019 Credit Facility, offset by $0.9 million in proceeds from the exercise of employee stock options and purchase of shares under our employee stock purchase plan.</w:t>
      </w:r>
    </w:p>
    <w:p>
      <w:pPr>
        <w:spacing w:after="0" w:line="1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Judgements and Estimates</w:t>
      </w:r>
    </w:p>
    <w:p>
      <w:pPr>
        <w:spacing w:after="0" w:line="229" w:lineRule="exact"/>
        <w:rPr>
          <w:sz w:val="20"/>
          <w:szCs w:val="20"/>
          <w:color w:val="auto"/>
        </w:rPr>
      </w:pPr>
    </w:p>
    <w:p>
      <w:pPr>
        <w:ind w:left="40" w:right="79" w:firstLine="324"/>
        <w:spacing w:after="0" w:line="255" w:lineRule="auto"/>
        <w:rPr>
          <w:sz w:val="20"/>
          <w:szCs w:val="20"/>
          <w:color w:val="auto"/>
        </w:rPr>
      </w:pPr>
      <w:r>
        <w:rPr>
          <w:rFonts w:ascii="Times New Roman" w:cs="Times New Roman" w:eastAsia="Times New Roman" w:hAnsi="Times New Roman"/>
          <w:sz w:val="18"/>
          <w:szCs w:val="18"/>
          <w:color w:val="auto"/>
        </w:rPr>
        <w:t>Our condensed financial statements have been prepared in accordance with GAAP. The preparation of these condensed financial statements requires us to make estimates and assumptions that affect the reported amounts of assets and liabilities and the disclosure of contingent assets and liabilities at the date of the financial statements, as well as the reported revenue generated, and expenses incurred during the reporting periods. We base our estimates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89" w:lineRule="exact"/>
        <w:rPr>
          <w:sz w:val="20"/>
          <w:szCs w:val="20"/>
          <w:color w:val="auto"/>
        </w:rPr>
      </w:pPr>
    </w:p>
    <w:p>
      <w:pPr>
        <w:jc w:val="both"/>
        <w:ind w:left="40" w:right="179" w:firstLine="324"/>
        <w:spacing w:after="0" w:line="266" w:lineRule="auto"/>
        <w:rPr>
          <w:sz w:val="20"/>
          <w:szCs w:val="20"/>
          <w:color w:val="auto"/>
        </w:rPr>
      </w:pPr>
      <w:r>
        <w:rPr>
          <w:rFonts w:ascii="Times New Roman" w:cs="Times New Roman" w:eastAsia="Times New Roman" w:hAnsi="Times New Roman"/>
          <w:sz w:val="18"/>
          <w:szCs w:val="18"/>
          <w:color w:val="auto"/>
        </w:rPr>
        <w:t>There have been no changes to our critical accounting policies and estimates described in the Annual Report on Form 10-K for the year ended December 31, 2023, filed with the SEC on February 29, 2024, that have had a material impact on our condensed financial statements and related notes.</w:t>
      </w:r>
    </w:p>
    <w:p>
      <w:pPr>
        <w:spacing w:after="0" w:line="1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Not required for a smaller reporting company.</w:t>
      </w:r>
    </w:p>
    <w:p>
      <w:pPr>
        <w:spacing w:after="0" w:line="2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227" w:lineRule="exact"/>
        <w:rPr>
          <w:sz w:val="20"/>
          <w:szCs w:val="20"/>
          <w:color w:val="auto"/>
        </w:rPr>
      </w:pPr>
    </w:p>
    <w:p>
      <w:pPr>
        <w:ind w:left="40" w:right="119" w:firstLine="324"/>
        <w:spacing w:after="0" w:line="261" w:lineRule="auto"/>
        <w:rPr>
          <w:sz w:val="20"/>
          <w:szCs w:val="20"/>
          <w:color w:val="auto"/>
        </w:rPr>
      </w:pPr>
      <w:r>
        <w:rPr>
          <w:rFonts w:ascii="Times New Roman" w:cs="Times New Roman" w:eastAsia="Times New Roman" w:hAnsi="Times New Roman"/>
          <w:sz w:val="18"/>
          <w:szCs w:val="18"/>
          <w:color w:val="auto"/>
        </w:rPr>
        <w:t>Our management, including our Chief Executive Officer (CEO) and Chief Financial Officer (CFO), evaluated the effectiveness of the design and operation of our disclosure controls and procedures (as defined in Rules 13a-15(e) and 15d-15(e) under the Exchange Act), as of September 30, 2024, the end of the period covered by this Quarterly Report on Form 10-Q.</w:t>
      </w:r>
    </w:p>
    <w:p>
      <w:pPr>
        <w:spacing w:after="0" w:line="180" w:lineRule="exact"/>
        <w:rPr>
          <w:sz w:val="20"/>
          <w:szCs w:val="20"/>
          <w:color w:val="auto"/>
        </w:rPr>
      </w:pPr>
    </w:p>
    <w:p>
      <w:pPr>
        <w:ind w:left="40" w:right="299" w:firstLine="324"/>
        <w:spacing w:after="0" w:line="282" w:lineRule="auto"/>
        <w:rPr>
          <w:sz w:val="20"/>
          <w:szCs w:val="20"/>
          <w:color w:val="auto"/>
        </w:rPr>
      </w:pPr>
      <w:r>
        <w:rPr>
          <w:rFonts w:ascii="Times New Roman" w:cs="Times New Roman" w:eastAsia="Times New Roman" w:hAnsi="Times New Roman"/>
          <w:sz w:val="18"/>
          <w:szCs w:val="18"/>
          <w:color w:val="auto"/>
        </w:rPr>
        <w:t>Based on this evaluation, our CEO and CFO concluded that our disclosure controls and procedures were effective at the reasonable assurance level as of September 30, 2024.</w:t>
      </w:r>
    </w:p>
    <w:p>
      <w:pPr>
        <w:spacing w:after="0" w:line="162" w:lineRule="exact"/>
        <w:rPr>
          <w:sz w:val="20"/>
          <w:szCs w:val="20"/>
          <w:color w:val="auto"/>
        </w:rPr>
      </w:pPr>
    </w:p>
    <w:p>
      <w:pPr>
        <w:ind w:left="40" w:right="299" w:firstLine="401"/>
        <w:spacing w:after="0" w:line="266"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that occurred during the nine months ended September 30, 2024 that materially affected, or are reasonably likely to materially affect, our internal control over financial reporting.</w:t>
      </w:r>
    </w:p>
    <w:p>
      <w:pPr>
        <w:spacing w:after="0" w:line="17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Inherent limitation on the effectiveness of internal control.</w:t>
      </w:r>
    </w:p>
    <w:p>
      <w:pPr>
        <w:spacing w:after="0" w:line="227" w:lineRule="exact"/>
        <w:rPr>
          <w:sz w:val="20"/>
          <w:szCs w:val="20"/>
          <w:color w:val="auto"/>
        </w:rPr>
      </w:pPr>
    </w:p>
    <w:p>
      <w:pPr>
        <w:ind w:left="40" w:right="59" w:firstLine="401"/>
        <w:spacing w:after="0" w:line="255" w:lineRule="auto"/>
        <w:rPr>
          <w:sz w:val="20"/>
          <w:szCs w:val="20"/>
          <w:color w:val="auto"/>
        </w:rPr>
      </w:pPr>
      <w:r>
        <w:rPr>
          <w:rFonts w:ascii="Times New Roman" w:cs="Times New Roman" w:eastAsia="Times New Roman" w:hAnsi="Times New Roman"/>
          <w:sz w:val="18"/>
          <w:szCs w:val="18"/>
          <w:color w:val="auto"/>
        </w:rPr>
        <w:t>The effectiveness of any system of internal control over financial reporting, including ours, is subject to inherent limitations, including the exercise of judgment in designing, implementing, operating, and evaluating the controls and procedures, and the inability to eliminate misconduct completely. Accordingly, any system of internal control over financial reporting, including ours, no matter how well designed and operated, can only provide reasonable, not absolute assurances. In addition, projections of any evaluation of effectiveness to future periods are subject to the risk that controls may become inadequate because of changes in conditions, or that the degree of compliance with the policies or procedures may deteriorate. We intend to continue to monitor and upgrade our internal controls as necessary or</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4" w:name="page25"/>
    <w:bookmarkEnd w:id="24"/>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0" w:right="259"/>
        <w:spacing w:after="0" w:line="282" w:lineRule="auto"/>
        <w:rPr>
          <w:sz w:val="20"/>
          <w:szCs w:val="20"/>
          <w:color w:val="auto"/>
        </w:rPr>
      </w:pPr>
      <w:r>
        <w:rPr>
          <w:rFonts w:ascii="Times New Roman" w:cs="Times New Roman" w:eastAsia="Times New Roman" w:hAnsi="Times New Roman"/>
          <w:sz w:val="18"/>
          <w:szCs w:val="18"/>
          <w:color w:val="auto"/>
        </w:rPr>
        <w:t>appropriate for our business, but cannot assure you that such improvements will be sufficient to provide us with effective internal control over financial reporting.</w:t>
      </w:r>
    </w:p>
    <w:p>
      <w:pPr>
        <w:spacing w:after="0" w:line="1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left="40" w:right="99" w:firstLine="324"/>
        <w:spacing w:after="0" w:line="282" w:lineRule="auto"/>
        <w:rPr>
          <w:sz w:val="20"/>
          <w:szCs w:val="20"/>
          <w:color w:val="auto"/>
        </w:rPr>
      </w:pPr>
      <w:r>
        <w:rPr>
          <w:rFonts w:ascii="Times New Roman" w:cs="Times New Roman" w:eastAsia="Times New Roman" w:hAnsi="Times New Roman"/>
          <w:sz w:val="18"/>
          <w:szCs w:val="18"/>
          <w:color w:val="auto"/>
        </w:rPr>
        <w:t>We are not party to any material legal proceedings at this time. From time to time, we may become involved in various legal proceedings that arise in the ordinary course of our business.</w:t>
      </w:r>
    </w:p>
    <w:p>
      <w:pPr>
        <w:spacing w:after="0" w:line="1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ind w:left="40" w:right="179"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are important factors that could cause actual results or events to differ materially from those contained in any forward-looking statements made by us or on our behalf. The risks and uncertainties described below are not the only ones we face. Additional risks and uncertainties not presently known to us or that we deem immaterial also may impair our business operations. If any of the following risks or such other risks actually occurs, our business, financial condition, results of operations and cash flows could be harmed.</w:t>
      </w:r>
    </w:p>
    <w:p>
      <w:pPr>
        <w:spacing w:after="0" w:line="1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3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40" w:right="119" w:firstLine="324"/>
        <w:spacing w:after="0" w:line="253" w:lineRule="auto"/>
        <w:rPr>
          <w:sz w:val="20"/>
          <w:szCs w:val="20"/>
          <w:color w:val="auto"/>
        </w:rPr>
      </w:pPr>
      <w:r>
        <w:rPr>
          <w:rFonts w:ascii="Times New Roman" w:cs="Times New Roman" w:eastAsia="Times New Roman" w:hAnsi="Times New Roman"/>
          <w:sz w:val="18"/>
          <w:szCs w:val="18"/>
          <w:color w:val="auto"/>
        </w:rPr>
        <w:t>We are subject to a variety of risks and uncertainties, including risks related to our financial condition, risks related to our business and our industry, risks related to our intellectual property and technology, risks related to regulatory matters and compliance, risks related to our common stock and certain general risks, which could have a material adverse effect on our business, financial condition, results of operations and cash flows. These risks include, but are not limited to, the following principal risks:</w:t>
      </w:r>
    </w:p>
    <w:p>
      <w:pPr>
        <w:spacing w:after="0" w:line="187" w:lineRule="exact"/>
        <w:rPr>
          <w:sz w:val="20"/>
          <w:szCs w:val="20"/>
          <w:color w:val="auto"/>
        </w:rPr>
      </w:pPr>
    </w:p>
    <w:p>
      <w:pPr>
        <w:ind w:left="1040" w:right="379" w:hanging="645"/>
        <w:spacing w:after="0" w:line="282" w:lineRule="auto"/>
        <w:tabs>
          <w:tab w:leader="none" w:pos="10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need additional funding and may be unable to raise capital when needed, which could force us to delay, reduce, or eliminate planned activities.</w:t>
      </w:r>
    </w:p>
    <w:p>
      <w:pPr>
        <w:spacing w:after="0" w:line="53" w:lineRule="exact"/>
        <w:rPr>
          <w:rFonts w:ascii="Times New Roman" w:cs="Times New Roman" w:eastAsia="Times New Roman" w:hAnsi="Times New Roman"/>
          <w:sz w:val="18"/>
          <w:szCs w:val="18"/>
          <w:color w:val="auto"/>
        </w:rPr>
      </w:pPr>
    </w:p>
    <w:p>
      <w:pPr>
        <w:ind w:left="1040" w:hanging="645"/>
        <w:spacing w:after="0"/>
        <w:tabs>
          <w:tab w:leader="none" w:pos="10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cannot be certain that we will sustain profitability.</w:t>
      </w:r>
    </w:p>
    <w:p>
      <w:pPr>
        <w:spacing w:after="0" w:line="117" w:lineRule="exact"/>
        <w:rPr>
          <w:rFonts w:ascii="Times New Roman" w:cs="Times New Roman" w:eastAsia="Times New Roman" w:hAnsi="Times New Roman"/>
          <w:sz w:val="18"/>
          <w:szCs w:val="18"/>
          <w:color w:val="auto"/>
        </w:rPr>
      </w:pPr>
    </w:p>
    <w:p>
      <w:pPr>
        <w:ind w:left="1040" w:right="379" w:hanging="645"/>
        <w:spacing w:after="0" w:line="282" w:lineRule="auto"/>
        <w:tabs>
          <w:tab w:leader="none" w:pos="10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limited history of STT-MRAM adoption makes it difficult to evaluate our current business and future prospects.</w:t>
      </w:r>
    </w:p>
    <w:p>
      <w:pPr>
        <w:spacing w:after="0" w:line="53" w:lineRule="exact"/>
        <w:rPr>
          <w:rFonts w:ascii="Times New Roman" w:cs="Times New Roman" w:eastAsia="Times New Roman" w:hAnsi="Times New Roman"/>
          <w:sz w:val="18"/>
          <w:szCs w:val="18"/>
          <w:color w:val="auto"/>
        </w:rPr>
      </w:pPr>
    </w:p>
    <w:p>
      <w:pPr>
        <w:ind w:left="1040" w:right="139" w:hanging="645"/>
        <w:spacing w:after="0" w:line="261" w:lineRule="auto"/>
        <w:tabs>
          <w:tab w:leader="none" w:pos="10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match production with customer demand for a variety of reasons including macroeconomic factors due to the cyclical nature of the semiconductor industry, our inability to accurately forecast customer demand, supply chain constraints, or the capacity constraints of our suppliers, which could adversely affect our operating results.</w:t>
      </w:r>
    </w:p>
    <w:p>
      <w:pPr>
        <w:spacing w:after="0" w:line="71" w:lineRule="exact"/>
        <w:rPr>
          <w:rFonts w:ascii="Times New Roman" w:cs="Times New Roman" w:eastAsia="Times New Roman" w:hAnsi="Times New Roman"/>
          <w:sz w:val="18"/>
          <w:szCs w:val="18"/>
          <w:color w:val="auto"/>
        </w:rPr>
      </w:pPr>
    </w:p>
    <w:p>
      <w:pPr>
        <w:ind w:left="1040" w:right="639" w:hanging="645"/>
        <w:spacing w:after="0" w:line="266" w:lineRule="auto"/>
        <w:tabs>
          <w:tab w:leader="none" w:pos="10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we expand into new potential markets, we expect to face intense competition, including from our customers and potential customers, and may not be able to compete effectively, which could harm our business.</w:t>
      </w:r>
    </w:p>
    <w:p>
      <w:pPr>
        <w:spacing w:after="0" w:line="67" w:lineRule="exact"/>
        <w:rPr>
          <w:rFonts w:ascii="Times New Roman" w:cs="Times New Roman" w:eastAsia="Times New Roman" w:hAnsi="Times New Roman"/>
          <w:sz w:val="18"/>
          <w:szCs w:val="18"/>
          <w:color w:val="auto"/>
        </w:rPr>
      </w:pPr>
    </w:p>
    <w:p>
      <w:pPr>
        <w:ind w:left="1020" w:right="79" w:hanging="652"/>
        <w:spacing w:after="0" w:line="266"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third parties to distribute, manufacture, package, assemble and test our products, which exposes us to a number of risks, including reduced control over manufacturing and delivery timing and potential exposure to price fluctuations, which could result in a loss of revenue or reduced profitability.</w:t>
      </w:r>
    </w:p>
    <w:p>
      <w:pPr>
        <w:spacing w:after="0" w:line="67" w:lineRule="exact"/>
        <w:rPr>
          <w:rFonts w:ascii="Times New Roman" w:cs="Times New Roman" w:eastAsia="Times New Roman" w:hAnsi="Times New Roman"/>
          <w:sz w:val="18"/>
          <w:szCs w:val="18"/>
          <w:color w:val="auto"/>
        </w:rPr>
      </w:pPr>
    </w:p>
    <w:p>
      <w:pPr>
        <w:ind w:left="1040" w:right="99" w:hanging="645"/>
        <w:spacing w:after="0" w:line="282" w:lineRule="auto"/>
        <w:tabs>
          <w:tab w:leader="none" w:pos="10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in our supply chain and increased cost of components used in our products may adversely impact our business, results of operations and financial condition, including our ability to fulfill customer demand.</w:t>
      </w:r>
    </w:p>
    <w:p>
      <w:pPr>
        <w:spacing w:after="0" w:line="53" w:lineRule="exact"/>
        <w:rPr>
          <w:rFonts w:ascii="Times New Roman" w:cs="Times New Roman" w:eastAsia="Times New Roman" w:hAnsi="Times New Roman"/>
          <w:sz w:val="18"/>
          <w:szCs w:val="18"/>
          <w:color w:val="auto"/>
        </w:rPr>
      </w:pPr>
    </w:p>
    <w:p>
      <w:pPr>
        <w:ind w:left="1040" w:hanging="645"/>
        <w:spacing w:after="0"/>
        <w:tabs>
          <w:tab w:leader="none" w:pos="10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joint development agreement and strategic relationships involve numerous risks.</w:t>
      </w:r>
    </w:p>
    <w:p>
      <w:pPr>
        <w:spacing w:after="0" w:line="117" w:lineRule="exact"/>
        <w:rPr>
          <w:rFonts w:ascii="Times New Roman" w:cs="Times New Roman" w:eastAsia="Times New Roman" w:hAnsi="Times New Roman"/>
          <w:sz w:val="18"/>
          <w:szCs w:val="18"/>
          <w:color w:val="auto"/>
        </w:rPr>
      </w:pPr>
    </w:p>
    <w:p>
      <w:pPr>
        <w:ind w:left="1040" w:right="139" w:hanging="645"/>
        <w:spacing w:after="0" w:line="266" w:lineRule="auto"/>
        <w:tabs>
          <w:tab w:leader="none" w:pos="10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continuously develop new and enhanced products, and if we are unable to successfully market our new and enhanced products for which we incur significant expenses to develop, our results of operations and financial condition will be materially adversely affected.</w:t>
      </w:r>
    </w:p>
    <w:p>
      <w:pPr>
        <w:spacing w:after="0" w:line="67" w:lineRule="exact"/>
        <w:rPr>
          <w:rFonts w:ascii="Times New Roman" w:cs="Times New Roman" w:eastAsia="Times New Roman" w:hAnsi="Times New Roman"/>
          <w:sz w:val="18"/>
          <w:szCs w:val="18"/>
          <w:color w:val="auto"/>
        </w:rPr>
      </w:pPr>
    </w:p>
    <w:p>
      <w:pPr>
        <w:ind w:left="1040" w:right="219" w:hanging="645"/>
        <w:spacing w:after="0" w:line="261" w:lineRule="auto"/>
        <w:tabs>
          <w:tab w:leader="none" w:pos="10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and future revenue depend on our ability to secure design wins and on our customers’ ability to successfully sell the products that incorporate our solutions. Securing design wins is a lengthy, expensive, and competitive process, and may not result in actual orders and sales, which could cause our revenue to decline.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5" w:name="page26"/>
    <w:bookmarkEnd w:id="25"/>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1040" w:right="159" w:hanging="645"/>
        <w:spacing w:after="0" w:line="282"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one or several of our customers or reduced orders or pricing from existing customers may have a significant adverse effect on our operations and financial results.</w:t>
      </w:r>
    </w:p>
    <w:p>
      <w:pPr>
        <w:spacing w:after="0" w:line="53" w:lineRule="exact"/>
        <w:rPr>
          <w:rFonts w:ascii="Times New Roman" w:cs="Times New Roman" w:eastAsia="Times New Roman" w:hAnsi="Times New Roman"/>
          <w:sz w:val="18"/>
          <w:szCs w:val="18"/>
          <w:color w:val="auto"/>
        </w:rPr>
      </w:pPr>
    </w:p>
    <w:p>
      <w:pPr>
        <w:ind w:left="1040" w:right="299" w:hanging="645"/>
        <w:spacing w:after="0" w:line="282"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competition and expect competition to increase in the future. If we fail to compete effectively, our revenue growth and results of operations will be materially and adversely affected.</w:t>
      </w:r>
    </w:p>
    <w:p>
      <w:pPr>
        <w:spacing w:after="0" w:line="53" w:lineRule="exact"/>
        <w:rPr>
          <w:rFonts w:ascii="Times New Roman" w:cs="Times New Roman" w:eastAsia="Times New Roman" w:hAnsi="Times New Roman"/>
          <w:sz w:val="18"/>
          <w:szCs w:val="18"/>
          <w:color w:val="auto"/>
        </w:rPr>
      </w:pPr>
    </w:p>
    <w:p>
      <w:pPr>
        <w:ind w:left="1040" w:right="619" w:hanging="645"/>
        <w:spacing w:after="0" w:line="282"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costs may increase substantially if we or our third-party manufacturing contractors do not achieve satisfactory product yields or quality.</w:t>
      </w:r>
    </w:p>
    <w:p>
      <w:pPr>
        <w:spacing w:after="0" w:line="53" w:lineRule="exact"/>
        <w:rPr>
          <w:rFonts w:ascii="Times New Roman" w:cs="Times New Roman" w:eastAsia="Times New Roman" w:hAnsi="Times New Roman"/>
          <w:sz w:val="18"/>
          <w:szCs w:val="18"/>
          <w:color w:val="auto"/>
        </w:rPr>
      </w:pPr>
    </w:p>
    <w:p>
      <w:pPr>
        <w:ind w:left="1040" w:right="539" w:hanging="645"/>
        <w:spacing w:after="0" w:line="282"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complexity of our products may lead to defects, which could negatively impact our reputation with customers and result in liability.</w:t>
      </w:r>
    </w:p>
    <w:p>
      <w:pPr>
        <w:spacing w:after="0" w:line="53" w:lineRule="exact"/>
        <w:rPr>
          <w:rFonts w:ascii="Times New Roman" w:cs="Times New Roman" w:eastAsia="Times New Roman" w:hAnsi="Times New Roman"/>
          <w:sz w:val="18"/>
          <w:szCs w:val="18"/>
          <w:color w:val="auto"/>
        </w:rPr>
      </w:pPr>
    </w:p>
    <w:p>
      <w:pPr>
        <w:ind w:left="1040" w:right="139" w:hanging="645"/>
        <w:spacing w:after="0" w:line="266"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difficulties in transitioning to new wafer fabrication process technologies or in achieving higher levels of design integration, which may result in reduced manufacturing yields, delays in product deliveries and increased expenses.</w:t>
      </w:r>
    </w:p>
    <w:p>
      <w:pPr>
        <w:spacing w:after="0" w:line="67" w:lineRule="exact"/>
        <w:rPr>
          <w:rFonts w:ascii="Times New Roman" w:cs="Times New Roman" w:eastAsia="Times New Roman" w:hAnsi="Times New Roman"/>
          <w:sz w:val="18"/>
          <w:szCs w:val="18"/>
          <w:color w:val="auto"/>
        </w:rPr>
      </w:pPr>
    </w:p>
    <w:p>
      <w:pPr>
        <w:ind w:left="1040" w:right="699" w:hanging="645"/>
        <w:spacing w:after="0" w:line="282"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industry standards and technical requirements relevant to our products and markets could adversely affect our business, results of operations, and prospects.</w:t>
      </w:r>
    </w:p>
    <w:p>
      <w:pPr>
        <w:spacing w:after="0" w:line="53" w:lineRule="exact"/>
        <w:rPr>
          <w:rFonts w:ascii="Times New Roman" w:cs="Times New Roman" w:eastAsia="Times New Roman" w:hAnsi="Times New Roman"/>
          <w:sz w:val="18"/>
          <w:szCs w:val="18"/>
          <w:color w:val="auto"/>
        </w:rPr>
      </w:pPr>
    </w:p>
    <w:p>
      <w:pPr>
        <w:ind w:left="1040" w:right="279" w:hanging="645"/>
        <w:spacing w:after="0" w:line="282"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depends on our ability to attract and retain key employees, and our failure to do so could harm our ability to grow our business and execute our business strategies.</w:t>
      </w:r>
    </w:p>
    <w:p>
      <w:pPr>
        <w:spacing w:after="0" w:line="53" w:lineRule="exact"/>
        <w:rPr>
          <w:rFonts w:ascii="Times New Roman" w:cs="Times New Roman" w:eastAsia="Times New Roman" w:hAnsi="Times New Roman"/>
          <w:sz w:val="18"/>
          <w:szCs w:val="18"/>
          <w:color w:val="auto"/>
        </w:rPr>
      </w:pPr>
    </w:p>
    <w:p>
      <w:pPr>
        <w:ind w:left="1040" w:right="239" w:hanging="645"/>
        <w:spacing w:after="0" w:line="282"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currently maintain, and are seeking to expand, operations outside the United States which exposes us to significant risks.</w:t>
      </w:r>
    </w:p>
    <w:p>
      <w:pPr>
        <w:spacing w:after="0" w:line="5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For a more complete discussion of the material risk factors applicable to us, see below.</w:t>
      </w:r>
    </w:p>
    <w:p>
      <w:pPr>
        <w:spacing w:after="0" w:line="2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Risk Factors Related to Our Financial Condition</w:t>
      </w:r>
    </w:p>
    <w:p>
      <w:pPr>
        <w:spacing w:after="0" w:line="225" w:lineRule="exact"/>
        <w:rPr>
          <w:sz w:val="20"/>
          <w:szCs w:val="20"/>
          <w:color w:val="auto"/>
        </w:rPr>
      </w:pPr>
    </w:p>
    <w:p>
      <w:pPr>
        <w:ind w:left="40" w:right="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need additional funding and may be unable to raise capital when needed, which could force us to delay, reduce, or eliminate planned activities.</w:t>
      </w:r>
    </w:p>
    <w:p>
      <w:pPr>
        <w:spacing w:after="0" w:line="159" w:lineRule="exact"/>
        <w:rPr>
          <w:sz w:val="20"/>
          <w:szCs w:val="20"/>
          <w:color w:val="auto"/>
        </w:rPr>
      </w:pPr>
    </w:p>
    <w:p>
      <w:pPr>
        <w:ind w:left="40" w:right="199" w:firstLine="324"/>
        <w:spacing w:after="0" w:line="253" w:lineRule="auto"/>
        <w:rPr>
          <w:sz w:val="20"/>
          <w:szCs w:val="20"/>
          <w:color w:val="auto"/>
        </w:rPr>
      </w:pPr>
      <w:r>
        <w:rPr>
          <w:rFonts w:ascii="Times New Roman" w:cs="Times New Roman" w:eastAsia="Times New Roman" w:hAnsi="Times New Roman"/>
          <w:sz w:val="18"/>
          <w:szCs w:val="18"/>
          <w:color w:val="auto"/>
        </w:rPr>
        <w:t>Our total revenue was approximately $37.2 million for the nine months ended September 30, 2024, and $63.8 million for the year ended December 31, 2023. As of September 30, 2024, we had cash and cash equivalents of approximately $39.6 million. Based on our current operating plan, we believe our existing cash and cash equivalents, coupled with our anticipated growth and sales levels, will be sufficient to meet our anticipated cash requirements for at least the next 12 months. However, our existing capital may be insufficient to meet our long-term requirements. We have no committed sources of funding and there is no assurance that additional funding will be available to us in the future or be secured on acceptable terms. If adequate funding is not available when needed, we may be forced to curtail operations, including our commercial activities and research and development programs, or cease operations altogether, file for bankruptcy, or undertake any combination of the foregoing. In such event, our stockholders may lose their entire investment in our company.</w:t>
      </w:r>
    </w:p>
    <w:p>
      <w:pPr>
        <w:spacing w:after="0" w:line="194" w:lineRule="exact"/>
        <w:rPr>
          <w:sz w:val="20"/>
          <w:szCs w:val="20"/>
          <w:color w:val="auto"/>
        </w:rPr>
      </w:pPr>
    </w:p>
    <w:p>
      <w:pPr>
        <w:ind w:left="40" w:right="79" w:firstLine="324"/>
        <w:spacing w:after="0" w:line="258" w:lineRule="auto"/>
        <w:rPr>
          <w:sz w:val="20"/>
          <w:szCs w:val="20"/>
          <w:color w:val="auto"/>
        </w:rPr>
      </w:pPr>
      <w:r>
        <w:rPr>
          <w:rFonts w:ascii="Times New Roman" w:cs="Times New Roman" w:eastAsia="Times New Roman" w:hAnsi="Times New Roman"/>
          <w:sz w:val="18"/>
          <w:szCs w:val="18"/>
          <w:color w:val="auto"/>
        </w:rPr>
        <w:t>Further, we may need to raise additional funds through financings or borrowings in order to accomplish our long-term planned objectives. If we raise additional funds through issuances of equity, convertible debt securities or other securities convertible into equity, our existing stockholders could suffer significant dilution in their percentage ownership of our company, and any new equity securities we issue could have rights, preferences, and privileges senior to those of holders of our common stock.</w:t>
      </w:r>
    </w:p>
    <w:p>
      <w:pPr>
        <w:spacing w:after="0" w:line="183" w:lineRule="exact"/>
        <w:rPr>
          <w:sz w:val="20"/>
          <w:szCs w:val="20"/>
          <w:color w:val="auto"/>
        </w:rPr>
      </w:pPr>
    </w:p>
    <w:p>
      <w:pPr>
        <w:ind w:left="40" w:right="79" w:firstLine="324"/>
        <w:spacing w:after="0" w:line="256" w:lineRule="auto"/>
        <w:rPr>
          <w:sz w:val="20"/>
          <w:szCs w:val="20"/>
          <w:color w:val="auto"/>
        </w:rPr>
      </w:pPr>
      <w:r>
        <w:rPr>
          <w:rFonts w:ascii="Times New Roman" w:cs="Times New Roman" w:eastAsia="Times New Roman" w:hAnsi="Times New Roman"/>
          <w:sz w:val="18"/>
          <w:szCs w:val="18"/>
          <w:color w:val="auto"/>
        </w:rPr>
        <w:t>In addition, if we do not meet our payment obligations to third parties as they become due, we may be subject to litigation claims and our creditworthiness would be adversely affected. Even if we are successful in defending against these claims, litigation could result in substantial costs and would be a distraction to management, and may have other unfavorable results that could further adversely impact our financial condition. Stockholders should not rely on our balance sheet as an indication of the amount of proceeds that would be available to satisfy claims of creditors, and potentially be available for distribution to stockholders, in the event of liquidation.</w:t>
      </w:r>
    </w:p>
    <w:p>
      <w:pPr>
        <w:spacing w:after="0" w:line="18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We cannot be certain that we will sustain profitability.</w:t>
      </w:r>
    </w:p>
    <w:p>
      <w:pPr>
        <w:spacing w:after="0" w:line="229" w:lineRule="exact"/>
        <w:rPr>
          <w:sz w:val="20"/>
          <w:szCs w:val="20"/>
          <w:color w:val="auto"/>
        </w:rPr>
      </w:pPr>
    </w:p>
    <w:p>
      <w:pPr>
        <w:jc w:val="both"/>
        <w:ind w:left="40" w:right="79" w:firstLine="324"/>
        <w:spacing w:after="0" w:line="266" w:lineRule="auto"/>
        <w:rPr>
          <w:sz w:val="20"/>
          <w:szCs w:val="20"/>
          <w:color w:val="auto"/>
        </w:rPr>
      </w:pPr>
      <w:r>
        <w:rPr>
          <w:rFonts w:ascii="Times New Roman" w:cs="Times New Roman" w:eastAsia="Times New Roman" w:hAnsi="Times New Roman"/>
          <w:sz w:val="18"/>
          <w:szCs w:val="18"/>
          <w:color w:val="auto"/>
        </w:rPr>
        <w:t>While our products offer unique benefits over other industry memory technologies, the rate of adoption of our products and our ability to capture market share from legacy technologies is uncertain. Our revenue may also be adversely impacted by a number of other possible reasons, many of which are outside our control, including business</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6" w:name="page27"/>
    <w:bookmarkEnd w:id="26"/>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0" w:right="79"/>
        <w:spacing w:after="0" w:line="256" w:lineRule="auto"/>
        <w:rPr>
          <w:sz w:val="20"/>
          <w:szCs w:val="20"/>
          <w:color w:val="auto"/>
        </w:rPr>
      </w:pPr>
      <w:r>
        <w:rPr>
          <w:rFonts w:ascii="Times New Roman" w:cs="Times New Roman" w:eastAsia="Times New Roman" w:hAnsi="Times New Roman"/>
          <w:sz w:val="18"/>
          <w:szCs w:val="18"/>
          <w:color w:val="auto"/>
        </w:rPr>
        <w:t>conditions that adversely affect the semiconductor memory industry resulting in a decline in end market demand for our products, adverse impacts resulting from pandemics or endemics, increased competition, ongoing supply chain constraints, or our failure to capitalize on growth opportunities. We also rely on achieving specific cost reduction targets that have uncertainty in their timing and magnitude. We may also incur unforeseen expenses in the ongoing operation of our business that cause us to exceed our operational spending plan. As a result, our ability to generate sufficient revenue growth and/or control expenses to transition to profitability and generate consistent positive cash flows is uncertain.</w:t>
      </w:r>
    </w:p>
    <w:p>
      <w:pPr>
        <w:spacing w:after="0" w:line="18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Risk Factors Related to Our Business and Our Industry</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The limited history of STT-MRAM adoption makes it difficult to evaluate our current business and future prospects.</w:t>
      </w:r>
    </w:p>
    <w:p>
      <w:pPr>
        <w:spacing w:after="0" w:line="229" w:lineRule="exact"/>
        <w:rPr>
          <w:sz w:val="20"/>
          <w:szCs w:val="20"/>
          <w:color w:val="auto"/>
        </w:rPr>
      </w:pPr>
    </w:p>
    <w:p>
      <w:pPr>
        <w:ind w:left="40" w:right="239" w:firstLine="324"/>
        <w:spacing w:after="0" w:line="258" w:lineRule="auto"/>
        <w:rPr>
          <w:sz w:val="20"/>
          <w:szCs w:val="20"/>
          <w:color w:val="auto"/>
        </w:rPr>
      </w:pPr>
      <w:r>
        <w:rPr>
          <w:rFonts w:ascii="Times New Roman" w:cs="Times New Roman" w:eastAsia="Times New Roman" w:hAnsi="Times New Roman"/>
          <w:sz w:val="18"/>
          <w:szCs w:val="18"/>
          <w:color w:val="auto"/>
        </w:rPr>
        <w:t>We have been in existence as a stand-alone company since 2008, when Freescale Semiconductor, Inc. (subsequently acquired by NXP Semiconductor) spun-out its MRAM business as Everspin. We have been shipping magnetoresistive random-access memory (MRAM) products since our incorporation in 2008. However, we only began to manufacture and ship our STT-MRAM products in the fourth quarter of 2017. We began to manufacture our second set of STT-MRAM products targeting the NVSRAM markets in the fourth quarter of 2022.</w:t>
      </w:r>
    </w:p>
    <w:p>
      <w:pPr>
        <w:spacing w:after="0" w:line="183" w:lineRule="exact"/>
        <w:rPr>
          <w:sz w:val="20"/>
          <w:szCs w:val="20"/>
          <w:color w:val="auto"/>
        </w:rPr>
      </w:pPr>
    </w:p>
    <w:p>
      <w:pPr>
        <w:ind w:left="40" w:right="79" w:firstLine="324"/>
        <w:spacing w:after="0" w:line="254" w:lineRule="auto"/>
        <w:rPr>
          <w:sz w:val="20"/>
          <w:szCs w:val="20"/>
          <w:color w:val="auto"/>
        </w:rPr>
      </w:pPr>
      <w:r>
        <w:rPr>
          <w:rFonts w:ascii="Times New Roman" w:cs="Times New Roman" w:eastAsia="Times New Roman" w:hAnsi="Times New Roman"/>
          <w:sz w:val="18"/>
          <w:szCs w:val="18"/>
          <w:color w:val="auto"/>
        </w:rPr>
        <w:t>Our limited experience in selling our STT-MRAM products, combined with the rapidly evolving and competitive nature of our markets, makes it difficult to evaluate our current business and future prospects. In addition, we have limited insight into emerging trends that may adversely affect our business, financial condition, results of operations and prospects. We have encountered and will continue to encounter risks and difficulties frequently experienced by growing companies in rapidly changing industries, including unpredictable and volatile revenue and increased expenses as we continue to grow our business. The viability and demand for our products may be affected by many factors outside of our control, such as the factors affecting the growth of the industrial, automotive, transportation, and data center market segments and changes in macroeconomic conditions. If we do not manage these risks and overcome these difficulties successfully, our business will suffer.</w:t>
      </w:r>
    </w:p>
    <w:p>
      <w:pPr>
        <w:spacing w:after="0" w:line="292" w:lineRule="exact"/>
        <w:rPr>
          <w:sz w:val="20"/>
          <w:szCs w:val="20"/>
          <w:color w:val="auto"/>
        </w:rPr>
      </w:pPr>
    </w:p>
    <w:p>
      <w:pPr>
        <w:ind w:left="4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match production with customer demand for a variety of reasons including macroeconomic factors due to the cyclical nature of the semiconductor industry, our inability to accurately forecast customer demand, supply chain constraints, or the capacity constraints of our suppliers, which could adversely affect our operating results.</w:t>
      </w:r>
    </w:p>
    <w:p>
      <w:pPr>
        <w:spacing w:after="0" w:line="283" w:lineRule="exact"/>
        <w:rPr>
          <w:sz w:val="20"/>
          <w:szCs w:val="20"/>
          <w:color w:val="auto"/>
        </w:rPr>
      </w:pPr>
    </w:p>
    <w:p>
      <w:pPr>
        <w:ind w:left="40" w:right="119" w:firstLine="324"/>
        <w:spacing w:after="0" w:line="252" w:lineRule="auto"/>
        <w:rPr>
          <w:sz w:val="20"/>
          <w:szCs w:val="20"/>
          <w:color w:val="auto"/>
        </w:rPr>
      </w:pPr>
      <w:r>
        <w:rPr>
          <w:rFonts w:ascii="Times New Roman" w:cs="Times New Roman" w:eastAsia="Times New Roman" w:hAnsi="Times New Roman"/>
          <w:sz w:val="18"/>
          <w:szCs w:val="18"/>
          <w:color w:val="auto"/>
        </w:rPr>
        <w:t>We make planning and spending decisions, including determining production levels, production schedules, component procurement commitments, personnel needs, and other resource requirements, based on our estimates of product demand and customer requirements. Our products are typically purchased pursuant to individual purchase orders. While our customers may provide us with their demand forecasts, they are not contractually committed to buy any quantity of products beyond purchase orders. Furthermore, many of our customers may increase, decrease, cancel, or delay purchase orders already in place without significant penalty. The short-term nature of commitments by our customers and the possibility of unexpected changes in demand for their products reduce our ability to accurately estimate future customer requirements. On occasion, customers may require rapid increases in production, which can strain our resources, necessitate more onerous procurement commitments, and reduce our gross margin. If we overestimate customer demand, we may purchase products that we may not be able to sell, which could result in decreases in our prices or write-downs of unsold inventory. Conversely, we could lose sales opportunities and could lose market share or damage our customer relationships if, for example, we underestimate customer demand, are affected by supply chain constraints, or sufficient manufacturing is unavailable. We manufacture MRAM products at our 200mm facility we lease in Chandler, Arizona and use a single foundry, GLOBALFOUNDRIES, for production of higher density products on advanced technology nodes, which may not have sufficient capacity to meet customer demand. The rapid pace of innovation in our industry could also render significant portions of our inventory obsolete. Excess or obsolete inventory levels could result in unexpected expenses or write-downs of inventory values that could adversely affect our business, operating results, and financial condition.</w:t>
      </w:r>
    </w:p>
    <w:p>
      <w:pPr>
        <w:spacing w:after="0" w:line="188" w:lineRule="exact"/>
        <w:rPr>
          <w:sz w:val="20"/>
          <w:szCs w:val="20"/>
          <w:color w:val="auto"/>
        </w:rPr>
      </w:pPr>
    </w:p>
    <w:p>
      <w:pPr>
        <w:ind w:left="4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we expand into new potential markets, we expect to face intense competition, including from our customers and potential customers, and may not be able to compete effectively, which could harm our business.</w:t>
      </w:r>
    </w:p>
    <w:p>
      <w:pPr>
        <w:spacing w:after="0" w:line="159" w:lineRule="exact"/>
        <w:rPr>
          <w:sz w:val="20"/>
          <w:szCs w:val="20"/>
          <w:color w:val="auto"/>
        </w:rPr>
      </w:pPr>
    </w:p>
    <w:p>
      <w:pPr>
        <w:ind w:left="40" w:right="619" w:firstLine="324"/>
        <w:spacing w:after="0" w:line="312" w:lineRule="auto"/>
        <w:rPr>
          <w:sz w:val="20"/>
          <w:szCs w:val="20"/>
          <w:color w:val="auto"/>
        </w:rPr>
      </w:pPr>
      <w:r>
        <w:rPr>
          <w:rFonts w:ascii="Times New Roman" w:cs="Times New Roman" w:eastAsia="Times New Roman" w:hAnsi="Times New Roman"/>
          <w:sz w:val="17"/>
          <w:szCs w:val="17"/>
          <w:color w:val="auto"/>
        </w:rPr>
        <w:t>We expect that our new and future MRAM products will be applicable to markets in which we are not currently operating. The markets in which we operate and may operate in the future are extremely competitive and are</w:t>
      </w:r>
    </w:p>
    <w:p>
      <w:pPr>
        <w:sectPr>
          <w:pgSz w:w="11900" w:h="16838" w:orient="portrait"/>
          <w:cols w:equalWidth="0" w:num="1">
            <w:col w:w="9019"/>
          </w:cols>
          <w:pgMar w:left="1440" w:top="513" w:right="1440" w:bottom="1440" w:gutter="0" w:footer="0" w:header="0"/>
        </w:sectPr>
      </w:pPr>
    </w:p>
    <w:p>
      <w:pPr>
        <w:spacing w:after="0" w:line="3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7" w:name="page28"/>
    <w:bookmarkEnd w:id="27"/>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0" w:right="79"/>
        <w:spacing w:after="0" w:line="253" w:lineRule="auto"/>
        <w:rPr>
          <w:sz w:val="20"/>
          <w:szCs w:val="20"/>
          <w:color w:val="auto"/>
        </w:rPr>
      </w:pPr>
      <w:r>
        <w:rPr>
          <w:rFonts w:ascii="Times New Roman" w:cs="Times New Roman" w:eastAsia="Times New Roman" w:hAnsi="Times New Roman"/>
          <w:sz w:val="18"/>
          <w:szCs w:val="18"/>
          <w:color w:val="auto"/>
        </w:rPr>
        <w:t>characterized by rapid technological change, continuous evolving customer requirements and declining average selling prices. We may not be able to compete successfully against current or potential competitors, which include our current or potential customers as they seek to internally develop solutions competitive with ours or as we develop products potentially competitive with their existing products. If we do not compete successfully, our market share and revenue may decline. We compete with large semiconductor manufacturers and designers and others, and our current and potential competitors have longer operating histories, significantly greater resources and name recognition and a larger base of customers than we do. This may allow them to respond more quickly than we can to new or emerging technologies or changes in customer requirements. In addition, these competitors may have greater credibility with our existing and potential customers. Some of our current and potential customers with their own internally developed solutions may choose not to purchase products from third-party suppliers like us.</w:t>
      </w:r>
    </w:p>
    <w:p>
      <w:pPr>
        <w:spacing w:after="0" w:line="190" w:lineRule="exact"/>
        <w:rPr>
          <w:sz w:val="20"/>
          <w:szCs w:val="20"/>
          <w:color w:val="auto"/>
        </w:rPr>
      </w:pPr>
    </w:p>
    <w:p>
      <w:pPr>
        <w:jc w:val="both"/>
        <w:ind w:left="40" w:right="4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distribute, manufacture, package, assemble and test our products, which exposes us to a number of risks, including reduced control over manufacturing and delivery timing and potential exposure to price fluctuations, which could result in a loss of revenue or reduced profitability.</w:t>
      </w:r>
    </w:p>
    <w:p>
      <w:pPr>
        <w:spacing w:after="0" w:line="175" w:lineRule="exact"/>
        <w:rPr>
          <w:sz w:val="20"/>
          <w:szCs w:val="20"/>
          <w:color w:val="auto"/>
        </w:rPr>
      </w:pPr>
    </w:p>
    <w:p>
      <w:pPr>
        <w:ind w:left="40" w:right="119" w:firstLine="324"/>
        <w:spacing w:after="0" w:line="256" w:lineRule="auto"/>
        <w:rPr>
          <w:sz w:val="20"/>
          <w:szCs w:val="20"/>
          <w:color w:val="auto"/>
        </w:rPr>
      </w:pPr>
      <w:r>
        <w:rPr>
          <w:rFonts w:ascii="Times New Roman" w:cs="Times New Roman" w:eastAsia="Times New Roman" w:hAnsi="Times New Roman"/>
          <w:sz w:val="18"/>
          <w:szCs w:val="18"/>
          <w:color w:val="auto"/>
        </w:rPr>
        <w:t>Although we operate an integrated magnetic fabrication line located in Chandler, Arizona, we purchase wafers from third parties and outsource the manufacturing, packaging, assembly and testing of our products to third-party foundries and assembly and testing service providers. We use a single foundry, GLOBALFOUNDRIES Singapore Pte. Ltd., for production of higher density products on advanced technology nodes. Our primary product package and test operations are located in China, Taiwan and other Asian countries. We also use standard CMOS wafers from third-party foundries, which we process at our Chandler, Arizona facility.</w:t>
      </w:r>
    </w:p>
    <w:p>
      <w:pPr>
        <w:spacing w:after="0" w:line="187" w:lineRule="exact"/>
        <w:rPr>
          <w:sz w:val="20"/>
          <w:szCs w:val="20"/>
          <w:color w:val="auto"/>
        </w:rPr>
      </w:pPr>
    </w:p>
    <w:p>
      <w:pPr>
        <w:ind w:left="40" w:right="599" w:firstLine="324"/>
        <w:spacing w:after="0" w:line="282" w:lineRule="auto"/>
        <w:rPr>
          <w:sz w:val="20"/>
          <w:szCs w:val="20"/>
          <w:color w:val="auto"/>
        </w:rPr>
      </w:pPr>
      <w:r>
        <w:rPr>
          <w:rFonts w:ascii="Times New Roman" w:cs="Times New Roman" w:eastAsia="Times New Roman" w:hAnsi="Times New Roman"/>
          <w:sz w:val="18"/>
          <w:szCs w:val="18"/>
          <w:color w:val="auto"/>
        </w:rPr>
        <w:t>Relying on third-party distribution, manufacturing, assembly, packaging, and testing presents a number of risks, including but not limited to:</w:t>
      </w:r>
    </w:p>
    <w:p>
      <w:pPr>
        <w:spacing w:after="0" w:line="162" w:lineRule="exact"/>
        <w:rPr>
          <w:sz w:val="20"/>
          <w:szCs w:val="20"/>
          <w:color w:val="auto"/>
        </w:rPr>
      </w:pPr>
    </w:p>
    <w:p>
      <w:pPr>
        <w:ind w:left="620" w:right="219" w:hanging="252"/>
        <w:spacing w:after="0" w:line="266" w:lineRule="auto"/>
        <w:tabs>
          <w:tab w:leader="none" w:pos="649"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interests could diverge from those of our foundries, or we may not be able to agree with them on ongoing development, manufacturing and operational activities, or on the amount, timing, or nature of further investments in our joint development;</w:t>
      </w:r>
    </w:p>
    <w:p>
      <w:pPr>
        <w:spacing w:after="0" w:line="175" w:lineRule="exact"/>
        <w:rPr>
          <w:rFonts w:ascii="Times New Roman" w:cs="Times New Roman" w:eastAsia="Times New Roman" w:hAnsi="Times New Roman"/>
          <w:sz w:val="18"/>
          <w:szCs w:val="18"/>
          <w:color w:val="auto"/>
        </w:rPr>
      </w:pPr>
    </w:p>
    <w:p>
      <w:pPr>
        <w:ind w:left="660" w:hanging="292"/>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capacity and materials shortages during periods of high demand or supply constraints;</w:t>
      </w:r>
    </w:p>
    <w:p>
      <w:pPr>
        <w:spacing w:after="0" w:line="225" w:lineRule="exact"/>
        <w:rPr>
          <w:rFonts w:ascii="Times New Roman" w:cs="Times New Roman" w:eastAsia="Times New Roman" w:hAnsi="Times New Roman"/>
          <w:sz w:val="18"/>
          <w:szCs w:val="18"/>
          <w:color w:val="auto"/>
        </w:rPr>
      </w:pPr>
    </w:p>
    <w:p>
      <w:pPr>
        <w:ind w:left="660" w:hanging="292"/>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control over delivery schedules, inventories and quality;</w:t>
      </w:r>
    </w:p>
    <w:p>
      <w:pPr>
        <w:spacing w:after="0" w:line="225" w:lineRule="exact"/>
        <w:rPr>
          <w:rFonts w:ascii="Times New Roman" w:cs="Times New Roman" w:eastAsia="Times New Roman" w:hAnsi="Times New Roman"/>
          <w:sz w:val="18"/>
          <w:szCs w:val="18"/>
          <w:color w:val="auto"/>
        </w:rPr>
      </w:pPr>
    </w:p>
    <w:p>
      <w:pPr>
        <w:ind w:left="660" w:hanging="292"/>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unavailability of, or potential delays in obtaining access to, key process technologies;</w:t>
      </w:r>
    </w:p>
    <w:p>
      <w:pPr>
        <w:spacing w:after="0" w:line="225" w:lineRule="exact"/>
        <w:rPr>
          <w:rFonts w:ascii="Times New Roman" w:cs="Times New Roman" w:eastAsia="Times New Roman" w:hAnsi="Times New Roman"/>
          <w:sz w:val="18"/>
          <w:szCs w:val="18"/>
          <w:color w:val="auto"/>
        </w:rPr>
      </w:pPr>
    </w:p>
    <w:p>
      <w:pPr>
        <w:ind w:left="660" w:hanging="292"/>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achieve required production or test capacity and acceptable yields on a timely basis;</w:t>
      </w:r>
    </w:p>
    <w:p>
      <w:pPr>
        <w:spacing w:after="0" w:line="225" w:lineRule="exact"/>
        <w:rPr>
          <w:rFonts w:ascii="Times New Roman" w:cs="Times New Roman" w:eastAsia="Times New Roman" w:hAnsi="Times New Roman"/>
          <w:sz w:val="18"/>
          <w:szCs w:val="18"/>
          <w:color w:val="auto"/>
        </w:rPr>
      </w:pPr>
    </w:p>
    <w:p>
      <w:pPr>
        <w:ind w:left="660" w:hanging="292"/>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misappropriation of our intellectual property;</w:t>
      </w:r>
    </w:p>
    <w:p>
      <w:pPr>
        <w:spacing w:after="0" w:line="225" w:lineRule="exact"/>
        <w:rPr>
          <w:rFonts w:ascii="Times New Roman" w:cs="Times New Roman" w:eastAsia="Times New Roman" w:hAnsi="Times New Roman"/>
          <w:sz w:val="18"/>
          <w:szCs w:val="18"/>
          <w:color w:val="auto"/>
        </w:rPr>
      </w:pPr>
    </w:p>
    <w:p>
      <w:pPr>
        <w:ind w:left="660" w:hanging="292"/>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third party’s ability to perform its obligations due to bankruptcy or other financial constraints;</w:t>
      </w:r>
    </w:p>
    <w:p>
      <w:pPr>
        <w:spacing w:after="0" w:line="225" w:lineRule="exact"/>
        <w:rPr>
          <w:rFonts w:ascii="Times New Roman" w:cs="Times New Roman" w:eastAsia="Times New Roman" w:hAnsi="Times New Roman"/>
          <w:sz w:val="18"/>
          <w:szCs w:val="18"/>
          <w:color w:val="auto"/>
        </w:rPr>
      </w:pPr>
    </w:p>
    <w:p>
      <w:pPr>
        <w:ind w:left="660" w:hanging="292"/>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exclusive representatives for certain customer engagements;</w:t>
      </w:r>
    </w:p>
    <w:p>
      <w:pPr>
        <w:spacing w:after="0" w:line="225" w:lineRule="exact"/>
        <w:rPr>
          <w:rFonts w:ascii="Times New Roman" w:cs="Times New Roman" w:eastAsia="Times New Roman" w:hAnsi="Times New Roman"/>
          <w:sz w:val="18"/>
          <w:szCs w:val="18"/>
          <w:color w:val="auto"/>
        </w:rPr>
      </w:pPr>
    </w:p>
    <w:p>
      <w:pPr>
        <w:ind w:left="660" w:hanging="292"/>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warranties on wafers or products supplied to us; and</w:t>
      </w:r>
    </w:p>
    <w:p>
      <w:pPr>
        <w:spacing w:after="0" w:line="225" w:lineRule="exact"/>
        <w:rPr>
          <w:rFonts w:ascii="Times New Roman" w:cs="Times New Roman" w:eastAsia="Times New Roman" w:hAnsi="Times New Roman"/>
          <w:sz w:val="18"/>
          <w:szCs w:val="18"/>
          <w:color w:val="auto"/>
        </w:rPr>
      </w:pPr>
    </w:p>
    <w:p>
      <w:pPr>
        <w:ind w:left="660" w:hanging="292"/>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increases in prices including due to inflation.</w:t>
      </w:r>
    </w:p>
    <w:p>
      <w:pPr>
        <w:spacing w:after="0" w:line="225" w:lineRule="exact"/>
        <w:rPr>
          <w:sz w:val="20"/>
          <w:szCs w:val="20"/>
          <w:color w:val="auto"/>
        </w:rPr>
      </w:pPr>
    </w:p>
    <w:p>
      <w:pPr>
        <w:ind w:left="40" w:right="59" w:firstLine="324"/>
        <w:spacing w:after="0" w:line="253" w:lineRule="auto"/>
        <w:rPr>
          <w:sz w:val="20"/>
          <w:szCs w:val="20"/>
          <w:color w:val="auto"/>
        </w:rPr>
      </w:pPr>
      <w:r>
        <w:rPr>
          <w:rFonts w:ascii="Times New Roman" w:cs="Times New Roman" w:eastAsia="Times New Roman" w:hAnsi="Times New Roman"/>
          <w:sz w:val="18"/>
          <w:szCs w:val="18"/>
          <w:color w:val="auto"/>
        </w:rPr>
        <w:t>Our manufacturing agreement with GLOBALFOUNDRIES includes a customary forecast and ordering mechanism for the supply of certain of our wafers, and we are obligated to order and pay for, and GLOBALFOUNDRIES is obligated to supply, wafers consistent with the binding portion of our forecast. However, our manufacturing arrangement is also subject to both a minimum and maximum order quantity that while we believe currently addresses our projected foundry capacity needs, may not address our maximum foundry capacity requirements in the future. We may also be obligated to pay for unused capacity if our demand decreases in the future, or if our estimates prove inaccurate. GLOBALFOUNDRIES also has the ability to discontinue its manufacture of any of our wafers upon due notice and completion of the notice period. This could cause us to have to find another foundry to manufacture those wafers or redesign our core technology and would mean that we may not have products to sell until such time. Any time spent engaging a new manufacturer or redesigning our core technology could be costly and time consuming and may allow</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8" w:name="page29"/>
    <w:bookmarkEnd w:id="28"/>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0" w:right="99"/>
        <w:spacing w:after="0" w:line="266" w:lineRule="auto"/>
        <w:rPr>
          <w:sz w:val="20"/>
          <w:szCs w:val="20"/>
          <w:color w:val="auto"/>
        </w:rPr>
      </w:pPr>
      <w:r>
        <w:rPr>
          <w:rFonts w:ascii="Times New Roman" w:cs="Times New Roman" w:eastAsia="Times New Roman" w:hAnsi="Times New Roman"/>
          <w:sz w:val="18"/>
          <w:szCs w:val="18"/>
          <w:color w:val="auto"/>
        </w:rPr>
        <w:t>potential competitors to take opportunities in the marketplace. Moreover, if we are unable to find another foundry to manufacture our products or if we have to redesign our core technology, this could cause material harm to our business and operating results.</w:t>
      </w:r>
    </w:p>
    <w:p>
      <w:pPr>
        <w:spacing w:after="0" w:line="176" w:lineRule="exact"/>
        <w:rPr>
          <w:sz w:val="20"/>
          <w:szCs w:val="20"/>
          <w:color w:val="auto"/>
        </w:rPr>
      </w:pPr>
    </w:p>
    <w:p>
      <w:pPr>
        <w:ind w:left="40" w:right="159" w:firstLine="324"/>
        <w:spacing w:after="0" w:line="256" w:lineRule="auto"/>
        <w:rPr>
          <w:sz w:val="20"/>
          <w:szCs w:val="20"/>
          <w:color w:val="auto"/>
        </w:rPr>
      </w:pPr>
      <w:r>
        <w:rPr>
          <w:rFonts w:ascii="Times New Roman" w:cs="Times New Roman" w:eastAsia="Times New Roman" w:hAnsi="Times New Roman"/>
          <w:sz w:val="18"/>
          <w:szCs w:val="18"/>
          <w:color w:val="auto"/>
        </w:rPr>
        <w:t>If we need other foundries or packaging, assembly, and testing contractors, or if we are unable to obtain timely and adequate deliveries from our providers, we might not be able to cost-effectively and quickly retain other vendors to satisfy our requirements. Because the lead time needed to establish a relationship with a new third-party supplier could be several quarters, there is no readily available alternative source of supply for any specific component. In addition, the time and expense to qualify a new foundry could result in additional expense, diversion of resources or lost sales, any of which would negatively impact our financial results.</w:t>
      </w:r>
    </w:p>
    <w:p>
      <w:pPr>
        <w:spacing w:after="0" w:line="187" w:lineRule="exact"/>
        <w:rPr>
          <w:sz w:val="20"/>
          <w:szCs w:val="20"/>
          <w:color w:val="auto"/>
        </w:rPr>
      </w:pPr>
    </w:p>
    <w:p>
      <w:pPr>
        <w:ind w:left="40" w:right="59" w:firstLine="324"/>
        <w:spacing w:after="0" w:line="258" w:lineRule="auto"/>
        <w:rPr>
          <w:sz w:val="20"/>
          <w:szCs w:val="20"/>
          <w:color w:val="auto"/>
        </w:rPr>
      </w:pPr>
      <w:r>
        <w:rPr>
          <w:rFonts w:ascii="Times New Roman" w:cs="Times New Roman" w:eastAsia="Times New Roman" w:hAnsi="Times New Roman"/>
          <w:sz w:val="18"/>
          <w:szCs w:val="18"/>
          <w:color w:val="auto"/>
        </w:rPr>
        <w:t>If any of our current or future foundries or packaging, assembly and testing subcontractors significantly increases the costs of wafers or other materials or services, interrupts or reduces our supply, including for reasons outside of their control, such as due to pandemics or epidemics, or if any of our relationships with our suppliers is terminated, our operating results could be adversely affected. Such occurrences could also damage our customer relationships, result in lost revenue, cause a loss in market share, or damage our reputation.</w:t>
      </w:r>
    </w:p>
    <w:p>
      <w:pPr>
        <w:spacing w:after="0" w:line="179" w:lineRule="exact"/>
        <w:rPr>
          <w:sz w:val="20"/>
          <w:szCs w:val="20"/>
          <w:color w:val="auto"/>
        </w:rPr>
      </w:pPr>
    </w:p>
    <w:p>
      <w:pPr>
        <w:ind w:left="40" w:right="5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Disruptions in our supply chain and increased cost of components used in our products may adversely impact our business, results of operations and financial condition, including our ability to fulfill customer demand.</w:t>
      </w:r>
    </w:p>
    <w:p>
      <w:pPr>
        <w:spacing w:after="0" w:line="159" w:lineRule="exact"/>
        <w:rPr>
          <w:sz w:val="20"/>
          <w:szCs w:val="20"/>
          <w:color w:val="auto"/>
        </w:rPr>
      </w:pPr>
    </w:p>
    <w:p>
      <w:pPr>
        <w:ind w:left="40" w:right="79" w:firstLine="324"/>
        <w:spacing w:after="0" w:line="256" w:lineRule="auto"/>
        <w:rPr>
          <w:sz w:val="20"/>
          <w:szCs w:val="20"/>
          <w:color w:val="auto"/>
        </w:rPr>
      </w:pPr>
      <w:r>
        <w:rPr>
          <w:rFonts w:ascii="Times New Roman" w:cs="Times New Roman" w:eastAsia="Times New Roman" w:hAnsi="Times New Roman"/>
          <w:sz w:val="18"/>
          <w:szCs w:val="18"/>
          <w:color w:val="auto"/>
        </w:rPr>
        <w:t>If we fail to procure sufficient components used in our products, we may be unable to deliver our products to our customers on a timely basis, which could lead to customer dissatisfaction and could harm our reputation and ability to compete. We would likely experience significant delays or cessation in producing some of our products if a labor strike, natural disaster, public health crisis, geopolitical event, or other supply disruption were to occur, including as a result of public health issues, such as pandemics and epidemics, or the ongoing military conflict between Russia and Ukraine, at any of our main suppliers.</w:t>
      </w:r>
    </w:p>
    <w:p>
      <w:pPr>
        <w:spacing w:after="0" w:line="66" w:lineRule="exact"/>
        <w:rPr>
          <w:sz w:val="20"/>
          <w:szCs w:val="20"/>
          <w:color w:val="auto"/>
        </w:rPr>
      </w:pPr>
    </w:p>
    <w:p>
      <w:pPr>
        <w:ind w:left="40" w:right="59" w:firstLine="324"/>
        <w:spacing w:after="0" w:line="253" w:lineRule="auto"/>
        <w:rPr>
          <w:sz w:val="20"/>
          <w:szCs w:val="20"/>
          <w:color w:val="auto"/>
        </w:rPr>
      </w:pPr>
      <w:r>
        <w:rPr>
          <w:rFonts w:ascii="Times New Roman" w:cs="Times New Roman" w:eastAsia="Times New Roman" w:hAnsi="Times New Roman"/>
          <w:sz w:val="18"/>
          <w:szCs w:val="18"/>
          <w:color w:val="auto"/>
        </w:rPr>
        <w:t>Further, the upturn in the semiconductor industry has stretched the supply chain, and we are subject to supply shortages, as well as higher costs as suppliers opportunistically raise prices. For example, there is currently a worldwide shortage of semiconductor, memory and other electronic components affecting many industries. Our products are dependent on some of these electronic components. A continued shortage of electronic components may impact us significantly and could cause us to experience extended lead times and increased prices from our suppliers, which could be significant. Extended lead times and decreased availability of key components could result in a significant disruption to our production schedule, all of which would have an adverse effect on our business, results of operations and financial condition. Additionally, the military conflict between Russia and Ukraine creates additional uncertainty and risks relating to our supply chain and the cost of components. See “-General Risk Factors-Unfavorable economic, market and geopolitical conditions, domestically and internationally, may adversely affect our business, financial condition, results of operations and cash flows” for additional information.</w:t>
      </w:r>
    </w:p>
    <w:p>
      <w:pPr>
        <w:spacing w:after="0" w:line="57" w:lineRule="exact"/>
        <w:rPr>
          <w:sz w:val="20"/>
          <w:szCs w:val="20"/>
          <w:color w:val="auto"/>
        </w:rPr>
      </w:pPr>
    </w:p>
    <w:p>
      <w:pPr>
        <w:ind w:left="40" w:right="99" w:firstLine="324"/>
        <w:spacing w:after="0" w:line="258" w:lineRule="auto"/>
        <w:rPr>
          <w:sz w:val="20"/>
          <w:szCs w:val="20"/>
          <w:color w:val="auto"/>
        </w:rPr>
      </w:pPr>
      <w:r>
        <w:rPr>
          <w:rFonts w:ascii="Times New Roman" w:cs="Times New Roman" w:eastAsia="Times New Roman" w:hAnsi="Times New Roman"/>
          <w:sz w:val="18"/>
          <w:szCs w:val="18"/>
          <w:color w:val="auto"/>
        </w:rPr>
        <w:t>We do not have any guarantees of supply from our third-party suppliers, and in certain cases we have limited contractual arrangements or are relying on standard purchase orders or on component parts available on the open market, which may further result in increased costs combined with reduced availability. A continued delay in our ability to produce and deliver our products could also cause our customers to purchase alternative products from our competitors and/or harm our reputation.</w:t>
      </w:r>
    </w:p>
    <w:p>
      <w:pPr>
        <w:spacing w:after="0" w:line="1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Our joint development agreement and strategic relationships involve numerous risks.</w:t>
      </w:r>
    </w:p>
    <w:p>
      <w:pPr>
        <w:spacing w:after="0" w:line="229" w:lineRule="exact"/>
        <w:rPr>
          <w:sz w:val="20"/>
          <w:szCs w:val="20"/>
          <w:color w:val="auto"/>
        </w:rPr>
      </w:pPr>
    </w:p>
    <w:p>
      <w:pPr>
        <w:ind w:left="40" w:right="219" w:firstLine="324"/>
        <w:spacing w:after="0" w:line="261" w:lineRule="auto"/>
        <w:rPr>
          <w:sz w:val="20"/>
          <w:szCs w:val="20"/>
          <w:color w:val="auto"/>
        </w:rPr>
      </w:pPr>
      <w:r>
        <w:rPr>
          <w:rFonts w:ascii="Times New Roman" w:cs="Times New Roman" w:eastAsia="Times New Roman" w:hAnsi="Times New Roman"/>
          <w:sz w:val="18"/>
          <w:szCs w:val="18"/>
          <w:color w:val="auto"/>
        </w:rPr>
        <w:t>We have entered into strategic relationships to manufacture products and develop new manufacturing process technologies and products. These relationships include our joint development agreement with GLOBALFOUNDRIES to develop advanced MTJ technology and STT-MRAM. These relationships are subject to various risks that could adversely affect the value of our investments and our results of operations. These risks include the following:</w:t>
      </w:r>
    </w:p>
    <w:p>
      <w:pPr>
        <w:spacing w:after="0" w:line="180" w:lineRule="exact"/>
        <w:rPr>
          <w:sz w:val="20"/>
          <w:szCs w:val="20"/>
          <w:color w:val="auto"/>
        </w:rPr>
      </w:pPr>
    </w:p>
    <w:p>
      <w:pPr>
        <w:ind w:left="620" w:right="219" w:hanging="252"/>
        <w:spacing w:after="0" w:line="266" w:lineRule="auto"/>
        <w:tabs>
          <w:tab w:leader="none" w:pos="64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interests could diverge from those of our foundries, or we may not be able to agree with them on ongoing development, manufacturing and operational activities, or on the amount, timing, or nature of further investments in our joint development;</w:t>
      </w:r>
    </w:p>
    <w:p>
      <w:pPr>
        <w:spacing w:after="0" w:line="175" w:lineRule="exact"/>
        <w:rPr>
          <w:rFonts w:ascii="Times New Roman" w:cs="Times New Roman" w:eastAsia="Times New Roman" w:hAnsi="Times New Roman"/>
          <w:sz w:val="18"/>
          <w:szCs w:val="18"/>
          <w:color w:val="auto"/>
        </w:rPr>
      </w:pPr>
    </w:p>
    <w:p>
      <w:pPr>
        <w:ind w:left="660" w:hanging="292"/>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difficulties in transferring technology to a foundry;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9" w:name="page30"/>
    <w:bookmarkEnd w:id="29"/>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660" w:hanging="292"/>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difficulties and delays in getting to and/or ramping production at foundries;</w:t>
      </w:r>
    </w:p>
    <w:p>
      <w:pPr>
        <w:spacing w:after="0" w:line="225" w:lineRule="exact"/>
        <w:rPr>
          <w:rFonts w:ascii="Times New Roman" w:cs="Times New Roman" w:eastAsia="Times New Roman" w:hAnsi="Times New Roman"/>
          <w:sz w:val="18"/>
          <w:szCs w:val="18"/>
          <w:color w:val="auto"/>
        </w:rPr>
      </w:pPr>
    </w:p>
    <w:p>
      <w:pPr>
        <w:ind w:left="660" w:hanging="292"/>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control over the operations of foundries is limited;</w:t>
      </w:r>
    </w:p>
    <w:p>
      <w:pPr>
        <w:spacing w:after="0" w:line="225" w:lineRule="exact"/>
        <w:rPr>
          <w:rFonts w:ascii="Times New Roman" w:cs="Times New Roman" w:eastAsia="Times New Roman" w:hAnsi="Times New Roman"/>
          <w:sz w:val="18"/>
          <w:szCs w:val="18"/>
          <w:color w:val="auto"/>
        </w:rPr>
      </w:pPr>
    </w:p>
    <w:p>
      <w:pPr>
        <w:ind w:left="620" w:right="299" w:hanging="252"/>
        <w:spacing w:after="0" w:line="282" w:lineRule="auto"/>
        <w:tabs>
          <w:tab w:leader="none" w:pos="649"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due to financial constraints, our joint development collaborators may be unable to meet their commitments to us and may pose credit risks for our transactions with them;</w:t>
      </w:r>
    </w:p>
    <w:p>
      <w:pPr>
        <w:spacing w:after="0" w:line="161" w:lineRule="exact"/>
        <w:rPr>
          <w:rFonts w:ascii="Times New Roman" w:cs="Times New Roman" w:eastAsia="Times New Roman" w:hAnsi="Times New Roman"/>
          <w:sz w:val="18"/>
          <w:szCs w:val="18"/>
          <w:color w:val="auto"/>
        </w:rPr>
      </w:pPr>
    </w:p>
    <w:p>
      <w:pPr>
        <w:ind w:left="620" w:right="639" w:hanging="252"/>
        <w:spacing w:after="0" w:line="282" w:lineRule="auto"/>
        <w:tabs>
          <w:tab w:leader="none" w:pos="649"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due to differing business models or long-term business goals, our collaborators may decide not to join us in funding capital investment, which may result in higher levels of cash expenditures by us;</w:t>
      </w:r>
    </w:p>
    <w:p>
      <w:pPr>
        <w:spacing w:after="0" w:line="161" w:lineRule="exact"/>
        <w:rPr>
          <w:rFonts w:ascii="Times New Roman" w:cs="Times New Roman" w:eastAsia="Times New Roman" w:hAnsi="Times New Roman"/>
          <w:sz w:val="18"/>
          <w:szCs w:val="18"/>
          <w:color w:val="auto"/>
        </w:rPr>
      </w:pPr>
    </w:p>
    <w:p>
      <w:pPr>
        <w:ind w:left="660" w:hanging="292"/>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cash flows may be inadequate to fund increased capital requirements;</w:t>
      </w:r>
    </w:p>
    <w:p>
      <w:pPr>
        <w:spacing w:after="0" w:line="225" w:lineRule="exact"/>
        <w:rPr>
          <w:rFonts w:ascii="Times New Roman" w:cs="Times New Roman" w:eastAsia="Times New Roman" w:hAnsi="Times New Roman"/>
          <w:sz w:val="18"/>
          <w:szCs w:val="18"/>
          <w:color w:val="auto"/>
        </w:rPr>
      </w:pPr>
    </w:p>
    <w:p>
      <w:pPr>
        <w:ind w:left="660" w:hanging="292"/>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difficulties or delays in collecting amounts due to us from our collaborators;</w:t>
      </w:r>
    </w:p>
    <w:p>
      <w:pPr>
        <w:spacing w:after="0" w:line="225" w:lineRule="exact"/>
        <w:rPr>
          <w:rFonts w:ascii="Times New Roman" w:cs="Times New Roman" w:eastAsia="Times New Roman" w:hAnsi="Times New Roman"/>
          <w:sz w:val="18"/>
          <w:szCs w:val="18"/>
          <w:color w:val="auto"/>
        </w:rPr>
      </w:pPr>
    </w:p>
    <w:p>
      <w:pPr>
        <w:ind w:left="660" w:hanging="292"/>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our arrangements may turn out to be unfavorable;</w:t>
      </w:r>
    </w:p>
    <w:p>
      <w:pPr>
        <w:spacing w:after="0" w:line="225" w:lineRule="exact"/>
        <w:rPr>
          <w:rFonts w:ascii="Times New Roman" w:cs="Times New Roman" w:eastAsia="Times New Roman" w:hAnsi="Times New Roman"/>
          <w:sz w:val="18"/>
          <w:szCs w:val="18"/>
          <w:color w:val="auto"/>
        </w:rPr>
      </w:pPr>
    </w:p>
    <w:p>
      <w:pPr>
        <w:ind w:left="620" w:right="79" w:hanging="252"/>
        <w:spacing w:after="0" w:line="282" w:lineRule="auto"/>
        <w:tabs>
          <w:tab w:leader="none" w:pos="649"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migrating toward a fabless model as 300mm production becomes required and this increases risks related to less control over our critical production processes; and</w:t>
      </w:r>
    </w:p>
    <w:p>
      <w:pPr>
        <w:spacing w:after="0" w:line="161" w:lineRule="exact"/>
        <w:rPr>
          <w:rFonts w:ascii="Times New Roman" w:cs="Times New Roman" w:eastAsia="Times New Roman" w:hAnsi="Times New Roman"/>
          <w:sz w:val="18"/>
          <w:szCs w:val="18"/>
          <w:color w:val="auto"/>
        </w:rPr>
      </w:pPr>
    </w:p>
    <w:p>
      <w:pPr>
        <w:ind w:left="660" w:hanging="292"/>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legal, or regulatory requirements may necessitate changes in our agreements.</w:t>
      </w:r>
    </w:p>
    <w:p>
      <w:pPr>
        <w:spacing w:after="0" w:line="225" w:lineRule="exact"/>
        <w:rPr>
          <w:sz w:val="20"/>
          <w:szCs w:val="20"/>
          <w:color w:val="auto"/>
        </w:rPr>
      </w:pPr>
    </w:p>
    <w:p>
      <w:pPr>
        <w:ind w:left="40" w:right="439" w:firstLine="324"/>
        <w:spacing w:after="0" w:line="282" w:lineRule="auto"/>
        <w:rPr>
          <w:sz w:val="20"/>
          <w:szCs w:val="20"/>
          <w:color w:val="auto"/>
        </w:rPr>
      </w:pPr>
      <w:r>
        <w:rPr>
          <w:rFonts w:ascii="Times New Roman" w:cs="Times New Roman" w:eastAsia="Times New Roman" w:hAnsi="Times New Roman"/>
          <w:sz w:val="18"/>
          <w:szCs w:val="18"/>
          <w:color w:val="auto"/>
        </w:rPr>
        <w:t>The term of the agreement, as amended, is the completion, termination, or expiration of the last statement of work entered into pursuant to the joint development agreement.</w:t>
      </w:r>
    </w:p>
    <w:p>
      <w:pPr>
        <w:spacing w:after="0" w:line="162" w:lineRule="exact"/>
        <w:rPr>
          <w:sz w:val="20"/>
          <w:szCs w:val="20"/>
          <w:color w:val="auto"/>
        </w:rPr>
      </w:pPr>
    </w:p>
    <w:p>
      <w:pPr>
        <w:ind w:left="40" w:right="659" w:firstLine="324"/>
        <w:spacing w:after="0" w:line="282" w:lineRule="auto"/>
        <w:rPr>
          <w:sz w:val="20"/>
          <w:szCs w:val="20"/>
          <w:color w:val="auto"/>
        </w:rPr>
      </w:pPr>
      <w:r>
        <w:rPr>
          <w:rFonts w:ascii="Times New Roman" w:cs="Times New Roman" w:eastAsia="Times New Roman" w:hAnsi="Times New Roman"/>
          <w:sz w:val="18"/>
          <w:szCs w:val="18"/>
          <w:color w:val="auto"/>
        </w:rPr>
        <w:t>If our strategic relationships are unsuccessful, our business, results of operations, or financial condition may be materially adversely affected.</w:t>
      </w:r>
    </w:p>
    <w:p>
      <w:pPr>
        <w:spacing w:after="0" w:line="158" w:lineRule="exact"/>
        <w:rPr>
          <w:sz w:val="20"/>
          <w:szCs w:val="20"/>
          <w:color w:val="auto"/>
        </w:rPr>
      </w:pPr>
    </w:p>
    <w:p>
      <w:pPr>
        <w:ind w:left="40" w:right="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must continuously develop new and enhanced products, and if we are unable to successfully market our new and enhanced products for which we incur significant expenses to develop, our results of operations and financial condition will be materially adversely affected.</w:t>
      </w:r>
    </w:p>
    <w:p>
      <w:pPr>
        <w:spacing w:after="0" w:line="175" w:lineRule="exact"/>
        <w:rPr>
          <w:sz w:val="20"/>
          <w:szCs w:val="20"/>
          <w:color w:val="auto"/>
        </w:rPr>
      </w:pPr>
    </w:p>
    <w:p>
      <w:pPr>
        <w:ind w:left="40" w:right="59" w:firstLine="324"/>
        <w:spacing w:after="0" w:line="252" w:lineRule="auto"/>
        <w:rPr>
          <w:sz w:val="20"/>
          <w:szCs w:val="20"/>
          <w:color w:val="auto"/>
        </w:rPr>
      </w:pPr>
      <w:r>
        <w:rPr>
          <w:rFonts w:ascii="Times New Roman" w:cs="Times New Roman" w:eastAsia="Times New Roman" w:hAnsi="Times New Roman"/>
          <w:sz w:val="18"/>
          <w:szCs w:val="18"/>
          <w:color w:val="auto"/>
        </w:rPr>
        <w:t>To compete effectively in our markets, we must continually design, develop, and introduce new and improved technology and products with improved features in a cost-effective manner in response to changing technologies and market demand. This requires us to devote substantial financial and other resources to research and development. We are developing new technology and products, which we expect to be one of the drivers of our revenue growth in the future. We also face the risk that customers may not value or be willing to bear the cost of incorporating our new and enhanced products into their products, particularly if they believe their customers are satisfied with current solutions. Regardless of the improved features or superior performance of our new and enhanced products, customers may be unwilling to adopt our solutions due to design or pricing constraints, or because they do not want to rely on a single or limited supply source. Because of the extensive time and resources that we invest in developing new and enhanced products, if we are unable to sell customers our new products, our revenue could decline and our business, financial condition, results of operations and cash flows would be negatively affected. For example, if we are unable to generate more customer adoption of our 1Gb product and address new growth opportunities with subsequent STT-MRAM products, we may not be able to materially increase our revenue. If we are unable to successfully develop and market our new and enhanced products that we have incurred significant expenses developing, our results of operations and financial condition will be materially and adversely affected.</w:t>
      </w:r>
    </w:p>
    <w:p>
      <w:pPr>
        <w:spacing w:after="0" w:line="192" w:lineRule="exact"/>
        <w:rPr>
          <w:sz w:val="20"/>
          <w:szCs w:val="20"/>
          <w:color w:val="auto"/>
        </w:rPr>
      </w:pPr>
    </w:p>
    <w:p>
      <w:pPr>
        <w:ind w:left="40" w:right="839"/>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Our success and future revenue depend on our ability to secure design wins and on our customers’ ability to successfully sell the products that incorporate our solutions. Securing design wins is a lengthy, expensive, and competitive process, and may not result in actual orders and sales, which could cause our revenue to decline.</w:t>
      </w:r>
    </w:p>
    <w:p>
      <w:pPr>
        <w:spacing w:after="0" w:line="157" w:lineRule="exact"/>
        <w:rPr>
          <w:sz w:val="20"/>
          <w:szCs w:val="20"/>
          <w:color w:val="auto"/>
        </w:rPr>
      </w:pPr>
    </w:p>
    <w:p>
      <w:pPr>
        <w:ind w:left="40" w:right="119" w:firstLine="324"/>
        <w:spacing w:after="0" w:line="256" w:lineRule="auto"/>
        <w:rPr>
          <w:sz w:val="20"/>
          <w:szCs w:val="20"/>
          <w:color w:val="auto"/>
        </w:rPr>
      </w:pPr>
      <w:r>
        <w:rPr>
          <w:rFonts w:ascii="Times New Roman" w:cs="Times New Roman" w:eastAsia="Times New Roman" w:hAnsi="Times New Roman"/>
          <w:sz w:val="18"/>
          <w:szCs w:val="18"/>
          <w:color w:val="auto"/>
        </w:rPr>
        <w:t>We sell to customers, including OEMs and ODMs, that incorporate MRAM into their products. A design win occurs after a customer has tested our product, verified that it meets the customer’s requirements and qualified our solutions for their products. We believe we are dependent, among other things, on the adoption of our 256Mb and 1Gb MRAM products by our customers to secure design wins. Our customers may need several months to years to test, evaluate, and adopt our product and additional time to begin volume production of the product that incorporates our solution. Due to this generally lengthy design cycle, we may experience significant delays from the time we increase our operating</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0" w:name="page31"/>
    <w:bookmarkEnd w:id="30"/>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0" w:right="199"/>
        <w:spacing w:after="0" w:line="258" w:lineRule="auto"/>
        <w:rPr>
          <w:sz w:val="20"/>
          <w:szCs w:val="20"/>
          <w:color w:val="auto"/>
        </w:rPr>
      </w:pPr>
      <w:r>
        <w:rPr>
          <w:rFonts w:ascii="Times New Roman" w:cs="Times New Roman" w:eastAsia="Times New Roman" w:hAnsi="Times New Roman"/>
          <w:sz w:val="18"/>
          <w:szCs w:val="18"/>
          <w:color w:val="auto"/>
        </w:rPr>
        <w:t>expenses and make investments in our products to the time that we generate revenue from sales of these products. Moreover, even if a customer selects our solution, we cannot guarantee that this will result in any sales of our products, as the customer may ultimately change or cancel its product plans, or efforts by our customer to market and sell its product may not be successful. We may not generate any revenue from design wins after incurring the associated costs, which would cause our business and operating results to suffer.</w:t>
      </w:r>
    </w:p>
    <w:p>
      <w:pPr>
        <w:spacing w:after="0" w:line="183" w:lineRule="exact"/>
        <w:rPr>
          <w:sz w:val="20"/>
          <w:szCs w:val="20"/>
          <w:color w:val="auto"/>
        </w:rPr>
      </w:pPr>
    </w:p>
    <w:p>
      <w:pPr>
        <w:ind w:left="40" w:right="79" w:firstLine="324"/>
        <w:spacing w:after="0" w:line="255" w:lineRule="auto"/>
        <w:rPr>
          <w:sz w:val="20"/>
          <w:szCs w:val="20"/>
          <w:color w:val="auto"/>
        </w:rPr>
      </w:pPr>
      <w:r>
        <w:rPr>
          <w:rFonts w:ascii="Times New Roman" w:cs="Times New Roman" w:eastAsia="Times New Roman" w:hAnsi="Times New Roman"/>
          <w:sz w:val="18"/>
          <w:szCs w:val="18"/>
          <w:color w:val="auto"/>
        </w:rPr>
        <w:t>If a current or prospective customer incorporates a competitor’s solution into its product, it becomes significantly more difficult for us to sell our solutions to that customer because changing suppliers involves significant time, cost, effort, and risk for the customer even if our solutions are superior to other solutions and remain compatible with their product design. Our ability to compete successfully depends on customers viewing us as a stable and reliable supplier to mission-critical customer applications when we have less production capacity and less financial resources compared to most of our larger competitors. If current or prospective customers do not include our solutions in their products and we fail to achieve a sufficient number of design wins, our results of operations and business may be harmed.</w:t>
      </w:r>
    </w:p>
    <w:p>
      <w:pPr>
        <w:spacing w:after="0" w:line="185" w:lineRule="exact"/>
        <w:rPr>
          <w:sz w:val="20"/>
          <w:szCs w:val="20"/>
          <w:color w:val="auto"/>
        </w:rPr>
      </w:pPr>
    </w:p>
    <w:p>
      <w:pPr>
        <w:ind w:left="40" w:right="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loss of one or several of our customers or reduced orders or pricing from existing customers may have a significant adverse effect on our operations and financial results.</w:t>
      </w:r>
    </w:p>
    <w:p>
      <w:pPr>
        <w:spacing w:after="0" w:line="159" w:lineRule="exact"/>
        <w:rPr>
          <w:sz w:val="20"/>
          <w:szCs w:val="20"/>
          <w:color w:val="auto"/>
        </w:rPr>
      </w:pPr>
    </w:p>
    <w:p>
      <w:pPr>
        <w:ind w:left="40" w:right="179" w:firstLine="324"/>
        <w:spacing w:after="0" w:line="254" w:lineRule="auto"/>
        <w:rPr>
          <w:sz w:val="20"/>
          <w:szCs w:val="20"/>
          <w:color w:val="auto"/>
        </w:rPr>
      </w:pPr>
      <w:r>
        <w:rPr>
          <w:rFonts w:ascii="Times New Roman" w:cs="Times New Roman" w:eastAsia="Times New Roman" w:hAnsi="Times New Roman"/>
          <w:sz w:val="18"/>
          <w:szCs w:val="18"/>
          <w:color w:val="auto"/>
        </w:rPr>
        <w:t>We have derived and expect to continue to derive a significant portion of our revenues from a small group of customers during any particular period due in part to the concentration of market share in the semiconductor industry. Our largest end customer accounted for 27% of our total revenue for the nine months ended September 30, 2024. Our two largest end customers together accounted for 22% of our total revenue for the year ended December 31, 2023, and each of those customers individually accounted for more than 10% of our total revenue during the period. The loss of a significant customer, a business combination among our customers, a reduction in orders or decrease in price from a significant customer or disruption in any of our commercial or distributor arrangements may result in a significant decline in our revenues and could have a material adverse effect on our business, liquidity, results of operations, financial condition, and cash flows.</w:t>
      </w:r>
    </w:p>
    <w:p>
      <w:pPr>
        <w:spacing w:after="0" w:line="184" w:lineRule="exact"/>
        <w:rPr>
          <w:sz w:val="20"/>
          <w:szCs w:val="20"/>
          <w:color w:val="auto"/>
        </w:rPr>
      </w:pPr>
    </w:p>
    <w:p>
      <w:pPr>
        <w:ind w:left="40" w:right="5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competition and expect competition to increase in the future. If we fail to compete effectively, our revenue growth and results of operations will be materially and adversely affected.</w:t>
      </w:r>
    </w:p>
    <w:p>
      <w:pPr>
        <w:spacing w:after="0" w:line="159" w:lineRule="exact"/>
        <w:rPr>
          <w:sz w:val="20"/>
          <w:szCs w:val="20"/>
          <w:color w:val="auto"/>
        </w:rPr>
      </w:pPr>
    </w:p>
    <w:p>
      <w:pPr>
        <w:ind w:left="40" w:right="59" w:firstLine="324"/>
        <w:spacing w:after="0" w:line="253" w:lineRule="auto"/>
        <w:rPr>
          <w:sz w:val="20"/>
          <w:szCs w:val="20"/>
          <w:color w:val="auto"/>
        </w:rPr>
      </w:pPr>
      <w:r>
        <w:rPr>
          <w:rFonts w:ascii="Times New Roman" w:cs="Times New Roman" w:eastAsia="Times New Roman" w:hAnsi="Times New Roman"/>
          <w:sz w:val="18"/>
          <w:szCs w:val="18"/>
          <w:color w:val="auto"/>
        </w:rPr>
        <w:t>The global semiconductor market in general, and the semiconductor memory market in particular, are highly competitive. We expect competition to increase and intensify as other semiconductor companies enter our markets, many of which have greater financial and other resources with which to pursue technology development, product design, manufacturing, marketing and sales and distribution of their products. Increased competition could result in price pressure, reduced revenue, and profitability and loss of market share, any of which could materially and adversely affect our business, revenue, and operating results. Currently, our competitors range from large, international companies offering a wide range of traditional memory technologies to companies specializing in other alternative, specialized emerging memory technologies. Our primary memory competitors include Fujitsu, Infineon, Integrated Silicon Solution, Intel, Macronix, Microchip, Micron, Renesas, Samsung, and Toshiba. In addition, as the MRAM market opportunity grows, we expect new entrants may enter this market and existing competitors, including leading semiconductor companies, may make significant investments to compete more effectively against our products. These competitors could develop technologies or architectures that make our products or technologies obsolete.</w:t>
      </w:r>
    </w:p>
    <w:p>
      <w:pPr>
        <w:spacing w:after="0" w:line="19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Our ability to compete successfully depends on factors both within and outside of our control, including:</w:t>
      </w:r>
    </w:p>
    <w:p>
      <w:pPr>
        <w:spacing w:after="0" w:line="225" w:lineRule="exact"/>
        <w:rPr>
          <w:sz w:val="20"/>
          <w:szCs w:val="20"/>
          <w:color w:val="auto"/>
        </w:rPr>
      </w:pPr>
    </w:p>
    <w:p>
      <w:pPr>
        <w:ind w:left="660" w:hanging="292"/>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functionality and performance of our products and those of our competitors;</w:t>
      </w:r>
    </w:p>
    <w:p>
      <w:pPr>
        <w:spacing w:after="0" w:line="225" w:lineRule="exact"/>
        <w:rPr>
          <w:rFonts w:ascii="Times New Roman" w:cs="Times New Roman" w:eastAsia="Times New Roman" w:hAnsi="Times New Roman"/>
          <w:sz w:val="18"/>
          <w:szCs w:val="18"/>
          <w:color w:val="auto"/>
        </w:rPr>
      </w:pPr>
    </w:p>
    <w:p>
      <w:pPr>
        <w:ind w:left="660" w:hanging="292"/>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relationships with our customers and other industry participants;</w:t>
      </w:r>
    </w:p>
    <w:p>
      <w:pPr>
        <w:spacing w:after="0" w:line="225" w:lineRule="exact"/>
        <w:rPr>
          <w:rFonts w:ascii="Times New Roman" w:cs="Times New Roman" w:eastAsia="Times New Roman" w:hAnsi="Times New Roman"/>
          <w:sz w:val="18"/>
          <w:szCs w:val="18"/>
          <w:color w:val="auto"/>
        </w:rPr>
      </w:pPr>
    </w:p>
    <w:p>
      <w:pPr>
        <w:ind w:left="660" w:hanging="292"/>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prices of our products and prices of our competitors’ products;</w:t>
      </w:r>
    </w:p>
    <w:p>
      <w:pPr>
        <w:spacing w:after="0" w:line="225" w:lineRule="exact"/>
        <w:rPr>
          <w:rFonts w:ascii="Times New Roman" w:cs="Times New Roman" w:eastAsia="Times New Roman" w:hAnsi="Times New Roman"/>
          <w:sz w:val="18"/>
          <w:szCs w:val="18"/>
          <w:color w:val="auto"/>
        </w:rPr>
      </w:pPr>
    </w:p>
    <w:p>
      <w:pPr>
        <w:ind w:left="660" w:hanging="292"/>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innovative products;</w:t>
      </w:r>
    </w:p>
    <w:p>
      <w:pPr>
        <w:spacing w:after="0" w:line="225" w:lineRule="exact"/>
        <w:rPr>
          <w:rFonts w:ascii="Times New Roman" w:cs="Times New Roman" w:eastAsia="Times New Roman" w:hAnsi="Times New Roman"/>
          <w:sz w:val="18"/>
          <w:szCs w:val="18"/>
          <w:color w:val="auto"/>
        </w:rPr>
      </w:pPr>
    </w:p>
    <w:p>
      <w:pPr>
        <w:ind w:left="660" w:hanging="292"/>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greater resources to make acquisitions;</w:t>
      </w:r>
    </w:p>
    <w:p>
      <w:pPr>
        <w:spacing w:after="0" w:line="225" w:lineRule="exact"/>
        <w:rPr>
          <w:rFonts w:ascii="Times New Roman" w:cs="Times New Roman" w:eastAsia="Times New Roman" w:hAnsi="Times New Roman"/>
          <w:sz w:val="18"/>
          <w:szCs w:val="18"/>
          <w:color w:val="auto"/>
        </w:rPr>
      </w:pPr>
    </w:p>
    <w:p>
      <w:pPr>
        <w:ind w:left="660" w:hanging="292"/>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adequate capital to finance operations;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1" w:name="page32"/>
    <w:bookmarkEnd w:id="31"/>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660" w:hanging="292"/>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high-level talent, including our management team and engineers; and</w:t>
      </w:r>
    </w:p>
    <w:p>
      <w:pPr>
        <w:spacing w:after="0" w:line="225" w:lineRule="exact"/>
        <w:rPr>
          <w:rFonts w:ascii="Times New Roman" w:cs="Times New Roman" w:eastAsia="Times New Roman" w:hAnsi="Times New Roman"/>
          <w:sz w:val="18"/>
          <w:szCs w:val="18"/>
          <w:color w:val="auto"/>
        </w:rPr>
      </w:pPr>
    </w:p>
    <w:p>
      <w:pPr>
        <w:ind w:left="620" w:right="539" w:hanging="252"/>
        <w:spacing w:after="0" w:line="282" w:lineRule="auto"/>
        <w:tabs>
          <w:tab w:leader="none" w:pos="64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actions of our competitors, including merger and acquisition activity, launches of new products and other actions that could change the competitive landscape.</w:t>
      </w:r>
    </w:p>
    <w:p>
      <w:pPr>
        <w:spacing w:after="0" w:line="162" w:lineRule="exact"/>
        <w:rPr>
          <w:sz w:val="20"/>
          <w:szCs w:val="20"/>
          <w:color w:val="auto"/>
        </w:rPr>
      </w:pPr>
    </w:p>
    <w:p>
      <w:pPr>
        <w:ind w:left="40" w:right="119" w:firstLine="324"/>
        <w:spacing w:after="0" w:line="261" w:lineRule="auto"/>
        <w:rPr>
          <w:sz w:val="20"/>
          <w:szCs w:val="20"/>
          <w:color w:val="auto"/>
        </w:rPr>
      </w:pPr>
      <w:r>
        <w:rPr>
          <w:rFonts w:ascii="Times New Roman" w:cs="Times New Roman" w:eastAsia="Times New Roman" w:hAnsi="Times New Roman"/>
          <w:sz w:val="18"/>
          <w:szCs w:val="18"/>
          <w:color w:val="auto"/>
        </w:rPr>
        <w:t>In the event of a market downturn, competition in the markets in which we operate may intensify as our customers reduce their purchase orders. Our competitors that are significantly larger and have greater financial, technical, marketing, distribution, customer support and other resources or more established market recognition than us may be better positioned to accept lower prices and withstand adverse economic or market conditions.</w:t>
      </w:r>
    </w:p>
    <w:p>
      <w:pPr>
        <w:spacing w:after="0" w:line="176" w:lineRule="exact"/>
        <w:rPr>
          <w:sz w:val="20"/>
          <w:szCs w:val="20"/>
          <w:color w:val="auto"/>
        </w:rPr>
      </w:pPr>
    </w:p>
    <w:p>
      <w:pPr>
        <w:ind w:left="40" w:right="4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costs may increase substantially if we or our third-party manufacturing contractors do not achieve satisfactory product yields or quality.</w:t>
      </w:r>
    </w:p>
    <w:p>
      <w:pPr>
        <w:spacing w:after="0" w:line="159" w:lineRule="exact"/>
        <w:rPr>
          <w:sz w:val="20"/>
          <w:szCs w:val="20"/>
          <w:color w:val="auto"/>
        </w:rPr>
      </w:pPr>
    </w:p>
    <w:p>
      <w:pPr>
        <w:ind w:left="40" w:right="139" w:firstLine="324"/>
        <w:spacing w:after="0" w:line="256" w:lineRule="auto"/>
        <w:rPr>
          <w:sz w:val="20"/>
          <w:szCs w:val="20"/>
          <w:color w:val="auto"/>
        </w:rPr>
      </w:pPr>
      <w:r>
        <w:rPr>
          <w:rFonts w:ascii="Times New Roman" w:cs="Times New Roman" w:eastAsia="Times New Roman" w:hAnsi="Times New Roman"/>
          <w:sz w:val="18"/>
          <w:szCs w:val="18"/>
          <w:color w:val="auto"/>
        </w:rPr>
        <w:t>The fabrication process is extremely complicated and small changes in design, specifications or materials can result in material decreases in product yields or even the suspension of production. From time to time, we and/or the third-party foundries that we contract to manufacture our products may experience manufacturing defects and reduced manufacturing yields. In some cases, we and/or our third-party foundries may not be able to detect these defects early in the fabrication process or determine the cause of such defects in a timely manner. There may be a higher risk of product yield issues in newer STT-MRAM products.</w:t>
      </w:r>
    </w:p>
    <w:p>
      <w:pPr>
        <w:spacing w:after="0" w:line="187" w:lineRule="exact"/>
        <w:rPr>
          <w:sz w:val="20"/>
          <w:szCs w:val="20"/>
          <w:color w:val="auto"/>
        </w:rPr>
      </w:pPr>
    </w:p>
    <w:p>
      <w:pPr>
        <w:ind w:left="40" w:right="159" w:firstLine="324"/>
        <w:spacing w:after="0" w:line="253" w:lineRule="auto"/>
        <w:rPr>
          <w:sz w:val="20"/>
          <w:szCs w:val="20"/>
          <w:color w:val="auto"/>
        </w:rPr>
      </w:pPr>
      <w:r>
        <w:rPr>
          <w:rFonts w:ascii="Times New Roman" w:cs="Times New Roman" w:eastAsia="Times New Roman" w:hAnsi="Times New Roman"/>
          <w:sz w:val="18"/>
          <w:szCs w:val="18"/>
          <w:color w:val="auto"/>
        </w:rPr>
        <w:t>Generally, in pricing our products, we assume that manufacturing yields will continue to improve, even as the complexity of our products increases. Once our products are initially qualified either internally or with our third-party foundries, minimum acceptable yields are established. We are responsible for the costs of the units if the actual yield is above the minimum set with our third-party foundries. If actual yields are below the minimum, we are not required to purchase the units. Typically, minimum acceptable yields for our new products are generally lower at first and gradually improve as we achieve full production but yield issues can occur even in mature processes due to break downs in mechanical systems, equipment failures or calibration errors. Unacceptably low product yields or other product manufacturing problems could substantially increase overall production time and costs and adversely impact our operating results. Product yield losses may also increase our costs and reduce our gross margin. In addition to significantly harming our results of operations and cash flow, poor yields may delay shipment of our products and harm our relationships with existing and potential customers.</w:t>
      </w:r>
    </w:p>
    <w:p>
      <w:pPr>
        <w:spacing w:after="0" w:line="188" w:lineRule="exact"/>
        <w:rPr>
          <w:sz w:val="20"/>
          <w:szCs w:val="20"/>
          <w:color w:val="auto"/>
        </w:rPr>
      </w:pPr>
    </w:p>
    <w:p>
      <w:pPr>
        <w:ind w:left="40" w:right="2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complexity of our products may lead to defects, which could negatively impact our reputation with customers and result in liability.</w:t>
      </w:r>
    </w:p>
    <w:p>
      <w:pPr>
        <w:spacing w:after="0" w:line="159" w:lineRule="exact"/>
        <w:rPr>
          <w:sz w:val="20"/>
          <w:szCs w:val="20"/>
          <w:color w:val="auto"/>
        </w:rPr>
      </w:pPr>
    </w:p>
    <w:p>
      <w:pPr>
        <w:ind w:left="40" w:right="239" w:firstLine="324"/>
        <w:spacing w:after="0" w:line="272" w:lineRule="auto"/>
        <w:rPr>
          <w:sz w:val="20"/>
          <w:szCs w:val="20"/>
          <w:color w:val="auto"/>
        </w:rPr>
      </w:pPr>
      <w:r>
        <w:rPr>
          <w:rFonts w:ascii="Times New Roman" w:cs="Times New Roman" w:eastAsia="Times New Roman" w:hAnsi="Times New Roman"/>
          <w:sz w:val="17"/>
          <w:szCs w:val="17"/>
          <w:color w:val="auto"/>
        </w:rPr>
        <w:t>Products as complex as ours may contain defects when first introduced to customers or as new versions are released. Delivery of products with production defects or reliability, quality or compatibility problems could significantly delay or hinder market acceptance of the products or result in a costly recall and could damage our reputation and adversely affect our ability to retain existing customers and attract new customers. Defects could cause problems with the functionality of our products, resulting in interruptions, delays, or cessation of sales of these products to our customers. We may also be required to make significant expenditures of capital and resources to resolve such problems. We cannot assure our stockholders that problems will not be found in new products, both before and after commencement of commercial production, despite testing by us, our suppliers, or our customers. For example, any such problems could result in:</w:t>
      </w:r>
    </w:p>
    <w:p>
      <w:pPr>
        <w:spacing w:after="0" w:line="172" w:lineRule="exact"/>
        <w:rPr>
          <w:sz w:val="20"/>
          <w:szCs w:val="20"/>
          <w:color w:val="auto"/>
        </w:rPr>
      </w:pPr>
    </w:p>
    <w:p>
      <w:pPr>
        <w:ind w:left="660" w:hanging="292"/>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development, manufacture and roll-out of new products;</w:t>
      </w:r>
    </w:p>
    <w:p>
      <w:pPr>
        <w:spacing w:after="0" w:line="225" w:lineRule="exact"/>
        <w:rPr>
          <w:rFonts w:ascii="Times New Roman" w:cs="Times New Roman" w:eastAsia="Times New Roman" w:hAnsi="Times New Roman"/>
          <w:sz w:val="18"/>
          <w:szCs w:val="18"/>
          <w:color w:val="auto"/>
        </w:rPr>
      </w:pPr>
    </w:p>
    <w:p>
      <w:pPr>
        <w:ind w:left="660" w:hanging="292"/>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development costs;</w:t>
      </w:r>
    </w:p>
    <w:p>
      <w:pPr>
        <w:spacing w:after="0" w:line="225" w:lineRule="exact"/>
        <w:rPr>
          <w:rFonts w:ascii="Times New Roman" w:cs="Times New Roman" w:eastAsia="Times New Roman" w:hAnsi="Times New Roman"/>
          <w:sz w:val="18"/>
          <w:szCs w:val="18"/>
          <w:color w:val="auto"/>
        </w:rPr>
      </w:pPr>
    </w:p>
    <w:p>
      <w:pPr>
        <w:ind w:left="660" w:hanging="292"/>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or delays in, market acceptance;</w:t>
      </w:r>
    </w:p>
    <w:p>
      <w:pPr>
        <w:spacing w:after="0" w:line="225" w:lineRule="exact"/>
        <w:rPr>
          <w:rFonts w:ascii="Times New Roman" w:cs="Times New Roman" w:eastAsia="Times New Roman" w:hAnsi="Times New Roman"/>
          <w:sz w:val="18"/>
          <w:szCs w:val="18"/>
          <w:color w:val="auto"/>
        </w:rPr>
      </w:pPr>
    </w:p>
    <w:p>
      <w:pPr>
        <w:ind w:left="660" w:hanging="292"/>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technical and other resources from our other development efforts;</w:t>
      </w:r>
    </w:p>
    <w:p>
      <w:pPr>
        <w:spacing w:after="0" w:line="225" w:lineRule="exact"/>
        <w:rPr>
          <w:rFonts w:ascii="Times New Roman" w:cs="Times New Roman" w:eastAsia="Times New Roman" w:hAnsi="Times New Roman"/>
          <w:sz w:val="18"/>
          <w:szCs w:val="18"/>
          <w:color w:val="auto"/>
        </w:rPr>
      </w:pPr>
    </w:p>
    <w:p>
      <w:pPr>
        <w:ind w:left="660" w:hanging="292"/>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for damages by our customers or others against us; and</w:t>
      </w:r>
    </w:p>
    <w:p>
      <w:pPr>
        <w:spacing w:after="0" w:line="225" w:lineRule="exact"/>
        <w:rPr>
          <w:rFonts w:ascii="Times New Roman" w:cs="Times New Roman" w:eastAsia="Times New Roman" w:hAnsi="Times New Roman"/>
          <w:sz w:val="18"/>
          <w:szCs w:val="18"/>
          <w:color w:val="auto"/>
        </w:rPr>
      </w:pPr>
    </w:p>
    <w:p>
      <w:pPr>
        <w:ind w:left="660" w:hanging="292"/>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credibility with our current and prospective customers.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Any such event could have a material adverse effect on our business, financial condition, and results of operations.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2" w:name="page33"/>
    <w:bookmarkEnd w:id="32"/>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40" w:right="3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experience difficulties in transitioning to new wafer fabrication process technologies or in achieving higher levels of design integration, which may result in reduced manufacturing yields, delays in product deliveries and increased expenses.</w:t>
      </w:r>
    </w:p>
    <w:p>
      <w:pPr>
        <w:spacing w:after="0" w:line="175" w:lineRule="exact"/>
        <w:rPr>
          <w:sz w:val="20"/>
          <w:szCs w:val="20"/>
          <w:color w:val="auto"/>
        </w:rPr>
      </w:pPr>
    </w:p>
    <w:p>
      <w:pPr>
        <w:ind w:left="40" w:right="59" w:firstLine="324"/>
        <w:spacing w:after="0" w:line="281" w:lineRule="auto"/>
        <w:rPr>
          <w:sz w:val="20"/>
          <w:szCs w:val="20"/>
          <w:color w:val="auto"/>
        </w:rPr>
      </w:pPr>
      <w:r>
        <w:rPr>
          <w:rFonts w:ascii="Times New Roman" w:cs="Times New Roman" w:eastAsia="Times New Roman" w:hAnsi="Times New Roman"/>
          <w:sz w:val="17"/>
          <w:szCs w:val="17"/>
          <w:color w:val="auto"/>
        </w:rPr>
        <w:t>We aim to use the most advanced manufacturing process technology appropriate for our solutions that is available from our third-party foundries. As a result, we periodically evaluate the benefits of migrating our solutions to other technologies to improve performance and reduce costs. These ongoing efforts require us from time to time to modify the manufacturing processes for our products and to redesign some products, which in turn may result in delays in product deliveries.</w:t>
      </w:r>
    </w:p>
    <w:p>
      <w:pPr>
        <w:spacing w:after="0" w:line="164" w:lineRule="exact"/>
        <w:rPr>
          <w:sz w:val="20"/>
          <w:szCs w:val="20"/>
          <w:color w:val="auto"/>
        </w:rPr>
      </w:pPr>
    </w:p>
    <w:p>
      <w:pPr>
        <w:ind w:left="40" w:right="159" w:firstLine="324"/>
        <w:spacing w:after="0" w:line="261" w:lineRule="auto"/>
        <w:rPr>
          <w:sz w:val="20"/>
          <w:szCs w:val="20"/>
          <w:color w:val="auto"/>
        </w:rPr>
      </w:pPr>
      <w:r>
        <w:rPr>
          <w:rFonts w:ascii="Times New Roman" w:cs="Times New Roman" w:eastAsia="Times New Roman" w:hAnsi="Times New Roman"/>
          <w:sz w:val="18"/>
          <w:szCs w:val="18"/>
          <w:color w:val="auto"/>
        </w:rPr>
        <w:t>For example, as smaller line width geometry manufacturing processes become more prevalent, we intend to move our future products to increasingly smaller geometries to integrate greater levels of memory capacity and/or functionality into our products. This transition will require us and our third-party foundries to migrate to new designs and manufacturing processes for smaller geometry products.</w:t>
      </w:r>
    </w:p>
    <w:p>
      <w:pPr>
        <w:spacing w:after="0" w:line="180" w:lineRule="exact"/>
        <w:rPr>
          <w:sz w:val="20"/>
          <w:szCs w:val="20"/>
          <w:color w:val="auto"/>
        </w:rPr>
      </w:pPr>
    </w:p>
    <w:p>
      <w:pPr>
        <w:ind w:left="40" w:right="99" w:firstLine="324"/>
        <w:spacing w:after="0" w:line="255" w:lineRule="auto"/>
        <w:rPr>
          <w:sz w:val="20"/>
          <w:szCs w:val="20"/>
          <w:color w:val="auto"/>
        </w:rPr>
      </w:pPr>
      <w:r>
        <w:rPr>
          <w:rFonts w:ascii="Times New Roman" w:cs="Times New Roman" w:eastAsia="Times New Roman" w:hAnsi="Times New Roman"/>
          <w:sz w:val="18"/>
          <w:szCs w:val="18"/>
          <w:color w:val="auto"/>
        </w:rPr>
        <w:t>We may face difficulties, delays, and increased expense as we transition our products to new processes, and potentially to new foundries. We will depend on our third-party foundries as we transition to new processes. We cannot assure our stockholders that our third-party foundries will be able to effectively manage such transitions or that we will be able to maintain our relationship with our third-party foundries or develop relationships with new third-party foundries. If we or any of our third-party foundries experience significant delays in transitioning to new processes or fail to efficiently implement transitions, we could experience reduced manufacturing yields, delays in product deliveries and increased expenses, any of which could harm our relationships with our customers and our operating results.</w:t>
      </w:r>
    </w:p>
    <w:p>
      <w:pPr>
        <w:spacing w:after="0" w:line="185" w:lineRule="exact"/>
        <w:rPr>
          <w:sz w:val="20"/>
          <w:szCs w:val="20"/>
          <w:color w:val="auto"/>
        </w:rPr>
      </w:pPr>
    </w:p>
    <w:p>
      <w:pPr>
        <w:ind w:left="40" w:right="2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to industry standards and technical requirements relevant to our products and markets could adversely affect our business, results of operations and prospects.</w:t>
      </w:r>
    </w:p>
    <w:p>
      <w:pPr>
        <w:spacing w:after="0" w:line="159" w:lineRule="exact"/>
        <w:rPr>
          <w:sz w:val="20"/>
          <w:szCs w:val="20"/>
          <w:color w:val="auto"/>
        </w:rPr>
      </w:pPr>
    </w:p>
    <w:p>
      <w:pPr>
        <w:ind w:left="40" w:right="59" w:firstLine="324"/>
        <w:spacing w:after="0" w:line="254" w:lineRule="auto"/>
        <w:rPr>
          <w:sz w:val="20"/>
          <w:szCs w:val="20"/>
          <w:color w:val="auto"/>
        </w:rPr>
      </w:pPr>
      <w:r>
        <w:rPr>
          <w:rFonts w:ascii="Times New Roman" w:cs="Times New Roman" w:eastAsia="Times New Roman" w:hAnsi="Times New Roman"/>
          <w:sz w:val="18"/>
          <w:szCs w:val="18"/>
          <w:color w:val="auto"/>
        </w:rPr>
        <w:t>Our products are only a part of larger electronic systems. All products incorporated into these systems must comply with various industry standards and technical requirements created by regulatory bodies or industry participants to operate efficiently together. Industry standards and technical requirements in our markets are evolving and may change significantly over time. For our products, the industry standards are developed by the Joint Electron Device Engineering Council, an industry trade organization. In addition, large industry-leading semiconductor and electronics companies play a significant role in developing standards and technical requirements for the product ecosystems within which our products can be used. Our customers also may design certain specifications and other technical requirements specific to their products and solutions. These technical requirements may change as the customer introduces new or enhanced products and solutions.</w:t>
      </w:r>
    </w:p>
    <w:p>
      <w:pPr>
        <w:spacing w:after="0" w:line="188" w:lineRule="exact"/>
        <w:rPr>
          <w:sz w:val="20"/>
          <w:szCs w:val="20"/>
          <w:color w:val="auto"/>
        </w:rPr>
      </w:pPr>
    </w:p>
    <w:p>
      <w:pPr>
        <w:ind w:left="40" w:right="59" w:firstLine="324"/>
        <w:spacing w:after="0" w:line="254" w:lineRule="auto"/>
        <w:rPr>
          <w:sz w:val="20"/>
          <w:szCs w:val="20"/>
          <w:color w:val="auto"/>
        </w:rPr>
      </w:pPr>
      <w:r>
        <w:rPr>
          <w:rFonts w:ascii="Times New Roman" w:cs="Times New Roman" w:eastAsia="Times New Roman" w:hAnsi="Times New Roman"/>
          <w:sz w:val="18"/>
          <w:szCs w:val="18"/>
          <w:color w:val="auto"/>
        </w:rPr>
        <w:t>Our ability to compete in the future will depend on our ability to identify and comply with evolving industry standards and technical requirements. The emergence of new industry standards and technical requirements could render our products incompatible with products developed by other suppliers or make it difficult for our products to meet the requirements of certain of our customers in automotive, transportation, industrial, data storage, and other markets. As a result, we could be required to invest significant time and effort and to incur significant expense to redesign our products to ensure compliance with relevant standards and requirements. If our products are not in compliance with prevailing industry standards and technical requirements for a significant period of time, we could miss opportunities to achieve crucial design wins, our revenue may decline and we may incur significant expenses to redesign our products to meet the relevant standards, which could adversely affect our business, results of operations and prospects.</w:t>
      </w:r>
    </w:p>
    <w:p>
      <w:pPr>
        <w:spacing w:after="0" w:line="184" w:lineRule="exact"/>
        <w:rPr>
          <w:sz w:val="20"/>
          <w:szCs w:val="20"/>
          <w:color w:val="auto"/>
        </w:rPr>
      </w:pPr>
    </w:p>
    <w:p>
      <w:pPr>
        <w:ind w:left="40" w:right="2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success depends on our ability to attract and retain key employees, and our failure to do so could harm our ability to grow our business and execute our business strategies.</w:t>
      </w:r>
    </w:p>
    <w:p>
      <w:pPr>
        <w:spacing w:after="0" w:line="159" w:lineRule="exact"/>
        <w:rPr>
          <w:sz w:val="20"/>
          <w:szCs w:val="20"/>
          <w:color w:val="auto"/>
        </w:rPr>
      </w:pPr>
    </w:p>
    <w:p>
      <w:pPr>
        <w:ind w:left="40" w:right="99" w:firstLine="324"/>
        <w:spacing w:after="0" w:line="255" w:lineRule="auto"/>
        <w:rPr>
          <w:sz w:val="20"/>
          <w:szCs w:val="20"/>
          <w:color w:val="auto"/>
        </w:rPr>
      </w:pPr>
      <w:r>
        <w:rPr>
          <w:rFonts w:ascii="Times New Roman" w:cs="Times New Roman" w:eastAsia="Times New Roman" w:hAnsi="Times New Roman"/>
          <w:sz w:val="18"/>
          <w:szCs w:val="18"/>
          <w:color w:val="auto"/>
        </w:rPr>
        <w:t>Our success depends on our ability to attract and retain our key employees, including our management team and experienced engineers. Competition for personnel in the semiconductor memory technology field, and in the MRAM space in particular, is intense, and the availability of suitable and qualified candidates is limited. We compete to attract and retain qualified research and development personnel with other semiconductor companies, universities, and research institutions. Given our experience as an early entrant in the MRAM space, our employees are frequently contacted by MRAM startups and MRAM groups within larger companies seeking to employ them. The members of our management and our key employees are at-will. If we lose the services of any key senior management member or employee, we may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3" w:name="page34"/>
    <w:bookmarkEnd w:id="33"/>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0" w:right="159"/>
        <w:spacing w:after="0" w:line="261" w:lineRule="auto"/>
        <w:rPr>
          <w:sz w:val="20"/>
          <w:szCs w:val="20"/>
          <w:color w:val="auto"/>
        </w:rPr>
      </w:pPr>
      <w:r>
        <w:rPr>
          <w:rFonts w:ascii="Times New Roman" w:cs="Times New Roman" w:eastAsia="Times New Roman" w:hAnsi="Times New Roman"/>
          <w:sz w:val="18"/>
          <w:szCs w:val="18"/>
          <w:color w:val="auto"/>
        </w:rPr>
        <w:t>not be able to locate suitable or qualified replacements, and may incur additional expenses to recruit and train new personnel, which could severely impact our business and prospects. The loss of the services of one or more of our key employees, especially our key engineers, or our inability to attract and retain qualified engineers, could harm our business, financial condition, and results of operations.</w:t>
      </w:r>
    </w:p>
    <w:p>
      <w:pPr>
        <w:spacing w:after="0" w:line="176" w:lineRule="exact"/>
        <w:rPr>
          <w:sz w:val="20"/>
          <w:szCs w:val="20"/>
          <w:color w:val="auto"/>
        </w:rPr>
      </w:pPr>
    </w:p>
    <w:p>
      <w:pPr>
        <w:ind w:left="4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currently maintain and are seeking to expand operations outside of the United States which exposes us to significant risks.</w:t>
      </w:r>
    </w:p>
    <w:p>
      <w:pPr>
        <w:spacing w:after="0" w:line="159" w:lineRule="exact"/>
        <w:rPr>
          <w:sz w:val="20"/>
          <w:szCs w:val="20"/>
          <w:color w:val="auto"/>
        </w:rPr>
      </w:pPr>
    </w:p>
    <w:p>
      <w:pPr>
        <w:ind w:left="40" w:right="119" w:firstLine="324"/>
        <w:spacing w:after="0" w:line="261" w:lineRule="auto"/>
        <w:rPr>
          <w:sz w:val="20"/>
          <w:szCs w:val="20"/>
          <w:color w:val="auto"/>
        </w:rPr>
      </w:pPr>
      <w:r>
        <w:rPr>
          <w:rFonts w:ascii="Times New Roman" w:cs="Times New Roman" w:eastAsia="Times New Roman" w:hAnsi="Times New Roman"/>
          <w:sz w:val="18"/>
          <w:szCs w:val="18"/>
          <w:color w:val="auto"/>
        </w:rPr>
        <w:t>The success of our business depends, in large part, on our ability to operate successfully from geographically disparate locations and to further expand our international operations and sales. Operating in international markets</w:t>
      </w:r>
    </w:p>
    <w:p>
      <w:pPr>
        <w:ind w:left="40" w:right="79"/>
        <w:spacing w:after="0" w:line="252" w:lineRule="auto"/>
        <w:rPr>
          <w:sz w:val="20"/>
          <w:szCs w:val="20"/>
          <w:color w:val="auto"/>
        </w:rPr>
      </w:pPr>
      <w:r>
        <w:rPr>
          <w:rFonts w:ascii="Times New Roman" w:cs="Times New Roman" w:eastAsia="Times New Roman" w:hAnsi="Times New Roman"/>
          <w:sz w:val="18"/>
          <w:szCs w:val="18"/>
          <w:color w:val="auto"/>
        </w:rPr>
        <w:t>requires significant resources and management attention and subjects us to regulatory, economic, and political risks that are different from those we face in the United States. We cannot be sure that further international expansion will be successful. In addition, we face risks in doing business internationally that could expose us to reduced demand for our products, lower prices for our products or other adverse effects on our operating results. The success and profitability, as well as the expansion, of our international operations are subject to numerous risks and uncertainties, many of which are outside of our control, such as the following:</w:t>
      </w:r>
    </w:p>
    <w:p>
      <w:pPr>
        <w:spacing w:after="0" w:line="190" w:lineRule="exact"/>
        <w:rPr>
          <w:sz w:val="20"/>
          <w:szCs w:val="20"/>
          <w:color w:val="auto"/>
        </w:rPr>
      </w:pPr>
    </w:p>
    <w:p>
      <w:pPr>
        <w:jc w:val="both"/>
        <w:ind w:left="620" w:right="599" w:hanging="252"/>
        <w:spacing w:after="0" w:line="266" w:lineRule="auto"/>
        <w:tabs>
          <w:tab w:leader="none" w:pos="65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health issues, such as pandemics and epidemics, which can result in varying impacts to our business, employees, partners, customers, distributors or suppliers internationally as discussed elsewhere in this “Risk Factors” section;</w:t>
      </w:r>
    </w:p>
    <w:p>
      <w:pPr>
        <w:spacing w:after="0" w:line="175" w:lineRule="exact"/>
        <w:rPr>
          <w:rFonts w:ascii="Times New Roman" w:cs="Times New Roman" w:eastAsia="Times New Roman" w:hAnsi="Times New Roman"/>
          <w:sz w:val="18"/>
          <w:szCs w:val="18"/>
          <w:color w:val="auto"/>
        </w:rPr>
      </w:pPr>
    </w:p>
    <w:p>
      <w:pPr>
        <w:ind w:left="660" w:hanging="292"/>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inefficiencies and costs associated with staffing and managing foreign operations;</w:t>
      </w:r>
    </w:p>
    <w:p>
      <w:pPr>
        <w:spacing w:after="0" w:line="225" w:lineRule="exact"/>
        <w:rPr>
          <w:rFonts w:ascii="Times New Roman" w:cs="Times New Roman" w:eastAsia="Times New Roman" w:hAnsi="Times New Roman"/>
          <w:sz w:val="18"/>
          <w:szCs w:val="18"/>
          <w:color w:val="auto"/>
        </w:rPr>
      </w:pPr>
    </w:p>
    <w:p>
      <w:pPr>
        <w:ind w:left="660" w:hanging="292"/>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and more difficult customer qualification and credit checks;</w:t>
      </w:r>
    </w:p>
    <w:p>
      <w:pPr>
        <w:spacing w:after="0" w:line="225" w:lineRule="exact"/>
        <w:rPr>
          <w:rFonts w:ascii="Times New Roman" w:cs="Times New Roman" w:eastAsia="Times New Roman" w:hAnsi="Times New Roman"/>
          <w:sz w:val="18"/>
          <w:szCs w:val="18"/>
          <w:color w:val="auto"/>
        </w:rPr>
      </w:pPr>
    </w:p>
    <w:p>
      <w:pPr>
        <w:ind w:left="660" w:hanging="292"/>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difficulty collecting accounts receivable and longer payment cycles;</w:t>
      </w:r>
    </w:p>
    <w:p>
      <w:pPr>
        <w:spacing w:after="0" w:line="225" w:lineRule="exact"/>
        <w:rPr>
          <w:rFonts w:ascii="Times New Roman" w:cs="Times New Roman" w:eastAsia="Times New Roman" w:hAnsi="Times New Roman"/>
          <w:sz w:val="18"/>
          <w:szCs w:val="18"/>
          <w:color w:val="auto"/>
        </w:rPr>
      </w:pPr>
    </w:p>
    <w:p>
      <w:pPr>
        <w:ind w:left="660" w:hanging="292"/>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for various local approvals to operate in some countries;</w:t>
      </w:r>
    </w:p>
    <w:p>
      <w:pPr>
        <w:spacing w:after="0" w:line="225" w:lineRule="exact"/>
        <w:rPr>
          <w:rFonts w:ascii="Times New Roman" w:cs="Times New Roman" w:eastAsia="Times New Roman" w:hAnsi="Times New Roman"/>
          <w:sz w:val="18"/>
          <w:szCs w:val="18"/>
          <w:color w:val="auto"/>
        </w:rPr>
      </w:pPr>
    </w:p>
    <w:p>
      <w:pPr>
        <w:ind w:left="660" w:hanging="292"/>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entering some foreign markets without larger-scale local operations;</w:t>
      </w:r>
    </w:p>
    <w:p>
      <w:pPr>
        <w:spacing w:after="0" w:line="225" w:lineRule="exact"/>
        <w:rPr>
          <w:rFonts w:ascii="Times New Roman" w:cs="Times New Roman" w:eastAsia="Times New Roman" w:hAnsi="Times New Roman"/>
          <w:sz w:val="18"/>
          <w:szCs w:val="18"/>
          <w:color w:val="auto"/>
        </w:rPr>
      </w:pPr>
    </w:p>
    <w:p>
      <w:pPr>
        <w:ind w:left="620" w:right="579" w:hanging="252"/>
        <w:spacing w:after="0" w:line="282" w:lineRule="auto"/>
        <w:tabs>
          <w:tab w:leader="none" w:pos="65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import/export laws, trade restrictions, regulations and customs and duties and tariffs (foreign and domestic);</w:t>
      </w:r>
    </w:p>
    <w:p>
      <w:pPr>
        <w:spacing w:after="0" w:line="161" w:lineRule="exact"/>
        <w:rPr>
          <w:rFonts w:ascii="Times New Roman" w:cs="Times New Roman" w:eastAsia="Times New Roman" w:hAnsi="Times New Roman"/>
          <w:sz w:val="18"/>
          <w:szCs w:val="18"/>
          <w:color w:val="auto"/>
        </w:rPr>
      </w:pPr>
    </w:p>
    <w:p>
      <w:pPr>
        <w:ind w:left="660" w:hanging="292"/>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local laws and regulations;</w:t>
      </w:r>
    </w:p>
    <w:p>
      <w:pPr>
        <w:spacing w:after="0" w:line="225" w:lineRule="exact"/>
        <w:rPr>
          <w:rFonts w:ascii="Times New Roman" w:cs="Times New Roman" w:eastAsia="Times New Roman" w:hAnsi="Times New Roman"/>
          <w:sz w:val="18"/>
          <w:szCs w:val="18"/>
          <w:color w:val="auto"/>
        </w:rPr>
      </w:pPr>
    </w:p>
    <w:p>
      <w:pPr>
        <w:ind w:left="660" w:hanging="292"/>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changes in regulatory requirements, including the elimination of tax holidays;</w:t>
      </w:r>
    </w:p>
    <w:p>
      <w:pPr>
        <w:spacing w:after="0" w:line="225" w:lineRule="exact"/>
        <w:rPr>
          <w:rFonts w:ascii="Times New Roman" w:cs="Times New Roman" w:eastAsia="Times New Roman" w:hAnsi="Times New Roman"/>
          <w:sz w:val="18"/>
          <w:szCs w:val="18"/>
          <w:color w:val="auto"/>
        </w:rPr>
      </w:pPr>
    </w:p>
    <w:p>
      <w:pPr>
        <w:ind w:left="660" w:hanging="292"/>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protection for intellectual property rights in some countries;</w:t>
      </w:r>
    </w:p>
    <w:p>
      <w:pPr>
        <w:spacing w:after="0" w:line="225" w:lineRule="exact"/>
        <w:rPr>
          <w:rFonts w:ascii="Times New Roman" w:cs="Times New Roman" w:eastAsia="Times New Roman" w:hAnsi="Times New Roman"/>
          <w:sz w:val="18"/>
          <w:szCs w:val="18"/>
          <w:color w:val="auto"/>
        </w:rPr>
      </w:pPr>
    </w:p>
    <w:p>
      <w:pPr>
        <w:ind w:left="660" w:hanging="292"/>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tax consequences as a result of repatriating cash generated from foreign operations to the United States;</w:t>
      </w:r>
    </w:p>
    <w:p>
      <w:pPr>
        <w:spacing w:after="0" w:line="225" w:lineRule="exact"/>
        <w:rPr>
          <w:rFonts w:ascii="Times New Roman" w:cs="Times New Roman" w:eastAsia="Times New Roman" w:hAnsi="Times New Roman"/>
          <w:sz w:val="18"/>
          <w:szCs w:val="18"/>
          <w:color w:val="auto"/>
        </w:rPr>
      </w:pPr>
    </w:p>
    <w:p>
      <w:pPr>
        <w:ind w:left="620" w:right="519" w:hanging="252"/>
        <w:spacing w:after="0" w:line="282" w:lineRule="auto"/>
        <w:tabs>
          <w:tab w:leader="none" w:pos="65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tax consequences, including potential additional tax exposure if we are deemed to have established a permanent establishment outside of the United States;</w:t>
      </w:r>
    </w:p>
    <w:p>
      <w:pPr>
        <w:spacing w:after="0" w:line="161" w:lineRule="exact"/>
        <w:rPr>
          <w:rFonts w:ascii="Times New Roman" w:cs="Times New Roman" w:eastAsia="Times New Roman" w:hAnsi="Times New Roman"/>
          <w:sz w:val="18"/>
          <w:szCs w:val="18"/>
          <w:color w:val="auto"/>
        </w:rPr>
      </w:pPr>
    </w:p>
    <w:p>
      <w:pPr>
        <w:ind w:left="620" w:right="139" w:hanging="252"/>
        <w:spacing w:after="0" w:line="282" w:lineRule="auto"/>
        <w:tabs>
          <w:tab w:leader="none" w:pos="65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policies and procedures designed to ensure compliance with the Foreign Corrupt Practices Act of 1977 and similar regulations;</w:t>
      </w:r>
    </w:p>
    <w:p>
      <w:pPr>
        <w:spacing w:after="0" w:line="161" w:lineRule="exact"/>
        <w:rPr>
          <w:rFonts w:ascii="Times New Roman" w:cs="Times New Roman" w:eastAsia="Times New Roman" w:hAnsi="Times New Roman"/>
          <w:sz w:val="18"/>
          <w:szCs w:val="18"/>
          <w:color w:val="auto"/>
        </w:rPr>
      </w:pPr>
    </w:p>
    <w:p>
      <w:pPr>
        <w:ind w:left="620" w:right="119" w:hanging="252"/>
        <w:spacing w:after="0" w:line="261" w:lineRule="auto"/>
        <w:tabs>
          <w:tab w:leader="none" w:pos="60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currency exchange rates, which could increase the prices of our products to customers outside of the United States, increase the expenses of our international operations by reducing the purchasing power of the U.S. dollar and expose us to foreign currency exchange rate risk if, in the future, we denominate our international sales in currencies other than the U.S. dollar;</w:t>
      </w:r>
    </w:p>
    <w:p>
      <w:pPr>
        <w:spacing w:after="0" w:line="179" w:lineRule="exact"/>
        <w:rPr>
          <w:rFonts w:ascii="Times New Roman" w:cs="Times New Roman" w:eastAsia="Times New Roman" w:hAnsi="Times New Roman"/>
          <w:sz w:val="18"/>
          <w:szCs w:val="18"/>
          <w:color w:val="auto"/>
        </w:rPr>
      </w:pPr>
    </w:p>
    <w:p>
      <w:pPr>
        <w:ind w:left="660" w:hanging="292"/>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and different sources of competition;</w:t>
      </w:r>
    </w:p>
    <w:p>
      <w:pPr>
        <w:spacing w:after="0" w:line="225" w:lineRule="exact"/>
        <w:rPr>
          <w:rFonts w:ascii="Times New Roman" w:cs="Times New Roman" w:eastAsia="Times New Roman" w:hAnsi="Times New Roman"/>
          <w:sz w:val="18"/>
          <w:szCs w:val="18"/>
          <w:color w:val="auto"/>
        </w:rPr>
      </w:pPr>
    </w:p>
    <w:p>
      <w:pPr>
        <w:ind w:left="660" w:hanging="292"/>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economic, and social instability;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4" w:name="page35"/>
    <w:bookmarkEnd w:id="34"/>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620" w:right="539" w:hanging="252"/>
        <w:spacing w:after="0" w:line="282" w:lineRule="auto"/>
        <w:tabs>
          <w:tab w:leader="none" w:pos="65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terrorism and acts of war, such as ongoing military conflict between Russia and Ukraine, which could have a negative impact on the operations of our business or the businesses of our customers; and</w:t>
      </w:r>
    </w:p>
    <w:p>
      <w:pPr>
        <w:spacing w:after="0" w:line="161" w:lineRule="exact"/>
        <w:rPr>
          <w:rFonts w:ascii="Times New Roman" w:cs="Times New Roman" w:eastAsia="Times New Roman" w:hAnsi="Times New Roman"/>
          <w:sz w:val="18"/>
          <w:szCs w:val="18"/>
          <w:color w:val="auto"/>
        </w:rPr>
      </w:pPr>
    </w:p>
    <w:p>
      <w:pPr>
        <w:ind w:left="620" w:right="439" w:hanging="252"/>
        <w:spacing w:after="0" w:line="282" w:lineRule="auto"/>
        <w:tabs>
          <w:tab w:leader="none" w:pos="649"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Department of Commerce regulations or restrictions on exports of certain semiconductor technologies and equipment to China.</w:t>
      </w:r>
    </w:p>
    <w:p>
      <w:pPr>
        <w:spacing w:after="0" w:line="16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Our failure to manage any of these risks successfully could harm our operations and reduce our revenue.</w:t>
      </w:r>
    </w:p>
    <w:p>
      <w:pPr>
        <w:spacing w:after="0" w:line="200" w:lineRule="exact"/>
        <w:rPr>
          <w:sz w:val="20"/>
          <w:szCs w:val="20"/>
          <w:color w:val="auto"/>
        </w:rPr>
      </w:pPr>
    </w:p>
    <w:p>
      <w:pPr>
        <w:spacing w:after="0" w:line="2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Risk Factors Related to Our Intellectual Property and Technology</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Failure to protect our intellectual property could substantially harm our business.</w:t>
      </w:r>
    </w:p>
    <w:p>
      <w:pPr>
        <w:spacing w:after="0" w:line="229" w:lineRule="exact"/>
        <w:rPr>
          <w:sz w:val="20"/>
          <w:szCs w:val="20"/>
          <w:color w:val="auto"/>
        </w:rPr>
      </w:pPr>
    </w:p>
    <w:p>
      <w:pPr>
        <w:ind w:left="40" w:right="59" w:firstLine="324"/>
        <w:spacing w:after="0" w:line="253" w:lineRule="auto"/>
        <w:rPr>
          <w:sz w:val="20"/>
          <w:szCs w:val="20"/>
          <w:color w:val="auto"/>
        </w:rPr>
      </w:pPr>
      <w:r>
        <w:rPr>
          <w:rFonts w:ascii="Times New Roman" w:cs="Times New Roman" w:eastAsia="Times New Roman" w:hAnsi="Times New Roman"/>
          <w:sz w:val="18"/>
          <w:szCs w:val="18"/>
          <w:color w:val="auto"/>
        </w:rPr>
        <w:t>Our success and ability to compete depend in part upon our ability to protect our intellectual property. We rely on a combination of intellectual property rights, including patents, mask work protection, copyrights, trademarks, trade secrets and know-how, in the United States and other jurisdictions. The steps we take to protect our intellectual property rights may not be adequate, particularly in foreign jurisdictions such as China. Any patents we hold may not adequately protect our intellectual property rights or our products against competitors, and third parties may challenge the scope, validity, or enforceability of our issued patents, which third parties may have significantly more financial resources with which to litigate their claims than we have to defend against them. In addition, other parties may independently develop similar or competing technologies designed around any patents or patent applications that we hold. Some of our products and technologies are not covered by any patent or patent application, as we do not believe patent protection of these products and technologies is critical to our business strategy at this time. A failure to timely seek patent protection on products or technologies generally precludes us from seeking future patent protection on these products or technologies.</w:t>
      </w:r>
    </w:p>
    <w:p>
      <w:pPr>
        <w:spacing w:after="0" w:line="192" w:lineRule="exact"/>
        <w:rPr>
          <w:sz w:val="20"/>
          <w:szCs w:val="20"/>
          <w:color w:val="auto"/>
        </w:rPr>
      </w:pPr>
    </w:p>
    <w:p>
      <w:pPr>
        <w:jc w:val="both"/>
        <w:ind w:left="40" w:right="259" w:firstLine="324"/>
        <w:spacing w:after="0" w:line="258" w:lineRule="auto"/>
        <w:rPr>
          <w:sz w:val="20"/>
          <w:szCs w:val="20"/>
          <w:color w:val="auto"/>
        </w:rPr>
      </w:pPr>
      <w:r>
        <w:rPr>
          <w:rFonts w:ascii="Times New Roman" w:cs="Times New Roman" w:eastAsia="Times New Roman" w:hAnsi="Times New Roman"/>
          <w:sz w:val="18"/>
          <w:szCs w:val="18"/>
          <w:color w:val="auto"/>
        </w:rPr>
        <w:t>In addition to patents, we also rely on contractual protections with our customers, suppliers, distributors, employees, and consultants, and we implement security measures designed to protect our trade secrets and know-how. However, we cannot assure our stockholders that these contractual protections and security measures will not be breached, that we will have adequate remedies for any such breach or that our customers, suppliers, distributors, employees, or consultants will not assert rights to intellectual property or damages arising out of such contracts.</w:t>
      </w:r>
    </w:p>
    <w:p>
      <w:pPr>
        <w:spacing w:after="0" w:line="183" w:lineRule="exact"/>
        <w:rPr>
          <w:sz w:val="20"/>
          <w:szCs w:val="20"/>
          <w:color w:val="auto"/>
        </w:rPr>
      </w:pPr>
    </w:p>
    <w:p>
      <w:pPr>
        <w:ind w:left="40" w:right="99" w:firstLine="324"/>
        <w:spacing w:after="0" w:line="255" w:lineRule="auto"/>
        <w:rPr>
          <w:sz w:val="20"/>
          <w:szCs w:val="20"/>
          <w:color w:val="auto"/>
        </w:rPr>
      </w:pPr>
      <w:r>
        <w:rPr>
          <w:rFonts w:ascii="Times New Roman" w:cs="Times New Roman" w:eastAsia="Times New Roman" w:hAnsi="Times New Roman"/>
          <w:sz w:val="18"/>
          <w:szCs w:val="18"/>
          <w:color w:val="auto"/>
        </w:rPr>
        <w:t>We may initiate claims against third parties to protect our intellectual property rights if we are unable to resolve matters satisfactorily through negotiation. Litigation brought to protect and enforce our intellectual property rights could be costly, time-consuming, and distracting to management. It could also result in the impairment or loss of portions of our intellectual property, as an adverse decision could limit our ability to assert our intellectual property rights, limit the value of our technology or otherwise negatively impact our business, financial condition, and results of operations. Additionally, any enforcement of our patents or other intellectual property may provoke third parties to assert counterclaims against us. Our failure to secure, protect and enforce our intellectual property rights could materially harm our business.</w:t>
      </w:r>
    </w:p>
    <w:p>
      <w:pPr>
        <w:spacing w:after="0" w:line="185" w:lineRule="exact"/>
        <w:rPr>
          <w:sz w:val="20"/>
          <w:szCs w:val="20"/>
          <w:color w:val="auto"/>
        </w:rPr>
      </w:pPr>
    </w:p>
    <w:p>
      <w:pPr>
        <w:ind w:left="40" w:right="3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face claims of intellectual property infringement, which could be time-consuming, costly to defend or settle, result in the loss of significant rights, harm our relationships with our customers and distributors, or otherwise materially adversely affect our business, financial condition, and results of operations.</w:t>
      </w:r>
    </w:p>
    <w:p>
      <w:pPr>
        <w:spacing w:after="0" w:line="175" w:lineRule="exact"/>
        <w:rPr>
          <w:sz w:val="20"/>
          <w:szCs w:val="20"/>
          <w:color w:val="auto"/>
        </w:rPr>
      </w:pPr>
    </w:p>
    <w:p>
      <w:pPr>
        <w:ind w:left="40" w:right="139" w:firstLine="324"/>
        <w:spacing w:after="0" w:line="256" w:lineRule="auto"/>
        <w:rPr>
          <w:sz w:val="20"/>
          <w:szCs w:val="20"/>
          <w:color w:val="auto"/>
        </w:rPr>
      </w:pPr>
      <w:r>
        <w:rPr>
          <w:rFonts w:ascii="Times New Roman" w:cs="Times New Roman" w:eastAsia="Times New Roman" w:hAnsi="Times New Roman"/>
          <w:sz w:val="18"/>
          <w:szCs w:val="18"/>
          <w:color w:val="auto"/>
        </w:rPr>
        <w:t>The semiconductor memory industry is characterized by companies that hold patents and other intellectual property rights and that vigorously pursue, protect, and enforce intellectual property rights. These companies include patent holding companies or other adverse patent owners who have no relevant product revenue and against whom our own patents may provide little or no deterrence. From time to time, third parties may assert against us and our customers’ patent and other intellectual property rights to technologies that are important to our business. We have in the past, and may in the future, face such claims.</w:t>
      </w:r>
    </w:p>
    <w:p>
      <w:pPr>
        <w:spacing w:after="0" w:line="187" w:lineRule="exact"/>
        <w:rPr>
          <w:sz w:val="20"/>
          <w:szCs w:val="20"/>
          <w:color w:val="auto"/>
        </w:rPr>
      </w:pPr>
    </w:p>
    <w:p>
      <w:pPr>
        <w:ind w:left="40" w:right="79" w:firstLine="324"/>
        <w:spacing w:after="0" w:line="256" w:lineRule="auto"/>
        <w:rPr>
          <w:sz w:val="20"/>
          <w:szCs w:val="20"/>
          <w:color w:val="auto"/>
        </w:rPr>
      </w:pPr>
      <w:r>
        <w:rPr>
          <w:rFonts w:ascii="Times New Roman" w:cs="Times New Roman" w:eastAsia="Times New Roman" w:hAnsi="Times New Roman"/>
          <w:sz w:val="18"/>
          <w:szCs w:val="18"/>
          <w:color w:val="auto"/>
        </w:rPr>
        <w:t>Claims that our products, processes, or technology infringe third-party intellectual property rights, regardless of their merit or resolution, could be costly to defend or settle and could divert the efforts and attention of our management and technical personnel. We may also be obligated to indemnify our customers or business partners in connection with any such litigation, which could result in increased costs. Infringement claims also could harm our relationships with our customers or distributors and might deter future customers from doing business with us. If any such proceedings result in an adverse outcome, we could be required to:</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5" w:name="page36"/>
    <w:bookmarkEnd w:id="35"/>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660" w:hanging="292"/>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cease the manufacture, use or sale of the infringing products, processes or technology;</w:t>
      </w:r>
    </w:p>
    <w:p>
      <w:pPr>
        <w:spacing w:after="0" w:line="225" w:lineRule="exact"/>
        <w:rPr>
          <w:rFonts w:ascii="Times New Roman" w:cs="Times New Roman" w:eastAsia="Times New Roman" w:hAnsi="Times New Roman"/>
          <w:sz w:val="18"/>
          <w:szCs w:val="18"/>
          <w:color w:val="auto"/>
        </w:rPr>
      </w:pPr>
    </w:p>
    <w:p>
      <w:pPr>
        <w:ind w:left="660" w:hanging="292"/>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substantial damages for infringement;</w:t>
      </w:r>
    </w:p>
    <w:p>
      <w:pPr>
        <w:spacing w:after="0" w:line="225" w:lineRule="exact"/>
        <w:rPr>
          <w:rFonts w:ascii="Times New Roman" w:cs="Times New Roman" w:eastAsia="Times New Roman" w:hAnsi="Times New Roman"/>
          <w:sz w:val="18"/>
          <w:szCs w:val="18"/>
          <w:color w:val="auto"/>
        </w:rPr>
      </w:pPr>
    </w:p>
    <w:p>
      <w:pPr>
        <w:ind w:left="620" w:right="579" w:hanging="252"/>
        <w:spacing w:after="0" w:line="282" w:lineRule="auto"/>
        <w:tabs>
          <w:tab w:leader="none" w:pos="649"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expend significant resources to develop non-infringing products, processes or technology, which may not be successful;</w:t>
      </w:r>
    </w:p>
    <w:p>
      <w:pPr>
        <w:spacing w:after="0" w:line="161" w:lineRule="exact"/>
        <w:rPr>
          <w:rFonts w:ascii="Times New Roman" w:cs="Times New Roman" w:eastAsia="Times New Roman" w:hAnsi="Times New Roman"/>
          <w:sz w:val="18"/>
          <w:szCs w:val="18"/>
          <w:color w:val="auto"/>
        </w:rPr>
      </w:pPr>
    </w:p>
    <w:p>
      <w:pPr>
        <w:ind w:left="620" w:right="1059" w:hanging="252"/>
        <w:spacing w:after="0" w:line="282" w:lineRule="auto"/>
        <w:tabs>
          <w:tab w:leader="none" w:pos="649"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 technology from the third-party claiming infringement, which license may not be available on commercially reasonable terms, or at all;</w:t>
      </w:r>
    </w:p>
    <w:p>
      <w:pPr>
        <w:spacing w:after="0" w:line="161" w:lineRule="exact"/>
        <w:rPr>
          <w:rFonts w:ascii="Times New Roman" w:cs="Times New Roman" w:eastAsia="Times New Roman" w:hAnsi="Times New Roman"/>
          <w:sz w:val="18"/>
          <w:szCs w:val="18"/>
          <w:color w:val="auto"/>
        </w:rPr>
      </w:pPr>
    </w:p>
    <w:p>
      <w:pPr>
        <w:ind w:left="620" w:right="239" w:hanging="252"/>
        <w:spacing w:after="0" w:line="282" w:lineRule="auto"/>
        <w:tabs>
          <w:tab w:leader="none" w:pos="649"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cross-license our technology to a competitor to resolve an infringement claim, which could weaken our ability to compete with that competitor; or</w:t>
      </w:r>
    </w:p>
    <w:p>
      <w:pPr>
        <w:spacing w:after="0" w:line="161" w:lineRule="exact"/>
        <w:rPr>
          <w:rFonts w:ascii="Times New Roman" w:cs="Times New Roman" w:eastAsia="Times New Roman" w:hAnsi="Times New Roman"/>
          <w:sz w:val="18"/>
          <w:szCs w:val="18"/>
          <w:color w:val="auto"/>
        </w:rPr>
      </w:pPr>
    </w:p>
    <w:p>
      <w:pPr>
        <w:ind w:left="620" w:right="379" w:hanging="252"/>
        <w:spacing w:after="0" w:line="282" w:lineRule="auto"/>
        <w:tabs>
          <w:tab w:leader="none" w:pos="649"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substantial damages to our customers to discontinue their use of or to replace infringing technology sold to them with non-infringing technology, if available.</w:t>
      </w:r>
    </w:p>
    <w:p>
      <w:pPr>
        <w:spacing w:after="0" w:line="162" w:lineRule="exact"/>
        <w:rPr>
          <w:sz w:val="20"/>
          <w:szCs w:val="20"/>
          <w:color w:val="auto"/>
        </w:rPr>
      </w:pPr>
    </w:p>
    <w:p>
      <w:pPr>
        <w:ind w:left="40" w:right="79" w:firstLine="324"/>
        <w:spacing w:after="0" w:line="256" w:lineRule="auto"/>
        <w:rPr>
          <w:sz w:val="20"/>
          <w:szCs w:val="20"/>
          <w:color w:val="auto"/>
        </w:rPr>
      </w:pPr>
      <w:r>
        <w:rPr>
          <w:rFonts w:ascii="Times New Roman" w:cs="Times New Roman" w:eastAsia="Times New Roman" w:hAnsi="Times New Roman"/>
          <w:sz w:val="18"/>
          <w:szCs w:val="18"/>
          <w:color w:val="auto"/>
        </w:rPr>
        <w:t>Any of the foregoing results could have a material adverse effect on our business, financial condition, and results of operations. Furthermore, our exposure to the foregoing risks may also be increased if we acquire other companies or technologies. For example, we may have a lower level of visibility into the development process with respect to intellectual property or the care taken to safeguard against infringement risks with respect to the acquired company or technology. In addition, third parties may make infringement and similar or related claims after we have acquired technology that had not been asserted prior to the acquisition.</w:t>
      </w:r>
    </w:p>
    <w:p>
      <w:pPr>
        <w:spacing w:after="0" w:line="183" w:lineRule="exact"/>
        <w:rPr>
          <w:sz w:val="20"/>
          <w:szCs w:val="20"/>
          <w:color w:val="auto"/>
        </w:rPr>
      </w:pPr>
    </w:p>
    <w:p>
      <w:pPr>
        <w:ind w:left="40" w:right="4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make significant investments in new technologies and products that may not achieve technological feasibility or profitability or that may limit our revenue growth.</w:t>
      </w:r>
    </w:p>
    <w:p>
      <w:pPr>
        <w:spacing w:after="0" w:line="159" w:lineRule="exact"/>
        <w:rPr>
          <w:sz w:val="20"/>
          <w:szCs w:val="20"/>
          <w:color w:val="auto"/>
        </w:rPr>
      </w:pPr>
    </w:p>
    <w:p>
      <w:pPr>
        <w:ind w:left="40" w:right="59" w:firstLine="324"/>
        <w:spacing w:after="0" w:line="282" w:lineRule="auto"/>
        <w:rPr>
          <w:sz w:val="20"/>
          <w:szCs w:val="20"/>
          <w:color w:val="auto"/>
        </w:rPr>
      </w:pPr>
      <w:r>
        <w:rPr>
          <w:rFonts w:ascii="Times New Roman" w:cs="Times New Roman" w:eastAsia="Times New Roman" w:hAnsi="Times New Roman"/>
          <w:sz w:val="18"/>
          <w:szCs w:val="18"/>
          <w:color w:val="auto"/>
        </w:rPr>
        <w:t>We have made and will continue to make significant investments in research and development of new technologies and products, including new and more technically advanced versions of our MRAM technology.</w:t>
      </w:r>
    </w:p>
    <w:p>
      <w:pPr>
        <w:spacing w:after="0" w:line="162" w:lineRule="exact"/>
        <w:rPr>
          <w:sz w:val="20"/>
          <w:szCs w:val="20"/>
          <w:color w:val="auto"/>
        </w:rPr>
      </w:pPr>
    </w:p>
    <w:p>
      <w:pPr>
        <w:ind w:left="40" w:right="59" w:firstLine="324"/>
        <w:spacing w:after="0" w:line="254" w:lineRule="auto"/>
        <w:rPr>
          <w:sz w:val="20"/>
          <w:szCs w:val="20"/>
          <w:color w:val="auto"/>
        </w:rPr>
      </w:pPr>
      <w:r>
        <w:rPr>
          <w:rFonts w:ascii="Times New Roman" w:cs="Times New Roman" w:eastAsia="Times New Roman" w:hAnsi="Times New Roman"/>
          <w:sz w:val="18"/>
          <w:szCs w:val="18"/>
          <w:color w:val="auto"/>
        </w:rPr>
        <w:t>Investments in new technologies are speculative and technological feasibility may not be achieved. Commercial success depends on many factors including demand for innovative technology, availability of materials and equipment, selling price the market is willing to bear, competition and effective licensing or product sales. We may not achieve significant revenue from new product investments for a number of years, if at all. Moreover, new technologies and products may not be profitable, and even if they are profitable, operating margins for new products and businesses may not be as high as the margins we have experienced historically or originally anticipated. Our inability to capitalize on or realize substantial revenue from our significant investments in research and development could harm our operating results and distract management, harming our business.</w:t>
      </w:r>
    </w:p>
    <w:p>
      <w:pPr>
        <w:spacing w:after="0" w:line="188" w:lineRule="exact"/>
        <w:rPr>
          <w:sz w:val="20"/>
          <w:szCs w:val="20"/>
          <w:color w:val="auto"/>
        </w:rPr>
      </w:pPr>
    </w:p>
    <w:p>
      <w:pPr>
        <w:ind w:left="4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Interruptions in or other compromises of our information technology systems or data or that of third parties upon whom we rely could adversely affect our business.</w:t>
      </w:r>
    </w:p>
    <w:p>
      <w:pPr>
        <w:spacing w:after="0" w:line="159" w:lineRule="exact"/>
        <w:rPr>
          <w:sz w:val="20"/>
          <w:szCs w:val="20"/>
          <w:color w:val="auto"/>
        </w:rPr>
      </w:pPr>
    </w:p>
    <w:p>
      <w:pPr>
        <w:ind w:left="40" w:right="79" w:firstLine="324"/>
        <w:spacing w:after="0" w:line="252" w:lineRule="auto"/>
        <w:rPr>
          <w:sz w:val="20"/>
          <w:szCs w:val="20"/>
          <w:color w:val="auto"/>
        </w:rPr>
      </w:pPr>
      <w:r>
        <w:rPr>
          <w:rFonts w:ascii="Times New Roman" w:cs="Times New Roman" w:eastAsia="Times New Roman" w:hAnsi="Times New Roman"/>
          <w:sz w:val="18"/>
          <w:szCs w:val="18"/>
          <w:color w:val="auto"/>
        </w:rPr>
        <w:t>We rely on the efficient, uninterrupted and uncompromised operation of complex information technology systems and networks (and those of third parties) to operate our business. Any significant disruption to or other compromise of our systems, networks or data (or those of third parties upon whom we rely), including, but not limited to, due to new system implementations, computer viruses, social-engineering attacks, personnel (including former personnel) misconduct or error, supply-chain attacks, ransomware attacks, software bugs, software or hardware failure, security breaches, facility issues, natural disasters, terrorism, war, telecommunication failures, energy blackouts, loss, theft or similar threats, could have a material adverse impact on our operations, sales, and financial results. Such disruption or other compromise could result in a loss of our intellectual property or the release of sensitive competitive information or supplier, customer, personnel or other relevant stakeholder’s personal data. Additionally, 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 Any loss of such information could harm our competitive position, result in a loss of customer confidence, result in breaches of applicable obligations (such as laws and contracts) and cause us to incur significant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6" w:name="page37"/>
    <w:bookmarkEnd w:id="36"/>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0" w:right="119"/>
        <w:spacing w:after="0" w:line="261" w:lineRule="auto"/>
        <w:rPr>
          <w:sz w:val="20"/>
          <w:szCs w:val="20"/>
          <w:color w:val="auto"/>
        </w:rPr>
      </w:pPr>
      <w:r>
        <w:rPr>
          <w:rFonts w:ascii="Times New Roman" w:cs="Times New Roman" w:eastAsia="Times New Roman" w:hAnsi="Times New Roman"/>
          <w:sz w:val="18"/>
          <w:szCs w:val="18"/>
          <w:color w:val="auto"/>
        </w:rPr>
        <w:t>costs to remedy the damages caused by any such disruptions or security breaches. Additionally, any failure to properly manage the collection, handling, transfer, or disposal of personal data of employees and customers may result in regulatory penalties, bans on processing personal data or orders not to use or destroy data, enforcement actions, remediation obligations, litigation, fines, and other actions.</w:t>
      </w:r>
    </w:p>
    <w:p>
      <w:pPr>
        <w:spacing w:after="0" w:line="180" w:lineRule="exact"/>
        <w:rPr>
          <w:sz w:val="20"/>
          <w:szCs w:val="20"/>
          <w:color w:val="auto"/>
        </w:rPr>
      </w:pPr>
    </w:p>
    <w:p>
      <w:pPr>
        <w:ind w:left="40" w:right="139" w:firstLine="324"/>
        <w:spacing w:after="0" w:line="253" w:lineRule="auto"/>
        <w:rPr>
          <w:sz w:val="20"/>
          <w:szCs w:val="20"/>
          <w:color w:val="auto"/>
        </w:rPr>
      </w:pPr>
      <w:r>
        <w:rPr>
          <w:rFonts w:ascii="Times New Roman" w:cs="Times New Roman" w:eastAsia="Times New Roman" w:hAnsi="Times New Roman"/>
          <w:sz w:val="18"/>
          <w:szCs w:val="18"/>
          <w:color w:val="auto"/>
        </w:rPr>
        <w:t>We may experience attacks on our data and/or information systems, attempts to breach our security and attempts to introduce malicious software into our IT systems. Such threats are prevalent and continue to rise, are increasingly difficult to detect, and come from a variety of sources. During times of war and other major conflicts, we and the third parties upon which we rely may be vulnerable to a heightened risk of these attacks. If attacks are successful, we may be unaware of the incident, its magnitude, or its effects until significant harm is done. Any such attack or disruption could result in additional costs related to rebuilding of our internal systems, defending litigation, responding to regulatory actions, or paying damages. Such attacks or disruptions could have a material adverse impact on our business, operations, and financial results. Attempts to gain unauthorized access to our IT systems or other attacks have in the past, in certain instances and to certain degrees, been successful (but have not caused significant harm), and may in the future be successful, and in some cases, we might be unaware of an incident or its magnitude and effects.</w:t>
      </w:r>
    </w:p>
    <w:p>
      <w:pPr>
        <w:spacing w:after="0" w:line="194" w:lineRule="exact"/>
        <w:rPr>
          <w:sz w:val="20"/>
          <w:szCs w:val="20"/>
          <w:color w:val="auto"/>
        </w:rPr>
      </w:pPr>
    </w:p>
    <w:p>
      <w:pPr>
        <w:ind w:left="40" w:right="139" w:firstLine="324"/>
        <w:spacing w:after="0" w:line="256" w:lineRule="auto"/>
        <w:rPr>
          <w:sz w:val="20"/>
          <w:szCs w:val="20"/>
          <w:color w:val="auto"/>
        </w:rPr>
      </w:pPr>
      <w:r>
        <w:rPr>
          <w:rFonts w:ascii="Times New Roman" w:cs="Times New Roman" w:eastAsia="Times New Roman" w:hAnsi="Times New Roman"/>
          <w:sz w:val="18"/>
          <w:szCs w:val="18"/>
          <w:color w:val="auto"/>
        </w:rPr>
        <w:t>Third-party service providers, such as wafer foundries, assembly and test contractors, distributors and other vendors have access to certain portions of our and our customers’ sensitive data. Our ability to monitor these third parties’ information security practices is limited, and these third parties may not have adequate information security measures in place. In the event that these service providers do not properly safeguard the data that they hold, security breaches and loss of data could result. Any such loss of data by our third-party service providers could negatively impact our business, operations, and financial results, as well as our relationship with our customers.</w:t>
      </w:r>
    </w:p>
    <w:p>
      <w:pPr>
        <w:spacing w:after="0" w:line="187" w:lineRule="exact"/>
        <w:rPr>
          <w:sz w:val="20"/>
          <w:szCs w:val="20"/>
          <w:color w:val="auto"/>
        </w:rPr>
      </w:pPr>
    </w:p>
    <w:p>
      <w:pPr>
        <w:ind w:left="40" w:right="159" w:firstLine="324"/>
        <w:spacing w:after="0" w:line="256" w:lineRule="auto"/>
        <w:rPr>
          <w:sz w:val="20"/>
          <w:szCs w:val="20"/>
          <w:color w:val="auto"/>
        </w:rPr>
      </w:pPr>
      <w:r>
        <w:rPr>
          <w:rFonts w:ascii="Times New Roman" w:cs="Times New Roman" w:eastAsia="Times New Roman" w:hAnsi="Times New Roman"/>
          <w:sz w:val="18"/>
          <w:szCs w:val="18"/>
          <w:color w:val="auto"/>
        </w:rPr>
        <w:t>While we have implemented security measures designed to protect against security incidents, there can be no assurance that these measures will be effective. We take steps designed to detect, mitigate, and remediate vulnerabilities in our information systems (such as our hardware and/or software, including that of third parties upon which we rely). We may not, however, detect and remediate all such vulnerabilities including on a timely and effective basis. Further, we may experience delays in developing and deploying remedial measures and patches designed to address identified vulnerabilities. Vulnerabilities could be exploited and result in a security incident.</w:t>
      </w:r>
    </w:p>
    <w:p>
      <w:pPr>
        <w:spacing w:after="0" w:line="187" w:lineRule="exact"/>
        <w:rPr>
          <w:sz w:val="20"/>
          <w:szCs w:val="20"/>
          <w:color w:val="auto"/>
        </w:rPr>
      </w:pPr>
    </w:p>
    <w:p>
      <w:pPr>
        <w:ind w:left="40" w:right="119" w:firstLine="324"/>
        <w:spacing w:after="0" w:line="261" w:lineRule="auto"/>
        <w:rPr>
          <w:sz w:val="20"/>
          <w:szCs w:val="20"/>
          <w:color w:val="auto"/>
        </w:rPr>
      </w:pPr>
      <w:r>
        <w:rPr>
          <w:rFonts w:ascii="Times New Roman" w:cs="Times New Roman" w:eastAsia="Times New Roman" w:hAnsi="Times New Roman"/>
          <w:sz w:val="18"/>
          <w:szCs w:val="18"/>
          <w:color w:val="auto"/>
        </w:rPr>
        <w:t>We may expend significant resources or modify our business activities to try to protect against security incidents. Additionally, certain data privacy and security obligations may require us to implement and maintain specific security measures or industry-standard or reasonable security measures to protect our information technology systems and sensitive data.</w:t>
      </w:r>
    </w:p>
    <w:p>
      <w:pPr>
        <w:spacing w:after="0" w:line="17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Risk Factors Related to Regulatory Matters and Compliance</w:t>
      </w:r>
    </w:p>
    <w:p>
      <w:pPr>
        <w:spacing w:after="0" w:line="225" w:lineRule="exact"/>
        <w:rPr>
          <w:sz w:val="20"/>
          <w:szCs w:val="20"/>
          <w:color w:val="auto"/>
        </w:rPr>
      </w:pPr>
    </w:p>
    <w:p>
      <w:pPr>
        <w:ind w:left="40" w:right="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To comply with environmental laws and regulations, we may need to modify our activities or incur substantial costs, and if we fail to comply with environmental regulations, we could be subject to substantial fines or be required to have our suppliers alter their processes.</w:t>
      </w:r>
    </w:p>
    <w:p>
      <w:pPr>
        <w:spacing w:after="0" w:line="175" w:lineRule="exact"/>
        <w:rPr>
          <w:sz w:val="20"/>
          <w:szCs w:val="20"/>
          <w:color w:val="auto"/>
        </w:rPr>
      </w:pPr>
    </w:p>
    <w:p>
      <w:pPr>
        <w:ind w:left="40" w:right="79" w:firstLine="324"/>
        <w:spacing w:after="0" w:line="269" w:lineRule="auto"/>
        <w:rPr>
          <w:sz w:val="20"/>
          <w:szCs w:val="20"/>
          <w:color w:val="auto"/>
        </w:rPr>
      </w:pPr>
      <w:r>
        <w:rPr>
          <w:rFonts w:ascii="Times New Roman" w:cs="Times New Roman" w:eastAsia="Times New Roman" w:hAnsi="Times New Roman"/>
          <w:sz w:val="17"/>
          <w:szCs w:val="17"/>
          <w:color w:val="auto"/>
        </w:rPr>
        <w:t>The semiconductor memory industry is subject to a variety of international, federal, state, and local governmental regulations directed at preventing or mitigating environmental harm, as well as to the storage, discharge, handling, generation, disposal and labeling of toxic or other hazardous substances. Failure to comply with environmental regulations could subject us to civil or criminal sanctions and property damage or personal injury claims. Compliance with current or future environmental laws and regulations could restrict our ability to expand our business or require us to modify processes or incur other substantial expenses which could harm our business. In response to environmental concerns, some customers and government agencies impose requirements for the elimination of hazardous substances, such as lead (which is widely used in soldering connections in the process of semiconductor packaging and assembly), from electronic equipment. For example, the European Union adopted its Restriction on Hazardous Substance Directive which prohibits, with specified exceptions, the sale in the EU market of new electrical and electronic equipment containing more than agreed levels of lead or other hazardous materials and China has enacted similar regulations. Environmental laws and regulations such as these could become more stringent over time, causing a need to redesign technologies, imposing greater compliance costs, and increasing risks and penalties associated with violations, which could seriously harm our business.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7" w:name="page38"/>
    <w:bookmarkEnd w:id="37"/>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0" w:right="159" w:firstLine="324"/>
        <w:spacing w:after="0" w:line="281" w:lineRule="auto"/>
        <w:rPr>
          <w:sz w:val="20"/>
          <w:szCs w:val="20"/>
          <w:color w:val="auto"/>
        </w:rPr>
      </w:pPr>
      <w:r>
        <w:rPr>
          <w:rFonts w:ascii="Times New Roman" w:cs="Times New Roman" w:eastAsia="Times New Roman" w:hAnsi="Times New Roman"/>
          <w:sz w:val="17"/>
          <w:szCs w:val="17"/>
          <w:color w:val="auto"/>
        </w:rPr>
        <w:t>Increasing public attention has been focused on the environmental impact of electronic manufacturing operations. While we have not experienced any materially adverse effects on our operations from recently adopted environmental regulations, our business and results of operations could suffer if for any reason we fail to control the storage or use of, or to adequately restrict the discharge or disposal of, hazardous substances under present or future environmental regulations.</w:t>
      </w:r>
    </w:p>
    <w:p>
      <w:pPr>
        <w:spacing w:after="0" w:line="160" w:lineRule="exact"/>
        <w:rPr>
          <w:sz w:val="20"/>
          <w:szCs w:val="20"/>
          <w:color w:val="auto"/>
        </w:rPr>
      </w:pPr>
    </w:p>
    <w:p>
      <w:pPr>
        <w:ind w:left="40" w:right="1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Regulations related to “conflict minerals” may force us to incur additional expenses, may make our supply chain more complex and may result in damage to our reputation with customers.</w:t>
      </w:r>
    </w:p>
    <w:p>
      <w:pPr>
        <w:spacing w:after="0" w:line="159" w:lineRule="exact"/>
        <w:rPr>
          <w:sz w:val="20"/>
          <w:szCs w:val="20"/>
          <w:color w:val="auto"/>
        </w:rPr>
      </w:pPr>
    </w:p>
    <w:p>
      <w:pPr>
        <w:ind w:left="40" w:right="59" w:firstLine="324"/>
        <w:spacing w:after="0" w:line="252" w:lineRule="auto"/>
        <w:rPr>
          <w:sz w:val="20"/>
          <w:szCs w:val="20"/>
          <w:color w:val="auto"/>
        </w:rPr>
      </w:pPr>
      <w:r>
        <w:rPr>
          <w:rFonts w:ascii="Times New Roman" w:cs="Times New Roman" w:eastAsia="Times New Roman" w:hAnsi="Times New Roman"/>
          <w:sz w:val="18"/>
          <w:szCs w:val="18"/>
          <w:color w:val="auto"/>
        </w:rPr>
        <w:t>Pursuant to the Dodd-Frank Wall Street Reform and Consumer Protection Act, the SEC has adopted requirements for companies that use certain minerals and metals, known as conflict minerals, in their products, whether or not these products are manufactured by third parties. These requirements require companies to perform diligence and disclose and report whether or not such minerals originate from the Democratic Republic of Congo and adjoining countries. These requirements could adversely affect the sourcing, availability and pricing of minerals used in the manufacture of our products, and affect our costs and relationships with customers, distributors, and suppliers as we must obtain additional information from them to ensure our compliance with the disclosure requirement. In addition, we incur additional costs in complying with the disclosure requirements, including costs related to determining the source of any of the relevant minerals and metals used in our products. Since our supply chain is complex, we have not been able to sufficiently verify the origins for these minerals and metals used in our products through the due diligence procedures that we implement, which may harm our reputation. In such event, we may also face difficulties in satisfying customers who require that all of the components of our products are certified as conflict mineral free and these customers may discontinue, or materially reduce, purchases of our products, which could result in a material adverse effect on our results of operations and our financial condition may be adversely affected.</w:t>
      </w:r>
    </w:p>
    <w:p>
      <w:pPr>
        <w:spacing w:after="0" w:line="19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net operating losses to offset future taxable income may be subject to certain limitations.</w:t>
      </w:r>
    </w:p>
    <w:p>
      <w:pPr>
        <w:spacing w:after="0" w:line="229" w:lineRule="exact"/>
        <w:rPr>
          <w:sz w:val="20"/>
          <w:szCs w:val="20"/>
          <w:color w:val="auto"/>
        </w:rPr>
      </w:pPr>
    </w:p>
    <w:p>
      <w:pPr>
        <w:ind w:left="40" w:right="59" w:firstLine="324"/>
        <w:spacing w:after="0" w:line="252" w:lineRule="auto"/>
        <w:rPr>
          <w:sz w:val="20"/>
          <w:szCs w:val="20"/>
          <w:color w:val="auto"/>
        </w:rPr>
      </w:pPr>
      <w:r>
        <w:rPr>
          <w:rFonts w:ascii="Times New Roman" w:cs="Times New Roman" w:eastAsia="Times New Roman" w:hAnsi="Times New Roman"/>
          <w:sz w:val="18"/>
          <w:szCs w:val="18"/>
          <w:color w:val="auto"/>
        </w:rPr>
        <w:t>In general, under Section 382 of the U.S. Internal Revenue Code of 1986, as amended, or the Code, a corporation that undergoes an “ownership change” is subject to limitations on its ability to utilize its pre-change net operating losses, or NOLs, to offset future taxable income and tax credits to offset tax. As of December 31, 2023, we had gross federal net operating loss carryforwards of approximately $96.2 million, of which $55.8 million will expire in 2028 through 2037 if not utilized, and $40.5 million will carryover indefinitely. As of December 31, 2023, we had state net operating loss carryforwards of approximately $48.7 million, of which $45.9 million will expire in 2028 through 2043 if not utilized, and $2.8 million will carryover indefinitely. The federal NOLs generated prior to 2018 will continue to be governed by the NOL tax rules as they existed prior to the adoption of the 2017 Tax Cuts and Jobs Act (2017 Tax Act), which means that generally they will expire 20 years after they were generated if not used prior thereto. The 2017 Tax Act repealed the 20-year carryforward and two-year carryback of NOLs originating after December 31, 2017, and also limits the NOL deduction to 80% of taxable income for tax years beginning after December 31, 2017. Any NOLs generated in 2018 and forward will be carried forward and will not expire. There is no current impact to us as the NOLs that we are utilizing in the current year were generated prior to 2018, and therefore, are not subject to the 80% limitation. Future changes in our stock ownership, many of which are outside of our control, could result in an ownership change under Section 382 of the Code. The ability to utilize our net operating losses and tax credits could also be impaired under state law. As a result, we might not be able to utilize a material portion of our state NOLs and tax credits.</w:t>
      </w:r>
    </w:p>
    <w:p>
      <w:pPr>
        <w:spacing w:after="0" w:line="19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We expect that the price of our common stock will fluctuate substantially.</w:t>
      </w:r>
    </w:p>
    <w:p>
      <w:pPr>
        <w:spacing w:after="0" w:line="229" w:lineRule="exact"/>
        <w:rPr>
          <w:sz w:val="20"/>
          <w:szCs w:val="20"/>
          <w:color w:val="auto"/>
        </w:rPr>
      </w:pPr>
    </w:p>
    <w:p>
      <w:pPr>
        <w:ind w:left="40" w:right="519" w:firstLine="324"/>
        <w:spacing w:after="0" w:line="282" w:lineRule="auto"/>
        <w:rPr>
          <w:sz w:val="20"/>
          <w:szCs w:val="20"/>
          <w:color w:val="auto"/>
        </w:rPr>
      </w:pPr>
      <w:r>
        <w:rPr>
          <w:rFonts w:ascii="Times New Roman" w:cs="Times New Roman" w:eastAsia="Times New Roman" w:hAnsi="Times New Roman"/>
          <w:sz w:val="18"/>
          <w:szCs w:val="18"/>
          <w:color w:val="auto"/>
        </w:rPr>
        <w:t>The market price of our common stock is likely to be highly volatile and may fluctuate substantially due to many factors, including:</w:t>
      </w:r>
    </w:p>
    <w:p>
      <w:pPr>
        <w:spacing w:after="0" w:line="162" w:lineRule="exact"/>
        <w:rPr>
          <w:sz w:val="20"/>
          <w:szCs w:val="20"/>
          <w:color w:val="auto"/>
        </w:rPr>
      </w:pPr>
    </w:p>
    <w:p>
      <w:pPr>
        <w:ind w:left="660" w:hanging="292"/>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introduction of new products or product enhancements by us or others in our industry;</w:t>
      </w:r>
    </w:p>
    <w:p>
      <w:pPr>
        <w:spacing w:after="0" w:line="225" w:lineRule="exact"/>
        <w:rPr>
          <w:rFonts w:ascii="Times New Roman" w:cs="Times New Roman" w:eastAsia="Times New Roman" w:hAnsi="Times New Roman"/>
          <w:sz w:val="18"/>
          <w:szCs w:val="18"/>
          <w:color w:val="auto"/>
        </w:rPr>
      </w:pPr>
    </w:p>
    <w:p>
      <w:pPr>
        <w:ind w:left="620" w:right="259" w:hanging="252"/>
        <w:spacing w:after="0" w:line="282" w:lineRule="auto"/>
        <w:tabs>
          <w:tab w:leader="none" w:pos="649"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acquisitions, strategic partnerships, joint ventures, capital commitments or restructurings;</w:t>
      </w:r>
    </w:p>
    <w:p>
      <w:pPr>
        <w:spacing w:after="0" w:line="161" w:lineRule="exact"/>
        <w:rPr>
          <w:rFonts w:ascii="Times New Roman" w:cs="Times New Roman" w:eastAsia="Times New Roman" w:hAnsi="Times New Roman"/>
          <w:sz w:val="18"/>
          <w:szCs w:val="18"/>
          <w:color w:val="auto"/>
        </w:rPr>
      </w:pPr>
    </w:p>
    <w:p>
      <w:pPr>
        <w:ind w:left="660" w:hanging="292"/>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or other developments with respect to our or others’ intellectual property rights;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8" w:name="page39"/>
    <w:bookmarkEnd w:id="38"/>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660" w:hanging="292"/>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liability claims or other litigation;</w:t>
      </w:r>
    </w:p>
    <w:p>
      <w:pPr>
        <w:spacing w:after="0" w:line="225" w:lineRule="exact"/>
        <w:rPr>
          <w:rFonts w:ascii="Times New Roman" w:cs="Times New Roman" w:eastAsia="Times New Roman" w:hAnsi="Times New Roman"/>
          <w:sz w:val="18"/>
          <w:szCs w:val="18"/>
          <w:color w:val="auto"/>
        </w:rPr>
      </w:pPr>
    </w:p>
    <w:p>
      <w:pPr>
        <w:ind w:left="660" w:hanging="292"/>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quarterly variations in our results of operations or those of others in our industry;</w:t>
      </w:r>
    </w:p>
    <w:p>
      <w:pPr>
        <w:spacing w:after="0" w:line="225" w:lineRule="exact"/>
        <w:rPr>
          <w:rFonts w:ascii="Times New Roman" w:cs="Times New Roman" w:eastAsia="Times New Roman" w:hAnsi="Times New Roman"/>
          <w:sz w:val="18"/>
          <w:szCs w:val="18"/>
          <w:color w:val="auto"/>
        </w:rPr>
      </w:pPr>
    </w:p>
    <w:p>
      <w:pPr>
        <w:ind w:left="660" w:hanging="292"/>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large blocks of our common stock, including sales by our executive officers and directors;</w:t>
      </w:r>
    </w:p>
    <w:p>
      <w:pPr>
        <w:spacing w:after="0" w:line="225" w:lineRule="exact"/>
        <w:rPr>
          <w:rFonts w:ascii="Times New Roman" w:cs="Times New Roman" w:eastAsia="Times New Roman" w:hAnsi="Times New Roman"/>
          <w:sz w:val="18"/>
          <w:szCs w:val="18"/>
          <w:color w:val="auto"/>
        </w:rPr>
      </w:pPr>
    </w:p>
    <w:p>
      <w:pPr>
        <w:ind w:left="660" w:hanging="292"/>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senior management or key personnel;</w:t>
      </w:r>
    </w:p>
    <w:p>
      <w:pPr>
        <w:spacing w:after="0" w:line="225" w:lineRule="exact"/>
        <w:rPr>
          <w:rFonts w:ascii="Times New Roman" w:cs="Times New Roman" w:eastAsia="Times New Roman" w:hAnsi="Times New Roman"/>
          <w:sz w:val="18"/>
          <w:szCs w:val="18"/>
          <w:color w:val="auto"/>
        </w:rPr>
      </w:pPr>
    </w:p>
    <w:p>
      <w:pPr>
        <w:ind w:left="660" w:hanging="292"/>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earnings estimates or recommendations by securities analysts; and</w:t>
      </w:r>
    </w:p>
    <w:p>
      <w:pPr>
        <w:spacing w:after="0" w:line="225" w:lineRule="exact"/>
        <w:rPr>
          <w:rFonts w:ascii="Times New Roman" w:cs="Times New Roman" w:eastAsia="Times New Roman" w:hAnsi="Times New Roman"/>
          <w:sz w:val="18"/>
          <w:szCs w:val="18"/>
          <w:color w:val="auto"/>
        </w:rPr>
      </w:pPr>
    </w:p>
    <w:p>
      <w:pPr>
        <w:ind w:left="620" w:right="179" w:hanging="252"/>
        <w:spacing w:after="0" w:line="266" w:lineRule="auto"/>
        <w:tabs>
          <w:tab w:leader="none" w:pos="649"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market conditions and other factors, including factors unrelated to our operating performance or the operating performance of our competitors, including the effects of pandemics and epidemics and ongoing military conflict between Russia and Ukraine.</w:t>
      </w:r>
    </w:p>
    <w:p>
      <w:pPr>
        <w:spacing w:after="0" w:line="176" w:lineRule="exact"/>
        <w:rPr>
          <w:sz w:val="20"/>
          <w:szCs w:val="20"/>
          <w:color w:val="auto"/>
        </w:rPr>
      </w:pPr>
    </w:p>
    <w:p>
      <w:pPr>
        <w:ind w:left="40" w:right="119" w:firstLine="324"/>
        <w:spacing w:after="0" w:line="258" w:lineRule="auto"/>
        <w:rPr>
          <w:sz w:val="20"/>
          <w:szCs w:val="20"/>
          <w:color w:val="auto"/>
        </w:rPr>
      </w:pPr>
      <w:r>
        <w:rPr>
          <w:rFonts w:ascii="Times New Roman" w:cs="Times New Roman" w:eastAsia="Times New Roman" w:hAnsi="Times New Roman"/>
          <w:sz w:val="18"/>
          <w:szCs w:val="18"/>
          <w:color w:val="auto"/>
        </w:rPr>
        <w:t>Stock markets generally have experienced extreme price and volume fluctuations that have often been unrelated or disproportionate to the operating performance of those companies. Further, the semiconductor memory industry is highly cyclical, and our markets may experience significant cyclical fluctuations in demand as a result of changing economic conditions, budgeting and buying patterns of customers and other factors. Fluctuations in our revenue and operating results could also cause our stock price to decline.</w:t>
      </w:r>
    </w:p>
    <w:p>
      <w:pPr>
        <w:spacing w:after="0" w:line="183" w:lineRule="exact"/>
        <w:rPr>
          <w:sz w:val="20"/>
          <w:szCs w:val="20"/>
          <w:color w:val="auto"/>
        </w:rPr>
      </w:pPr>
    </w:p>
    <w:p>
      <w:pPr>
        <w:ind w:left="40" w:right="379" w:firstLine="324"/>
        <w:spacing w:after="0" w:line="258" w:lineRule="auto"/>
        <w:rPr>
          <w:sz w:val="20"/>
          <w:szCs w:val="20"/>
          <w:color w:val="auto"/>
        </w:rPr>
      </w:pPr>
      <w:r>
        <w:rPr>
          <w:rFonts w:ascii="Times New Roman" w:cs="Times New Roman" w:eastAsia="Times New Roman" w:hAnsi="Times New Roman"/>
          <w:sz w:val="18"/>
          <w:szCs w:val="18"/>
          <w:color w:val="auto"/>
        </w:rPr>
        <w:t>In addition, in the past, class action litigation has often been instituted against companies whose securities have experienced periods of volatility in market price, or for other reasons. Securities litigation brought against us following volatility in our stock price or otherwise, regardless of the merit or ultimate results of such litigation, could result in substantial costs, which would hurt our financial condition and operating results and divert management’s attention and resources from our business.</w:t>
      </w:r>
    </w:p>
    <w:p>
      <w:pPr>
        <w:spacing w:after="0" w:line="18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These and other factors may make the price of our stock volatile and subject to unexpected fluctuation.</w:t>
      </w:r>
    </w:p>
    <w:p>
      <w:pPr>
        <w:spacing w:after="0" w:line="221" w:lineRule="exact"/>
        <w:rPr>
          <w:sz w:val="20"/>
          <w:szCs w:val="20"/>
          <w:color w:val="auto"/>
        </w:rPr>
      </w:pPr>
    </w:p>
    <w:p>
      <w:pPr>
        <w:ind w:left="40" w:right="1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in our corporate charter documents and under Delaware law could make an acquisition of us more difficult and may prevent attempts by our stockholders to replace or remove our current management.</w:t>
      </w:r>
    </w:p>
    <w:p>
      <w:pPr>
        <w:spacing w:after="0" w:line="159" w:lineRule="exact"/>
        <w:rPr>
          <w:sz w:val="20"/>
          <w:szCs w:val="20"/>
          <w:color w:val="auto"/>
        </w:rPr>
      </w:pPr>
    </w:p>
    <w:p>
      <w:pPr>
        <w:ind w:left="40" w:right="99" w:firstLine="324"/>
        <w:spacing w:after="0" w:line="254" w:lineRule="auto"/>
        <w:rPr>
          <w:sz w:val="20"/>
          <w:szCs w:val="20"/>
          <w:color w:val="auto"/>
        </w:rPr>
      </w:pPr>
      <w:r>
        <w:rPr>
          <w:rFonts w:ascii="Times New Roman" w:cs="Times New Roman" w:eastAsia="Times New Roman" w:hAnsi="Times New Roman"/>
          <w:sz w:val="18"/>
          <w:szCs w:val="18"/>
          <w:color w:val="auto"/>
        </w:rPr>
        <w:t>Provisions in our amended and restated certificate of incorporation and our amended and restated bylaws may discourage, delay, or prevent a merger, acquisition, or other change in control of us that stockholders may consider favorable, including transactions in which stockholders might otherwise receive a premium for their shares. These provisions could also limit the price that investors might be willing to pay in the future for shares of our common stock, thereby depressing the market price of our common stock. In addition, these provisions may frustrate or prevent any attempts by our stockholders to replace or remove our current management by making it more difficult for stockholders to replace members of our board of directors. Because our board of directors is responsible for appointing the members of our management team, these provisions could in turn affect any attempt by our stockholders to replace current members of our management team. Among others, these provisions include that:</w:t>
      </w:r>
    </w:p>
    <w:p>
      <w:pPr>
        <w:spacing w:after="0" w:line="188" w:lineRule="exact"/>
        <w:rPr>
          <w:sz w:val="20"/>
          <w:szCs w:val="20"/>
          <w:color w:val="auto"/>
        </w:rPr>
      </w:pPr>
    </w:p>
    <w:p>
      <w:pPr>
        <w:ind w:left="620" w:right="139" w:hanging="252"/>
        <w:spacing w:after="0" w:line="266" w:lineRule="auto"/>
        <w:tabs>
          <w:tab w:leader="none" w:pos="649"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has the right to expand the size of our board of directors and to elect directors to fill a vacancy created by the expansion of the board of directors or the resignation, death or removal of a director, which prevents stockholders from being able to fill vacancies on our board of directors;</w:t>
      </w:r>
    </w:p>
    <w:p>
      <w:pPr>
        <w:spacing w:after="0" w:line="175" w:lineRule="exact"/>
        <w:rPr>
          <w:rFonts w:ascii="Times New Roman" w:cs="Times New Roman" w:eastAsia="Times New Roman" w:hAnsi="Times New Roman"/>
          <w:sz w:val="18"/>
          <w:szCs w:val="18"/>
          <w:color w:val="auto"/>
        </w:rPr>
      </w:pPr>
    </w:p>
    <w:p>
      <w:pPr>
        <w:ind w:left="620" w:right="179" w:hanging="252"/>
        <w:spacing w:after="0" w:line="258" w:lineRule="auto"/>
        <w:tabs>
          <w:tab w:leader="none" w:pos="649"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stockholders may not act by written consent or call special stockholders’ meetings; as a result, a holder, or holders, controlling a majority of our capital stock would not be able to take certain actions other than at annual stockholders’ meetings or special stockholders’ meetings called by the board of directors pursuant to a resolution adopted by a majority of the total number of authorized directors, the chairman of the board or the chief executive officer;</w:t>
      </w:r>
    </w:p>
    <w:p>
      <w:pPr>
        <w:spacing w:after="0" w:line="183" w:lineRule="exact"/>
        <w:rPr>
          <w:rFonts w:ascii="Times New Roman" w:cs="Times New Roman" w:eastAsia="Times New Roman" w:hAnsi="Times New Roman"/>
          <w:sz w:val="18"/>
          <w:szCs w:val="18"/>
          <w:color w:val="auto"/>
        </w:rPr>
      </w:pPr>
    </w:p>
    <w:p>
      <w:pPr>
        <w:ind w:left="620" w:right="539" w:hanging="252"/>
        <w:spacing w:after="0" w:line="282" w:lineRule="auto"/>
        <w:tabs>
          <w:tab w:leader="none" w:pos="649"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amended and restated certificate of incorporation prohibits cumulative voting in the election of directors, which limits the ability of minority stockholders to elect director candidates;</w:t>
      </w:r>
    </w:p>
    <w:p>
      <w:pPr>
        <w:spacing w:after="0" w:line="161" w:lineRule="exact"/>
        <w:rPr>
          <w:rFonts w:ascii="Times New Roman" w:cs="Times New Roman" w:eastAsia="Times New Roman" w:hAnsi="Times New Roman"/>
          <w:sz w:val="18"/>
          <w:szCs w:val="18"/>
          <w:color w:val="auto"/>
        </w:rPr>
      </w:pPr>
    </w:p>
    <w:p>
      <w:pPr>
        <w:ind w:left="620" w:right="319" w:hanging="252"/>
        <w:spacing w:after="0" w:line="266" w:lineRule="auto"/>
        <w:tabs>
          <w:tab w:leader="none" w:pos="649"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affirmative vote of holders of at least 66-2/3% of the voting power of all of the then outstanding shares of voting stock, voting as a single class, will be required (a) to amend certain provisions of our certificate of incorporation, including provisions relating to the size of the board, special meetings, actions by written consent</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9" w:name="page40"/>
    <w:bookmarkEnd w:id="39"/>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620" w:right="179"/>
        <w:spacing w:after="0" w:line="282" w:lineRule="auto"/>
        <w:rPr>
          <w:sz w:val="20"/>
          <w:szCs w:val="20"/>
          <w:color w:val="auto"/>
        </w:rPr>
      </w:pPr>
      <w:r>
        <w:rPr>
          <w:rFonts w:ascii="Times New Roman" w:cs="Times New Roman" w:eastAsia="Times New Roman" w:hAnsi="Times New Roman"/>
          <w:sz w:val="18"/>
          <w:szCs w:val="18"/>
          <w:color w:val="auto"/>
        </w:rPr>
        <w:t>and cumulative voting and (b) to amend or repeal our amended and restated bylaws, although such bylaws may be amended by a simple majority vote of our board of directors;</w:t>
      </w:r>
    </w:p>
    <w:p>
      <w:pPr>
        <w:spacing w:after="0" w:line="162" w:lineRule="exact"/>
        <w:rPr>
          <w:sz w:val="20"/>
          <w:szCs w:val="20"/>
          <w:color w:val="auto"/>
        </w:rPr>
      </w:pPr>
    </w:p>
    <w:p>
      <w:pPr>
        <w:ind w:left="620" w:right="219" w:hanging="252"/>
        <w:spacing w:after="0" w:line="261" w:lineRule="auto"/>
        <w:tabs>
          <w:tab w:leader="none" w:pos="649"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stockholders must provide advance notice and additional disclosures to nominate individuals for election to the board of directors or to propose matters that can be acted upon at a stockholders’ meeting, which may discourage or deter a potential acquiror from conducting a solicitation of proxies to elect the acquiror’s own slate of directors or otherwise attempting to obtain control of our company; and</w:t>
      </w:r>
    </w:p>
    <w:p>
      <w:pPr>
        <w:spacing w:after="0" w:line="179" w:lineRule="exact"/>
        <w:rPr>
          <w:rFonts w:ascii="Times New Roman" w:cs="Times New Roman" w:eastAsia="Times New Roman" w:hAnsi="Times New Roman"/>
          <w:sz w:val="18"/>
          <w:szCs w:val="18"/>
          <w:color w:val="auto"/>
        </w:rPr>
      </w:pPr>
    </w:p>
    <w:p>
      <w:pPr>
        <w:ind w:left="620" w:right="159" w:hanging="252"/>
        <w:spacing w:after="0" w:line="266" w:lineRule="auto"/>
        <w:tabs>
          <w:tab w:leader="none" w:pos="649"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may issue, without stockholder approval, shares of undesignated preferred stock; the ability to issue undesignated preferred stock makes it possible for our board of directors to issue preferred stock with voting or other rights or preferences that could impede the success of any attempt to acquire us.</w:t>
      </w:r>
    </w:p>
    <w:p>
      <w:pPr>
        <w:spacing w:after="0" w:line="176" w:lineRule="exact"/>
        <w:rPr>
          <w:sz w:val="20"/>
          <w:szCs w:val="20"/>
          <w:color w:val="auto"/>
        </w:rPr>
      </w:pPr>
    </w:p>
    <w:p>
      <w:pPr>
        <w:ind w:left="40" w:right="99" w:firstLine="324"/>
        <w:spacing w:after="0" w:line="281" w:lineRule="auto"/>
        <w:rPr>
          <w:sz w:val="20"/>
          <w:szCs w:val="20"/>
          <w:color w:val="auto"/>
        </w:rPr>
      </w:pPr>
      <w:r>
        <w:rPr>
          <w:rFonts w:ascii="Times New Roman" w:cs="Times New Roman" w:eastAsia="Times New Roman" w:hAnsi="Times New Roman"/>
          <w:sz w:val="17"/>
          <w:szCs w:val="17"/>
          <w:color w:val="auto"/>
        </w:rPr>
        <w:t>Moreover, because we are incorporated in Delaware, we are governed by the provisions of Section 203 of the Delaware General Corporation Law,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160" w:lineRule="exact"/>
        <w:rPr>
          <w:sz w:val="20"/>
          <w:szCs w:val="20"/>
          <w:color w:val="auto"/>
        </w:rPr>
      </w:pPr>
    </w:p>
    <w:p>
      <w:pPr>
        <w:ind w:left="40" w:right="9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provides that the Court of Chancery of the State of Delaware and the federal district courts of the United States of America will be the exclusive forums for substantially all disputes between us and our stockholders, which could limit our stockholders’ ability to obtain a favorable judicial forum for disputes with us or our directors, officers, or employees.</w:t>
      </w:r>
    </w:p>
    <w:p>
      <w:pPr>
        <w:spacing w:after="0" w:line="180" w:lineRule="exact"/>
        <w:rPr>
          <w:sz w:val="20"/>
          <w:szCs w:val="20"/>
          <w:color w:val="auto"/>
        </w:rPr>
      </w:pPr>
    </w:p>
    <w:p>
      <w:pPr>
        <w:ind w:left="40" w:right="199" w:firstLine="324"/>
        <w:spacing w:after="0" w:line="261"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the Court of Chancery of the State of Delaware is the exclusive forum for the following types of actions or proceedings under Delaware statutory or common law:</w:t>
      </w:r>
    </w:p>
    <w:p>
      <w:pPr>
        <w:ind w:left="660" w:hanging="292"/>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derivative action or proceeding brought on our behalf;</w:t>
      </w:r>
    </w:p>
    <w:p>
      <w:pPr>
        <w:spacing w:after="0" w:line="9" w:lineRule="exact"/>
        <w:rPr>
          <w:rFonts w:ascii="Times New Roman" w:cs="Times New Roman" w:eastAsia="Times New Roman" w:hAnsi="Times New Roman"/>
          <w:sz w:val="18"/>
          <w:szCs w:val="18"/>
          <w:color w:val="auto"/>
        </w:rPr>
      </w:pPr>
    </w:p>
    <w:p>
      <w:pPr>
        <w:ind w:left="620" w:right="199" w:hanging="252"/>
        <w:spacing w:after="0" w:line="250" w:lineRule="auto"/>
        <w:tabs>
          <w:tab w:leader="none" w:pos="66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of breach of a fiduciary duty owed by any director, officer or other employee to us or our stockholders;</w:t>
      </w:r>
    </w:p>
    <w:p>
      <w:pPr>
        <w:ind w:left="620" w:right="399" w:hanging="252"/>
        <w:spacing w:after="0" w:line="250" w:lineRule="auto"/>
        <w:tabs>
          <w:tab w:leader="none" w:pos="66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against us arising under the Delaware General Corporation Law, our amended and restated certificate of incorporation or our amended and restated bylaws; and</w:t>
      </w:r>
    </w:p>
    <w:p>
      <w:pPr>
        <w:ind w:left="660" w:hanging="292"/>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against us that is governed by the internal-affairs doctrine.</w:t>
      </w:r>
    </w:p>
    <w:p>
      <w:pPr>
        <w:spacing w:after="0" w:line="207" w:lineRule="exact"/>
        <w:rPr>
          <w:sz w:val="20"/>
          <w:szCs w:val="20"/>
          <w:color w:val="auto"/>
        </w:rPr>
      </w:pPr>
    </w:p>
    <w:p>
      <w:pPr>
        <w:ind w:left="40" w:right="159" w:firstLine="324"/>
        <w:spacing w:after="0" w:line="253" w:lineRule="auto"/>
        <w:rPr>
          <w:sz w:val="20"/>
          <w:szCs w:val="20"/>
          <w:color w:val="auto"/>
        </w:rPr>
      </w:pPr>
      <w:r>
        <w:rPr>
          <w:rFonts w:ascii="Times New Roman" w:cs="Times New Roman" w:eastAsia="Times New Roman" w:hAnsi="Times New Roman"/>
          <w:sz w:val="18"/>
          <w:szCs w:val="18"/>
          <w:color w:val="auto"/>
        </w:rPr>
        <w:t xml:space="preserve">This provision would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provides </w:t>
      </w:r>
      <w:r>
        <w:rPr>
          <w:rFonts w:ascii="Times New Roman" w:cs="Times New Roman" w:eastAsia="Times New Roman" w:hAnsi="Times New Roman"/>
          <w:sz w:val="18"/>
          <w:szCs w:val="18"/>
          <w:color w:val="212529"/>
        </w:rPr>
        <w:t>that, unless we consent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writing to the selection of an alternative forum, the federal district courts of the United States will be the exclusive forum for resolving any complaint asserting a cause of action arising under the Securities Act.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w:t>
      </w:r>
    </w:p>
    <w:p>
      <w:pPr>
        <w:spacing w:after="0" w:line="190" w:lineRule="exact"/>
        <w:rPr>
          <w:sz w:val="20"/>
          <w:szCs w:val="20"/>
          <w:color w:val="auto"/>
        </w:rPr>
      </w:pPr>
    </w:p>
    <w:p>
      <w:pPr>
        <w:ind w:left="40" w:right="139" w:firstLine="324"/>
        <w:spacing w:after="0" w:line="277" w:lineRule="auto"/>
        <w:rPr>
          <w:sz w:val="20"/>
          <w:szCs w:val="20"/>
          <w:color w:val="auto"/>
        </w:rPr>
      </w:pPr>
      <w:r>
        <w:rPr>
          <w:rFonts w:ascii="Times New Roman" w:cs="Times New Roman" w:eastAsia="Times New Roman" w:hAnsi="Times New Roman"/>
          <w:sz w:val="17"/>
          <w:szCs w:val="17"/>
          <w:color w:val="212529"/>
        </w:rPr>
        <w:t xml:space="preserve">These exclusive 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exclusive-forum provision in our amended and restated certificate of incorporation to be inapplicable or unenforceable in an action, we may incur </w:t>
      </w:r>
      <w:r>
        <w:rPr>
          <w:rFonts w:ascii="Times New Roman" w:cs="Times New Roman" w:eastAsia="Times New Roman" w:hAnsi="Times New Roman"/>
          <w:sz w:val="17"/>
          <w:szCs w:val="17"/>
          <w:color w:val="000000"/>
        </w:rPr>
        <w:t>further significant</w:t>
      </w:r>
      <w:r>
        <w:rPr>
          <w:rFonts w:ascii="Times New Roman" w:cs="Times New Roman" w:eastAsia="Times New Roman" w:hAnsi="Times New Roman"/>
          <w:sz w:val="17"/>
          <w:szCs w:val="17"/>
          <w:color w:val="212529"/>
        </w:rPr>
        <w:t xml:space="preserve"> additional costs associated with resolving the dispute in other jurisdictions, </w:t>
      </w:r>
      <w:r>
        <w:rPr>
          <w:rFonts w:ascii="Times New Roman" w:cs="Times New Roman" w:eastAsia="Times New Roman" w:hAnsi="Times New Roman"/>
          <w:sz w:val="17"/>
          <w:szCs w:val="17"/>
          <w:color w:val="000000"/>
        </w:rPr>
        <w:t>all of</w:t>
      </w:r>
      <w:r>
        <w:rPr>
          <w:rFonts w:ascii="Times New Roman" w:cs="Times New Roman" w:eastAsia="Times New Roman" w:hAnsi="Times New Roman"/>
          <w:sz w:val="17"/>
          <w:szCs w:val="17"/>
          <w:color w:val="212529"/>
        </w:rPr>
        <w:t xml:space="preserve"> which could seriously harm our business.</w:t>
      </w:r>
    </w:p>
    <w:p>
      <w:pPr>
        <w:spacing w:after="0" w:line="16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212529"/>
        </w:rPr>
        <w:t>General Risk Factors</w:t>
      </w:r>
    </w:p>
    <w:p>
      <w:pPr>
        <w:spacing w:after="0" w:line="225" w:lineRule="exact"/>
        <w:rPr>
          <w:sz w:val="20"/>
          <w:szCs w:val="20"/>
          <w:color w:val="auto"/>
        </w:rPr>
      </w:pPr>
    </w:p>
    <w:p>
      <w:pPr>
        <w:ind w:left="40" w:right="4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Unfavorable economic and market conditions, domestically and internationally, may adversely affect our business, financial condition, results of operations and cash flows.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0" w:name="page41"/>
    <w:bookmarkEnd w:id="40"/>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0" w:right="119" w:firstLine="324"/>
        <w:spacing w:after="0" w:line="252" w:lineRule="auto"/>
        <w:rPr>
          <w:sz w:val="20"/>
          <w:szCs w:val="20"/>
          <w:color w:val="auto"/>
        </w:rPr>
      </w:pPr>
      <w:r>
        <w:rPr>
          <w:rFonts w:ascii="Times New Roman" w:cs="Times New Roman" w:eastAsia="Times New Roman" w:hAnsi="Times New Roman"/>
          <w:sz w:val="18"/>
          <w:szCs w:val="18"/>
          <w:color w:val="auto"/>
        </w:rPr>
        <w:t>We have significant customer sales both in the United States and internationally. We also rely on domestic and international suppliers, manufacturing partners and distributors. We are therefore susceptible to adverse U.S. and international economic and market conditions. If any of our manufacturing partners, customers, distributors or suppliers experience slowdowns in their business, serious financial difficulties or cease operations, our business will be adversely affected. In addition, the adverse impact of general economic factors that are beyond our control, including, but not limited to, housing markets, recession, inflation, deflation, consumer credit activity, consumer debt levels, exchange rate volatility, fuel and energy costs, interest rates, bank failures, tax rates and policy, unemployment trends, potential industry downturn, the impact of natural disasters such as pandemics, civil disturbances, terrorist activities and acts of war, including ongoing military conflict between Russia and Ukraine, may adversely impact consumer spending, which may adversely impact our customers’ spending and demand for our products. As an example, in the United States, capital markets have experienced and continue to experience volatility and disruption. Furthermore, inflation rates in the United States have recently increased to levels not seen in decades resulting in federal action to increase interest rates, affecting capital markets. In addition to the foregoing, adverse developments that affect financial institutions, transactional counterparties or other third parties, such as bank failures, or concerns or speculation about any similar events or risks, could lead to market-wide liquidity problems, which in turn may cause third parties, including customers, to become unable to meet their obligations under various types of financial arrangements as well as general disruptions or instability in the financial markets. Additionally, the military conflict in Ukraine and escalating geopolitical tensions resulting from such conflict have resulted and may continue to result in sanctions, tariffs, and import-export restrictions which, when combined with retaliatory actions taken by Russia, could cause further inflationary pressures and economic and supply chain disruptions, as well as cause us to experience extended lead times and increased prices from our suppliers. Any of the foregoing could adversely affect our business, financial condition, results of operations and cash flows.</w:t>
      </w:r>
    </w:p>
    <w:p>
      <w:pPr>
        <w:spacing w:after="0" w:line="18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Our business may be adversely impacted by natural disasters and other catastrophic events.</w:t>
      </w:r>
    </w:p>
    <w:p>
      <w:pPr>
        <w:spacing w:after="0" w:line="229" w:lineRule="exact"/>
        <w:rPr>
          <w:sz w:val="20"/>
          <w:szCs w:val="20"/>
          <w:color w:val="auto"/>
        </w:rPr>
      </w:pPr>
    </w:p>
    <w:p>
      <w:pPr>
        <w:ind w:left="40" w:right="59" w:firstLine="324"/>
        <w:spacing w:after="0" w:line="253" w:lineRule="auto"/>
        <w:rPr>
          <w:sz w:val="20"/>
          <w:szCs w:val="20"/>
          <w:color w:val="auto"/>
        </w:rPr>
      </w:pPr>
      <w:r>
        <w:rPr>
          <w:rFonts w:ascii="Times New Roman" w:cs="Times New Roman" w:eastAsia="Times New Roman" w:hAnsi="Times New Roman"/>
          <w:sz w:val="18"/>
          <w:szCs w:val="18"/>
          <w:color w:val="auto"/>
        </w:rPr>
        <w:t>Our operations and business, and those of our manufacturing partners, customers, distributors, or suppliers, can be disrupted by natural disasters; industrial accidents; public health issues, such as pandemics and epidemics; cybersecurity incidents; interruptions of service from utilities, transportation, telecommunications, or IT systems providers; manufacturing equipment failures; or other catastrophic events. For example, some of our foundries and suppliers’ facilities in Asia are located near known earthquake fault zones and, therefore, are vulnerable to damage from earthquakes. We are also vulnerable to damage from other types of disasters, such as power loss, fire, floods, and similar events. If any such natural disasters or other catastrophic events were to occur, our ability to operate our business could be seriously impaired. In addition, we may not have adequate insurance to cover our losses resulting from disasters or other similar significant business interruptions. Any significant losses that are not recoverable under our insurance policies could seriously impair our business and financial condition.</w:t>
      </w:r>
    </w:p>
    <w:p>
      <w:pPr>
        <w:spacing w:after="0" w:line="19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00" w:lineRule="exact"/>
        <w:rPr>
          <w:sz w:val="20"/>
          <w:szCs w:val="20"/>
          <w:color w:val="auto"/>
        </w:rPr>
      </w:pPr>
    </w:p>
    <w:p>
      <w:pPr>
        <w:spacing w:after="0" w:line="20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Trading Arrangements of Directors and Executive Officers.</w:t>
      </w:r>
    </w:p>
    <w:p>
      <w:pPr>
        <w:spacing w:after="0" w:line="227" w:lineRule="exact"/>
        <w:rPr>
          <w:sz w:val="20"/>
          <w:szCs w:val="20"/>
          <w:color w:val="auto"/>
        </w:rPr>
      </w:pPr>
    </w:p>
    <w:p>
      <w:pPr>
        <w:ind w:left="40" w:right="219" w:firstLine="401"/>
        <w:spacing w:after="0" w:line="266" w:lineRule="auto"/>
        <w:rPr>
          <w:sz w:val="20"/>
          <w:szCs w:val="20"/>
          <w:color w:val="auto"/>
        </w:rPr>
      </w:pPr>
      <w:r>
        <w:rPr>
          <w:rFonts w:ascii="Times New Roman" w:cs="Times New Roman" w:eastAsia="Times New Roman" w:hAnsi="Times New Roman"/>
          <w:sz w:val="18"/>
          <w:szCs w:val="18"/>
          <w:color w:val="auto"/>
        </w:rPr>
        <w:t>None of our directors or executive officers adopted, modified, or terminated a Rule 10b5-1 trading arrangement or a non-Rule 10b5-1 trading arrangement (as defined under Item 408(a) of Regulation S-K) during the quarter ended September 30, 2024.</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1" w:name="page42"/>
    <w:bookmarkEnd w:id="41"/>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23"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11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Incorporation By Reference</w:t>
            </w:r>
          </w:p>
        </w:tc>
        <w:tc>
          <w:tcPr>
            <w:tcW w:w="74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1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500" w:type="dxa"/>
            <w:vAlign w:val="bottom"/>
            <w:gridSpan w:val="26"/>
            <w:vMerge w:val="restart"/>
          </w:tcPr>
          <w:p>
            <w:pPr>
              <w:ind w:left="7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260" w:type="dxa"/>
            <w:vAlign w:val="bottom"/>
            <w:vMerge w:val="restart"/>
          </w:tcPr>
          <w:p>
            <w:pPr>
              <w:spacing w:after="0"/>
              <w:rPr>
                <w:sz w:val="10"/>
                <w:szCs w:val="10"/>
                <w:color w:val="auto"/>
              </w:rPr>
            </w:pPr>
          </w:p>
        </w:tc>
        <w:tc>
          <w:tcPr>
            <w:tcW w:w="660" w:type="dxa"/>
            <w:vAlign w:val="bottom"/>
            <w:vMerge w:val="restart"/>
          </w:tcPr>
          <w:p>
            <w:pPr>
              <w:jc w:val="center"/>
              <w:ind w:left="113"/>
              <w:spacing w:after="0"/>
              <w:rPr>
                <w:sz w:val="20"/>
                <w:szCs w:val="20"/>
                <w:color w:val="auto"/>
              </w:rPr>
            </w:pPr>
            <w:r>
              <w:rPr>
                <w:rFonts w:ascii="Times New Roman" w:cs="Times New Roman" w:eastAsia="Times New Roman" w:hAnsi="Times New Roman"/>
                <w:sz w:val="14"/>
                <w:szCs w:val="14"/>
                <w:b w:val="1"/>
                <w:bCs w:val="1"/>
                <w:color w:val="auto"/>
              </w:rPr>
              <w:t>Form</w:t>
            </w: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SEC File No.</w:t>
            </w:r>
          </w:p>
        </w:tc>
        <w:tc>
          <w:tcPr>
            <w:tcW w:w="220" w:type="dxa"/>
            <w:vAlign w:val="bottom"/>
            <w:vMerge w:val="restart"/>
          </w:tcPr>
          <w:p>
            <w:pPr>
              <w:spacing w:after="0"/>
              <w:rPr>
                <w:sz w:val="10"/>
                <w:szCs w:val="10"/>
                <w:color w:val="auto"/>
              </w:rPr>
            </w:pPr>
          </w:p>
        </w:tc>
        <w:tc>
          <w:tcPr>
            <w:tcW w:w="100" w:type="dxa"/>
            <w:vAlign w:val="bottom"/>
            <w:vMerge w:val="restart"/>
          </w:tcPr>
          <w:p>
            <w:pPr>
              <w:spacing w:after="0"/>
              <w:rPr>
                <w:sz w:val="10"/>
                <w:szCs w:val="10"/>
                <w:color w:val="auto"/>
              </w:rPr>
            </w:pPr>
          </w:p>
        </w:tc>
        <w:tc>
          <w:tcPr>
            <w:tcW w:w="740" w:type="dxa"/>
            <w:vAlign w:val="bottom"/>
          </w:tcPr>
          <w:p>
            <w:pPr>
              <w:jc w:val="center"/>
              <w:ind w:right="35"/>
              <w:spacing w:after="0" w:line="118" w:lineRule="exact"/>
              <w:rPr>
                <w:sz w:val="20"/>
                <w:szCs w:val="20"/>
                <w:color w:val="auto"/>
              </w:rPr>
            </w:pPr>
            <w:r>
              <w:rPr>
                <w:rFonts w:ascii="Times New Roman" w:cs="Times New Roman" w:eastAsia="Times New Roman" w:hAnsi="Times New Roman"/>
                <w:sz w:val="13"/>
                <w:szCs w:val="13"/>
                <w:b w:val="1"/>
                <w:bCs w:val="1"/>
                <w:color w:val="auto"/>
              </w:rPr>
              <w:t>Exhibit/</w:t>
            </w:r>
          </w:p>
        </w:tc>
        <w:tc>
          <w:tcPr>
            <w:tcW w:w="260" w:type="dxa"/>
            <w:vAlign w:val="bottom"/>
          </w:tcPr>
          <w:p>
            <w:pPr>
              <w:spacing w:after="0"/>
              <w:rPr>
                <w:sz w:val="10"/>
                <w:szCs w:val="10"/>
                <w:color w:val="auto"/>
              </w:rPr>
            </w:pPr>
          </w:p>
        </w:tc>
        <w:tc>
          <w:tcPr>
            <w:tcW w:w="1300" w:type="dxa"/>
            <w:vAlign w:val="bottom"/>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0" w:type="dxa"/>
            <w:vAlign w:val="bottom"/>
          </w:tcPr>
          <w:p>
            <w:pPr>
              <w:spacing w:after="0"/>
              <w:rPr>
                <w:sz w:val="1"/>
                <w:szCs w:val="1"/>
                <w:color w:val="auto"/>
              </w:rPr>
            </w:pPr>
          </w:p>
        </w:tc>
      </w:tr>
      <w:tr>
        <w:trPr>
          <w:trHeight w:val="173"/>
        </w:trPr>
        <w:tc>
          <w:tcPr>
            <w:tcW w:w="9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gridSpan w:val="26"/>
            <w:vMerge w:val="continue"/>
          </w:tcPr>
          <w:p>
            <w:pPr>
              <w:spacing w:after="0"/>
              <w:rPr>
                <w:sz w:val="15"/>
                <w:szCs w:val="15"/>
                <w:color w:val="auto"/>
              </w:rPr>
            </w:pPr>
          </w:p>
        </w:tc>
        <w:tc>
          <w:tcPr>
            <w:tcW w:w="260" w:type="dxa"/>
            <w:vAlign w:val="bottom"/>
            <w:vMerge w:val="continue"/>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100" w:type="dxa"/>
            <w:vAlign w:val="bottom"/>
            <w:tcBorders>
              <w:bottom w:val="single" w:sz="8" w:color="auto"/>
            </w:tcBorders>
            <w:vMerge w:val="continue"/>
          </w:tcPr>
          <w:p>
            <w:pPr>
              <w:spacing w:after="0"/>
              <w:rPr>
                <w:sz w:val="15"/>
                <w:szCs w:val="15"/>
                <w:color w:val="auto"/>
              </w:rPr>
            </w:pPr>
          </w:p>
        </w:tc>
        <w:tc>
          <w:tcPr>
            <w:tcW w:w="74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Reference</w:t>
            </w:r>
          </w:p>
        </w:tc>
        <w:tc>
          <w:tcPr>
            <w:tcW w:w="260" w:type="dxa"/>
            <w:vAlign w:val="bottom"/>
          </w:tcPr>
          <w:p>
            <w:pPr>
              <w:spacing w:after="0"/>
              <w:rPr>
                <w:sz w:val="15"/>
                <w:szCs w:val="15"/>
                <w:color w:val="auto"/>
              </w:rPr>
            </w:pPr>
          </w:p>
        </w:tc>
        <w:tc>
          <w:tcPr>
            <w:tcW w:w="13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980" w:type="dxa"/>
            <w:vAlign w:val="bottom"/>
          </w:tcPr>
          <w:p>
            <w:pPr>
              <w:ind w:left="100"/>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80" w:type="dxa"/>
            <w:vAlign w:val="bottom"/>
            <w:gridSpan w:val="28"/>
          </w:tcPr>
          <w:p>
            <w:pPr>
              <w:spacing w:after="0" w:line="196" w:lineRule="exact"/>
              <w:rPr>
                <w:rFonts w:ascii="Times New Roman" w:cs="Times New Roman" w:eastAsia="Times New Roman" w:hAnsi="Times New Roman"/>
                <w:sz w:val="18"/>
                <w:szCs w:val="18"/>
                <w:color w:val="0000EE"/>
              </w:rPr>
            </w:pPr>
            <w:hyperlink r:id="rId59">
              <w:r>
                <w:rPr>
                  <w:rFonts w:ascii="Times New Roman" w:cs="Times New Roman" w:eastAsia="Times New Roman" w:hAnsi="Times New Roman"/>
                  <w:sz w:val="18"/>
                  <w:szCs w:val="18"/>
                  <w:color w:val="0000EE"/>
                </w:rPr>
                <w:t>Amended and Restated Certificate</w:t>
              </w:r>
            </w:hyperlink>
          </w:p>
        </w:tc>
        <w:tc>
          <w:tcPr>
            <w:tcW w:w="660" w:type="dxa"/>
            <w:vAlign w:val="bottom"/>
          </w:tcPr>
          <w:p>
            <w:pPr>
              <w:jc w:val="center"/>
              <w:ind w:left="93"/>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480" w:type="dxa"/>
            <w:vAlign w:val="bottom"/>
            <w:gridSpan w:val="3"/>
          </w:tcPr>
          <w:p>
            <w:pPr>
              <w:ind w:left="580"/>
              <w:spacing w:after="0" w:line="196" w:lineRule="exact"/>
              <w:rPr>
                <w:sz w:val="20"/>
                <w:szCs w:val="20"/>
                <w:color w:val="auto"/>
              </w:rPr>
            </w:pPr>
            <w:r>
              <w:rPr>
                <w:rFonts w:ascii="Times New Roman" w:cs="Times New Roman" w:eastAsia="Times New Roman" w:hAnsi="Times New Roman"/>
                <w:sz w:val="18"/>
                <w:szCs w:val="18"/>
                <w:color w:val="auto"/>
              </w:rPr>
              <w:t>001-37900</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center"/>
              <w:ind w:right="35"/>
              <w:spacing w:after="0" w:line="196" w:lineRule="exact"/>
              <w:rPr>
                <w:sz w:val="20"/>
                <w:szCs w:val="20"/>
                <w:color w:val="auto"/>
              </w:rPr>
            </w:pPr>
            <w:r>
              <w:rPr>
                <w:rFonts w:ascii="Times New Roman" w:cs="Times New Roman" w:eastAsia="Times New Roman" w:hAnsi="Times New Roman"/>
                <w:sz w:val="18"/>
                <w:szCs w:val="18"/>
                <w:color w:val="auto"/>
                <w:w w:val="97"/>
              </w:rPr>
              <w:t>3.1</w:t>
            </w:r>
          </w:p>
        </w:tc>
        <w:tc>
          <w:tcPr>
            <w:tcW w:w="260" w:type="dxa"/>
            <w:vAlign w:val="bottom"/>
          </w:tcPr>
          <w:p>
            <w:pPr>
              <w:spacing w:after="0"/>
              <w:rPr>
                <w:sz w:val="17"/>
                <w:szCs w:val="17"/>
                <w:color w:val="auto"/>
              </w:rPr>
            </w:pPr>
          </w:p>
        </w:tc>
        <w:tc>
          <w:tcPr>
            <w:tcW w:w="13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10/13/2016</w:t>
            </w: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60" w:type="dxa"/>
            <w:vAlign w:val="bottom"/>
            <w:tcBorders>
              <w:top w:val="single" w:sz="8" w:color="0000EE"/>
            </w:tcBorders>
            <w:gridSpan w:val="24"/>
          </w:tcPr>
          <w:p>
            <w:pPr>
              <w:spacing w:after="0" w:line="196" w:lineRule="exact"/>
              <w:rPr>
                <w:rFonts w:ascii="Times New Roman" w:cs="Times New Roman" w:eastAsia="Times New Roman" w:hAnsi="Times New Roman"/>
                <w:sz w:val="18"/>
                <w:szCs w:val="18"/>
                <w:color w:val="0000EE"/>
              </w:rPr>
            </w:pPr>
            <w:hyperlink r:id="rId59">
              <w:r>
                <w:rPr>
                  <w:rFonts w:ascii="Times New Roman" w:cs="Times New Roman" w:eastAsia="Times New Roman" w:hAnsi="Times New Roman"/>
                  <w:sz w:val="18"/>
                  <w:szCs w:val="18"/>
                  <w:color w:val="0000EE"/>
                </w:rPr>
                <w:t>of Incorporation</w:t>
              </w:r>
            </w:hyperlink>
          </w:p>
        </w:tc>
        <w:tc>
          <w:tcPr>
            <w:tcW w:w="420" w:type="dxa"/>
            <w:vAlign w:val="bottom"/>
            <w:gridSpan w:val="4"/>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3.1.1</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2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8"/>
              </w:rPr>
            </w:pPr>
            <w:hyperlink r:id="rId60">
              <w:r>
                <w:rPr>
                  <w:rFonts w:ascii="Times New Roman" w:cs="Times New Roman" w:eastAsia="Times New Roman" w:hAnsi="Times New Roman"/>
                  <w:sz w:val="18"/>
                  <w:szCs w:val="18"/>
                  <w:color w:val="0000EE"/>
                  <w:w w:val="98"/>
                </w:rPr>
                <w:t xml:space="preserve">Amendment </w:t>
              </w:r>
              <w:r>
                <w:rPr>
                  <w:rFonts w:ascii="Times New Roman" w:cs="Times New Roman" w:eastAsia="Times New Roman" w:hAnsi="Times New Roman"/>
                  <w:sz w:val="18"/>
                  <w:szCs w:val="18"/>
                  <w:color w:val="0000EE"/>
                  <w:highlight w:val="white"/>
                  <w:w w:val="98"/>
                </w:rPr>
                <w:t>to Amended and</w:t>
              </w:r>
            </w:hyperlink>
          </w:p>
        </w:tc>
        <w:tc>
          <w:tcPr>
            <w:tcW w:w="760" w:type="dxa"/>
            <w:vAlign w:val="bottom"/>
            <w:gridSpan w:val="15"/>
          </w:tcPr>
          <w:p>
            <w:pPr>
              <w:spacing w:after="0"/>
              <w:rPr>
                <w:sz w:val="24"/>
                <w:szCs w:val="24"/>
                <w:color w:val="auto"/>
              </w:rPr>
            </w:pPr>
          </w:p>
        </w:tc>
        <w:tc>
          <w:tcPr>
            <w:tcW w:w="660" w:type="dxa"/>
            <w:vAlign w:val="bottom"/>
          </w:tcPr>
          <w:p>
            <w:pPr>
              <w:jc w:val="center"/>
              <w:ind w:left="93"/>
              <w:spacing w:after="0"/>
              <w:rPr>
                <w:sz w:val="20"/>
                <w:szCs w:val="20"/>
                <w:color w:val="auto"/>
              </w:rPr>
            </w:pPr>
            <w:r>
              <w:rPr>
                <w:rFonts w:ascii="Times New Roman" w:cs="Times New Roman" w:eastAsia="Times New Roman" w:hAnsi="Times New Roman"/>
                <w:sz w:val="18"/>
                <w:szCs w:val="18"/>
                <w:color w:val="auto"/>
                <w:w w:val="99"/>
              </w:rPr>
              <w:t>8-K</w:t>
            </w:r>
          </w:p>
        </w:tc>
        <w:tc>
          <w:tcPr>
            <w:tcW w:w="148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001-37900</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jc w:val="center"/>
              <w:ind w:right="35"/>
              <w:spacing w:after="0"/>
              <w:rPr>
                <w:sz w:val="20"/>
                <w:szCs w:val="20"/>
                <w:color w:val="auto"/>
              </w:rPr>
            </w:pPr>
            <w:r>
              <w:rPr>
                <w:rFonts w:ascii="Times New Roman" w:cs="Times New Roman" w:eastAsia="Times New Roman" w:hAnsi="Times New Roman"/>
                <w:sz w:val="18"/>
                <w:szCs w:val="18"/>
                <w:color w:val="auto"/>
                <w:w w:val="97"/>
              </w:rPr>
              <w:t>3.1</w:t>
            </w:r>
          </w:p>
        </w:tc>
        <w:tc>
          <w:tcPr>
            <w:tcW w:w="26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5/22/2019</w:t>
            </w: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8"/>
              </w:rPr>
            </w:pPr>
            <w:hyperlink r:id="rId60">
              <w:r>
                <w:rPr>
                  <w:rFonts w:ascii="Times New Roman" w:cs="Times New Roman" w:eastAsia="Times New Roman" w:hAnsi="Times New Roman"/>
                  <w:sz w:val="18"/>
                  <w:szCs w:val="18"/>
                  <w:color w:val="0000EE"/>
                  <w:w w:val="98"/>
                </w:rPr>
                <w:t>Restated Certificate of</w:t>
              </w:r>
            </w:hyperlink>
          </w:p>
        </w:tc>
        <w:tc>
          <w:tcPr>
            <w:tcW w:w="1260" w:type="dxa"/>
            <w:vAlign w:val="bottom"/>
            <w:gridSpan w:val="22"/>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7"/>
              </w:rPr>
            </w:pPr>
            <w:hyperlink r:id="rId60">
              <w:r>
                <w:rPr>
                  <w:rFonts w:ascii="Times New Roman" w:cs="Times New Roman" w:eastAsia="Times New Roman" w:hAnsi="Times New Roman"/>
                  <w:sz w:val="18"/>
                  <w:szCs w:val="18"/>
                  <w:color w:val="0000EE"/>
                  <w:w w:val="97"/>
                </w:rPr>
                <w:t>Incorporation</w:t>
              </w:r>
            </w:hyperlink>
          </w:p>
        </w:tc>
        <w:tc>
          <w:tcPr>
            <w:tcW w:w="1900" w:type="dxa"/>
            <w:vAlign w:val="bottom"/>
            <w:gridSpan w:val="26"/>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3.1.2</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2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8"/>
              </w:rPr>
            </w:pPr>
            <w:hyperlink r:id="rId61">
              <w:r>
                <w:rPr>
                  <w:rFonts w:ascii="Times New Roman" w:cs="Times New Roman" w:eastAsia="Times New Roman" w:hAnsi="Times New Roman"/>
                  <w:sz w:val="18"/>
                  <w:szCs w:val="18"/>
                  <w:color w:val="0000EE"/>
                  <w:w w:val="98"/>
                </w:rPr>
                <w:t>Amendment to Amended and</w:t>
              </w:r>
            </w:hyperlink>
          </w:p>
        </w:tc>
        <w:tc>
          <w:tcPr>
            <w:tcW w:w="760" w:type="dxa"/>
            <w:vAlign w:val="bottom"/>
            <w:gridSpan w:val="15"/>
          </w:tcPr>
          <w:p>
            <w:pPr>
              <w:spacing w:after="0"/>
              <w:rPr>
                <w:sz w:val="24"/>
                <w:szCs w:val="24"/>
                <w:color w:val="auto"/>
              </w:rPr>
            </w:pPr>
          </w:p>
        </w:tc>
        <w:tc>
          <w:tcPr>
            <w:tcW w:w="660" w:type="dxa"/>
            <w:vAlign w:val="bottom"/>
          </w:tcPr>
          <w:p>
            <w:pPr>
              <w:jc w:val="center"/>
              <w:ind w:left="93"/>
              <w:spacing w:after="0"/>
              <w:rPr>
                <w:sz w:val="20"/>
                <w:szCs w:val="20"/>
                <w:color w:val="auto"/>
              </w:rPr>
            </w:pPr>
            <w:r>
              <w:rPr>
                <w:rFonts w:ascii="Times New Roman" w:cs="Times New Roman" w:eastAsia="Times New Roman" w:hAnsi="Times New Roman"/>
                <w:sz w:val="18"/>
                <w:szCs w:val="18"/>
                <w:color w:val="auto"/>
                <w:w w:val="99"/>
              </w:rPr>
              <w:t>8-K</w:t>
            </w:r>
          </w:p>
        </w:tc>
        <w:tc>
          <w:tcPr>
            <w:tcW w:w="148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001-37900</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jc w:val="center"/>
              <w:ind w:right="35"/>
              <w:spacing w:after="0"/>
              <w:rPr>
                <w:sz w:val="20"/>
                <w:szCs w:val="20"/>
                <w:color w:val="auto"/>
              </w:rPr>
            </w:pPr>
            <w:r>
              <w:rPr>
                <w:rFonts w:ascii="Times New Roman" w:cs="Times New Roman" w:eastAsia="Times New Roman" w:hAnsi="Times New Roman"/>
                <w:sz w:val="18"/>
                <w:szCs w:val="18"/>
                <w:color w:val="auto"/>
                <w:w w:val="97"/>
              </w:rPr>
              <w:t>3.1</w:t>
            </w:r>
          </w:p>
        </w:tc>
        <w:tc>
          <w:tcPr>
            <w:tcW w:w="26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5/27/2020</w:t>
            </w: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8"/>
              </w:rPr>
            </w:pPr>
            <w:hyperlink r:id="rId61">
              <w:r>
                <w:rPr>
                  <w:rFonts w:ascii="Times New Roman" w:cs="Times New Roman" w:eastAsia="Times New Roman" w:hAnsi="Times New Roman"/>
                  <w:sz w:val="18"/>
                  <w:szCs w:val="18"/>
                  <w:color w:val="0000EE"/>
                  <w:w w:val="98"/>
                </w:rPr>
                <w:t>Restated Certificate of</w:t>
              </w:r>
            </w:hyperlink>
          </w:p>
        </w:tc>
        <w:tc>
          <w:tcPr>
            <w:tcW w:w="1260" w:type="dxa"/>
            <w:vAlign w:val="bottom"/>
            <w:gridSpan w:val="22"/>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7"/>
              </w:rPr>
            </w:pPr>
            <w:hyperlink r:id="rId61">
              <w:r>
                <w:rPr>
                  <w:rFonts w:ascii="Times New Roman" w:cs="Times New Roman" w:eastAsia="Times New Roman" w:hAnsi="Times New Roman"/>
                  <w:sz w:val="18"/>
                  <w:szCs w:val="18"/>
                  <w:color w:val="0000EE"/>
                  <w:w w:val="97"/>
                </w:rPr>
                <w:t>Incorporation</w:t>
              </w:r>
            </w:hyperlink>
          </w:p>
        </w:tc>
        <w:tc>
          <w:tcPr>
            <w:tcW w:w="1900" w:type="dxa"/>
            <w:vAlign w:val="bottom"/>
            <w:gridSpan w:val="26"/>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3.1.3</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2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8"/>
              </w:rPr>
            </w:pPr>
            <w:hyperlink r:id="rId62">
              <w:r>
                <w:rPr>
                  <w:rFonts w:ascii="Times New Roman" w:cs="Times New Roman" w:eastAsia="Times New Roman" w:hAnsi="Times New Roman"/>
                  <w:sz w:val="18"/>
                  <w:szCs w:val="18"/>
                  <w:color w:val="0000EE"/>
                  <w:w w:val="98"/>
                </w:rPr>
                <w:t>Amendment to Amended and</w:t>
              </w:r>
            </w:hyperlink>
          </w:p>
        </w:tc>
        <w:tc>
          <w:tcPr>
            <w:tcW w:w="760" w:type="dxa"/>
            <w:vAlign w:val="bottom"/>
            <w:gridSpan w:val="15"/>
          </w:tcPr>
          <w:p>
            <w:pPr>
              <w:spacing w:after="0"/>
              <w:rPr>
                <w:sz w:val="24"/>
                <w:szCs w:val="24"/>
                <w:color w:val="auto"/>
              </w:rPr>
            </w:pPr>
          </w:p>
        </w:tc>
        <w:tc>
          <w:tcPr>
            <w:tcW w:w="660" w:type="dxa"/>
            <w:vAlign w:val="bottom"/>
          </w:tcPr>
          <w:p>
            <w:pPr>
              <w:jc w:val="center"/>
              <w:ind w:left="93"/>
              <w:spacing w:after="0"/>
              <w:rPr>
                <w:sz w:val="20"/>
                <w:szCs w:val="20"/>
                <w:color w:val="auto"/>
              </w:rPr>
            </w:pPr>
            <w:r>
              <w:rPr>
                <w:rFonts w:ascii="Times New Roman" w:cs="Times New Roman" w:eastAsia="Times New Roman" w:hAnsi="Times New Roman"/>
                <w:sz w:val="18"/>
                <w:szCs w:val="18"/>
                <w:color w:val="auto"/>
                <w:w w:val="99"/>
              </w:rPr>
              <w:t>8-K</w:t>
            </w:r>
          </w:p>
        </w:tc>
        <w:tc>
          <w:tcPr>
            <w:tcW w:w="148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001-37900</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jc w:val="center"/>
              <w:ind w:right="35"/>
              <w:spacing w:after="0"/>
              <w:rPr>
                <w:sz w:val="20"/>
                <w:szCs w:val="20"/>
                <w:color w:val="auto"/>
              </w:rPr>
            </w:pPr>
            <w:r>
              <w:rPr>
                <w:rFonts w:ascii="Times New Roman" w:cs="Times New Roman" w:eastAsia="Times New Roman" w:hAnsi="Times New Roman"/>
                <w:sz w:val="18"/>
                <w:szCs w:val="18"/>
                <w:color w:val="auto"/>
                <w:w w:val="97"/>
              </w:rPr>
              <w:t>3.1</w:t>
            </w:r>
          </w:p>
        </w:tc>
        <w:tc>
          <w:tcPr>
            <w:tcW w:w="26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5/25/2023</w:t>
            </w: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8"/>
              </w:rPr>
            </w:pPr>
            <w:hyperlink r:id="rId62">
              <w:r>
                <w:rPr>
                  <w:rFonts w:ascii="Times New Roman" w:cs="Times New Roman" w:eastAsia="Times New Roman" w:hAnsi="Times New Roman"/>
                  <w:sz w:val="18"/>
                  <w:szCs w:val="18"/>
                  <w:color w:val="0000EE"/>
                  <w:w w:val="98"/>
                </w:rPr>
                <w:t>Restated Certificate of</w:t>
              </w:r>
            </w:hyperlink>
          </w:p>
        </w:tc>
        <w:tc>
          <w:tcPr>
            <w:tcW w:w="1260" w:type="dxa"/>
            <w:vAlign w:val="bottom"/>
            <w:gridSpan w:val="22"/>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7"/>
              </w:rPr>
            </w:pPr>
            <w:hyperlink r:id="rId62">
              <w:r>
                <w:rPr>
                  <w:rFonts w:ascii="Times New Roman" w:cs="Times New Roman" w:eastAsia="Times New Roman" w:hAnsi="Times New Roman"/>
                  <w:sz w:val="18"/>
                  <w:szCs w:val="18"/>
                  <w:color w:val="0000EE"/>
                  <w:w w:val="97"/>
                </w:rPr>
                <w:t>Incorporation</w:t>
              </w:r>
            </w:hyperlink>
          </w:p>
        </w:tc>
        <w:tc>
          <w:tcPr>
            <w:tcW w:w="1900" w:type="dxa"/>
            <w:vAlign w:val="bottom"/>
            <w:gridSpan w:val="26"/>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3.2</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6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w w:val="99"/>
              </w:rPr>
            </w:pPr>
            <w:hyperlink r:id="rId63">
              <w:r>
                <w:rPr>
                  <w:rFonts w:ascii="Times New Roman" w:cs="Times New Roman" w:eastAsia="Times New Roman" w:hAnsi="Times New Roman"/>
                  <w:sz w:val="18"/>
                  <w:szCs w:val="18"/>
                  <w:color w:val="0000EE"/>
                  <w:w w:val="99"/>
                </w:rPr>
                <w:t>Amended and Restated Bylaws</w:t>
              </w:r>
            </w:hyperlink>
          </w:p>
        </w:tc>
        <w:tc>
          <w:tcPr>
            <w:tcW w:w="620" w:type="dxa"/>
            <w:vAlign w:val="bottom"/>
            <w:gridSpan w:val="10"/>
          </w:tcPr>
          <w:p>
            <w:pPr>
              <w:spacing w:after="0"/>
              <w:rPr>
                <w:sz w:val="24"/>
                <w:szCs w:val="24"/>
                <w:color w:val="auto"/>
              </w:rPr>
            </w:pPr>
          </w:p>
        </w:tc>
        <w:tc>
          <w:tcPr>
            <w:tcW w:w="660" w:type="dxa"/>
            <w:vAlign w:val="bottom"/>
          </w:tcPr>
          <w:p>
            <w:pPr>
              <w:jc w:val="center"/>
              <w:ind w:left="93"/>
              <w:spacing w:after="0"/>
              <w:rPr>
                <w:sz w:val="20"/>
                <w:szCs w:val="20"/>
                <w:color w:val="auto"/>
              </w:rPr>
            </w:pPr>
            <w:r>
              <w:rPr>
                <w:rFonts w:ascii="Times New Roman" w:cs="Times New Roman" w:eastAsia="Times New Roman" w:hAnsi="Times New Roman"/>
                <w:sz w:val="18"/>
                <w:szCs w:val="18"/>
                <w:color w:val="auto"/>
                <w:w w:val="99"/>
              </w:rPr>
              <w:t>8-K</w:t>
            </w:r>
          </w:p>
        </w:tc>
        <w:tc>
          <w:tcPr>
            <w:tcW w:w="148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001-37900</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jc w:val="center"/>
              <w:ind w:right="35"/>
              <w:spacing w:after="0"/>
              <w:rPr>
                <w:sz w:val="20"/>
                <w:szCs w:val="20"/>
                <w:color w:val="auto"/>
              </w:rPr>
            </w:pPr>
            <w:r>
              <w:rPr>
                <w:rFonts w:ascii="Times New Roman" w:cs="Times New Roman" w:eastAsia="Times New Roman" w:hAnsi="Times New Roman"/>
                <w:sz w:val="18"/>
                <w:szCs w:val="18"/>
                <w:color w:val="auto"/>
                <w:w w:val="97"/>
              </w:rPr>
              <w:t>3.2</w:t>
            </w:r>
          </w:p>
        </w:tc>
        <w:tc>
          <w:tcPr>
            <w:tcW w:w="26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5/22/2019</w:t>
            </w:r>
          </w:p>
        </w:tc>
        <w:tc>
          <w:tcPr>
            <w:tcW w:w="0" w:type="dxa"/>
            <w:vAlign w:val="bottom"/>
          </w:tcPr>
          <w:p>
            <w:pPr>
              <w:spacing w:after="0"/>
              <w:rPr>
                <w:sz w:val="1"/>
                <w:szCs w:val="1"/>
                <w:color w:val="auto"/>
              </w:rPr>
            </w:pPr>
          </w:p>
        </w:tc>
      </w:tr>
      <w:tr>
        <w:trPr>
          <w:trHeight w:val="412"/>
        </w:trPr>
        <w:tc>
          <w:tcPr>
            <w:tcW w:w="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0" w:type="dxa"/>
            <w:vAlign w:val="bottom"/>
            <w:tcBorders>
              <w:bottom w:val="single" w:sz="8" w:color="0000EE"/>
            </w:tcBorders>
            <w:gridSpan w:val="23"/>
          </w:tcPr>
          <w:p>
            <w:pPr>
              <w:spacing w:after="0"/>
              <w:rPr>
                <w:rFonts w:ascii="Times New Roman" w:cs="Times New Roman" w:eastAsia="Times New Roman" w:hAnsi="Times New Roman"/>
                <w:sz w:val="18"/>
                <w:szCs w:val="18"/>
                <w:color w:val="0000EE"/>
                <w:w w:val="98"/>
              </w:rPr>
            </w:pPr>
            <w:hyperlink r:id="rId64">
              <w:r>
                <w:rPr>
                  <w:rFonts w:ascii="Times New Roman" w:cs="Times New Roman" w:eastAsia="Times New Roman" w:hAnsi="Times New Roman"/>
                  <w:sz w:val="18"/>
                  <w:szCs w:val="18"/>
                  <w:color w:val="0000EE"/>
                  <w:w w:val="98"/>
                </w:rPr>
                <w:t>Offer Letter, dated July 16, 2024,</w:t>
              </w:r>
            </w:hyperlink>
          </w:p>
        </w:tc>
        <w:tc>
          <w:tcPr>
            <w:tcW w:w="480" w:type="dxa"/>
            <w:vAlign w:val="bottom"/>
            <w:gridSpan w:val="5"/>
          </w:tcPr>
          <w:p>
            <w:pPr>
              <w:spacing w:after="0"/>
              <w:rPr>
                <w:sz w:val="24"/>
                <w:szCs w:val="24"/>
                <w:color w:val="auto"/>
              </w:rPr>
            </w:pPr>
          </w:p>
        </w:tc>
        <w:tc>
          <w:tcPr>
            <w:tcW w:w="660" w:type="dxa"/>
            <w:vAlign w:val="bottom"/>
          </w:tcPr>
          <w:p>
            <w:pPr>
              <w:jc w:val="center"/>
              <w:ind w:left="93"/>
              <w:spacing w:after="0"/>
              <w:rPr>
                <w:sz w:val="20"/>
                <w:szCs w:val="20"/>
                <w:color w:val="auto"/>
              </w:rPr>
            </w:pPr>
            <w:r>
              <w:rPr>
                <w:rFonts w:ascii="Times New Roman" w:cs="Times New Roman" w:eastAsia="Times New Roman" w:hAnsi="Times New Roman"/>
                <w:sz w:val="18"/>
                <w:szCs w:val="18"/>
                <w:color w:val="auto"/>
                <w:w w:val="99"/>
              </w:rPr>
              <w:t>8-K</w:t>
            </w:r>
          </w:p>
        </w:tc>
        <w:tc>
          <w:tcPr>
            <w:tcW w:w="148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001-37900</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jc w:val="center"/>
              <w:ind w:right="35"/>
              <w:spacing w:after="0"/>
              <w:rPr>
                <w:sz w:val="20"/>
                <w:szCs w:val="20"/>
                <w:color w:val="auto"/>
              </w:rPr>
            </w:pPr>
            <w:r>
              <w:rPr>
                <w:rFonts w:ascii="Times New Roman" w:cs="Times New Roman" w:eastAsia="Times New Roman" w:hAnsi="Times New Roman"/>
                <w:sz w:val="18"/>
                <w:szCs w:val="18"/>
                <w:color w:val="auto"/>
                <w:w w:val="95"/>
              </w:rPr>
              <w:t>10.1</w:t>
            </w:r>
          </w:p>
        </w:tc>
        <w:tc>
          <w:tcPr>
            <w:tcW w:w="26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7/18/2024</w:t>
            </w: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80" w:type="dxa"/>
            <w:vAlign w:val="bottom"/>
            <w:gridSpan w:val="28"/>
          </w:tcPr>
          <w:p>
            <w:pPr>
              <w:spacing w:after="0" w:line="196" w:lineRule="exact"/>
              <w:rPr>
                <w:rFonts w:ascii="Times New Roman" w:cs="Times New Roman" w:eastAsia="Times New Roman" w:hAnsi="Times New Roman"/>
                <w:sz w:val="18"/>
                <w:szCs w:val="18"/>
                <w:color w:val="0000EE"/>
              </w:rPr>
            </w:pPr>
            <w:hyperlink r:id="rId64">
              <w:r>
                <w:rPr>
                  <w:rFonts w:ascii="Times New Roman" w:cs="Times New Roman" w:eastAsia="Times New Roman" w:hAnsi="Times New Roman"/>
                  <w:sz w:val="18"/>
                  <w:szCs w:val="18"/>
                  <w:color w:val="0000EE"/>
                </w:rPr>
                <w:t>between the registrant and</w:t>
              </w:r>
            </w:hyperlink>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w w:val="97"/>
              </w:rPr>
            </w:pPr>
            <w:hyperlink r:id="rId64">
              <w:r>
                <w:rPr>
                  <w:rFonts w:ascii="Times New Roman" w:cs="Times New Roman" w:eastAsia="Times New Roman" w:hAnsi="Times New Roman"/>
                  <w:sz w:val="18"/>
                  <w:szCs w:val="18"/>
                  <w:color w:val="0000EE"/>
                  <w:w w:val="97"/>
                </w:rPr>
                <w:t>Matthew Tenorio</w:t>
              </w:r>
            </w:hyperlink>
          </w:p>
        </w:tc>
        <w:tc>
          <w:tcPr>
            <w:tcW w:w="640" w:type="dxa"/>
            <w:vAlign w:val="bottom"/>
            <w:tcBorders>
              <w:top w:val="single" w:sz="8" w:color="0000EE"/>
            </w:tcBorders>
            <w:gridSpan w:val="6"/>
          </w:tcPr>
          <w:p>
            <w:pPr>
              <w:spacing w:after="0"/>
              <w:rPr>
                <w:sz w:val="17"/>
                <w:szCs w:val="17"/>
                <w:color w:val="auto"/>
              </w:rPr>
            </w:pPr>
          </w:p>
        </w:tc>
        <w:tc>
          <w:tcPr>
            <w:tcW w:w="1000" w:type="dxa"/>
            <w:vAlign w:val="bottom"/>
            <w:gridSpan w:val="17"/>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10.2*</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40" w:type="dxa"/>
            <w:vAlign w:val="bottom"/>
            <w:tcBorders>
              <w:bottom w:val="single" w:sz="8" w:color="0000EE"/>
            </w:tcBorders>
            <w:gridSpan w:val="21"/>
          </w:tcPr>
          <w:p>
            <w:pPr>
              <w:spacing w:after="0"/>
              <w:rPr>
                <w:sz w:val="20"/>
                <w:szCs w:val="20"/>
                <w:color w:val="auto"/>
              </w:rPr>
            </w:pPr>
            <w:r>
              <w:rPr>
                <w:rFonts w:ascii="Times New Roman" w:cs="Times New Roman" w:eastAsia="Times New Roman" w:hAnsi="Times New Roman"/>
                <w:sz w:val="18"/>
                <w:szCs w:val="18"/>
                <w:color w:val="0000EE"/>
                <w:w w:val="99"/>
              </w:rPr>
              <w:t>Separation Letter, dated July 17,</w:t>
            </w:r>
          </w:p>
        </w:tc>
        <w:tc>
          <w:tcPr>
            <w:tcW w:w="540" w:type="dxa"/>
            <w:vAlign w:val="bottom"/>
            <w:gridSpan w:val="7"/>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40" w:type="dxa"/>
            <w:vAlign w:val="bottom"/>
            <w:tcBorders>
              <w:bottom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EE"/>
                <w:w w:val="98"/>
              </w:rPr>
              <w:t>2024, between the registrant and</w:t>
            </w:r>
          </w:p>
        </w:tc>
        <w:tc>
          <w:tcPr>
            <w:tcW w:w="540" w:type="dxa"/>
            <w:vAlign w:val="bottom"/>
            <w:gridSpan w:val="7"/>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8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Anuj Aggarwal</w:t>
            </w: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24"/>
                <w:szCs w:val="24"/>
                <w:color w:val="auto"/>
              </w:rPr>
            </w:pPr>
          </w:p>
        </w:tc>
        <w:tc>
          <w:tcPr>
            <w:tcW w:w="2880" w:type="dxa"/>
            <w:vAlign w:val="bottom"/>
            <w:gridSpan w:val="28"/>
          </w:tcPr>
          <w:p>
            <w:pPr>
              <w:spacing w:after="0"/>
              <w:rPr>
                <w:sz w:val="20"/>
                <w:szCs w:val="20"/>
                <w:color w:val="auto"/>
              </w:rPr>
            </w:pPr>
            <w:r>
              <w:rPr>
                <w:rFonts w:ascii="Times New Roman" w:cs="Times New Roman" w:eastAsia="Times New Roman" w:hAnsi="Times New Roman"/>
                <w:sz w:val="18"/>
                <w:szCs w:val="18"/>
                <w:color w:val="0000EE"/>
              </w:rPr>
              <w:t>Joint Development Agreement,</w:t>
            </w: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gridSpan w:val="3"/>
            <w:shd w:val="clear" w:color="auto" w:fill="0000EE"/>
          </w:tcPr>
          <w:p>
            <w:pPr>
              <w:spacing w:after="0" w:line="20" w:lineRule="exact"/>
              <w:rPr>
                <w:sz w:val="1"/>
                <w:szCs w:val="1"/>
                <w:color w:val="auto"/>
              </w:rPr>
            </w:pPr>
          </w:p>
        </w:tc>
        <w:tc>
          <w:tcPr>
            <w:tcW w:w="64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8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dated August 8, 2024, between the</w:t>
            </w: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tcBorders>
              <w:top w:val="single" w:sz="8" w:color="0000EE"/>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8"/>
              </w:rPr>
              <w:t>registrant and Frontgrade</w:t>
            </w:r>
          </w:p>
        </w:tc>
        <w:tc>
          <w:tcPr>
            <w:tcW w:w="660" w:type="dxa"/>
            <w:vAlign w:val="bottom"/>
            <w:tcBorders>
              <w:top w:val="single" w:sz="8" w:color="0000EE"/>
            </w:tcBorders>
            <w:gridSpan w:val="15"/>
          </w:tcPr>
          <w:p>
            <w:pPr>
              <w:spacing w:after="0"/>
              <w:rPr>
                <w:sz w:val="17"/>
                <w:szCs w:val="17"/>
                <w:color w:val="auto"/>
              </w:rPr>
            </w:pPr>
          </w:p>
        </w:tc>
        <w:tc>
          <w:tcPr>
            <w:tcW w:w="400" w:type="dxa"/>
            <w:vAlign w:val="bottom"/>
            <w:gridSpan w:val="3"/>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8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Colorado Springs LLC</w:t>
            </w: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gridSpan w:val="3"/>
            <w:shd w:val="clear" w:color="auto" w:fill="0000EE"/>
          </w:tcPr>
          <w:p>
            <w:pPr>
              <w:spacing w:after="0" w:line="20" w:lineRule="exact"/>
              <w:rPr>
                <w:sz w:val="1"/>
                <w:szCs w:val="1"/>
                <w:color w:val="auto"/>
              </w:rPr>
            </w:pPr>
          </w:p>
        </w:tc>
        <w:tc>
          <w:tcPr>
            <w:tcW w:w="640" w:type="dxa"/>
            <w:vAlign w:val="bottom"/>
            <w:gridSpan w:val="4"/>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31.1*</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8"/>
              </w:rPr>
              <w:t>Certification of Principal</w:t>
            </w:r>
          </w:p>
        </w:tc>
        <w:tc>
          <w:tcPr>
            <w:tcW w:w="1080" w:type="dxa"/>
            <w:vAlign w:val="bottom"/>
            <w:gridSpan w:val="19"/>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40" w:type="dxa"/>
            <w:vAlign w:val="bottom"/>
            <w:tcBorders>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8"/>
              </w:rPr>
              <w:t>Executive Officer Pursuant to</w:t>
            </w:r>
          </w:p>
        </w:tc>
        <w:tc>
          <w:tcPr>
            <w:tcW w:w="740" w:type="dxa"/>
            <w:vAlign w:val="bottom"/>
            <w:gridSpan w:val="14"/>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40" w:type="dxa"/>
            <w:vAlign w:val="bottom"/>
            <w:tcBorders>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9"/>
              </w:rPr>
              <w:t>Rules 13a-14(a) and 15d-14(a)</w:t>
            </w:r>
          </w:p>
        </w:tc>
        <w:tc>
          <w:tcPr>
            <w:tcW w:w="640" w:type="dxa"/>
            <w:vAlign w:val="bottom"/>
            <w:gridSpan w:val="11"/>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8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under the Exchange Act</w:t>
            </w: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gridSpan w:val="3"/>
            <w:shd w:val="clear" w:color="auto" w:fill="0000EE"/>
          </w:tcPr>
          <w:p>
            <w:pPr>
              <w:spacing w:after="0" w:line="20" w:lineRule="exact"/>
              <w:rPr>
                <w:sz w:val="1"/>
                <w:szCs w:val="1"/>
                <w:color w:val="auto"/>
              </w:rPr>
            </w:pPr>
          </w:p>
        </w:tc>
        <w:tc>
          <w:tcPr>
            <w:tcW w:w="720" w:type="dxa"/>
            <w:vAlign w:val="bottom"/>
            <w:gridSpan w:val="5"/>
            <w:shd w:val="clear" w:color="auto" w:fill="0000EE"/>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31.2*</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80" w:type="dxa"/>
            <w:vAlign w:val="bottom"/>
            <w:gridSpan w:val="28"/>
          </w:tcPr>
          <w:p>
            <w:pPr>
              <w:spacing w:after="0"/>
              <w:rPr>
                <w:sz w:val="20"/>
                <w:szCs w:val="20"/>
                <w:color w:val="auto"/>
              </w:rPr>
            </w:pPr>
            <w:r>
              <w:rPr>
                <w:rFonts w:ascii="Times New Roman" w:cs="Times New Roman" w:eastAsia="Times New Roman" w:hAnsi="Times New Roman"/>
                <w:sz w:val="18"/>
                <w:szCs w:val="18"/>
                <w:color w:val="0000EE"/>
              </w:rPr>
              <w:t>Certification of Principal Financial</w:t>
            </w: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0" w:type="dxa"/>
            <w:vAlign w:val="bottom"/>
            <w:tcBorders>
              <w:top w:val="single" w:sz="8" w:color="0000EE"/>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w w:val="99"/>
              </w:rPr>
              <w:t>Officer Pursuant to Rules 13a-</w:t>
            </w:r>
          </w:p>
        </w:tc>
        <w:tc>
          <w:tcPr>
            <w:tcW w:w="300" w:type="dxa"/>
            <w:vAlign w:val="bottom"/>
            <w:tcBorders>
              <w:top w:val="single" w:sz="8" w:color="0000EE"/>
            </w:tcBorders>
            <w:gridSpan w:val="10"/>
          </w:tcPr>
          <w:p>
            <w:pPr>
              <w:spacing w:after="0"/>
              <w:rPr>
                <w:sz w:val="17"/>
                <w:szCs w:val="17"/>
                <w:color w:val="auto"/>
              </w:rPr>
            </w:pPr>
          </w:p>
        </w:tc>
        <w:tc>
          <w:tcPr>
            <w:tcW w:w="380" w:type="dxa"/>
            <w:vAlign w:val="bottom"/>
            <w:gridSpan w:val="2"/>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60" w:type="dxa"/>
            <w:vAlign w:val="bottom"/>
            <w:tcBorders>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9"/>
              </w:rPr>
              <w:t>14(a) and 15d-14(a) under the</w:t>
            </w:r>
          </w:p>
        </w:tc>
        <w:tc>
          <w:tcPr>
            <w:tcW w:w="720" w:type="dxa"/>
            <w:vAlign w:val="bottom"/>
            <w:gridSpan w:val="13"/>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8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Exchange Act</w:t>
            </w: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gridSpan w:val="3"/>
            <w:shd w:val="clear" w:color="auto" w:fill="0000EE"/>
          </w:tcPr>
          <w:p>
            <w:pPr>
              <w:spacing w:after="0" w:line="20" w:lineRule="exact"/>
              <w:rPr>
                <w:sz w:val="1"/>
                <w:szCs w:val="1"/>
                <w:color w:val="auto"/>
              </w:rPr>
            </w:pPr>
          </w:p>
        </w:tc>
        <w:tc>
          <w:tcPr>
            <w:tcW w:w="1040" w:type="dxa"/>
            <w:vAlign w:val="bottom"/>
            <w:gridSpan w:val="9"/>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500" w:type="dxa"/>
            <w:vAlign w:val="bottom"/>
            <w:gridSpan w:val="6"/>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32.1**</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8"/>
              </w:rPr>
              <w:t>Certification of Principal</w:t>
            </w:r>
          </w:p>
        </w:tc>
        <w:tc>
          <w:tcPr>
            <w:tcW w:w="1080" w:type="dxa"/>
            <w:vAlign w:val="bottom"/>
            <w:gridSpan w:val="19"/>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80" w:type="dxa"/>
            <w:vAlign w:val="bottom"/>
            <w:tcBorders>
              <w:bottom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w w:val="98"/>
              </w:rPr>
              <w:t>Executive Officer and Principal</w:t>
            </w:r>
          </w:p>
        </w:tc>
        <w:tc>
          <w:tcPr>
            <w:tcW w:w="600" w:type="dxa"/>
            <w:vAlign w:val="bottom"/>
            <w:gridSpan w:val="9"/>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20" w:type="dxa"/>
            <w:vAlign w:val="bottom"/>
            <w:tcBorders>
              <w:bottom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w w:val="99"/>
              </w:rPr>
              <w:t>Financial Officer Pursuant to 18</w:t>
            </w:r>
          </w:p>
        </w:tc>
        <w:tc>
          <w:tcPr>
            <w:tcW w:w="560" w:type="dxa"/>
            <w:vAlign w:val="bottom"/>
            <w:gridSpan w:val="8"/>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80" w:type="dxa"/>
            <w:vAlign w:val="bottom"/>
            <w:tcBorders>
              <w:bottom w:val="single" w:sz="8" w:color="0000EE"/>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EE"/>
                <w:w w:val="99"/>
              </w:rPr>
              <w:t>U.S.C. Section 1350, as Adopted</w:t>
            </w:r>
          </w:p>
        </w:tc>
        <w:tc>
          <w:tcPr>
            <w:tcW w:w="500" w:type="dxa"/>
            <w:vAlign w:val="bottom"/>
            <w:gridSpan w:val="6"/>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8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Pursuant to Section 906 of the</w:t>
            </w: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60" w:type="dxa"/>
            <w:vAlign w:val="bottom"/>
            <w:tcBorders>
              <w:top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Sarbanes-Oxley Act of 2002</w:t>
            </w:r>
          </w:p>
        </w:tc>
        <w:tc>
          <w:tcPr>
            <w:tcW w:w="720" w:type="dxa"/>
            <w:vAlign w:val="bottom"/>
            <w:gridSpan w:val="13"/>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2" w:name="page43"/>
    <w:bookmarkEnd w:id="42"/>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101.INS*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Instance Document -</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instance document does not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appear in the Interactive Data File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because its XBRL tags 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embedded within the Inline XBRL</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document</w:t>
      </w:r>
    </w:p>
    <w:p>
      <w:pPr>
        <w:spacing w:after="0" w:line="200" w:lineRule="exact"/>
        <w:rPr>
          <w:sz w:val="20"/>
          <w:szCs w:val="20"/>
          <w:color w:val="auto"/>
        </w:rPr>
      </w:pPr>
    </w:p>
    <w:p>
      <w:pPr>
        <w:sectPr>
          <w:pgSz w:w="11900" w:h="16838" w:orient="portrait"/>
          <w:cols w:equalWidth="0" w:num="2">
            <w:col w:w="840" w:space="480"/>
            <w:col w:w="7699"/>
          </w:cols>
          <w:pgMar w:left="1440" w:top="513" w:right="1440" w:bottom="1440" w:gutter="0" w:footer="0" w:header="0"/>
          <w:type w:val="continuous"/>
        </w:sectPr>
      </w:pPr>
    </w:p>
    <w:p>
      <w:pPr>
        <w:spacing w:after="0" w:line="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101.SCH*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Inline XBRL Taxonomy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Extension Schema Document</w:t>
      </w:r>
    </w:p>
    <w:p>
      <w:pPr>
        <w:spacing w:after="0" w:line="200" w:lineRule="exact"/>
        <w:rPr>
          <w:sz w:val="20"/>
          <w:szCs w:val="20"/>
          <w:color w:val="auto"/>
        </w:rPr>
      </w:pPr>
    </w:p>
    <w:p>
      <w:pPr>
        <w:sectPr>
          <w:pgSz w:w="11900" w:h="16838" w:orient="portrait"/>
          <w:cols w:equalWidth="0" w:num="2">
            <w:col w:w="900" w:space="420"/>
            <w:col w:w="7699"/>
          </w:cols>
          <w:pgMar w:left="1440" w:top="513" w:right="1440" w:bottom="1440" w:gutter="0" w:footer="0" w:header="0"/>
          <w:type w:val="continuous"/>
        </w:sectPr>
      </w:pPr>
    </w:p>
    <w:p>
      <w:pPr>
        <w:spacing w:after="0" w:line="1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color w:val="auto"/>
        </w:rPr>
        <w:t>101.CAL*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Inline XBRL Taxonomy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Extension Calculation Linkbase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Document</w:t>
      </w:r>
    </w:p>
    <w:p>
      <w:pPr>
        <w:spacing w:after="0" w:line="200" w:lineRule="exact"/>
        <w:rPr>
          <w:sz w:val="20"/>
          <w:szCs w:val="20"/>
          <w:color w:val="auto"/>
        </w:rPr>
      </w:pPr>
    </w:p>
    <w:p>
      <w:pPr>
        <w:sectPr>
          <w:pgSz w:w="11900" w:h="16838" w:orient="portrait"/>
          <w:cols w:equalWidth="0" w:num="2">
            <w:col w:w="900" w:space="420"/>
            <w:col w:w="7699"/>
          </w:cols>
          <w:pgMar w:left="1440" w:top="513" w:right="1440" w:bottom="1440" w:gutter="0" w:footer="0" w:header="0"/>
          <w:type w:val="continuous"/>
        </w:sectPr>
      </w:pPr>
    </w:p>
    <w:p>
      <w:pPr>
        <w:spacing w:after="0" w:line="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color w:val="auto"/>
        </w:rPr>
        <w:t>101.DEF*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Inline XBRL Taxonomy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Extension Definition Linkbase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Document</w:t>
      </w:r>
    </w:p>
    <w:p>
      <w:pPr>
        <w:spacing w:after="0" w:line="200" w:lineRule="exact"/>
        <w:rPr>
          <w:sz w:val="20"/>
          <w:szCs w:val="20"/>
          <w:color w:val="auto"/>
        </w:rPr>
      </w:pPr>
    </w:p>
    <w:p>
      <w:pPr>
        <w:sectPr>
          <w:pgSz w:w="11900" w:h="16838" w:orient="portrait"/>
          <w:cols w:equalWidth="0" w:num="2">
            <w:col w:w="880" w:space="440"/>
            <w:col w:w="7699"/>
          </w:cols>
          <w:pgMar w:left="1440" w:top="513" w:right="1440" w:bottom="1440" w:gutter="0" w:footer="0" w:header="0"/>
          <w:type w:val="continuous"/>
        </w:sectPr>
      </w:pPr>
    </w:p>
    <w:p>
      <w:pPr>
        <w:spacing w:after="0" w:line="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color w:val="auto"/>
        </w:rPr>
        <w:t>101.LAB*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Inline XBRL Taxonomy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Extension Label Linkbase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Document</w:t>
      </w:r>
    </w:p>
    <w:p>
      <w:pPr>
        <w:spacing w:after="0" w:line="200" w:lineRule="exact"/>
        <w:rPr>
          <w:sz w:val="20"/>
          <w:szCs w:val="20"/>
          <w:color w:val="auto"/>
        </w:rPr>
      </w:pPr>
    </w:p>
    <w:p>
      <w:pPr>
        <w:sectPr>
          <w:pgSz w:w="11900" w:h="16838" w:orient="portrait"/>
          <w:cols w:equalWidth="0" w:num="2">
            <w:col w:w="900" w:space="420"/>
            <w:col w:w="7699"/>
          </w:cols>
          <w:pgMar w:left="1440" w:top="513" w:right="1440" w:bottom="1440" w:gutter="0" w:footer="0" w:header="0"/>
          <w:type w:val="continuous"/>
        </w:sectPr>
      </w:pPr>
    </w:p>
    <w:p>
      <w:pPr>
        <w:spacing w:after="0" w:line="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101.PRE*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Inline XBRL Taxonomy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Extension Presentation Linkbase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Document</w:t>
      </w:r>
    </w:p>
    <w:p>
      <w:pPr>
        <w:spacing w:after="0" w:line="200" w:lineRule="exact"/>
        <w:rPr>
          <w:sz w:val="20"/>
          <w:szCs w:val="20"/>
          <w:color w:val="auto"/>
        </w:rPr>
      </w:pPr>
    </w:p>
    <w:p>
      <w:pPr>
        <w:sectPr>
          <w:pgSz w:w="11900" w:h="16838" w:orient="portrait"/>
          <w:cols w:equalWidth="0" w:num="2">
            <w:col w:w="880" w:space="440"/>
            <w:col w:w="7699"/>
          </w:cols>
          <w:pgMar w:left="1440" w:top="513" w:right="1440" w:bottom="1440" w:gutter="0" w:footer="0" w:header="0"/>
          <w:type w:val="continuous"/>
        </w:sectPr>
      </w:pPr>
    </w:p>
    <w:p>
      <w:pPr>
        <w:spacing w:after="0" w:line="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Cover Page Interactive Data File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(formatted as Inline XBRL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contained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-806450</wp:posOffset>
            </wp:positionH>
            <wp:positionV relativeFrom="paragraph">
              <wp:posOffset>211455</wp:posOffset>
            </wp:positionV>
            <wp:extent cx="141414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6">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00" w:space="720"/>
            <w:col w:w="7699"/>
          </w:cols>
          <w:pgMar w:left="1440" w:top="513" w:right="1440" w:bottom="1440" w:gutter="0" w:footer="0" w:header="0"/>
          <w:type w:val="continuous"/>
        </w:sectPr>
      </w:pPr>
    </w:p>
    <w:p>
      <w:pPr>
        <w:spacing w:after="0" w:line="223" w:lineRule="exact"/>
        <w:rPr>
          <w:sz w:val="20"/>
          <w:szCs w:val="20"/>
          <w:color w:val="auto"/>
        </w:rPr>
      </w:pPr>
    </w:p>
    <w:p>
      <w:pPr>
        <w:ind w:left="360" w:hanging="316"/>
        <w:spacing w:after="0"/>
        <w:tabs>
          <w:tab w:leader="none" w:pos="3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ind w:left="360" w:right="99" w:hanging="323"/>
        <w:spacing w:after="0" w:line="250" w:lineRule="auto"/>
        <w:rPr>
          <w:sz w:val="20"/>
          <w:szCs w:val="20"/>
          <w:color w:val="auto"/>
        </w:rPr>
      </w:pPr>
      <w:r>
        <w:rPr>
          <w:rFonts w:ascii="Times New Roman" w:cs="Times New Roman" w:eastAsia="Times New Roman" w:hAnsi="Times New Roman"/>
          <w:sz w:val="18"/>
          <w:szCs w:val="18"/>
          <w:color w:val="auto"/>
        </w:rPr>
        <w:t>** Furnished herewith. Exhibit 32.1 is being furnished and shall not be deemed to be “filed” for purposes of Section 18 of the Exchange Act, or otherwise subject to the liability of that section, nor shall such exhibit be deemed to be incorporated by reference in any registration statement or other document filed under the Securities Act or the Exchange Act, except as otherwise specifically stated in such filing.</w:t>
      </w:r>
    </w:p>
    <w:p>
      <w:pPr>
        <w:spacing w:after="0" w:line="2" w:lineRule="exact"/>
        <w:rPr>
          <w:sz w:val="20"/>
          <w:szCs w:val="20"/>
          <w:color w:val="auto"/>
        </w:rPr>
      </w:pPr>
    </w:p>
    <w:p>
      <w:pPr>
        <w:ind w:left="360" w:hanging="316"/>
        <w:spacing w:after="0"/>
        <w:tabs>
          <w:tab w:leader="none" w:pos="3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 has omitted portions of the referenced exhibit pursuant to Item 601(b) of Regulation S-K because it</w:t>
      </w:r>
    </w:p>
    <w:p>
      <w:pPr>
        <w:spacing w:after="0" w:line="9" w:lineRule="exact"/>
        <w:rPr>
          <w:rFonts w:ascii="Times New Roman" w:cs="Times New Roman" w:eastAsia="Times New Roman" w:hAnsi="Times New Roman"/>
          <w:sz w:val="18"/>
          <w:szCs w:val="18"/>
          <w:color w:val="auto"/>
        </w:rPr>
      </w:pPr>
    </w:p>
    <w:p>
      <w:pPr>
        <w:ind w:left="360" w:right="79" w:firstLine="8"/>
        <w:spacing w:after="0" w:line="255" w:lineRule="auto"/>
        <w:tabs>
          <w:tab w:leader="none" w:pos="605"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material and (b) the type of information that the Registrant both customarily and actually treats as private and confidential. In addition, certain exhibits and schedules to the referenced exhibit have been omitted pursuant to Item 601(b)(2)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3" w:name="page44"/>
    <w:bookmarkEnd w:id="43"/>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40" w:right="319"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080" w:type="dxa"/>
            <w:vAlign w:val="bottom"/>
          </w:tcPr>
          <w:p>
            <w:pPr>
              <w:spacing w:after="0"/>
              <w:rPr>
                <w:sz w:val="20"/>
                <w:szCs w:val="20"/>
                <w:color w:val="auto"/>
              </w:rPr>
            </w:pPr>
          </w:p>
        </w:tc>
        <w:tc>
          <w:tcPr>
            <w:tcW w:w="5840" w:type="dxa"/>
            <w:vAlign w:val="bottom"/>
            <w:gridSpan w:val="2"/>
          </w:tcPr>
          <w:p>
            <w:pPr>
              <w:ind w:left="2040"/>
              <w:spacing w:after="0"/>
              <w:rPr>
                <w:sz w:val="20"/>
                <w:szCs w:val="20"/>
                <w:color w:val="auto"/>
              </w:rPr>
            </w:pPr>
            <w:r>
              <w:rPr>
                <w:rFonts w:ascii="Times New Roman" w:cs="Times New Roman" w:eastAsia="Times New Roman" w:hAnsi="Times New Roman"/>
                <w:sz w:val="18"/>
                <w:szCs w:val="18"/>
                <w:color w:val="auto"/>
              </w:rPr>
              <w:t>Everspin Technologies, Inc.</w:t>
            </w:r>
          </w:p>
        </w:tc>
      </w:tr>
      <w:tr>
        <w:trPr>
          <w:trHeight w:val="432"/>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5, 2024</w:t>
            </w:r>
          </w:p>
        </w:tc>
        <w:tc>
          <w:tcPr>
            <w:tcW w:w="5840" w:type="dxa"/>
            <w:vAlign w:val="bottom"/>
            <w:gridSpan w:val="2"/>
          </w:tcPr>
          <w:p>
            <w:pPr>
              <w:ind w:left="2040"/>
              <w:spacing w:after="0"/>
              <w:rPr>
                <w:sz w:val="20"/>
                <w:szCs w:val="20"/>
                <w:color w:val="auto"/>
              </w:rPr>
            </w:pPr>
            <w:r>
              <w:rPr>
                <w:rFonts w:ascii="Times New Roman" w:cs="Times New Roman" w:eastAsia="Times New Roman" w:hAnsi="Times New Roman"/>
                <w:sz w:val="18"/>
                <w:szCs w:val="18"/>
                <w:color w:val="auto"/>
              </w:rPr>
              <w:t>By:/s/ Sanjeev Aggarwal</w:t>
            </w:r>
          </w:p>
        </w:tc>
      </w:tr>
      <w:tr>
        <w:trPr>
          <w:trHeight w:val="191"/>
        </w:trPr>
        <w:tc>
          <w:tcPr>
            <w:tcW w:w="308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35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Sanjeev Aggarwal</w:t>
            </w:r>
          </w:p>
        </w:tc>
      </w:tr>
      <w:tr>
        <w:trPr>
          <w:trHeight w:val="216"/>
        </w:trPr>
        <w:tc>
          <w:tcPr>
            <w:tcW w:w="308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30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864"/>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5, 2024</w:t>
            </w:r>
          </w:p>
        </w:tc>
        <w:tc>
          <w:tcPr>
            <w:tcW w:w="5840" w:type="dxa"/>
            <w:vAlign w:val="bottom"/>
            <w:gridSpan w:val="2"/>
          </w:tcPr>
          <w:p>
            <w:pPr>
              <w:ind w:left="2040"/>
              <w:spacing w:after="0"/>
              <w:rPr>
                <w:sz w:val="20"/>
                <w:szCs w:val="20"/>
                <w:color w:val="auto"/>
              </w:rPr>
            </w:pPr>
            <w:r>
              <w:rPr>
                <w:rFonts w:ascii="Times New Roman" w:cs="Times New Roman" w:eastAsia="Times New Roman" w:hAnsi="Times New Roman"/>
                <w:sz w:val="18"/>
                <w:szCs w:val="18"/>
                <w:color w:val="auto"/>
              </w:rPr>
              <w:t>By:/s/ Matthew Tenorio</w:t>
            </w:r>
          </w:p>
        </w:tc>
      </w:tr>
      <w:tr>
        <w:trPr>
          <w:trHeight w:val="191"/>
        </w:trPr>
        <w:tc>
          <w:tcPr>
            <w:tcW w:w="308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35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Matthew Tenorio</w:t>
            </w:r>
          </w:p>
        </w:tc>
      </w:tr>
      <w:tr>
        <w:trPr>
          <w:trHeight w:val="216"/>
        </w:trPr>
        <w:tc>
          <w:tcPr>
            <w:tcW w:w="308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Interim Chief Financial Officer</w:t>
            </w:r>
          </w:p>
        </w:tc>
      </w:tr>
      <w:tr>
        <w:trPr>
          <w:trHeight w:val="234"/>
        </w:trPr>
        <w:tc>
          <w:tcPr>
            <w:tcW w:w="30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675"/>
        </w:trPr>
        <w:tc>
          <w:tcPr>
            <w:tcW w:w="3080" w:type="dxa"/>
            <w:vAlign w:val="bottom"/>
          </w:tcPr>
          <w:p>
            <w:pPr>
              <w:spacing w:after="0"/>
              <w:rPr>
                <w:sz w:val="24"/>
                <w:szCs w:val="24"/>
                <w:color w:val="auto"/>
              </w:rPr>
            </w:pPr>
          </w:p>
        </w:tc>
        <w:tc>
          <w:tcPr>
            <w:tcW w:w="232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rPr>
              <w:t>44</w:t>
            </w:r>
          </w:p>
        </w:tc>
        <w:tc>
          <w:tcPr>
            <w:tcW w:w="3520" w:type="dxa"/>
            <w:vAlign w:val="bottom"/>
          </w:tcPr>
          <w:p>
            <w:pPr>
              <w:spacing w:after="0"/>
              <w:rPr>
                <w:sz w:val="24"/>
                <w:szCs w:val="24"/>
                <w:color w:val="auto"/>
              </w:rPr>
            </w:pPr>
          </w:p>
        </w:tc>
      </w:tr>
      <w:tr>
        <w:trPr>
          <w:trHeight w:val="560"/>
        </w:trPr>
        <w:tc>
          <w:tcPr>
            <w:tcW w:w="308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22"/>
          <w:szCs w:val="22"/>
          <w:b w:val="1"/>
          <w:bCs w:val="1"/>
          <w:color w:val="auto"/>
        </w:rPr>
        <w:t>Exhibit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168275</wp:posOffset>
            </wp:positionV>
            <wp:extent cx="2254250" cy="42037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8">
                      <a:extLst>
                        <a:ext uri="{28A0092B-C50C-407E-A947-70E740481C1C}"/>
                      </a:extLst>
                    </a:blip>
                    <a:srcRect/>
                    <a:stretch>
                      <a:fillRect/>
                    </a:stretch>
                  </pic:blipFill>
                  <pic:spPr bwMode="auto">
                    <a:xfrm>
                      <a:off x="0" y="0"/>
                      <a:ext cx="2254250" cy="420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July 17, 2024</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Anuj Aggarwal</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1222 S Soho Ln</w:t>
      </w:r>
    </w:p>
    <w:p>
      <w:pPr>
        <w:spacing w:after="0"/>
        <w:rPr>
          <w:sz w:val="20"/>
          <w:szCs w:val="20"/>
          <w:color w:val="auto"/>
        </w:rPr>
      </w:pPr>
      <w:r>
        <w:rPr>
          <w:rFonts w:ascii="Times New Roman" w:cs="Times New Roman" w:eastAsia="Times New Roman" w:hAnsi="Times New Roman"/>
          <w:sz w:val="22"/>
          <w:szCs w:val="22"/>
          <w:color w:val="auto"/>
        </w:rPr>
        <w:t>Chandler, AZ 85249</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Dear Anuj,</w:t>
      </w:r>
    </w:p>
    <w:p>
      <w:pPr>
        <w:spacing w:after="0" w:line="202"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2"/>
          <w:szCs w:val="22"/>
          <w:color w:val="auto"/>
        </w:rPr>
        <w:t>We accept your resignation, and this letter sets forth the substance of the separation agreement (the “</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 between you and Everspin Technologies, Inc. (the “</w:t>
      </w:r>
      <w:r>
        <w:rPr>
          <w:rFonts w:ascii="Times New Roman" w:cs="Times New Roman" w:eastAsia="Times New Roman" w:hAnsi="Times New Roman"/>
          <w:sz w:val="22"/>
          <w:szCs w:val="22"/>
          <w:b w:val="1"/>
          <w:bCs w:val="1"/>
          <w:color w:val="auto"/>
        </w:rPr>
        <w:t>Company).</w:t>
      </w:r>
    </w:p>
    <w:p>
      <w:pPr>
        <w:spacing w:after="0" w:line="150" w:lineRule="exact"/>
        <w:rPr>
          <w:sz w:val="20"/>
          <w:szCs w:val="20"/>
          <w:color w:val="auto"/>
        </w:rPr>
      </w:pPr>
    </w:p>
    <w:p>
      <w:pPr>
        <w:ind w:left="340" w:right="20" w:hanging="332"/>
        <w:spacing w:after="0" w:line="262" w:lineRule="auto"/>
        <w:tabs>
          <w:tab w:leader="none" w:pos="340" w:val="left"/>
        </w:tabs>
        <w:numPr>
          <w:ilvl w:val="0"/>
          <w:numId w:val="2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SEPARATION - </w:t>
      </w:r>
      <w:r>
        <w:rPr>
          <w:rFonts w:ascii="Times New Roman" w:cs="Times New Roman" w:eastAsia="Times New Roman" w:hAnsi="Times New Roman"/>
          <w:sz w:val="22"/>
          <w:szCs w:val="22"/>
          <w:color w:val="auto"/>
        </w:rPr>
        <w:t>Your last day of work with the Company and your employment termination date will be July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26, 2024 (the “</w:t>
      </w:r>
      <w:r>
        <w:rPr>
          <w:rFonts w:ascii="Times New Roman" w:cs="Times New Roman" w:eastAsia="Times New Roman" w:hAnsi="Times New Roman"/>
          <w:sz w:val="22"/>
          <w:szCs w:val="22"/>
          <w:b w:val="1"/>
          <w:bCs w:val="1"/>
          <w:color w:val="auto"/>
        </w:rPr>
        <w:t>Separation Date</w:t>
      </w:r>
      <w:r>
        <w:rPr>
          <w:rFonts w:ascii="Times New Roman" w:cs="Times New Roman" w:eastAsia="Times New Roman" w:hAnsi="Times New Roman"/>
          <w:sz w:val="22"/>
          <w:szCs w:val="22"/>
          <w:color w:val="auto"/>
        </w:rPr>
        <w:t>”).</w:t>
      </w:r>
    </w:p>
    <w:p>
      <w:pPr>
        <w:spacing w:after="0" w:line="149" w:lineRule="exact"/>
        <w:rPr>
          <w:rFonts w:ascii="Times New Roman" w:cs="Times New Roman" w:eastAsia="Times New Roman" w:hAnsi="Times New Roman"/>
          <w:sz w:val="22"/>
          <w:szCs w:val="22"/>
          <w:b w:val="1"/>
          <w:bCs w:val="1"/>
          <w:color w:val="auto"/>
        </w:rPr>
      </w:pPr>
    </w:p>
    <w:p>
      <w:pPr>
        <w:jc w:val="both"/>
        <w:ind w:left="340" w:hanging="332"/>
        <w:spacing w:after="0" w:line="246" w:lineRule="auto"/>
        <w:tabs>
          <w:tab w:leader="none" w:pos="340" w:val="left"/>
        </w:tabs>
        <w:numPr>
          <w:ilvl w:val="0"/>
          <w:numId w:val="2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ACCRUED SALARY – </w:t>
      </w:r>
      <w:r>
        <w:rPr>
          <w:rFonts w:ascii="Times New Roman" w:cs="Times New Roman" w:eastAsia="Times New Roman" w:hAnsi="Times New Roman"/>
          <w:sz w:val="22"/>
          <w:szCs w:val="22"/>
          <w:color w:val="auto"/>
        </w:rPr>
        <w:t>Regardless of whether you sign this Agreement, as of the Separation Date,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will pay you all accrued salary earned through the Separation Date, subject to standard payroll deductions and withholdings on the following payroll which is August 2, 2024.</w:t>
      </w:r>
    </w:p>
    <w:p>
      <w:pPr>
        <w:spacing w:after="0" w:line="167" w:lineRule="exact"/>
        <w:rPr>
          <w:rFonts w:ascii="Times New Roman" w:cs="Times New Roman" w:eastAsia="Times New Roman" w:hAnsi="Times New Roman"/>
          <w:sz w:val="22"/>
          <w:szCs w:val="22"/>
          <w:b w:val="1"/>
          <w:bCs w:val="1"/>
          <w:color w:val="auto"/>
        </w:rPr>
      </w:pPr>
    </w:p>
    <w:p>
      <w:pPr>
        <w:ind w:left="340" w:right="20" w:hanging="332"/>
        <w:spacing w:after="0" w:line="262" w:lineRule="auto"/>
        <w:tabs>
          <w:tab w:leader="none" w:pos="340" w:val="left"/>
        </w:tabs>
        <w:numPr>
          <w:ilvl w:val="0"/>
          <w:numId w:val="2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Bonus/Profit Sharing – </w:t>
      </w:r>
      <w:r>
        <w:rPr>
          <w:rFonts w:ascii="Times New Roman" w:cs="Times New Roman" w:eastAsia="Times New Roman" w:hAnsi="Times New Roman"/>
          <w:sz w:val="22"/>
          <w:szCs w:val="22"/>
          <w:color w:val="auto"/>
        </w:rPr>
        <w:t>According to the terms of the Company’s bonus program, you are not eligible for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bonus related to 2024 because you will not be employed on the date of the bonus payment.</w:t>
      </w:r>
    </w:p>
    <w:p>
      <w:pPr>
        <w:spacing w:after="0" w:line="149" w:lineRule="exact"/>
        <w:rPr>
          <w:rFonts w:ascii="Times New Roman" w:cs="Times New Roman" w:eastAsia="Times New Roman" w:hAnsi="Times New Roman"/>
          <w:sz w:val="22"/>
          <w:szCs w:val="22"/>
          <w:b w:val="1"/>
          <w:bCs w:val="1"/>
          <w:color w:val="auto"/>
        </w:rPr>
      </w:pPr>
    </w:p>
    <w:p>
      <w:pPr>
        <w:jc w:val="both"/>
        <w:ind w:left="340" w:hanging="332"/>
        <w:spacing w:after="0" w:line="241" w:lineRule="auto"/>
        <w:tabs>
          <w:tab w:leader="none" w:pos="340" w:val="left"/>
        </w:tabs>
        <w:numPr>
          <w:ilvl w:val="0"/>
          <w:numId w:val="2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Stock Options - </w:t>
      </w:r>
      <w:r>
        <w:rPr>
          <w:rFonts w:ascii="Times New Roman" w:cs="Times New Roman" w:eastAsia="Times New Roman" w:hAnsi="Times New Roman"/>
          <w:sz w:val="22"/>
          <w:szCs w:val="22"/>
          <w:color w:val="auto"/>
        </w:rPr>
        <w:t>Under the terms of your stock option agreement and the applicable plan documents, vesting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your stock options will cease as of the Separation Date. Your right to exercise any vested shares, and all other rights and obligations with respect to your stock options(s), will be as set forth in your stock option agreement, grant notice and applicable plan documents.</w:t>
      </w:r>
    </w:p>
    <w:p>
      <w:pPr>
        <w:spacing w:after="0" w:line="171" w:lineRule="exact"/>
        <w:rPr>
          <w:rFonts w:ascii="Times New Roman" w:cs="Times New Roman" w:eastAsia="Times New Roman" w:hAnsi="Times New Roman"/>
          <w:sz w:val="22"/>
          <w:szCs w:val="22"/>
          <w:b w:val="1"/>
          <w:bCs w:val="1"/>
          <w:color w:val="auto"/>
        </w:rPr>
      </w:pPr>
    </w:p>
    <w:p>
      <w:pPr>
        <w:jc w:val="both"/>
        <w:ind w:left="340" w:hanging="332"/>
        <w:spacing w:after="0" w:line="238" w:lineRule="auto"/>
        <w:tabs>
          <w:tab w:leader="none" w:pos="340" w:val="left"/>
        </w:tabs>
        <w:numPr>
          <w:ilvl w:val="0"/>
          <w:numId w:val="2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Other Compensation or Benefits - </w:t>
      </w:r>
      <w:r>
        <w:rPr>
          <w:rFonts w:ascii="Times New Roman" w:cs="Times New Roman" w:eastAsia="Times New Roman" w:hAnsi="Times New Roman"/>
          <w:sz w:val="22"/>
          <w:szCs w:val="22"/>
          <w:color w:val="auto"/>
        </w:rPr>
        <w:t>You acknowledge that, except as expressly provided in this 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you have not earned, are not entitled to payout of, and will not receive from the Company any additional compensation (including base salary, bonus, PTO/Sick, incentive compensation, or equity, severance, or benefits) before or after the Separation Date, with the exception of any vested right you may have under the express terms of a written ERISA-qualified benefit plan (e.g., 401(k) account) or any vested options.</w:t>
      </w:r>
    </w:p>
    <w:p>
      <w:pPr>
        <w:spacing w:after="0" w:line="176" w:lineRule="exact"/>
        <w:rPr>
          <w:rFonts w:ascii="Times New Roman" w:cs="Times New Roman" w:eastAsia="Times New Roman" w:hAnsi="Times New Roman"/>
          <w:sz w:val="22"/>
          <w:szCs w:val="22"/>
          <w:b w:val="1"/>
          <w:bCs w:val="1"/>
          <w:color w:val="auto"/>
        </w:rPr>
      </w:pPr>
    </w:p>
    <w:p>
      <w:pPr>
        <w:jc w:val="both"/>
        <w:ind w:left="340" w:hanging="332"/>
        <w:spacing w:after="0" w:line="241" w:lineRule="auto"/>
        <w:tabs>
          <w:tab w:leader="none" w:pos="340" w:val="left"/>
        </w:tabs>
        <w:numPr>
          <w:ilvl w:val="0"/>
          <w:numId w:val="2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Health Insurance </w:t>
      </w:r>
      <w:r>
        <w:rPr>
          <w:rFonts w:ascii="Times New Roman" w:cs="Times New Roman" w:eastAsia="Times New Roman" w:hAnsi="Times New Roman"/>
          <w:sz w:val="22"/>
          <w:szCs w:val="22"/>
          <w:color w:val="auto"/>
        </w:rPr>
        <w:t>– Your current medical, dental and vision coverage will end the last day of month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following your termination. To the extent provided by the federal COBRA law or, if applicable, state insurance laws, and by the Company’s current group health insurance policies, you will be eligible to continue your group health insurance benefits at your own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08" w:right="999" w:bottom="1440" w:gutter="0" w:footer="0" w:header="0"/>
        </w:sectPr>
      </w:pPr>
    </w:p>
    <w:bookmarkStart w:id="45" w:name="page46"/>
    <w:bookmarkEnd w:id="45"/>
    <w:p>
      <w:pPr>
        <w:jc w:val="both"/>
        <w:ind w:left="340"/>
        <w:spacing w:after="0" w:line="244" w:lineRule="auto"/>
        <w:rPr>
          <w:sz w:val="20"/>
          <w:szCs w:val="20"/>
          <w:color w:val="auto"/>
        </w:rPr>
      </w:pPr>
      <w:r>
        <w:rPr>
          <w:rFonts w:ascii="Times New Roman" w:cs="Times New Roman" w:eastAsia="Times New Roman" w:hAnsi="Times New Roman"/>
          <w:sz w:val="22"/>
          <w:szCs w:val="22"/>
          <w:color w:val="auto"/>
        </w:rPr>
        <w:t>expense. Later, you may be able to convert to an individual policy through the provider of the Company’s health insurance, if you wish. You will be provided with a separate notice describing your rights and obligations under COBRA.</w:t>
      </w:r>
    </w:p>
    <w:p>
      <w:pPr>
        <w:spacing w:after="0" w:line="170" w:lineRule="exact"/>
        <w:rPr>
          <w:sz w:val="20"/>
          <w:szCs w:val="20"/>
          <w:color w:val="auto"/>
        </w:rPr>
      </w:pPr>
    </w:p>
    <w:p>
      <w:pPr>
        <w:jc w:val="both"/>
        <w:ind w:left="340" w:hanging="332"/>
        <w:spacing w:after="0" w:line="241" w:lineRule="auto"/>
        <w:tabs>
          <w:tab w:leader="none" w:pos="340" w:val="left"/>
        </w:tabs>
        <w:numPr>
          <w:ilvl w:val="0"/>
          <w:numId w:val="2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EXPENSE REIMBURSEMENTS - </w:t>
      </w:r>
      <w:r>
        <w:rPr>
          <w:rFonts w:ascii="Times New Roman" w:cs="Times New Roman" w:eastAsia="Times New Roman" w:hAnsi="Times New Roman"/>
          <w:sz w:val="22"/>
          <w:szCs w:val="22"/>
          <w:color w:val="auto"/>
        </w:rPr>
        <w:t>You agree that, within ten (10) days after the Separation Date, you will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submit your final documented expense reimbursement statement reflecting all business expenses you incurred through the Separation Date, if any, for which you seek reimbursement. The Company will reimburse you for these expenses pursuant to its regular business practice.</w:t>
      </w:r>
    </w:p>
    <w:p>
      <w:pPr>
        <w:spacing w:after="0" w:line="171" w:lineRule="exact"/>
        <w:rPr>
          <w:rFonts w:ascii="Times New Roman" w:cs="Times New Roman" w:eastAsia="Times New Roman" w:hAnsi="Times New Roman"/>
          <w:sz w:val="22"/>
          <w:szCs w:val="22"/>
          <w:b w:val="1"/>
          <w:bCs w:val="1"/>
          <w:color w:val="auto"/>
        </w:rPr>
      </w:pPr>
    </w:p>
    <w:p>
      <w:pPr>
        <w:jc w:val="both"/>
        <w:ind w:left="340" w:hanging="332"/>
        <w:spacing w:after="0" w:line="250" w:lineRule="auto"/>
        <w:tabs>
          <w:tab w:leader="none" w:pos="340" w:val="left"/>
        </w:tabs>
        <w:numPr>
          <w:ilvl w:val="0"/>
          <w:numId w:val="2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RETURN OF COMPANY PROPERTY </w:t>
      </w:r>
      <w:r>
        <w:rPr>
          <w:rFonts w:ascii="Times New Roman" w:cs="Times New Roman" w:eastAsia="Times New Roman" w:hAnsi="Times New Roman"/>
          <w:sz w:val="21"/>
          <w:szCs w:val="21"/>
          <w:color w:val="auto"/>
        </w:rPr>
        <w:t>- By the Separation Date, you agree to return to the Company all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Company documents (and all copies thereof) and other Company property within your possession, custody or control, including, but not limited to, Company files, notes, drawings, records, business plans and forecasts, financial information, specifications, computer-recorded information, tangible property (including, but not limited to), credit cards, entry cards, identification badges, and keys; and, any materials of any kind that contain or embody any proprietary or confidential information of the Company (and all reproductions thereof).</w:t>
      </w:r>
    </w:p>
    <w:p>
      <w:pPr>
        <w:spacing w:after="0" w:line="164" w:lineRule="exact"/>
        <w:rPr>
          <w:rFonts w:ascii="Times New Roman" w:cs="Times New Roman" w:eastAsia="Times New Roman" w:hAnsi="Times New Roman"/>
          <w:sz w:val="21"/>
          <w:szCs w:val="21"/>
          <w:b w:val="1"/>
          <w:bCs w:val="1"/>
          <w:color w:val="auto"/>
        </w:rPr>
      </w:pPr>
    </w:p>
    <w:p>
      <w:pPr>
        <w:jc w:val="both"/>
        <w:ind w:left="340" w:right="20" w:hanging="332"/>
        <w:spacing w:after="0" w:line="246" w:lineRule="auto"/>
        <w:tabs>
          <w:tab w:leader="none" w:pos="340" w:val="left"/>
        </w:tabs>
        <w:numPr>
          <w:ilvl w:val="0"/>
          <w:numId w:val="2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PROPRIETARY INFORMATION OBLIGATIONS </w:t>
      </w:r>
      <w:r>
        <w:rPr>
          <w:rFonts w:ascii="Times New Roman" w:cs="Times New Roman" w:eastAsia="Times New Roman" w:hAnsi="Times New Roman"/>
          <w:sz w:val="22"/>
          <w:szCs w:val="22"/>
          <w:color w:val="auto"/>
        </w:rPr>
        <w:t>- You acknowledge your continuing obligations under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your Employee Proprietary Information and Inventions Assignment Agreement, a copy of which is attached hereto as </w:t>
      </w:r>
      <w:r>
        <w:rPr>
          <w:rFonts w:ascii="Times New Roman" w:cs="Times New Roman" w:eastAsia="Times New Roman" w:hAnsi="Times New Roman"/>
          <w:sz w:val="22"/>
          <w:szCs w:val="22"/>
          <w:b w:val="1"/>
          <w:bCs w:val="1"/>
          <w:color w:val="auto"/>
        </w:rPr>
        <w:t>Exhibit A</w:t>
      </w:r>
      <w:r>
        <w:rPr>
          <w:rFonts w:ascii="Times New Roman" w:cs="Times New Roman" w:eastAsia="Times New Roman" w:hAnsi="Times New Roman"/>
          <w:sz w:val="22"/>
          <w:szCs w:val="22"/>
          <w:color w:val="auto"/>
        </w:rPr>
        <w:t>.</w:t>
      </w:r>
    </w:p>
    <w:p>
      <w:pPr>
        <w:spacing w:after="0" w:line="167" w:lineRule="exact"/>
        <w:rPr>
          <w:rFonts w:ascii="Times New Roman" w:cs="Times New Roman" w:eastAsia="Times New Roman" w:hAnsi="Times New Roman"/>
          <w:sz w:val="22"/>
          <w:szCs w:val="22"/>
          <w:b w:val="1"/>
          <w:bCs w:val="1"/>
          <w:color w:val="auto"/>
        </w:rPr>
      </w:pPr>
    </w:p>
    <w:p>
      <w:pPr>
        <w:jc w:val="both"/>
        <w:ind w:left="340" w:hanging="332"/>
        <w:spacing w:after="0" w:line="237" w:lineRule="auto"/>
        <w:tabs>
          <w:tab w:leader="none" w:pos="340" w:val="left"/>
        </w:tabs>
        <w:numPr>
          <w:ilvl w:val="0"/>
          <w:numId w:val="2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MUTUAL NON-DISPARAGEMENT - </w:t>
      </w:r>
      <w:r>
        <w:rPr>
          <w:rFonts w:ascii="Times New Roman" w:cs="Times New Roman" w:eastAsia="Times New Roman" w:hAnsi="Times New Roman"/>
          <w:sz w:val="22"/>
          <w:szCs w:val="22"/>
          <w:color w:val="auto"/>
        </w:rPr>
        <w:t>You agree not to disparage the Company, its officers, directors,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employees, shareholders, and agents, in any manner likely to be harmful to its or their business, business reputation or personal reputation; and the Company (through its officers and directors) agrees not to disparage you in any manner likely to be harmful to you or your business, business reputation or personal reputation; provided that you and the Company will respond accurately and fully to any question, inquiry or request for information when required by legal process.</w:t>
      </w:r>
    </w:p>
    <w:p>
      <w:pPr>
        <w:spacing w:after="0" w:line="175" w:lineRule="exact"/>
        <w:rPr>
          <w:rFonts w:ascii="Times New Roman" w:cs="Times New Roman" w:eastAsia="Times New Roman" w:hAnsi="Times New Roman"/>
          <w:sz w:val="22"/>
          <w:szCs w:val="22"/>
          <w:b w:val="1"/>
          <w:bCs w:val="1"/>
          <w:color w:val="auto"/>
        </w:rPr>
      </w:pPr>
    </w:p>
    <w:p>
      <w:pPr>
        <w:jc w:val="both"/>
        <w:ind w:left="340" w:hanging="332"/>
        <w:spacing w:after="0" w:line="246" w:lineRule="auto"/>
        <w:tabs>
          <w:tab w:leader="none" w:pos="340" w:val="left"/>
        </w:tabs>
        <w:numPr>
          <w:ilvl w:val="0"/>
          <w:numId w:val="2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NO ADMISSIONS - </w:t>
      </w:r>
      <w:r>
        <w:rPr>
          <w:rFonts w:ascii="Times New Roman" w:cs="Times New Roman" w:eastAsia="Times New Roman" w:hAnsi="Times New Roman"/>
          <w:sz w:val="22"/>
          <w:szCs w:val="22"/>
          <w:color w:val="auto"/>
        </w:rPr>
        <w:t>You understand and agree that the promises and payments in consideration of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shall not be construed to be an admission of any liability or obligation by the Company to you or to any other person, and that the Company makes no such admission.</w:t>
      </w:r>
    </w:p>
    <w:p>
      <w:pPr>
        <w:spacing w:after="0" w:line="167" w:lineRule="exact"/>
        <w:rPr>
          <w:rFonts w:ascii="Times New Roman" w:cs="Times New Roman" w:eastAsia="Times New Roman" w:hAnsi="Times New Roman"/>
          <w:sz w:val="22"/>
          <w:szCs w:val="22"/>
          <w:b w:val="1"/>
          <w:bCs w:val="1"/>
          <w:color w:val="auto"/>
        </w:rPr>
      </w:pPr>
    </w:p>
    <w:p>
      <w:pPr>
        <w:jc w:val="both"/>
        <w:ind w:left="340" w:hanging="332"/>
        <w:spacing w:after="0" w:line="234" w:lineRule="auto"/>
        <w:tabs>
          <w:tab w:leader="none" w:pos="340" w:val="left"/>
        </w:tabs>
        <w:numPr>
          <w:ilvl w:val="0"/>
          <w:numId w:val="2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RELEASE OF CLAIMS - </w:t>
      </w:r>
      <w:r>
        <w:rPr>
          <w:rFonts w:ascii="Times New Roman" w:cs="Times New Roman" w:eastAsia="Times New Roman" w:hAnsi="Times New Roman"/>
          <w:sz w:val="22"/>
          <w:szCs w:val="22"/>
          <w:color w:val="auto"/>
        </w:rPr>
        <w:t>In exchange for the consideration under this Agreement to which you would not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otherwise be entitled, you hereby generally and completely release the Company and its directors, officers, employees, shareholders, partners, agents, attorneys, predecessors, successors, parent and subsidiary entities, insurers, affiliates, and assigns from any and all claims, liabilities and obligations, both known and unknown, that arise out of or are in any way related to events, acts, conduct, or omissions occurring at any time prior to and including the date you sign this Agreement. This general release includes, but is not limited to: (a) all claims arising out of or in any way related to your employment with the Company or the termination of that employment; (b) all claims related to your compensation or benefits from the Company, including salary, bonuses, commissions, vacation pay, expense reimbursements, severance pay, fringe benefits, stock, stock options, or any other ownership interests in the Company; (c) all claims for breach of contract, wrongful termination,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2" w:right="999" w:bottom="1440" w:gutter="0" w:footer="0" w:header="0"/>
        </w:sectPr>
      </w:pPr>
    </w:p>
    <w:bookmarkStart w:id="46" w:name="page47"/>
    <w:bookmarkEnd w:id="46"/>
    <w:p>
      <w:pPr>
        <w:jc w:val="both"/>
        <w:ind w:left="340"/>
        <w:spacing w:after="0" w:line="233" w:lineRule="auto"/>
        <w:rPr>
          <w:sz w:val="20"/>
          <w:szCs w:val="20"/>
          <w:color w:val="auto"/>
        </w:rPr>
      </w:pPr>
      <w:r>
        <w:rPr>
          <w:rFonts w:ascii="Times New Roman" w:cs="Times New Roman" w:eastAsia="Times New Roman" w:hAnsi="Times New Roman"/>
          <w:sz w:val="22"/>
          <w:szCs w:val="22"/>
          <w:color w:val="auto"/>
        </w:rPr>
        <w:t>breach of the implied covenant of good faith and fair dealing; (d) all tort claims, including claims for fraud, defamation, emotional distress, and discharge in violation of public policy; and (e) all federal, state, and local statutory claims, including claims for discrimination, harassment, retaliation, attorneys’ fees, or other claims arising under the federal Civil Rights Act of 1964 (as amended), the federal Americans with Disabilities Act of 1990, the Age Discrimination in Employment Act (“</w:t>
      </w:r>
      <w:r>
        <w:rPr>
          <w:rFonts w:ascii="Times New Roman" w:cs="Times New Roman" w:eastAsia="Times New Roman" w:hAnsi="Times New Roman"/>
          <w:sz w:val="22"/>
          <w:szCs w:val="22"/>
          <w:b w:val="1"/>
          <w:bCs w:val="1"/>
          <w:color w:val="auto"/>
        </w:rPr>
        <w:t>ADEA</w:t>
      </w:r>
      <w:r>
        <w:rPr>
          <w:rFonts w:ascii="Times New Roman" w:cs="Times New Roman" w:eastAsia="Times New Roman" w:hAnsi="Times New Roman"/>
          <w:sz w:val="22"/>
          <w:szCs w:val="22"/>
          <w:color w:val="auto"/>
        </w:rPr>
        <w:t>”) the Arizona Wage Act, the Arizona Employment Protection Act, the Arizona Civil Rights Act, the Arizona Revised Statutes, the Arizona Administrative Rules, the Texas Human Rights Act and the Texas Labor Code. Notwithstanding the foregoing, you are not releasing the Company hereby from any obligation to indemnify you pursuant to the Articles and Bylaws of the Company, any valid fully executed indemnification agreement with the Company, applicable law, or applicable directors' and officers’ liability insurance. Also, excluded from this Agreement are any claims that cannot be waived by law.</w:t>
      </w:r>
    </w:p>
    <w:p>
      <w:pPr>
        <w:spacing w:after="0" w:line="184" w:lineRule="exact"/>
        <w:rPr>
          <w:sz w:val="20"/>
          <w:szCs w:val="20"/>
          <w:color w:val="auto"/>
        </w:rPr>
      </w:pPr>
    </w:p>
    <w:p>
      <w:pPr>
        <w:jc w:val="both"/>
        <w:ind w:left="340" w:hanging="332"/>
        <w:spacing w:after="0" w:line="234" w:lineRule="auto"/>
        <w:tabs>
          <w:tab w:leader="none" w:pos="340" w:val="left"/>
        </w:tabs>
        <w:numPr>
          <w:ilvl w:val="0"/>
          <w:numId w:val="2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ADEA RELEASE - </w:t>
      </w:r>
      <w:r>
        <w:rPr>
          <w:rFonts w:ascii="Times New Roman" w:cs="Times New Roman" w:eastAsia="Times New Roman" w:hAnsi="Times New Roman"/>
          <w:sz w:val="22"/>
          <w:szCs w:val="22"/>
          <w:color w:val="auto"/>
        </w:rPr>
        <w:t>You acknowledge that you are knowingly and voluntarily waiving and releasing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rights you have under the ADEA, and that the consideration given for the waiver and releases you have given in this Agreement is in addition to anything of value to which you were already entitled. You further acknowledge that you have been advised, as required by the ADEA, that: (a) your waiver and release does not apply to any rights or claims that arise after the date you sign this Agreement; (b) you should consult with an attorney prior to signing this Agreement (although you may choose voluntarily not to do so); (c) you have twenty-one (21) days to consider this Agreement (although you may choose voluntarily to sign it sooner); (d) you have seven (7) days following the date you sign this Agreement to revoke this Agreement (in a written revocation sent to me at 5670 W. Chandler Blvd., Suite 130, Chandler AZ 85226 and (e) this Agreement will not be effective until the date upon which the revocation period has expired, which will be the eighth day after you sign this Agreement provided that you do not revoke it (the “</w:t>
      </w:r>
      <w:r>
        <w:rPr>
          <w:rFonts w:ascii="Times New Roman" w:cs="Times New Roman" w:eastAsia="Times New Roman" w:hAnsi="Times New Roman"/>
          <w:sz w:val="22"/>
          <w:szCs w:val="22"/>
          <w:b w:val="1"/>
          <w:bCs w:val="1"/>
          <w:color w:val="auto"/>
        </w:rPr>
        <w:t>Effective Date</w:t>
      </w:r>
      <w:r>
        <w:rPr>
          <w:rFonts w:ascii="Times New Roman" w:cs="Times New Roman" w:eastAsia="Times New Roman" w:hAnsi="Times New Roman"/>
          <w:sz w:val="22"/>
          <w:szCs w:val="22"/>
          <w:color w:val="auto"/>
        </w:rPr>
        <w:t>”).</w:t>
      </w:r>
    </w:p>
    <w:p>
      <w:pPr>
        <w:spacing w:after="0" w:line="175" w:lineRule="exact"/>
        <w:rPr>
          <w:rFonts w:ascii="Times New Roman" w:cs="Times New Roman" w:eastAsia="Times New Roman" w:hAnsi="Times New Roman"/>
          <w:sz w:val="22"/>
          <w:szCs w:val="22"/>
          <w:b w:val="1"/>
          <w:bCs w:val="1"/>
          <w:color w:val="auto"/>
        </w:rPr>
      </w:pPr>
    </w:p>
    <w:p>
      <w:pPr>
        <w:jc w:val="both"/>
        <w:ind w:left="340" w:hanging="332"/>
        <w:spacing w:after="0" w:line="245" w:lineRule="auto"/>
        <w:tabs>
          <w:tab w:leader="none" w:pos="340" w:val="left"/>
        </w:tabs>
        <w:numPr>
          <w:ilvl w:val="0"/>
          <w:numId w:val="2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PROTECTED RIGHTS - </w:t>
      </w:r>
      <w:r>
        <w:rPr>
          <w:rFonts w:ascii="Times New Roman" w:cs="Times New Roman" w:eastAsia="Times New Roman" w:hAnsi="Times New Roman"/>
          <w:sz w:val="21"/>
          <w:szCs w:val="21"/>
          <w:color w:val="auto"/>
        </w:rPr>
        <w:t>You understand that nothing in this Agreement limits your ability to file a charge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or complaint with the Equal Employment Opportunity Commission, the Department of Labor, the National Labor Relations Board, the Occupational Safety and Health Administration, the Securities and Exchange Commission or any other federal, state or local governmental agency or commission (“</w:t>
      </w:r>
      <w:r>
        <w:rPr>
          <w:rFonts w:ascii="Times New Roman" w:cs="Times New Roman" w:eastAsia="Times New Roman" w:hAnsi="Times New Roman"/>
          <w:sz w:val="21"/>
          <w:szCs w:val="21"/>
          <w:b w:val="1"/>
          <w:bCs w:val="1"/>
          <w:color w:val="auto"/>
        </w:rPr>
        <w:t>Government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Agencies</w:t>
      </w:r>
      <w:r>
        <w:rPr>
          <w:rFonts w:ascii="Times New Roman" w:cs="Times New Roman" w:eastAsia="Times New Roman" w:hAnsi="Times New Roman"/>
          <w:sz w:val="21"/>
          <w:szCs w:val="21"/>
          <w:color w:val="auto"/>
        </w:rPr>
        <w:t>”). You further understand this Agreement does not limit your ability to communicate with any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Government Agencies or otherwise participate in any investigation or proceeding that may be conducted by any Government Agency, including providing documents or other information, without notice to the Company. While this Agreement does not limit your right to receive an award for information provided to the Securities and Exchange Commission, you understand and agree that, to maximum extent permitted by law, you are otherwise waiving any and all rights you may have to individual relief based on any claims that you have released and any rights you have waived by signing this Agreement.</w:t>
      </w:r>
    </w:p>
    <w:p>
      <w:pPr>
        <w:spacing w:after="0" w:line="177" w:lineRule="exact"/>
        <w:rPr>
          <w:rFonts w:ascii="Times New Roman" w:cs="Times New Roman" w:eastAsia="Times New Roman" w:hAnsi="Times New Roman"/>
          <w:sz w:val="21"/>
          <w:szCs w:val="21"/>
          <w:b w:val="1"/>
          <w:bCs w:val="1"/>
          <w:color w:val="auto"/>
        </w:rPr>
      </w:pPr>
    </w:p>
    <w:p>
      <w:pPr>
        <w:jc w:val="both"/>
        <w:ind w:left="340" w:hanging="332"/>
        <w:spacing w:after="0" w:line="246" w:lineRule="auto"/>
        <w:tabs>
          <w:tab w:leader="none" w:pos="340" w:val="left"/>
        </w:tabs>
        <w:numPr>
          <w:ilvl w:val="0"/>
          <w:numId w:val="2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REPRESENTATIONS - </w:t>
      </w:r>
      <w:r>
        <w:rPr>
          <w:rFonts w:ascii="Times New Roman" w:cs="Times New Roman" w:eastAsia="Times New Roman" w:hAnsi="Times New Roman"/>
          <w:sz w:val="22"/>
          <w:szCs w:val="22"/>
          <w:color w:val="auto"/>
        </w:rPr>
        <w:t>You hereby represent that you have been paid all compensation owed and for 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hours worked, have received all the leave and leave benefits and protections for which you are eligible pursuant to the Family and Medical Leave Act or otherwise, and have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2" w:right="999" w:bottom="1440" w:gutter="0" w:footer="0" w:header="0"/>
        </w:sectPr>
      </w:pPr>
    </w:p>
    <w:bookmarkStart w:id="47" w:name="page48"/>
    <w:bookmarkEnd w:id="47"/>
    <w:p>
      <w:pPr>
        <w:ind w:left="340"/>
        <w:spacing w:after="0"/>
        <w:rPr>
          <w:sz w:val="20"/>
          <w:szCs w:val="20"/>
          <w:color w:val="auto"/>
        </w:rPr>
      </w:pPr>
      <w:r>
        <w:rPr>
          <w:rFonts w:ascii="Times New Roman" w:cs="Times New Roman" w:eastAsia="Times New Roman" w:hAnsi="Times New Roman"/>
          <w:sz w:val="22"/>
          <w:szCs w:val="22"/>
          <w:color w:val="auto"/>
        </w:rPr>
        <w:t>not suffered any on-the-job injury for which you have not already filed a workers’ compensation claim.</w:t>
      </w:r>
    </w:p>
    <w:p>
      <w:pPr>
        <w:spacing w:after="0" w:line="203" w:lineRule="exact"/>
        <w:rPr>
          <w:sz w:val="20"/>
          <w:szCs w:val="20"/>
          <w:color w:val="auto"/>
        </w:rPr>
      </w:pPr>
    </w:p>
    <w:p>
      <w:pPr>
        <w:jc w:val="both"/>
        <w:ind w:left="340" w:hanging="332"/>
        <w:spacing w:after="0" w:line="233" w:lineRule="auto"/>
        <w:tabs>
          <w:tab w:leader="none" w:pos="340" w:val="left"/>
        </w:tabs>
        <w:numPr>
          <w:ilvl w:val="0"/>
          <w:numId w:val="2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MISCELLANEOUS - </w:t>
      </w:r>
      <w:r>
        <w:rPr>
          <w:rFonts w:ascii="Times New Roman" w:cs="Times New Roman" w:eastAsia="Times New Roman" w:hAnsi="Times New Roman"/>
          <w:sz w:val="22"/>
          <w:szCs w:val="22"/>
          <w:color w:val="auto"/>
        </w:rPr>
        <w:t>This Agreement, including</w:t>
      </w:r>
      <w:r>
        <w:rPr>
          <w:rFonts w:ascii="Times New Roman" w:cs="Times New Roman" w:eastAsia="Times New Roman" w:hAnsi="Times New Roman"/>
          <w:sz w:val="22"/>
          <w:szCs w:val="22"/>
          <w:b w:val="1"/>
          <w:bCs w:val="1"/>
          <w:color w:val="auto"/>
        </w:rPr>
        <w:t xml:space="preserve"> Exhibit A</w:t>
      </w:r>
      <w:r>
        <w:rPr>
          <w:rFonts w:ascii="Times New Roman" w:cs="Times New Roman" w:eastAsia="Times New Roman" w:hAnsi="Times New Roman"/>
          <w:sz w:val="22"/>
          <w:szCs w:val="22"/>
          <w:color w:val="auto"/>
        </w:rPr>
        <w:t>, constitutes the complete, final and exclusive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embodiment of the entire agreement between you and the Company with regard to its subject matter. It is entered into without reliance on any promise or representation, written or oral, other than those expressly contained herein, and it supersedes any other such promises, warranties or representations. This Agreement may not be modified or amended except in a writing signed by both you and a duly authorized officer of the Company. This Agreement will bind the heirs, personal representatives, successors and assigns of both you and the Company, and inure to the benefit of both you and the Company, their heirs, successors and assigns. If any provision of this Agreement is determined to be invalid or unenforceable, in whole or in part, this determination will not affect any other provision of this Agreement and the provision in question will be modified so as to be rendered enforceable. This Agreement will be deemed to have been entered into and will be construed and enforced in accordance with the laws of the State of Arizona without regard to conflict of laws principles. Any ambiguity in this Agreement shall not be construed against either party as the drafter. Any waiver of a breach of this Agreement shall be in writing and shall not be deemed to be a waiver of any successive breach. This Agreement may be executed in counterparts and facsimile signatures will suffice as original signatures.</w:t>
      </w:r>
    </w:p>
    <w:p>
      <w:pPr>
        <w:spacing w:after="0" w:line="18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If this Agreement is acceptable to you, please sign below and return the original Agreement to me by July 17, 2024 at 5:00pm. The Company’s offer contained herein will automatically expire if you do not sign and return it within this timeframe.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Sincerely,</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w:t>
      </w:r>
    </w:p>
    <w:p>
      <w:pPr>
        <w:spacing w:after="0" w:line="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Amy Farrow</w:t>
      </w:r>
    </w:p>
    <w:p>
      <w:pPr>
        <w:ind w:left="660"/>
        <w:spacing w:after="0" w:line="230" w:lineRule="auto"/>
        <w:rPr>
          <w:sz w:val="20"/>
          <w:szCs w:val="20"/>
          <w:color w:val="auto"/>
        </w:rPr>
      </w:pPr>
      <w:r>
        <w:rPr>
          <w:rFonts w:ascii="Times New Roman" w:cs="Times New Roman" w:eastAsia="Times New Roman" w:hAnsi="Times New Roman"/>
          <w:sz w:val="22"/>
          <w:szCs w:val="22"/>
          <w:color w:val="auto"/>
        </w:rPr>
        <w:t>Human Resources Manger</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Everspin Technologies, Inc.</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 HAVE READ, UNDERSTAND AND AGREE FULLY TO THE FOREGOING AGREEMENT:</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0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 Anuj Aggarwal</w:t>
            </w:r>
          </w:p>
        </w:tc>
        <w:tc>
          <w:tcPr>
            <w:tcW w:w="4840" w:type="dxa"/>
            <w:vAlign w:val="bottom"/>
          </w:tcPr>
          <w:p>
            <w:pPr>
              <w:spacing w:after="0"/>
              <w:rPr>
                <w:sz w:val="20"/>
                <w:szCs w:val="20"/>
                <w:color w:val="auto"/>
              </w:rPr>
            </w:pPr>
            <w:r>
              <w:rPr>
                <w:rFonts w:ascii="Times New Roman" w:cs="Times New Roman" w:eastAsia="Times New Roman" w:hAnsi="Times New Roman"/>
                <w:sz w:val="22"/>
                <w:szCs w:val="22"/>
                <w:color w:val="auto"/>
              </w:rPr>
              <w:t>7/17/2024 | 1:47 PM PDT</w:t>
            </w:r>
          </w:p>
        </w:tc>
      </w:tr>
      <w:tr>
        <w:trPr>
          <w:trHeight w:val="29"/>
        </w:trPr>
        <w:tc>
          <w:tcPr>
            <w:tcW w:w="48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840" w:type="dxa"/>
            <w:vAlign w:val="bottom"/>
            <w:tcBorders>
              <w:bottom w:val="single" w:sz="8" w:color="auto"/>
            </w:tcBorders>
          </w:tcPr>
          <w:p>
            <w:pPr>
              <w:spacing w:after="0"/>
              <w:rPr>
                <w:sz w:val="2"/>
                <w:szCs w:val="2"/>
                <w:color w:val="auto"/>
              </w:rPr>
            </w:pPr>
          </w:p>
        </w:tc>
      </w:tr>
      <w:tr>
        <w:trPr>
          <w:trHeight w:val="491"/>
        </w:trPr>
        <w:tc>
          <w:tcPr>
            <w:tcW w:w="50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Anuj Aggarwal</w:t>
            </w:r>
          </w:p>
        </w:tc>
        <w:tc>
          <w:tcPr>
            <w:tcW w:w="4840" w:type="dxa"/>
            <w:vAlign w:val="bottom"/>
          </w:tcPr>
          <w:p>
            <w:pPr>
              <w:spacing w:after="0"/>
              <w:rPr>
                <w:sz w:val="20"/>
                <w:szCs w:val="20"/>
                <w:color w:val="auto"/>
              </w:rPr>
            </w:pPr>
            <w:r>
              <w:rPr>
                <w:rFonts w:ascii="Times New Roman" w:cs="Times New Roman" w:eastAsia="Times New Roman" w:hAnsi="Times New Roman"/>
                <w:sz w:val="22"/>
                <w:szCs w:val="22"/>
                <w:color w:val="auto"/>
              </w:rPr>
              <w:t>Date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2" w:right="999" w:bottom="1440" w:gutter="0" w:footer="0" w:header="0"/>
        </w:sectPr>
      </w:pPr>
    </w:p>
    <w:bookmarkStart w:id="48" w:name="page49"/>
    <w:bookmarkEnd w:id="48"/>
    <w:p>
      <w:pPr>
        <w:jc w:val="center"/>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EMPLOYEE PROPRIETARY INFORMATION AND INVENTIONS ASSIGNMENT AGREEMENT</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-158750</wp:posOffset>
            </wp:positionH>
            <wp:positionV relativeFrom="paragraph">
              <wp:posOffset>353695</wp:posOffset>
            </wp:positionV>
            <wp:extent cx="629221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20"/>
          </w:cols>
          <w:pgMar w:left="1240" w:top="108" w:right="123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20"/>
          <w:szCs w:val="20"/>
          <w:b w:val="1"/>
          <w:bCs w:val="1"/>
          <w:color w:val="auto"/>
        </w:rPr>
        <w:t>Exhibit 10.3</w:t>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CONFIDENTIAL</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b w:val="1"/>
          <w:bCs w:val="1"/>
          <w:color w:val="auto"/>
        </w:rPr>
        <w:t>CERTAIN IDENTIFIED INFORMATION HAS BEEN EXCLUDED FROM THE EXHIBIT BECAUSE IT IS BOTH (I) NOT MATERIAL AND (II) THE TYPE THAT THE REGISTRANT TREATS AS PRIVATE OR CONFIDENTIAL. [***] INDICATES THAT INFORMATION HAS BEEN REDACTED.</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JOINT DEVELOPMENT AGREEMENT</w:t>
      </w:r>
    </w:p>
    <w:p>
      <w:pPr>
        <w:spacing w:after="0" w:line="21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THIS JOINT DEVELOPMENT AGREEMENT </w:t>
      </w:r>
      <w:r>
        <w:rPr>
          <w:rFonts w:ascii="Times New Roman" w:cs="Times New Roman" w:eastAsia="Times New Roman" w:hAnsi="Times New Roman"/>
          <w:sz w:val="20"/>
          <w:szCs w:val="20"/>
          <w:color w:val="auto"/>
        </w:rPr>
        <w:t>(this “</w:t>
      </w:r>
      <w:r>
        <w:rPr>
          <w:rFonts w:ascii="Times New Roman" w:cs="Times New Roman" w:eastAsia="Times New Roman" w:hAnsi="Times New Roman"/>
          <w:sz w:val="20"/>
          <w:szCs w:val="20"/>
          <w:b w:val="1"/>
          <w:bCs w:val="1"/>
          <w:color w:val="auto"/>
        </w:rPr>
        <w:t>Agreement</w:t>
      </w:r>
      <w:r>
        <w:rPr>
          <w:rFonts w:ascii="Times New Roman" w:cs="Times New Roman" w:eastAsia="Times New Roman" w:hAnsi="Times New Roman"/>
          <w:sz w:val="20"/>
          <w:szCs w:val="20"/>
          <w:color w:val="auto"/>
        </w:rPr>
        <w:t>”) is entered into as of August 8th, 2024</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w:t>
      </w:r>
      <w:r>
        <w:rPr>
          <w:rFonts w:ascii="Times New Roman" w:cs="Times New Roman" w:eastAsia="Times New Roman" w:hAnsi="Times New Roman"/>
          <w:sz w:val="20"/>
          <w:szCs w:val="20"/>
          <w:b w:val="1"/>
          <w:bCs w:val="1"/>
          <w:color w:val="auto"/>
        </w:rPr>
        <w:t>Effective Date</w:t>
      </w:r>
      <w:r>
        <w:rPr>
          <w:rFonts w:ascii="Times New Roman" w:cs="Times New Roman" w:eastAsia="Times New Roman" w:hAnsi="Times New Roman"/>
          <w:sz w:val="20"/>
          <w:szCs w:val="20"/>
          <w:color w:val="auto"/>
        </w:rPr>
        <w:t>”), by and between Everspin Inc., a Delaware corporation with a principal place of business at 5670 W. Chandler Blvd., Suite 130, Chandler, AZ 85226 (“</w:t>
      </w:r>
      <w:r>
        <w:rPr>
          <w:rFonts w:ascii="Times New Roman" w:cs="Times New Roman" w:eastAsia="Times New Roman" w:hAnsi="Times New Roman"/>
          <w:sz w:val="20"/>
          <w:szCs w:val="20"/>
          <w:b w:val="1"/>
          <w:bCs w:val="1"/>
          <w:color w:val="auto"/>
        </w:rPr>
        <w:t>Everspin</w:t>
      </w:r>
      <w:r>
        <w:rPr>
          <w:rFonts w:ascii="Times New Roman" w:cs="Times New Roman" w:eastAsia="Times New Roman" w:hAnsi="Times New Roman"/>
          <w:sz w:val="20"/>
          <w:szCs w:val="20"/>
          <w:color w:val="auto"/>
        </w:rPr>
        <w:t>”) and Frontgrade Colorado Springs LLC, a limited liability company with a principal place of business at 4350 Centennial Blvd., Colorado Springs, CO 80907-3701 (“</w:t>
      </w:r>
      <w:r>
        <w:rPr>
          <w:rFonts w:ascii="Times New Roman" w:cs="Times New Roman" w:eastAsia="Times New Roman" w:hAnsi="Times New Roman"/>
          <w:sz w:val="20"/>
          <w:szCs w:val="20"/>
          <w:b w:val="1"/>
          <w:bCs w:val="1"/>
          <w:color w:val="auto"/>
        </w:rPr>
        <w:t>Frontgrade</w:t>
      </w:r>
      <w:r>
        <w:rPr>
          <w:rFonts w:ascii="Times New Roman" w:cs="Times New Roman" w:eastAsia="Times New Roman" w:hAnsi="Times New Roman"/>
          <w:sz w:val="20"/>
          <w:szCs w:val="20"/>
          <w:color w:val="auto"/>
        </w:rPr>
        <w: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b w:val="1"/>
          <w:bCs w:val="1"/>
          <w:color w:val="auto"/>
        </w:rPr>
        <w:t>WHEREAS</w:t>
      </w:r>
      <w:r>
        <w:rPr>
          <w:rFonts w:ascii="Times New Roman" w:cs="Times New Roman" w:eastAsia="Times New Roman" w:hAnsi="Times New Roman"/>
          <w:sz w:val="19"/>
          <w:szCs w:val="19"/>
          <w:color w:val="auto"/>
        </w:rPr>
        <w:t>, Everspin is a leader in developing magnetoresistvie random-access memory (MRAM) technology; and</w:t>
      </w:r>
    </w:p>
    <w:p>
      <w:pPr>
        <w:spacing w:after="0" w:line="227"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Frontgrade provides advanced engineering and manufacturing solutions for the aerospace, defense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medical industries.</w:t>
      </w:r>
    </w:p>
    <w:p>
      <w:pPr>
        <w:spacing w:after="0" w:line="152"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Everspin and Frontgrade wish to work together in a multi-phase effort to develop a hybrid Spin-Transfer Torque (STT) MRAM flow between Everspin and Skywater Technologies (the “</w:t>
      </w:r>
      <w:r>
        <w:rPr>
          <w:rFonts w:ascii="Times New Roman" w:cs="Times New Roman" w:eastAsia="Times New Roman" w:hAnsi="Times New Roman"/>
          <w:sz w:val="20"/>
          <w:szCs w:val="20"/>
          <w:b w:val="1"/>
          <w:bCs w:val="1"/>
          <w:color w:val="auto"/>
        </w:rPr>
        <w:t>Project</w:t>
      </w:r>
      <w:r>
        <w:rPr>
          <w:rFonts w:ascii="Times New Roman" w:cs="Times New Roman" w:eastAsia="Times New Roman" w:hAnsi="Times New Roman"/>
          <w:sz w:val="20"/>
          <w:szCs w:val="20"/>
          <w:color w:val="auto"/>
        </w:rPr>
        <w:t>”).</w:t>
      </w:r>
    </w:p>
    <w:p>
      <w:pPr>
        <w:spacing w:after="0" w:line="152"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b w:val="1"/>
          <w:bCs w:val="1"/>
          <w:color w:val="auto"/>
        </w:rPr>
        <w:t>NOW, THEREFORE</w:t>
      </w:r>
      <w:r>
        <w:rPr>
          <w:rFonts w:ascii="Times New Roman" w:cs="Times New Roman" w:eastAsia="Times New Roman" w:hAnsi="Times New Roman"/>
          <w:sz w:val="20"/>
          <w:szCs w:val="20"/>
          <w:color w:val="auto"/>
        </w:rPr>
        <w:t>, for good and valuable consideration, receipt of which is hereby acknowledged, the parties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hereby agree as follows:</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AGREEMENT</w:t>
      </w:r>
    </w:p>
    <w:p>
      <w:pPr>
        <w:spacing w:after="0" w:line="216" w:lineRule="exact"/>
        <w:rPr>
          <w:sz w:val="20"/>
          <w:szCs w:val="20"/>
          <w:color w:val="auto"/>
        </w:rPr>
      </w:pPr>
    </w:p>
    <w:p>
      <w:pPr>
        <w:ind w:left="660" w:hanging="652"/>
        <w:spacing w:after="0"/>
        <w:tabs>
          <w:tab w:leader="none" w:pos="660" w:val="left"/>
        </w:tabs>
        <w:numPr>
          <w:ilvl w:val="0"/>
          <w:numId w:val="2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DEFINITIONS. </w:t>
      </w:r>
      <w:r>
        <w:rPr>
          <w:rFonts w:ascii="Times New Roman" w:cs="Times New Roman" w:eastAsia="Times New Roman" w:hAnsi="Times New Roman"/>
          <w:sz w:val="20"/>
          <w:szCs w:val="20"/>
          <w:color w:val="auto"/>
        </w:rPr>
        <w:t>The following capitalized terms shall have the meanings ascribed to them below.</w:t>
      </w:r>
    </w:p>
    <w:p>
      <w:pPr>
        <w:spacing w:after="0" w:line="21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1.1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Background Technology</w:t>
      </w:r>
      <w:r>
        <w:rPr>
          <w:rFonts w:ascii="Times New Roman" w:cs="Times New Roman" w:eastAsia="Times New Roman" w:hAnsi="Times New Roman"/>
          <w:sz w:val="20"/>
          <w:szCs w:val="20"/>
          <w:color w:val="auto"/>
        </w:rPr>
        <w:t>” means any Intellectual Property belonging to a party that (a) such party chooses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to make available to the other party for use in the Work; and (b) either (i) was created, acquired, or otherwise obtained prior to the Effective Date, or (ii) is developed entirely outside the scope of the Work without reference (directly or indirectly) to the Confidential Information of the other party.</w:t>
      </w:r>
    </w:p>
    <w:p>
      <w:pPr>
        <w:spacing w:after="0" w:line="176"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1.2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Deliverables</w:t>
      </w:r>
      <w:r>
        <w:rPr>
          <w:rFonts w:ascii="Times New Roman" w:cs="Times New Roman" w:eastAsia="Times New Roman" w:hAnsi="Times New Roman"/>
          <w:sz w:val="20"/>
          <w:szCs w:val="20"/>
          <w:color w:val="auto"/>
        </w:rPr>
        <w:t>” means the items to be provided by the parties under a Statement of Work, including items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specifically designated as deliverables therein.</w:t>
      </w:r>
    </w:p>
    <w:p>
      <w:pPr>
        <w:spacing w:after="0" w:line="152"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1.3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Improvement</w:t>
      </w:r>
      <w:r>
        <w:rPr>
          <w:rFonts w:ascii="Times New Roman" w:cs="Times New Roman" w:eastAsia="Times New Roman" w:hAnsi="Times New Roman"/>
          <w:sz w:val="20"/>
          <w:szCs w:val="20"/>
          <w:color w:val="auto"/>
        </w:rPr>
        <w:t>” means, with respect to a given item of Intellectual Property, any improvement,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modification, change, derivative work, or extension of or to such Intellectual Property.</w:t>
      </w:r>
    </w:p>
    <w:p>
      <w:pPr>
        <w:spacing w:after="0" w:line="15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1.4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Intellectual Property</w:t>
      </w:r>
      <w:r>
        <w:rPr>
          <w:rFonts w:ascii="Times New Roman" w:cs="Times New Roman" w:eastAsia="Times New Roman" w:hAnsi="Times New Roman"/>
          <w:sz w:val="20"/>
          <w:szCs w:val="20"/>
          <w:color w:val="auto"/>
        </w:rPr>
        <w:t>” means any and all inventions (whether or not patentable), discoveries, materials,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tools, software (both source and object code), works of authorship, know-how, technical information, trade secrets, work product, methods, processes, designs, schematics, and other forms of technology.</w:t>
      </w:r>
    </w:p>
    <w:p>
      <w:pPr>
        <w:spacing w:after="0" w:line="169"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0"/>
          <w:szCs w:val="20"/>
          <w:b w:val="1"/>
          <w:bCs w:val="1"/>
          <w:color w:val="auto"/>
        </w:rPr>
        <w:t xml:space="preserve">1.5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Intellectual Property Rights</w:t>
      </w:r>
      <w:r>
        <w:rPr>
          <w:rFonts w:ascii="Times New Roman" w:cs="Times New Roman" w:eastAsia="Times New Roman" w:hAnsi="Times New Roman"/>
          <w:sz w:val="20"/>
          <w:szCs w:val="20"/>
          <w:color w:val="auto"/>
        </w:rPr>
        <w:t>” means all past, present, and future rights of the following types, which may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exist or be created under the laws of any jurisdiction in the world: (a) rights associated with works of authorship, including exclusive exploitation rights, copyrights, moral rights, and mask work rights; (b) trade secret rights; (c) patent and industrial property rights; (d) trademark and trade name rights and similar rights; (e) other proprietary rights in Intellectual Property of every kind and nature; and (f)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4" w:right="999" w:bottom="1440" w:gutter="0" w:footer="0" w:header="0"/>
        </w:sectPr>
      </w:pPr>
    </w:p>
    <w:bookmarkStart w:id="50" w:name="page51"/>
    <w:bookmarkEnd w:id="50"/>
    <w:p>
      <w:pPr>
        <w:jc w:val="center"/>
        <w:spacing w:after="0"/>
        <w:rPr>
          <w:sz w:val="20"/>
          <w:szCs w:val="20"/>
          <w:color w:val="auto"/>
        </w:rPr>
      </w:pPr>
      <w:r>
        <w:rPr>
          <w:rFonts w:ascii="Times New Roman" w:cs="Times New Roman" w:eastAsia="Times New Roman" w:hAnsi="Times New Roman"/>
          <w:sz w:val="20"/>
          <w:szCs w:val="20"/>
          <w:b w:val="1"/>
          <w:bCs w:val="1"/>
          <w:color w:val="auto"/>
        </w:rPr>
        <w:t>CONFIDENTIAL</w:t>
      </w:r>
    </w:p>
    <w:p>
      <w:pPr>
        <w:spacing w:after="0" w:line="23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in or relating to registrations, renewals, extensions, combinations, divisions, and reissues of, and applications for, any of the rights referred to in clauses (a) through (e) of this sentence.</w:t>
      </w:r>
    </w:p>
    <w:p>
      <w:pPr>
        <w:spacing w:after="0" w:line="15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1.6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Project Technology</w:t>
      </w:r>
      <w:r>
        <w:rPr>
          <w:rFonts w:ascii="Times New Roman" w:cs="Times New Roman" w:eastAsia="Times New Roman" w:hAnsi="Times New Roman"/>
          <w:sz w:val="20"/>
          <w:szCs w:val="20"/>
          <w:color w:val="auto"/>
        </w:rPr>
        <w:t>” means all Intellectual Property that is developed, created, invented, generated,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derived, conceived, or otherwise reduced to practice by either party (whether jointly or solely) during the course of and as a result of the Work.</w:t>
      </w:r>
    </w:p>
    <w:p>
      <w:pPr>
        <w:spacing w:after="0" w:line="16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1.7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Statement of Work</w:t>
      </w:r>
      <w:r>
        <w:rPr>
          <w:rFonts w:ascii="Times New Roman" w:cs="Times New Roman" w:eastAsia="Times New Roman" w:hAnsi="Times New Roman"/>
          <w:sz w:val="20"/>
          <w:szCs w:val="20"/>
          <w:color w:val="auto"/>
        </w:rPr>
        <w:t>” means any written statement of work that is mutually agreed upon by the parties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accordance with </w:t>
      </w:r>
      <w:r>
        <w:rPr>
          <w:rFonts w:ascii="Times New Roman" w:cs="Times New Roman" w:eastAsia="Times New Roman" w:hAnsi="Times New Roman"/>
          <w:sz w:val="20"/>
          <w:szCs w:val="20"/>
          <w:b w:val="1"/>
          <w:bCs w:val="1"/>
          <w:color w:val="auto"/>
        </w:rPr>
        <w:t>Section 2.1 (Statements of Work)</w:t>
      </w:r>
      <w:r>
        <w:rPr>
          <w:rFonts w:ascii="Times New Roman" w:cs="Times New Roman" w:eastAsia="Times New Roman" w:hAnsi="Times New Roman"/>
          <w:sz w:val="20"/>
          <w:szCs w:val="20"/>
          <w:color w:val="auto"/>
        </w:rPr>
        <w:t>, which outlines the parties’ respective rights and obligations in connection with the Work.</w:t>
      </w:r>
    </w:p>
    <w:p>
      <w:pPr>
        <w:spacing w:after="0" w:line="169"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1.8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Work</w:t>
      </w:r>
      <w:r>
        <w:rPr>
          <w:rFonts w:ascii="Times New Roman" w:cs="Times New Roman" w:eastAsia="Times New Roman" w:hAnsi="Times New Roman"/>
          <w:sz w:val="20"/>
          <w:szCs w:val="20"/>
          <w:color w:val="auto"/>
        </w:rPr>
        <w:t>” means the development activities conducted by the parties under this Agreement pursuant to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Statement of Work.</w:t>
      </w:r>
    </w:p>
    <w:p>
      <w:pPr>
        <w:spacing w:after="0" w:line="152" w:lineRule="exact"/>
        <w:rPr>
          <w:sz w:val="20"/>
          <w:szCs w:val="20"/>
          <w:color w:val="auto"/>
        </w:rPr>
      </w:pPr>
    </w:p>
    <w:p>
      <w:pPr>
        <w:ind w:left="660" w:hanging="652"/>
        <w:spacing w:after="0"/>
        <w:tabs>
          <w:tab w:leader="none" w:pos="660" w:val="left"/>
        </w:tabs>
        <w:numPr>
          <w:ilvl w:val="0"/>
          <w:numId w:val="2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DEVELOPMENT ARRANGEMENT</w:t>
      </w:r>
    </w:p>
    <w:p>
      <w:pPr>
        <w:spacing w:after="0" w:line="216"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b w:val="1"/>
          <w:bCs w:val="1"/>
          <w:color w:val="auto"/>
        </w:rPr>
        <w:t xml:space="preserve">2.1 Statements of Work. </w:t>
      </w:r>
      <w:r>
        <w:rPr>
          <w:rFonts w:ascii="Times New Roman" w:cs="Times New Roman" w:eastAsia="Times New Roman" w:hAnsi="Times New Roman"/>
          <w:sz w:val="20"/>
          <w:szCs w:val="20"/>
          <w:color w:val="auto"/>
        </w:rPr>
        <w:t>From time to time during the term of this Agreement, the parties may mutually agree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upon and execute a statement of work that details the cooperative activities to be undertaken in connection with development Work. Everspin and Frontgrade shall each use commercially reasonable efforts to complete their respective responsibilities in accordance with the timelines and milestones set forth in each Statement of Work and shall provide resources necessary to complete their respective Work. Everspin and Frontgrade shall promptly inform each other about any delays in their Work or impediments to the achievement of any milestones under the Statement of Work. Any changes to an executed Statement of Work must be mutually agreed upon by both parties. For purposes of this Agreement, a Statement of Work shall be deemed successfully completed if the milestones, Deliverables, timelines and specifications are achieved and completed as set forth in the Statement of Work.</w:t>
      </w:r>
    </w:p>
    <w:p>
      <w:pPr>
        <w:spacing w:after="0" w:line="18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2.2</w:t>
      </w:r>
      <w:r>
        <w:rPr>
          <w:sz w:val="20"/>
          <w:szCs w:val="20"/>
          <w:color w:val="auto"/>
        </w:rPr>
        <w:tab/>
      </w:r>
      <w:r>
        <w:rPr>
          <w:rFonts w:ascii="Times New Roman" w:cs="Times New Roman" w:eastAsia="Times New Roman" w:hAnsi="Times New Roman"/>
          <w:sz w:val="19"/>
          <w:szCs w:val="19"/>
          <w:b w:val="1"/>
          <w:bCs w:val="1"/>
          <w:color w:val="auto"/>
        </w:rPr>
        <w:t xml:space="preserve">Contributions of the Parties. </w:t>
      </w:r>
      <w:r>
        <w:rPr>
          <w:rFonts w:ascii="Times New Roman" w:cs="Times New Roman" w:eastAsia="Times New Roman" w:hAnsi="Times New Roman"/>
          <w:sz w:val="19"/>
          <w:szCs w:val="19"/>
          <w:color w:val="auto"/>
        </w:rPr>
        <w:t>The Statement of Work shall define the contributions of each of the parties.</w:t>
      </w:r>
    </w:p>
    <w:p>
      <w:pPr>
        <w:spacing w:after="0" w:line="216"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b w:val="1"/>
          <w:bCs w:val="1"/>
          <w:color w:val="auto"/>
        </w:rPr>
        <w:t xml:space="preserve">2.3 Program Coordinators. </w:t>
      </w:r>
      <w:r>
        <w:rPr>
          <w:rFonts w:ascii="Times New Roman" w:cs="Times New Roman" w:eastAsia="Times New Roman" w:hAnsi="Times New Roman"/>
          <w:sz w:val="20"/>
          <w:szCs w:val="20"/>
          <w:color w:val="auto"/>
        </w:rPr>
        <w:t>The parties agree that the successful completion of each Statement of Work will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require the cooperation and regular exchange of information between Everspin and Frontgrade. To facilitate such communication, Everspin and Frontgrade shall each designate a “</w:t>
      </w:r>
      <w:r>
        <w:rPr>
          <w:rFonts w:ascii="Times New Roman" w:cs="Times New Roman" w:eastAsia="Times New Roman" w:hAnsi="Times New Roman"/>
          <w:sz w:val="20"/>
          <w:szCs w:val="20"/>
          <w:b w:val="1"/>
          <w:bCs w:val="1"/>
          <w:color w:val="auto"/>
        </w:rPr>
        <w:t>Program Coordinator</w:t>
      </w:r>
      <w:r>
        <w:rPr>
          <w:rFonts w:ascii="Times New Roman" w:cs="Times New Roman" w:eastAsia="Times New Roman" w:hAnsi="Times New Roman"/>
          <w:sz w:val="20"/>
          <w:szCs w:val="20"/>
          <w:color w:val="auto"/>
        </w:rPr>
        <w:t>”, who shall be the principal point of contact for the performance of the Statement of Work. Program Coordinators shall have authority to manage the day-to-day activities to be performed under the Statement of Work and shall be responsible for directing and supervising such activities. Each party shall have the right to replace its Program Coordinator in its sole discretion upon written notice to the other party.</w:t>
      </w:r>
    </w:p>
    <w:p>
      <w:pPr>
        <w:spacing w:after="0" w:line="179"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2.4 No Subcontracting. </w:t>
      </w:r>
      <w:r>
        <w:rPr>
          <w:rFonts w:ascii="Times New Roman" w:cs="Times New Roman" w:eastAsia="Times New Roman" w:hAnsi="Times New Roman"/>
          <w:sz w:val="20"/>
          <w:szCs w:val="20"/>
          <w:color w:val="auto"/>
        </w:rPr>
        <w:t>Neither party may subcontract any of its obligations related to the Work without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prior written consent of the other party.</w:t>
      </w:r>
    </w:p>
    <w:p>
      <w:pPr>
        <w:spacing w:after="0" w:line="152" w:lineRule="exact"/>
        <w:rPr>
          <w:sz w:val="20"/>
          <w:szCs w:val="20"/>
          <w:color w:val="auto"/>
        </w:rPr>
      </w:pPr>
    </w:p>
    <w:p>
      <w:pPr>
        <w:ind w:left="660" w:hanging="652"/>
        <w:spacing w:after="0"/>
        <w:tabs>
          <w:tab w:leader="none" w:pos="660" w:val="left"/>
        </w:tabs>
        <w:numPr>
          <w:ilvl w:val="0"/>
          <w:numId w:val="2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PAYMENTS</w:t>
      </w:r>
    </w:p>
    <w:p>
      <w:pPr>
        <w:spacing w:after="0" w:line="21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0"/>
          <w:szCs w:val="20"/>
          <w:b w:val="1"/>
          <w:bCs w:val="1"/>
          <w:color w:val="auto"/>
        </w:rPr>
        <w:t>3.1 Fees</w:t>
      </w:r>
      <w:r>
        <w:rPr>
          <w:rFonts w:ascii="Times New Roman" w:cs="Times New Roman" w:eastAsia="Times New Roman" w:hAnsi="Times New Roman"/>
          <w:sz w:val="20"/>
          <w:szCs w:val="20"/>
          <w:color w:val="auto"/>
        </w:rPr>
        <w:t>. The Parties agrees to pay one another the fee, if any, set forth in, and in accordance with the terms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Statement of Work (the “</w:t>
      </w:r>
      <w:r>
        <w:rPr>
          <w:rFonts w:ascii="Times New Roman" w:cs="Times New Roman" w:eastAsia="Times New Roman" w:hAnsi="Times New Roman"/>
          <w:sz w:val="20"/>
          <w:szCs w:val="20"/>
          <w:b w:val="1"/>
          <w:bCs w:val="1"/>
          <w:color w:val="auto"/>
        </w:rPr>
        <w:t>Fee</w:t>
      </w:r>
      <w:r>
        <w:rPr>
          <w:rFonts w:ascii="Times New Roman" w:cs="Times New Roman" w:eastAsia="Times New Roman" w:hAnsi="Times New Roman"/>
          <w:sz w:val="20"/>
          <w:szCs w:val="20"/>
          <w:color w:val="auto"/>
        </w:rPr>
        <w:t>”). Except as otherwise expressly provided herein or in a Statement of Work, each Party is responsible for all of its own costs in performing its obligations hereunder.</w:t>
      </w:r>
    </w:p>
    <w:p>
      <w:pPr>
        <w:spacing w:after="0" w:line="169"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b w:val="1"/>
          <w:bCs w:val="1"/>
          <w:color w:val="auto"/>
        </w:rPr>
        <w:t>3.2 Payment Terms</w:t>
      </w:r>
      <w:r>
        <w:rPr>
          <w:rFonts w:ascii="Times New Roman" w:cs="Times New Roman" w:eastAsia="Times New Roman" w:hAnsi="Times New Roman"/>
          <w:sz w:val="20"/>
          <w:szCs w:val="20"/>
          <w:color w:val="auto"/>
        </w:rPr>
        <w:t>. Everspin will invoice Frontgrade in accordance with the scheduled payment terms set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forth in a Statement of Work, for amounts due hereunder, and Frontgrade shall pay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53" w:right="999" w:bottom="1440" w:gutter="0" w:footer="0" w:header="0"/>
        </w:sectPr>
      </w:pPr>
    </w:p>
    <w:bookmarkStart w:id="51" w:name="page52"/>
    <w:bookmarkEnd w:id="51"/>
    <w:p>
      <w:pPr>
        <w:jc w:val="center"/>
        <w:spacing w:after="0"/>
        <w:rPr>
          <w:sz w:val="20"/>
          <w:szCs w:val="20"/>
          <w:color w:val="auto"/>
        </w:rPr>
      </w:pPr>
      <w:r>
        <w:rPr>
          <w:rFonts w:ascii="Times New Roman" w:cs="Times New Roman" w:eastAsia="Times New Roman" w:hAnsi="Times New Roman"/>
          <w:sz w:val="20"/>
          <w:szCs w:val="20"/>
          <w:b w:val="1"/>
          <w:bCs w:val="1"/>
          <w:color w:val="auto"/>
        </w:rPr>
        <w:t>CONFIDENTIAL</w:t>
      </w:r>
    </w:p>
    <w:p>
      <w:pPr>
        <w:spacing w:after="0" w:line="23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amounts invoiced within thirty (30) days of the invoice date. All payments must be made in U.S. dollars. All fees due hereunder are exclusive of, and Frontgrade shall pay, all sales, use and other taxes, export and import fees, customs duties and similar charges applicable to the transactions contemplated by this Agreement, except for taxes based upon Everspin’s net income.</w:t>
      </w:r>
    </w:p>
    <w:p>
      <w:pPr>
        <w:spacing w:after="0" w:line="176" w:lineRule="exact"/>
        <w:rPr>
          <w:sz w:val="20"/>
          <w:szCs w:val="20"/>
          <w:color w:val="auto"/>
        </w:rPr>
      </w:pPr>
    </w:p>
    <w:p>
      <w:pPr>
        <w:ind w:left="660" w:hanging="652"/>
        <w:spacing w:after="0"/>
        <w:tabs>
          <w:tab w:leader="none" w:pos="660" w:val="left"/>
        </w:tabs>
        <w:numPr>
          <w:ilvl w:val="0"/>
          <w:numId w:val="2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INTELLECTUAL PROPERTY RIGHTS</w:t>
      </w:r>
    </w:p>
    <w:p>
      <w:pPr>
        <w:spacing w:after="0" w:line="21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9"/>
          <w:szCs w:val="19"/>
          <w:b w:val="1"/>
          <w:bCs w:val="1"/>
          <w:color w:val="auto"/>
        </w:rPr>
        <w:t xml:space="preserve">4.1 Ownership of Background Technology and Improvements. </w:t>
      </w:r>
      <w:r>
        <w:rPr>
          <w:rFonts w:ascii="Times New Roman" w:cs="Times New Roman" w:eastAsia="Times New Roman" w:hAnsi="Times New Roman"/>
          <w:sz w:val="19"/>
          <w:szCs w:val="19"/>
          <w:color w:val="auto"/>
        </w:rPr>
        <w:t>Each party shall retain ownership of (a) its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Background Technology, and all Intellectual Property Rights therein; and (b) any and all Improvements to its Background Technology, regardless of whether such party or the other party developed such Improvements solely or jointly. For the avoidance of doubt, Attachment A sets forth a list of each party’s Background Technology as of the Effective Date, which list may be amended upon prior written notice and agreement. Except for any listed Intellectual Property listed on Attachment A, for which Frontgrade retains all ownership and right to, to the extent that the other party has or acquires any ownership interest in the other party’s Improvements or any Intellectual Property Rights therein, the other party hereby assigns to such party all of its right, title and interest in and to the Improvements and all Intellectual Property Rights therein.</w:t>
      </w:r>
    </w:p>
    <w:p>
      <w:pPr>
        <w:spacing w:after="0" w:line="17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b w:val="1"/>
          <w:bCs w:val="1"/>
          <w:color w:val="auto"/>
        </w:rPr>
        <w:t>4.2 Ownership of Project Technology</w:t>
      </w:r>
      <w:r>
        <w:rPr>
          <w:rFonts w:ascii="Times New Roman" w:cs="Times New Roman" w:eastAsia="Times New Roman" w:hAnsi="Times New Roman"/>
          <w:sz w:val="20"/>
          <w:szCs w:val="20"/>
          <w:color w:val="auto"/>
        </w:rPr>
        <w:t>. The Project Technology, and all Intellectual Property Rights therein,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shall be owned solely by Frontgrade. To the extent that Everspin has or acquires any ownership interest in the Project Technology or any Intellectual Property Rights therein, Everspin hereby assigns to Frontgrade all of its right, title, and interest in and to the Project Technology and all Intellectual Property Rights therein.</w:t>
      </w:r>
    </w:p>
    <w:p>
      <w:pPr>
        <w:spacing w:after="0" w:line="17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4.3</w:t>
      </w:r>
      <w:r>
        <w:rPr>
          <w:sz w:val="20"/>
          <w:szCs w:val="20"/>
          <w:color w:val="auto"/>
        </w:rPr>
        <w:tab/>
      </w:r>
      <w:r>
        <w:rPr>
          <w:rFonts w:ascii="Times New Roman" w:cs="Times New Roman" w:eastAsia="Times New Roman" w:hAnsi="Times New Roman"/>
          <w:sz w:val="19"/>
          <w:szCs w:val="19"/>
          <w:b w:val="1"/>
          <w:bCs w:val="1"/>
          <w:color w:val="auto"/>
        </w:rPr>
        <w:t>Licenses</w:t>
      </w:r>
    </w:p>
    <w:p>
      <w:pPr>
        <w:spacing w:after="0" w:line="216" w:lineRule="exact"/>
        <w:rPr>
          <w:sz w:val="20"/>
          <w:szCs w:val="20"/>
          <w:color w:val="auto"/>
        </w:rPr>
      </w:pPr>
    </w:p>
    <w:p>
      <w:pPr>
        <w:jc w:val="both"/>
        <w:ind w:left="1960" w:hanging="647"/>
        <w:spacing w:after="0" w:line="246" w:lineRule="auto"/>
        <w:tabs>
          <w:tab w:leader="none" w:pos="1940" w:val="left"/>
        </w:tabs>
        <w:rPr>
          <w:sz w:val="20"/>
          <w:szCs w:val="20"/>
          <w:color w:val="auto"/>
        </w:rPr>
      </w:pPr>
      <w:r>
        <w:rPr>
          <w:rFonts w:ascii="Times New Roman" w:cs="Times New Roman" w:eastAsia="Times New Roman" w:hAnsi="Times New Roman"/>
          <w:sz w:val="20"/>
          <w:szCs w:val="20"/>
          <w:b w:val="1"/>
          <w:bCs w:val="1"/>
          <w:color w:val="auto"/>
        </w:rPr>
        <w:t>4.3.1</w:t>
        <w:tab/>
        <w:t>From Frontgrade</w:t>
      </w:r>
      <w:r>
        <w:rPr>
          <w:rFonts w:ascii="Times New Roman" w:cs="Times New Roman" w:eastAsia="Times New Roman" w:hAnsi="Times New Roman"/>
          <w:sz w:val="20"/>
          <w:szCs w:val="20"/>
          <w:color w:val="auto"/>
        </w:rPr>
        <w:t>. The “</w:t>
      </w:r>
      <w:r>
        <w:rPr>
          <w:rFonts w:ascii="Times New Roman" w:cs="Times New Roman" w:eastAsia="Times New Roman" w:hAnsi="Times New Roman"/>
          <w:sz w:val="20"/>
          <w:szCs w:val="20"/>
          <w:b w:val="1"/>
          <w:bCs w:val="1"/>
          <w:color w:val="auto"/>
        </w:rPr>
        <w:t>Frontgrade Technology</w:t>
      </w:r>
      <w:r>
        <w:rPr>
          <w:rFonts w:ascii="Times New Roman" w:cs="Times New Roman" w:eastAsia="Times New Roman" w:hAnsi="Times New Roman"/>
          <w:sz w:val="20"/>
          <w:szCs w:val="20"/>
          <w:color w:val="auto"/>
        </w:rPr>
        <w:t>” means, collectively, the Background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Technology of Frontgrade, Improvements thereto, and the Project Technology. Frontgrade hereby grants to Everspin a nonexclusive, nontransferable, royalty-free and fully-paid license (without the right to sublicense), during the term of this Agreement, under its Intellectual Property Rights in the Frontgrade Technology, to use the Frontgrade Technology for the purpose of performing Everspin’s obligations under a Statement of Work in furtherance of the Work.</w:t>
      </w:r>
    </w:p>
    <w:p>
      <w:pPr>
        <w:spacing w:after="0" w:line="179" w:lineRule="exact"/>
        <w:rPr>
          <w:sz w:val="20"/>
          <w:szCs w:val="20"/>
          <w:color w:val="auto"/>
        </w:rPr>
      </w:pPr>
    </w:p>
    <w:p>
      <w:pPr>
        <w:jc w:val="both"/>
        <w:ind w:left="1960" w:hanging="647"/>
        <w:spacing w:after="0" w:line="245" w:lineRule="auto"/>
        <w:tabs>
          <w:tab w:leader="none" w:pos="1940" w:val="left"/>
        </w:tabs>
        <w:rPr>
          <w:sz w:val="20"/>
          <w:szCs w:val="20"/>
          <w:color w:val="auto"/>
        </w:rPr>
      </w:pPr>
      <w:r>
        <w:rPr>
          <w:rFonts w:ascii="Times New Roman" w:cs="Times New Roman" w:eastAsia="Times New Roman" w:hAnsi="Times New Roman"/>
          <w:sz w:val="20"/>
          <w:szCs w:val="20"/>
          <w:b w:val="1"/>
          <w:bCs w:val="1"/>
          <w:color w:val="auto"/>
        </w:rPr>
        <w:t>4.3.2</w:t>
        <w:tab/>
        <w:t>From Everspin</w:t>
      </w:r>
      <w:r>
        <w:rPr>
          <w:rFonts w:ascii="Times New Roman" w:cs="Times New Roman" w:eastAsia="Times New Roman" w:hAnsi="Times New Roman"/>
          <w:sz w:val="20"/>
          <w:szCs w:val="20"/>
          <w:color w:val="auto"/>
        </w:rPr>
        <w:t>. The “</w:t>
      </w:r>
      <w:r>
        <w:rPr>
          <w:rFonts w:ascii="Times New Roman" w:cs="Times New Roman" w:eastAsia="Times New Roman" w:hAnsi="Times New Roman"/>
          <w:sz w:val="20"/>
          <w:szCs w:val="20"/>
          <w:b w:val="1"/>
          <w:bCs w:val="1"/>
          <w:color w:val="auto"/>
        </w:rPr>
        <w:t>Everspin Technology</w:t>
      </w:r>
      <w:r>
        <w:rPr>
          <w:rFonts w:ascii="Times New Roman" w:cs="Times New Roman" w:eastAsia="Times New Roman" w:hAnsi="Times New Roman"/>
          <w:sz w:val="20"/>
          <w:szCs w:val="20"/>
          <w:color w:val="auto"/>
        </w:rPr>
        <w:t>” means, collectively, the Background Technology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Everspin and Improvements thereto. Everspin hereby grants to Frontgrade a nonexclusive, nontransferable, royalty-free and fully-paid license, during the term of this Agreement, under its Intellectual Property Rights in the Everspin Technology, to use the Everspin Technology for the purpose of performing Frontgrade’s obligations under a Statement of Work in furtherance of the Work, and solely as embedded in a Deliverable for the Project, and not as a standalone product or service.</w:t>
      </w:r>
    </w:p>
    <w:p>
      <w:pPr>
        <w:spacing w:after="0" w:line="17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0"/>
          <w:szCs w:val="20"/>
          <w:b w:val="1"/>
          <w:bCs w:val="1"/>
          <w:color w:val="auto"/>
        </w:rPr>
        <w:t>4.4 No Reverse-Engineering</w:t>
      </w:r>
      <w:r>
        <w:rPr>
          <w:rFonts w:ascii="Times New Roman" w:cs="Times New Roman" w:eastAsia="Times New Roman" w:hAnsi="Times New Roman"/>
          <w:sz w:val="20"/>
          <w:szCs w:val="20"/>
          <w:color w:val="auto"/>
        </w:rPr>
        <w:t>. Neither party shall, directly or indirectly, reverse-engineer, decompile,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disassemble the other party’s Background Technology or otherwise attempt to derive other trade secrets from the other party except as necessary to perform its obligations under a Statement of Work in furtherance of the Work.</w:t>
      </w:r>
    </w:p>
    <w:p>
      <w:pPr>
        <w:spacing w:after="0" w:line="16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4.5</w:t>
      </w:r>
      <w:r>
        <w:rPr>
          <w:sz w:val="20"/>
          <w:szCs w:val="20"/>
          <w:color w:val="auto"/>
        </w:rPr>
        <w:tab/>
      </w:r>
      <w:r>
        <w:rPr>
          <w:rFonts w:ascii="Times New Roman" w:cs="Times New Roman" w:eastAsia="Times New Roman" w:hAnsi="Times New Roman"/>
          <w:sz w:val="20"/>
          <w:szCs w:val="20"/>
          <w:b w:val="1"/>
          <w:bCs w:val="1"/>
          <w:color w:val="auto"/>
        </w:rPr>
        <w:t>No Commercialization</w:t>
      </w:r>
      <w:r>
        <w:rPr>
          <w:rFonts w:ascii="Times New Roman" w:cs="Times New Roman" w:eastAsia="Times New Roman" w:hAnsi="Times New Roman"/>
          <w:sz w:val="20"/>
          <w:szCs w:val="20"/>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53" w:right="999" w:bottom="1440" w:gutter="0" w:footer="0" w:header="0"/>
        </w:sectPr>
      </w:pPr>
    </w:p>
    <w:bookmarkStart w:id="52" w:name="page53"/>
    <w:bookmarkEnd w:id="52"/>
    <w:p>
      <w:pPr>
        <w:jc w:val="center"/>
        <w:spacing w:after="0"/>
        <w:rPr>
          <w:sz w:val="20"/>
          <w:szCs w:val="20"/>
          <w:color w:val="auto"/>
        </w:rPr>
      </w:pPr>
      <w:r>
        <w:rPr>
          <w:rFonts w:ascii="Times New Roman" w:cs="Times New Roman" w:eastAsia="Times New Roman" w:hAnsi="Times New Roman"/>
          <w:sz w:val="20"/>
          <w:szCs w:val="20"/>
          <w:b w:val="1"/>
          <w:bCs w:val="1"/>
          <w:color w:val="auto"/>
        </w:rPr>
        <w:t>CONFIDENTIAL</w:t>
      </w:r>
    </w:p>
    <w:p>
      <w:pPr>
        <w:spacing w:after="0" w:line="229" w:lineRule="exact"/>
        <w:rPr>
          <w:sz w:val="20"/>
          <w:szCs w:val="20"/>
          <w:color w:val="auto"/>
        </w:rPr>
      </w:pPr>
    </w:p>
    <w:p>
      <w:pPr>
        <w:ind w:firstLine="648"/>
        <w:spacing w:after="0" w:line="273" w:lineRule="auto"/>
        <w:rPr>
          <w:sz w:val="20"/>
          <w:szCs w:val="20"/>
          <w:color w:val="auto"/>
        </w:rPr>
      </w:pPr>
      <w:r>
        <w:rPr>
          <w:rFonts w:ascii="Times New Roman" w:cs="Times New Roman" w:eastAsia="Times New Roman" w:hAnsi="Times New Roman"/>
          <w:sz w:val="20"/>
          <w:szCs w:val="20"/>
          <w:b w:val="1"/>
          <w:bCs w:val="1"/>
          <w:color w:val="auto"/>
        </w:rPr>
        <w:t>4.6 No Implied Licenses</w:t>
      </w:r>
      <w:r>
        <w:rPr>
          <w:rFonts w:ascii="Times New Roman" w:cs="Times New Roman" w:eastAsia="Times New Roman" w:hAnsi="Times New Roman"/>
          <w:sz w:val="20"/>
          <w:szCs w:val="20"/>
          <w:color w:val="auto"/>
        </w:rPr>
        <w:t>. There are no implied licenses granted under this Agreement, and all rights not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expressly granted herein are reserved to their owners.</w:t>
      </w:r>
    </w:p>
    <w:p>
      <w:pPr>
        <w:spacing w:after="0" w:line="152" w:lineRule="exact"/>
        <w:rPr>
          <w:sz w:val="20"/>
          <w:szCs w:val="20"/>
          <w:color w:val="auto"/>
        </w:rPr>
      </w:pPr>
    </w:p>
    <w:p>
      <w:pPr>
        <w:ind w:left="660" w:hanging="652"/>
        <w:spacing w:after="0"/>
        <w:tabs>
          <w:tab w:leader="none" w:pos="660" w:val="left"/>
        </w:tabs>
        <w:numPr>
          <w:ilvl w:val="0"/>
          <w:numId w:val="2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CONFIDENTIALITY</w:t>
      </w:r>
    </w:p>
    <w:p>
      <w:pPr>
        <w:spacing w:after="0" w:line="216"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b w:val="1"/>
          <w:bCs w:val="1"/>
          <w:color w:val="auto"/>
        </w:rPr>
        <w:t>5.1 Definition of Confidential Information</w:t>
      </w:r>
      <w:r>
        <w:rPr>
          <w:rFonts w:ascii="Times New Roman" w:cs="Times New Roman" w:eastAsia="Times New Roman" w:hAnsi="Times New Roman"/>
          <w:sz w:val="20"/>
          <w:szCs w:val="20"/>
          <w:color w:val="auto"/>
        </w:rPr>
        <w:t>. For purposes of this Agreement, “</w:t>
      </w:r>
      <w:r>
        <w:rPr>
          <w:rFonts w:ascii="Times New Roman" w:cs="Times New Roman" w:eastAsia="Times New Roman" w:hAnsi="Times New Roman"/>
          <w:sz w:val="20"/>
          <w:szCs w:val="20"/>
          <w:b w:val="1"/>
          <w:bCs w:val="1"/>
          <w:color w:val="auto"/>
        </w:rPr>
        <w:t>Confidential Information</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means all non-public or proprietary information disclosed by one party (the “</w:t>
      </w:r>
      <w:r>
        <w:rPr>
          <w:rFonts w:ascii="Times New Roman" w:cs="Times New Roman" w:eastAsia="Times New Roman" w:hAnsi="Times New Roman"/>
          <w:sz w:val="20"/>
          <w:szCs w:val="20"/>
          <w:b w:val="1"/>
          <w:bCs w:val="1"/>
          <w:color w:val="auto"/>
        </w:rPr>
        <w:t>Disclosing Party</w:t>
      </w:r>
      <w:r>
        <w:rPr>
          <w:rFonts w:ascii="Times New Roman" w:cs="Times New Roman" w:eastAsia="Times New Roman" w:hAnsi="Times New Roman"/>
          <w:sz w:val="20"/>
          <w:szCs w:val="20"/>
          <w:color w:val="auto"/>
        </w:rPr>
        <w:t>”) to the other party (the “</w:t>
      </w:r>
      <w:r>
        <w:rPr>
          <w:rFonts w:ascii="Times New Roman" w:cs="Times New Roman" w:eastAsia="Times New Roman" w:hAnsi="Times New Roman"/>
          <w:sz w:val="20"/>
          <w:szCs w:val="20"/>
          <w:b w:val="1"/>
          <w:bCs w:val="1"/>
          <w:color w:val="auto"/>
        </w:rPr>
        <w:t>Receiving Party</w:t>
      </w:r>
      <w:r>
        <w:rPr>
          <w:rFonts w:ascii="Times New Roman" w:cs="Times New Roman" w:eastAsia="Times New Roman" w:hAnsi="Times New Roman"/>
          <w:sz w:val="20"/>
          <w:szCs w:val="20"/>
          <w:color w:val="auto"/>
        </w:rPr>
        <w:t xml:space="preserve">”) in the course of activity pursuant to this Agreement, including such information disclosed in contemplation of this Agreement prior to the Effective Date, whether disclosed in oral, written, graphic, machine recognizable model or sample form, or any derivation thereof, except as otherwise provided in </w:t>
      </w:r>
      <w:r>
        <w:rPr>
          <w:rFonts w:ascii="Times New Roman" w:cs="Times New Roman" w:eastAsia="Times New Roman" w:hAnsi="Times New Roman"/>
          <w:sz w:val="20"/>
          <w:szCs w:val="20"/>
          <w:b w:val="1"/>
          <w:bCs w:val="1"/>
          <w:color w:val="auto"/>
        </w:rPr>
        <w:t>Section 5.2 (Exceptions)</w:t>
      </w:r>
      <w:r>
        <w:rPr>
          <w:rFonts w:ascii="Times New Roman" w:cs="Times New Roman" w:eastAsia="Times New Roman" w:hAnsi="Times New Roman"/>
          <w:sz w:val="20"/>
          <w:szCs w:val="20"/>
          <w:color w:val="auto"/>
        </w:rPr>
        <w:t>.</w:t>
      </w:r>
    </w:p>
    <w:p>
      <w:pPr>
        <w:spacing w:after="0" w:line="4" w:lineRule="exact"/>
        <w:rPr>
          <w:sz w:val="20"/>
          <w:szCs w:val="20"/>
          <w:color w:val="auto"/>
        </w:rPr>
      </w:pPr>
    </w:p>
    <w:p>
      <w:pPr>
        <w:jc w:val="both"/>
        <w:ind w:firstLine="144"/>
        <w:spacing w:after="0" w:line="241" w:lineRule="auto"/>
        <w:rPr>
          <w:sz w:val="20"/>
          <w:szCs w:val="20"/>
          <w:color w:val="auto"/>
        </w:rPr>
      </w:pPr>
      <w:r>
        <w:rPr>
          <w:rFonts w:ascii="Times New Roman" w:cs="Times New Roman" w:eastAsia="Times New Roman" w:hAnsi="Times New Roman"/>
          <w:sz w:val="20"/>
          <w:szCs w:val="20"/>
          <w:color w:val="auto"/>
        </w:rPr>
        <w:t>Confidential Information may include data, know-how, algorithms, computer programs, data bases, processes, improvements, designs, devices, systems, test results, sketches, photographs, plans, drawings, product concepts, specifications, reports, laboratory notebooks, business and financial plans, strategies, budgets, vendor, customer and distributor names, pricing information, production or manufacturing information, product sales information or forecasts, inventions and ideas.</w:t>
      </w:r>
    </w:p>
    <w:p>
      <w:pPr>
        <w:spacing w:after="0" w:line="183"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b w:val="1"/>
          <w:bCs w:val="1"/>
          <w:color w:val="auto"/>
        </w:rPr>
        <w:t>5.2 Protection of Confidential Information</w:t>
      </w:r>
      <w:r>
        <w:rPr>
          <w:rFonts w:ascii="Times New Roman" w:cs="Times New Roman" w:eastAsia="Times New Roman" w:hAnsi="Times New Roman"/>
          <w:sz w:val="20"/>
          <w:szCs w:val="20"/>
          <w:color w:val="auto"/>
        </w:rPr>
        <w:t>. The Receiving Party will not use any Confidential Information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Disclosing Party for any purpose other than to perform its obligations and exercise its rights under this Agreement and will disclose such Confidential Information only to the employees and agents of the Receiving Party (a) who have a need to know such Confidential Information for purposes of this Agreement and (b) who are under a duty of confidentiality no less restrictive than the Receiving Party’s duty hereunder. The Receiving Party will protect the Confidential Information from unauthorized use, access, or disclosure in the same manner as the Receiving Party protects its own confidential or proprietary information of a similar nature and with no less than commercially reasonable care. The Receiving Party shall inform each such employee and consultant of its confidentiality obligations under this Agreement and will be liable for any breach of confidentiality by any such employee or consultant. The obligations provided in this section will survive the termination or expiration of this Agreement.</w:t>
      </w:r>
    </w:p>
    <w:p>
      <w:pPr>
        <w:spacing w:after="0" w:line="182"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0"/>
          <w:szCs w:val="20"/>
          <w:b w:val="1"/>
          <w:bCs w:val="1"/>
          <w:color w:val="auto"/>
        </w:rPr>
        <w:t>5.3 Exceptions</w:t>
      </w:r>
      <w:r>
        <w:rPr>
          <w:rFonts w:ascii="Times New Roman" w:cs="Times New Roman" w:eastAsia="Times New Roman" w:hAnsi="Times New Roman"/>
          <w:sz w:val="20"/>
          <w:szCs w:val="20"/>
          <w:color w:val="auto"/>
        </w:rPr>
        <w:t>. The Receiving Party’s obligations under</w:t>
      </w:r>
      <w:r>
        <w:rPr>
          <w:rFonts w:ascii="Times New Roman" w:cs="Times New Roman" w:eastAsia="Times New Roman" w:hAnsi="Times New Roman"/>
          <w:sz w:val="20"/>
          <w:szCs w:val="20"/>
          <w:b w:val="1"/>
          <w:bCs w:val="1"/>
          <w:color w:val="auto"/>
        </w:rPr>
        <w:t xml:space="preserve"> Section 5.2 (Protection of Confidential Information) </w:t>
      </w:r>
      <w:r>
        <w:rPr>
          <w:rFonts w:ascii="Times New Roman" w:cs="Times New Roman" w:eastAsia="Times New Roman" w:hAnsi="Times New Roman"/>
          <w:sz w:val="20"/>
          <w:szCs w:val="20"/>
          <w:color w:val="auto"/>
        </w:rPr>
        <w:t>with respect to any Confidential Information will terminate if such information: (a) was already known to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Receiving Party at the time of disclosure by the Disclosing Party, without any duty of confidentiality to the Disclosing Party;</w:t>
      </w:r>
    </w:p>
    <w:p>
      <w:pPr>
        <w:spacing w:after="0" w:line="2" w:lineRule="exact"/>
        <w:rPr>
          <w:sz w:val="20"/>
          <w:szCs w:val="20"/>
          <w:color w:val="auto"/>
        </w:rPr>
      </w:pPr>
    </w:p>
    <w:p>
      <w:pPr>
        <w:jc w:val="both"/>
        <w:ind w:firstLine="8"/>
        <w:spacing w:after="0" w:line="252" w:lineRule="auto"/>
        <w:tabs>
          <w:tab w:leader="none" w:pos="283" w:val="left"/>
        </w:tabs>
        <w:numPr>
          <w:ilvl w:val="0"/>
          <w:numId w:val="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is disclosed to the Receiving Party by a third party who had the right to make such disclosure without any confidentiality restrictions; (c) is, or through no fault of the Receiving Party has become, generally available to the public; or (d) is independently developed by the Receiving Party without access to, or use of, the Confidential Information. In addition, the Receiving Party will be allowed to use or disclose the Confidential Information to the extent that such use or disclosure is (i) approved in writing by the Disclosing Party, (ii) necessary for the Receiving Party to enforce its rights under this Agreement;</w:t>
      </w:r>
    </w:p>
    <w:p>
      <w:pPr>
        <w:jc w:val="both"/>
        <w:ind w:firstLine="8"/>
        <w:spacing w:after="0"/>
        <w:tabs>
          <w:tab w:leader="none" w:pos="358"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required by law or by the order of a court or similar judicial or administrative body, provided that the Receiving Party notifies the Disclosing Party of such required disclosure promptly and in writing and cooperates with the Disclosing Party, at the Disclosing Party’s reasonable request and expense, in any lawful action to contest or limit the scope of such required disclosure; or (iv) necessary to exercise any licenses granted to the Receiving Party under this Agreement. For purposes hereof, the sale or unrestricted disclosure of an article or product made through a confidential manufacturing process shall not be deemed to constitute a public disclosure of the process.</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0"/>
          <w:szCs w:val="20"/>
          <w:b w:val="1"/>
          <w:bCs w:val="1"/>
          <w:color w:val="auto"/>
        </w:rPr>
        <w:t>5.4 Return of Confidential Information</w:t>
      </w:r>
      <w:r>
        <w:rPr>
          <w:rFonts w:ascii="Times New Roman" w:cs="Times New Roman" w:eastAsia="Times New Roman" w:hAnsi="Times New Roman"/>
          <w:sz w:val="20"/>
          <w:szCs w:val="20"/>
          <w:color w:val="auto"/>
        </w:rPr>
        <w:t>. The Receiving Party will return to the Disclosing Party or destroy all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Confidential Information of the Disclosing Party in the Receiving Party’s possession or control and permanently erase all electronic copies of such Confidential Information promptly upon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53" w:right="999" w:bottom="1440" w:gutter="0" w:footer="0" w:header="0"/>
        </w:sectPr>
      </w:pPr>
    </w:p>
    <w:bookmarkStart w:id="53" w:name="page54"/>
    <w:bookmarkEnd w:id="53"/>
    <w:p>
      <w:pPr>
        <w:jc w:val="center"/>
        <w:spacing w:after="0"/>
        <w:rPr>
          <w:sz w:val="20"/>
          <w:szCs w:val="20"/>
          <w:color w:val="auto"/>
        </w:rPr>
      </w:pPr>
      <w:r>
        <w:rPr>
          <w:rFonts w:ascii="Times New Roman" w:cs="Times New Roman" w:eastAsia="Times New Roman" w:hAnsi="Times New Roman"/>
          <w:sz w:val="20"/>
          <w:szCs w:val="20"/>
          <w:b w:val="1"/>
          <w:bCs w:val="1"/>
          <w:color w:val="auto"/>
        </w:rPr>
        <w:t>CONFIDENTIAL</w:t>
      </w:r>
    </w:p>
    <w:p>
      <w:pPr>
        <w:spacing w:after="0" w:line="233"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20"/>
          <w:szCs w:val="20"/>
          <w:color w:val="auto"/>
        </w:rPr>
        <w:t>the written request of the Disclosing Party or the expiration or termination of this Agreement, whichever comes first, unless the Receiving Party has a continuing right to use such Confidential Information.</w:t>
      </w:r>
    </w:p>
    <w:p>
      <w:pPr>
        <w:spacing w:after="0" w:line="155" w:lineRule="exact"/>
        <w:rPr>
          <w:sz w:val="20"/>
          <w:szCs w:val="20"/>
          <w:color w:val="auto"/>
        </w:rPr>
      </w:pPr>
    </w:p>
    <w:p>
      <w:pPr>
        <w:ind w:left="660" w:hanging="652"/>
        <w:spacing w:after="0"/>
        <w:tabs>
          <w:tab w:leader="none" w:pos="660" w:val="left"/>
        </w:tabs>
        <w:numPr>
          <w:ilvl w:val="0"/>
          <w:numId w:val="3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TERM AND TERMINATION</w:t>
      </w:r>
    </w:p>
    <w:p>
      <w:pPr>
        <w:spacing w:after="0" w:line="216"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0"/>
          <w:szCs w:val="20"/>
          <w:b w:val="1"/>
          <w:bCs w:val="1"/>
          <w:color w:val="auto"/>
        </w:rPr>
        <w:t>6.1 Term</w:t>
      </w:r>
      <w:r>
        <w:rPr>
          <w:rFonts w:ascii="Times New Roman" w:cs="Times New Roman" w:eastAsia="Times New Roman" w:hAnsi="Times New Roman"/>
          <w:sz w:val="20"/>
          <w:szCs w:val="20"/>
          <w:color w:val="auto"/>
        </w:rPr>
        <w:t>. Unless earlier terminated in accordance with this Agreement, the term of this Agreement shall begin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on the Effective Date and continue for a period of five (5) years the “</w:t>
      </w:r>
      <w:r>
        <w:rPr>
          <w:rFonts w:ascii="Times New Roman" w:cs="Times New Roman" w:eastAsia="Times New Roman" w:hAnsi="Times New Roman"/>
          <w:sz w:val="20"/>
          <w:szCs w:val="20"/>
          <w:b w:val="1"/>
          <w:bCs w:val="1"/>
          <w:color w:val="auto"/>
        </w:rPr>
        <w:t>Initial Term</w:t>
      </w:r>
      <w:r>
        <w:rPr>
          <w:rFonts w:ascii="Times New Roman" w:cs="Times New Roman" w:eastAsia="Times New Roman" w:hAnsi="Times New Roman"/>
          <w:sz w:val="20"/>
          <w:szCs w:val="20"/>
          <w:color w:val="auto"/>
        </w:rPr>
        <w:t>”). The term of this Agreement shall be automatically extended for successive renewal terms of one (1) year each (each, a “</w:t>
      </w:r>
      <w:r>
        <w:rPr>
          <w:rFonts w:ascii="Times New Roman" w:cs="Times New Roman" w:eastAsia="Times New Roman" w:hAnsi="Times New Roman"/>
          <w:sz w:val="20"/>
          <w:szCs w:val="20"/>
          <w:b w:val="1"/>
          <w:bCs w:val="1"/>
          <w:color w:val="auto"/>
        </w:rPr>
        <w:t>Renewal Term</w:t>
      </w:r>
      <w:r>
        <w:rPr>
          <w:rFonts w:ascii="Times New Roman" w:cs="Times New Roman" w:eastAsia="Times New Roman" w:hAnsi="Times New Roman"/>
          <w:sz w:val="20"/>
          <w:szCs w:val="20"/>
          <w:color w:val="auto"/>
        </w:rPr>
        <w:t>”), unless either party gives written notice of its intent not to renew this Agreement no later than sixty (60) days prior to the expiration of the Initial Term or current Renewal Term.</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0"/>
          <w:szCs w:val="20"/>
          <w:b w:val="1"/>
          <w:bCs w:val="1"/>
          <w:color w:val="auto"/>
        </w:rPr>
        <w:t>6.2 Termination for Breach</w:t>
      </w:r>
      <w:r>
        <w:rPr>
          <w:rFonts w:ascii="Times New Roman" w:cs="Times New Roman" w:eastAsia="Times New Roman" w:hAnsi="Times New Roman"/>
          <w:sz w:val="20"/>
          <w:szCs w:val="20"/>
          <w:color w:val="auto"/>
        </w:rPr>
        <w:t>. Each party shall have the right to terminate this Agreement upon written notice if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other party materially breaches this Agreement and fails to cure such breach within thirty (30) days after receiving written notice of breach from the non-breaching party.</w:t>
      </w:r>
    </w:p>
    <w:p>
      <w:pPr>
        <w:spacing w:after="0" w:line="16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b w:val="1"/>
          <w:bCs w:val="1"/>
          <w:color w:val="auto"/>
        </w:rPr>
        <w:t>6.3 Effect of Termination</w:t>
      </w:r>
      <w:r>
        <w:rPr>
          <w:rFonts w:ascii="Times New Roman" w:cs="Times New Roman" w:eastAsia="Times New Roman" w:hAnsi="Times New Roman"/>
          <w:sz w:val="20"/>
          <w:szCs w:val="20"/>
          <w:color w:val="auto"/>
        </w:rPr>
        <w:t>. Upon any expiration or termination of this Agreement, all licenses granted by each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party to the other party for Background Technology and Improvements shall terminate. Notwithstanding anything to the contrary in this Agreement, </w:t>
      </w:r>
      <w:r>
        <w:rPr>
          <w:rFonts w:ascii="Times New Roman" w:cs="Times New Roman" w:eastAsia="Times New Roman" w:hAnsi="Times New Roman"/>
          <w:sz w:val="20"/>
          <w:szCs w:val="20"/>
          <w:b w:val="1"/>
          <w:bCs w:val="1"/>
          <w:color w:val="auto"/>
        </w:rPr>
        <w:t>Sections 1, 4.2, 4.4, 4.5, 5, 6.3, 7.2, 8, 9</w:t>
      </w:r>
      <w:r>
        <w:rPr>
          <w:rFonts w:ascii="Times New Roman" w:cs="Times New Roman" w:eastAsia="Times New Roman" w:hAnsi="Times New Roman"/>
          <w:sz w:val="20"/>
          <w:szCs w:val="20"/>
          <w:color w:val="auto"/>
        </w:rPr>
        <w:t>, and any payment obligations incurred prior to expiration or termination of this Agreement shall survive such expiration or termination.</w:t>
      </w:r>
    </w:p>
    <w:p>
      <w:pPr>
        <w:spacing w:after="0" w:line="176" w:lineRule="exact"/>
        <w:rPr>
          <w:sz w:val="20"/>
          <w:szCs w:val="20"/>
          <w:color w:val="auto"/>
        </w:rPr>
      </w:pPr>
    </w:p>
    <w:p>
      <w:pPr>
        <w:ind w:left="660" w:hanging="652"/>
        <w:spacing w:after="0"/>
        <w:tabs>
          <w:tab w:leader="none" w:pos="660" w:val="left"/>
        </w:tabs>
        <w:numPr>
          <w:ilvl w:val="0"/>
          <w:numId w:val="3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REPRESENTATIONS AND WARRANTIES</w:t>
      </w:r>
    </w:p>
    <w:p>
      <w:pPr>
        <w:spacing w:after="0" w:line="21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b w:val="1"/>
          <w:bCs w:val="1"/>
          <w:color w:val="auto"/>
        </w:rPr>
        <w:t>7.1 Development Warranties</w:t>
      </w:r>
      <w:r>
        <w:rPr>
          <w:rFonts w:ascii="Times New Roman" w:cs="Times New Roman" w:eastAsia="Times New Roman" w:hAnsi="Times New Roman"/>
          <w:sz w:val="20"/>
          <w:szCs w:val="20"/>
          <w:color w:val="auto"/>
        </w:rPr>
        <w:t>. Each party represents and warrants to the other party that it will perform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Work in a professional, workmanlike, and timely manner; </w:t>
      </w:r>
      <w:r>
        <w:rPr>
          <w:rFonts w:ascii="Times New Roman" w:cs="Times New Roman" w:eastAsia="Times New Roman" w:hAnsi="Times New Roman"/>
          <w:sz w:val="20"/>
          <w:szCs w:val="20"/>
          <w:i w:val="1"/>
          <w:iCs w:val="1"/>
          <w:color w:val="auto"/>
        </w:rPr>
        <w:t>provided, however</w:t>
      </w:r>
      <w:r>
        <w:rPr>
          <w:rFonts w:ascii="Times New Roman" w:cs="Times New Roman" w:eastAsia="Times New Roman" w:hAnsi="Times New Roman"/>
          <w:sz w:val="20"/>
          <w:szCs w:val="20"/>
          <w:color w:val="auto"/>
        </w:rPr>
        <w:t>, that the other party’s sole and exclusive remedy, and such party’s entire liability, for any breach of the warranty shall be for such party to re-perform its obligations in a conforming manner.</w:t>
      </w:r>
    </w:p>
    <w:p>
      <w:pPr>
        <w:spacing w:after="0" w:line="176"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b w:val="1"/>
          <w:bCs w:val="1"/>
          <w:color w:val="auto"/>
        </w:rPr>
        <w:t>7.2 Warranty Disclaimer</w:t>
      </w:r>
      <w:r>
        <w:rPr>
          <w:rFonts w:ascii="Times New Roman" w:cs="Times New Roman" w:eastAsia="Times New Roman" w:hAnsi="Times New Roman"/>
          <w:sz w:val="20"/>
          <w:szCs w:val="20"/>
          <w:color w:val="auto"/>
        </w:rPr>
        <w:t>. THE EXPRESS WARRANTIES SET FORTH IN THIS SECTION 7 ARE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LIEU OF ALL OTHER WARRANTIES, WHETHER EXPRESS, IMPLIED, OR STATUTORY, REGARDING THIS AGREEMENT (INCLUDING WITH RESPECT TO THE BACKGROUND TECHNOLOGY, THE WORK AND THE PROJECT TECHNOLOGY), INCLUDING ANY WARRANTIES OF MERCHANTABILITY, FITNESS FOR A PARTICULAR PURPOSE, TITLE, AND NON-INFRINGEMENT OF THIRD-PARTY RIGHTS. EACH PARTY ACKNOWLEDGES THAT IT HAS RELIED ON NO WARRANTIES OTHER THAN THE EXPRESS WARRANTIES IN THIS AGREEMENT. EACH OF THE PARTIES ACKNOWLEDGES THAT THE WORK REPRESENT SOME LEVEL OF TECHNICAL RISK AND THAT NEITHER PARTY REPRESENTS OR WARRANTS TO THE OTHER THAT SUCH ACTIVITIES WILL BE SUCCESSFUL OR RESULT IN FURTHER PHASES OF THE PROJECT.</w:t>
      </w:r>
    </w:p>
    <w:p>
      <w:pPr>
        <w:spacing w:after="0" w:line="186" w:lineRule="exact"/>
        <w:rPr>
          <w:sz w:val="20"/>
          <w:szCs w:val="20"/>
          <w:color w:val="auto"/>
        </w:rPr>
      </w:pPr>
    </w:p>
    <w:p>
      <w:pPr>
        <w:jc w:val="both"/>
        <w:ind w:firstLine="8"/>
        <w:spacing w:after="0" w:line="246" w:lineRule="auto"/>
        <w:tabs>
          <w:tab w:leader="none" w:pos="648" w:val="left"/>
        </w:tabs>
        <w:numPr>
          <w:ilvl w:val="0"/>
          <w:numId w:val="3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LIMITATION OF LIABILITY</w:t>
      </w:r>
      <w:r>
        <w:rPr>
          <w:rFonts w:ascii="Times New Roman" w:cs="Times New Roman" w:eastAsia="Times New Roman" w:hAnsi="Times New Roman"/>
          <w:sz w:val="20"/>
          <w:szCs w:val="20"/>
          <w:color w:val="auto"/>
        </w:rPr>
        <w:t>. EXCEPT FOR BREACHES OF SECTION 5 (CONFIDENTIALITY), OR FOR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INFRINGEMENT OF THE OTHER PARTY’S INTELLECTUAL PROPERTY RIGHTS, IN NO EVENT WILL EITHER PARTY BE LIABLE TO THE OTHER PARTY FOR ANY LOST PROFITS OR CONSEQUENTIAL, INDIRECT, PUNITIVE, EXEMPLARY, SPECIAL, OR INCIDENTAL DAMAGES ARISING FROM OR RELATING TO THIS AGREEMENT, WHETHER IN CONTRACT OR TORT OR OTHERWISE, EVEN IF SUCH PARTY KNEW OR SHOULD HAVE KNOWN OF THE POSSIBILITY OF SUCH DAMAGES.</w:t>
      </w:r>
    </w:p>
    <w:p>
      <w:pPr>
        <w:spacing w:after="0" w:line="183"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EXCEPT FOR BREACHES OF SECTION 5 (CONFIDENTIALITY), OR FOR INFRINGEMENT OF THE OTHER PARTY’S INTELLECTUAL PROPERTY RIGHTS, IN NO EVENT WILL EITHER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53" w:right="999" w:bottom="1440" w:gutter="0" w:footer="0" w:header="0"/>
        </w:sectPr>
      </w:pPr>
    </w:p>
    <w:bookmarkStart w:id="54" w:name="page55"/>
    <w:bookmarkEnd w:id="54"/>
    <w:p>
      <w:pPr>
        <w:jc w:val="center"/>
        <w:spacing w:after="0"/>
        <w:rPr>
          <w:sz w:val="20"/>
          <w:szCs w:val="20"/>
          <w:color w:val="auto"/>
        </w:rPr>
      </w:pPr>
      <w:r>
        <w:rPr>
          <w:rFonts w:ascii="Times New Roman" w:cs="Times New Roman" w:eastAsia="Times New Roman" w:hAnsi="Times New Roman"/>
          <w:sz w:val="20"/>
          <w:szCs w:val="20"/>
          <w:b w:val="1"/>
          <w:bCs w:val="1"/>
          <w:color w:val="auto"/>
        </w:rPr>
        <w:t>CONFIDENTIAL</w:t>
      </w:r>
    </w:p>
    <w:p>
      <w:pPr>
        <w:spacing w:after="0" w:line="23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PARTY’S CUMULATIVE LIABILITY ARISING FROM OR RELATED TO THIS AGREEMENT EXCEED THE TOTAL CONTRACT AMOUNT PURSUANT TO THE STATEMENT OF WORK UNDER WHICH THE CLAIM AROSE. THE EXISTENCE OF MULTIPLE CLAIMS SHALL NOT ENLARGE THIS LIMIT. THE PARTIES ACKNOWLEDGE THAT THE TERMS OF THIS SECTION REFLECT THE ALLOCATION OF RISK SET FORTH IN THIS AGREEMENT AND THAT THE PARTIES WOULD NOT HAVE ENTERED INTO THIS AGREEMENT WITHOUT THESE LIMITATIONS OF LIABILITY.</w:t>
      </w:r>
    </w:p>
    <w:p>
      <w:pPr>
        <w:spacing w:after="0" w:line="180" w:lineRule="exact"/>
        <w:rPr>
          <w:sz w:val="20"/>
          <w:szCs w:val="20"/>
          <w:color w:val="auto"/>
        </w:rPr>
      </w:pPr>
    </w:p>
    <w:p>
      <w:pPr>
        <w:ind w:left="660" w:hanging="652"/>
        <w:spacing w:after="0"/>
        <w:tabs>
          <w:tab w:leader="none" w:pos="660" w:val="left"/>
        </w:tabs>
        <w:numPr>
          <w:ilvl w:val="0"/>
          <w:numId w:val="3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GENERAL</w:t>
      </w:r>
    </w:p>
    <w:p>
      <w:pPr>
        <w:spacing w:after="0" w:line="21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0"/>
          <w:szCs w:val="20"/>
          <w:b w:val="1"/>
          <w:bCs w:val="1"/>
          <w:color w:val="auto"/>
        </w:rPr>
        <w:t>9.1 Relationship of Parties</w:t>
      </w:r>
      <w:r>
        <w:rPr>
          <w:rFonts w:ascii="Times New Roman" w:cs="Times New Roman" w:eastAsia="Times New Roman" w:hAnsi="Times New Roman"/>
          <w:sz w:val="20"/>
          <w:szCs w:val="20"/>
          <w:color w:val="auto"/>
        </w:rPr>
        <w:t>. Each party is an independent contractor with respect to the other party and is not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 employee or legal representative of the other party for any purpose. Neither party shall have the authority to enter into any contracts in the name of or on behalf of the other party.</w:t>
      </w:r>
    </w:p>
    <w:p>
      <w:pPr>
        <w:spacing w:after="0" w:line="169"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b w:val="1"/>
          <w:bCs w:val="1"/>
          <w:color w:val="auto"/>
        </w:rPr>
        <w:t>9.2 Assignment</w:t>
      </w:r>
      <w:r>
        <w:rPr>
          <w:rFonts w:ascii="Times New Roman" w:cs="Times New Roman" w:eastAsia="Times New Roman" w:hAnsi="Times New Roman"/>
          <w:sz w:val="20"/>
          <w:szCs w:val="20"/>
          <w:color w:val="auto"/>
        </w:rPr>
        <w:t>. Neither party may assign, delegate, or otherwise transfer this Agreement, or any rights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obligations under this Agreement, to any third party without the other party’s written consent, except that each party may transfer or assign this Agreement in connection with a sale of all or substantially all of its business (whether by merger, sale of stock, sale of assets, or otherwise). Any other attempted unauthorized assignment under this Agreement without the written consent of the other party shall be null and void. In the case of any permitted assignment or transfer of or under this Agreement, this Agreement or the relevant provisions shall inure to the benefit of and be binding upon the parties’ respective executors, heirs, representatives, administrators and assigns.</w:t>
      </w:r>
    </w:p>
    <w:p>
      <w:pPr>
        <w:spacing w:after="0" w:line="179"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b w:val="1"/>
          <w:bCs w:val="1"/>
          <w:color w:val="auto"/>
        </w:rPr>
        <w:t>9.3 Staff</w:t>
      </w:r>
      <w:r>
        <w:rPr>
          <w:rFonts w:ascii="Times New Roman" w:cs="Times New Roman" w:eastAsia="Times New Roman" w:hAnsi="Times New Roman"/>
          <w:sz w:val="20"/>
          <w:szCs w:val="20"/>
          <w:color w:val="auto"/>
        </w:rPr>
        <w:t>. The Parties will only provide staff working in connection with this Project who are United States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Persons.</w:t>
      </w:r>
    </w:p>
    <w:p>
      <w:pPr>
        <w:spacing w:after="0" w:line="15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9.4</w:t>
      </w:r>
      <w:r>
        <w:rPr>
          <w:sz w:val="20"/>
          <w:szCs w:val="20"/>
          <w:color w:val="auto"/>
        </w:rPr>
        <w:tab/>
      </w:r>
      <w:r>
        <w:rPr>
          <w:rFonts w:ascii="Times New Roman" w:cs="Times New Roman" w:eastAsia="Times New Roman" w:hAnsi="Times New Roman"/>
          <w:sz w:val="19"/>
          <w:szCs w:val="19"/>
          <w:b w:val="1"/>
          <w:bCs w:val="1"/>
          <w:color w:val="auto"/>
        </w:rPr>
        <w:t>Dispute Resolution</w:t>
      </w:r>
    </w:p>
    <w:p>
      <w:pPr>
        <w:spacing w:after="0" w:line="216" w:lineRule="exact"/>
        <w:rPr>
          <w:sz w:val="20"/>
          <w:szCs w:val="20"/>
          <w:color w:val="auto"/>
        </w:rPr>
      </w:pPr>
    </w:p>
    <w:p>
      <w:pPr>
        <w:jc w:val="both"/>
        <w:ind w:left="1960" w:hanging="647"/>
        <w:spacing w:after="0" w:line="243" w:lineRule="auto"/>
        <w:tabs>
          <w:tab w:leader="none" w:pos="1940" w:val="left"/>
        </w:tabs>
        <w:rPr>
          <w:sz w:val="20"/>
          <w:szCs w:val="20"/>
          <w:color w:val="auto"/>
        </w:rPr>
      </w:pPr>
      <w:r>
        <w:rPr>
          <w:rFonts w:ascii="Times New Roman" w:cs="Times New Roman" w:eastAsia="Times New Roman" w:hAnsi="Times New Roman"/>
          <w:sz w:val="20"/>
          <w:szCs w:val="20"/>
          <w:b w:val="1"/>
          <w:bCs w:val="1"/>
          <w:color w:val="auto"/>
        </w:rPr>
        <w:t>9.4.1</w:t>
        <w:tab/>
        <w:t>Escalation</w:t>
      </w:r>
      <w:r>
        <w:rPr>
          <w:rFonts w:ascii="Times New Roman" w:cs="Times New Roman" w:eastAsia="Times New Roman" w:hAnsi="Times New Roman"/>
          <w:sz w:val="20"/>
          <w:szCs w:val="20"/>
          <w:color w:val="auto"/>
        </w:rPr>
        <w:t>. In the event of a dispute, controversy, or claim between the parties arising under, out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or relating to the interpretation, application, or performance of this Agreement, including its existence, validity, or termination (a “</w:t>
      </w:r>
      <w:r>
        <w:rPr>
          <w:rFonts w:ascii="Times New Roman" w:cs="Times New Roman" w:eastAsia="Times New Roman" w:hAnsi="Times New Roman"/>
          <w:sz w:val="20"/>
          <w:szCs w:val="20"/>
          <w:b w:val="1"/>
          <w:bCs w:val="1"/>
          <w:color w:val="auto"/>
        </w:rPr>
        <w:t>Dispute</w:t>
      </w:r>
      <w:r>
        <w:rPr>
          <w:rFonts w:ascii="Times New Roman" w:cs="Times New Roman" w:eastAsia="Times New Roman" w:hAnsi="Times New Roman"/>
          <w:sz w:val="20"/>
          <w:szCs w:val="20"/>
          <w:color w:val="auto"/>
        </w:rPr>
        <w:t>”), the parties’ Program Coordinators shall first attempt to resolve the Dispute. Failing that, the parties shall escalate the matter to more senior business executives and attempt in good faith to resolve the Dispute promptly by negotiation. The party initiating negotiation shall send to the other party a written invitation to negotiate, including a general description of the nature of the Dispute which led to the invitation. If the Dispute is not resolved by good faith negotiations of the senior business executives within thirty (30) days of notification of the Dispute by one party to the other, the parties shall resolve the dispute by binding arbitration in accordance with Error! Reference source not found. (</w:t>
      </w:r>
      <w:r>
        <w:rPr>
          <w:rFonts w:ascii="Times New Roman" w:cs="Times New Roman" w:eastAsia="Times New Roman" w:hAnsi="Times New Roman"/>
          <w:sz w:val="20"/>
          <w:szCs w:val="20"/>
          <w:b w:val="1"/>
          <w:bCs w:val="1"/>
          <w:color w:val="auto"/>
        </w:rPr>
        <w:t>Arbitration</w:t>
      </w:r>
      <w:r>
        <w:rPr>
          <w:rFonts w:ascii="Times New Roman" w:cs="Times New Roman" w:eastAsia="Times New Roman" w:hAnsi="Times New Roman"/>
          <w:sz w:val="20"/>
          <w:szCs w:val="20"/>
          <w:color w:val="auto"/>
        </w:rPr>
        <w:t>) below.</w:t>
      </w:r>
    </w:p>
    <w:p>
      <w:pPr>
        <w:spacing w:after="0" w:line="182" w:lineRule="exact"/>
        <w:rPr>
          <w:sz w:val="20"/>
          <w:szCs w:val="20"/>
          <w:color w:val="auto"/>
        </w:rPr>
      </w:pPr>
    </w:p>
    <w:p>
      <w:pPr>
        <w:jc w:val="both"/>
        <w:ind w:left="1960" w:hanging="647"/>
        <w:spacing w:after="0" w:line="250" w:lineRule="auto"/>
        <w:tabs>
          <w:tab w:leader="none" w:pos="1940" w:val="left"/>
        </w:tabs>
        <w:rPr>
          <w:sz w:val="20"/>
          <w:szCs w:val="20"/>
          <w:color w:val="auto"/>
        </w:rPr>
      </w:pPr>
      <w:r>
        <w:rPr>
          <w:rFonts w:ascii="Times New Roman" w:cs="Times New Roman" w:eastAsia="Times New Roman" w:hAnsi="Times New Roman"/>
          <w:sz w:val="20"/>
          <w:szCs w:val="20"/>
          <w:b w:val="1"/>
          <w:bCs w:val="1"/>
          <w:color w:val="auto"/>
        </w:rPr>
        <w:t>9.4.2</w:t>
        <w:tab/>
        <w:t>Governing Law</w:t>
      </w:r>
      <w:r>
        <w:rPr>
          <w:rFonts w:ascii="Times New Roman" w:cs="Times New Roman" w:eastAsia="Times New Roman" w:hAnsi="Times New Roman"/>
          <w:sz w:val="20"/>
          <w:szCs w:val="20"/>
          <w:color w:val="auto"/>
        </w:rPr>
        <w:t>. This Agreement will be governed by and interpreted in accordance with the laws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the State of Delaware , without giving effect to any conflicts of laws rules that would require the application of the law of a different jurisdiction. The United Nations Convention on Contracts for the International Sale of Goods does not apply to this Agreement.</w:t>
      </w:r>
    </w:p>
    <w:p>
      <w:pPr>
        <w:spacing w:after="0" w:line="176" w:lineRule="exact"/>
        <w:rPr>
          <w:sz w:val="20"/>
          <w:szCs w:val="20"/>
          <w:color w:val="auto"/>
        </w:rPr>
      </w:pPr>
    </w:p>
    <w:p>
      <w:pPr>
        <w:ind w:left="1140" w:hanging="485"/>
        <w:spacing w:after="0" w:line="273" w:lineRule="auto"/>
        <w:tabs>
          <w:tab w:leader="none" w:pos="1120" w:val="left"/>
        </w:tabs>
        <w:rPr>
          <w:sz w:val="20"/>
          <w:szCs w:val="20"/>
          <w:color w:val="auto"/>
        </w:rPr>
      </w:pPr>
      <w:r>
        <w:rPr>
          <w:rFonts w:ascii="Times New Roman" w:cs="Times New Roman" w:eastAsia="Times New Roman" w:hAnsi="Times New Roman"/>
          <w:sz w:val="20"/>
          <w:szCs w:val="20"/>
          <w:b w:val="1"/>
          <w:bCs w:val="1"/>
          <w:color w:val="auto"/>
        </w:rPr>
        <w:t>9.5</w:t>
        <w:tab/>
        <w:t>Compliance with Laws</w:t>
      </w:r>
      <w:r>
        <w:rPr>
          <w:rFonts w:ascii="Times New Roman" w:cs="Times New Roman" w:eastAsia="Times New Roman" w:hAnsi="Times New Roman"/>
          <w:sz w:val="20"/>
          <w:szCs w:val="20"/>
          <w:color w:val="auto"/>
        </w:rPr>
        <w:t>. Each party shall comply with all governmental laws, rules, and regulations with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respect to its performance under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53" w:right="999" w:bottom="1440" w:gutter="0" w:footer="0" w:header="0"/>
        </w:sectPr>
      </w:pPr>
    </w:p>
    <w:bookmarkStart w:id="55" w:name="page56"/>
    <w:bookmarkEnd w:id="55"/>
    <w:p>
      <w:pPr>
        <w:ind w:left="3740"/>
        <w:spacing w:after="0"/>
        <w:rPr>
          <w:sz w:val="20"/>
          <w:szCs w:val="20"/>
          <w:color w:val="auto"/>
        </w:rPr>
      </w:pPr>
      <w:r>
        <w:rPr>
          <w:rFonts w:ascii="Times New Roman" w:cs="Times New Roman" w:eastAsia="Times New Roman" w:hAnsi="Times New Roman"/>
          <w:sz w:val="20"/>
          <w:szCs w:val="20"/>
          <w:b w:val="1"/>
          <w:bCs w:val="1"/>
          <w:color w:val="auto"/>
        </w:rPr>
        <w:t>CONFIDENTIAL</w:t>
      </w:r>
    </w:p>
    <w:p>
      <w:pPr>
        <w:spacing w:after="0" w:line="229" w:lineRule="exact"/>
        <w:rPr>
          <w:sz w:val="20"/>
          <w:szCs w:val="20"/>
          <w:color w:val="auto"/>
        </w:rPr>
      </w:pPr>
    </w:p>
    <w:p>
      <w:pPr>
        <w:jc w:val="both"/>
        <w:ind w:left="680" w:hanging="485"/>
        <w:spacing w:after="0" w:line="246" w:lineRule="auto"/>
        <w:tabs>
          <w:tab w:leader="none" w:pos="660" w:val="left"/>
        </w:tabs>
        <w:rPr>
          <w:sz w:val="20"/>
          <w:szCs w:val="20"/>
          <w:color w:val="auto"/>
        </w:rPr>
      </w:pPr>
      <w:r>
        <w:rPr>
          <w:rFonts w:ascii="Times New Roman" w:cs="Times New Roman" w:eastAsia="Times New Roman" w:hAnsi="Times New Roman"/>
          <w:sz w:val="20"/>
          <w:szCs w:val="20"/>
          <w:b w:val="1"/>
          <w:bCs w:val="1"/>
          <w:color w:val="auto"/>
        </w:rPr>
        <w:t>9.6</w:t>
        <w:tab/>
        <w:t>Notices</w:t>
      </w:r>
      <w:r>
        <w:rPr>
          <w:rFonts w:ascii="Times New Roman" w:cs="Times New Roman" w:eastAsia="Times New Roman" w:hAnsi="Times New Roman"/>
          <w:sz w:val="20"/>
          <w:szCs w:val="20"/>
          <w:color w:val="auto"/>
        </w:rPr>
        <w:t>. All notices, communications, requests, demands, consents and the like required or permitted under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this Agreement will be in writing and will be deemed given and received (a) when delivered personally, (b) when sent by confirmed telecopy, (c) seven (7) days after having been duly mailed by first class, registered or certified mail, postage prepaid, or (d) one (1) business day after deposit with a commercial overnight carrier. All notices will be addressed to the attention of the receiving party at the addresses specified below, or to such other address as the receiving party may have furnished to the other by a proper notice.</w:t>
      </w:r>
    </w:p>
    <w:p>
      <w:pPr>
        <w:sectPr>
          <w:pgSz w:w="11900" w:h="16838" w:orient="portrait"/>
          <w:cols w:equalWidth="0" w:num="1">
            <w:col w:w="9460"/>
          </w:cols>
          <w:pgMar w:left="1440" w:top="653" w:right="999" w:bottom="1440" w:gutter="0" w:footer="0" w:header="0"/>
        </w:sectPr>
      </w:pPr>
    </w:p>
    <w:p>
      <w:pPr>
        <w:spacing w:after="0" w:line="19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9"/>
          <w:szCs w:val="19"/>
          <w:i w:val="1"/>
          <w:iCs w:val="1"/>
          <w:color w:val="auto"/>
        </w:rPr>
        <w:t>If to Everspin:</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If to Frontgrade:</w:t>
      </w:r>
    </w:p>
    <w:p>
      <w:pPr>
        <w:spacing w:after="0" w:line="200" w:lineRule="exact"/>
        <w:rPr>
          <w:sz w:val="20"/>
          <w:szCs w:val="20"/>
          <w:color w:val="auto"/>
        </w:rPr>
      </w:pPr>
    </w:p>
    <w:p>
      <w:pPr>
        <w:sectPr>
          <w:pgSz w:w="11900" w:h="16838" w:orient="portrait"/>
          <w:cols w:equalWidth="0" w:num="2">
            <w:col w:w="3400" w:space="720"/>
            <w:col w:w="5340"/>
          </w:cols>
          <w:pgMar w:left="1440" w:top="653" w:right="999" w:bottom="1440" w:gutter="0" w:footer="0" w:header="0"/>
          <w:type w:val="continuous"/>
        </w:sectPr>
      </w:pPr>
    </w:p>
    <w:p>
      <w:pPr>
        <w:spacing w:after="0" w:line="3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0"/>
          <w:szCs w:val="20"/>
          <w:color w:val="auto"/>
        </w:rPr>
        <w:t>Everspin Technologies</w:t>
      </w:r>
    </w:p>
    <w:p>
      <w:pPr>
        <w:spacing w:after="0" w:line="2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9"/>
          <w:szCs w:val="19"/>
          <w:color w:val="auto"/>
        </w:rPr>
        <w:t>5670 W. Chandler Blvd.</w:t>
      </w:r>
    </w:p>
    <w:p>
      <w:pPr>
        <w:spacing w:after="0" w:line="1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0"/>
          <w:szCs w:val="20"/>
          <w:color w:val="auto"/>
        </w:rPr>
        <w:t>Suite 130</w:t>
      </w:r>
    </w:p>
    <w:p>
      <w:pPr>
        <w:ind w:left="680"/>
        <w:spacing w:after="0"/>
        <w:rPr>
          <w:sz w:val="20"/>
          <w:szCs w:val="20"/>
          <w:color w:val="auto"/>
        </w:rPr>
      </w:pPr>
      <w:r>
        <w:rPr>
          <w:rFonts w:ascii="Times New Roman" w:cs="Times New Roman" w:eastAsia="Times New Roman" w:hAnsi="Times New Roman"/>
          <w:sz w:val="20"/>
          <w:szCs w:val="20"/>
          <w:color w:val="auto"/>
        </w:rPr>
        <w:t>Chandler, AZ 85226</w:t>
      </w:r>
    </w:p>
    <w:p>
      <w:pPr>
        <w:ind w:left="680"/>
        <w:spacing w:after="0"/>
        <w:rPr>
          <w:sz w:val="20"/>
          <w:szCs w:val="20"/>
          <w:color w:val="auto"/>
        </w:rPr>
      </w:pPr>
      <w:r>
        <w:rPr>
          <w:rFonts w:ascii="Times New Roman" w:cs="Times New Roman" w:eastAsia="Times New Roman" w:hAnsi="Times New Roman"/>
          <w:sz w:val="20"/>
          <w:szCs w:val="20"/>
          <w:color w:val="auto"/>
        </w:rPr>
        <w:t>Attn: Legal</w:t>
      </w:r>
    </w:p>
    <w:p>
      <w:pPr>
        <w:ind w:left="680"/>
        <w:spacing w:after="0"/>
        <w:rPr>
          <w:sz w:val="20"/>
          <w:szCs w:val="20"/>
          <w:color w:val="auto"/>
        </w:rPr>
      </w:pPr>
      <w:r>
        <w:rPr>
          <w:rFonts w:ascii="Times New Roman" w:cs="Times New Roman" w:eastAsia="Times New Roman" w:hAnsi="Times New Roman"/>
          <w:sz w:val="20"/>
          <w:szCs w:val="20"/>
          <w:color w:val="auto"/>
        </w:rPr>
        <w:t>Phone: [***]</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Frontgrade Technologies, LLC</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4350 Centennial Blvd.</w:t>
      </w:r>
    </w:p>
    <w:p>
      <w:pPr>
        <w:spacing w:after="0"/>
        <w:rPr>
          <w:sz w:val="20"/>
          <w:szCs w:val="20"/>
          <w:color w:val="auto"/>
        </w:rPr>
      </w:pPr>
      <w:r>
        <w:rPr>
          <w:rFonts w:ascii="Times New Roman" w:cs="Times New Roman" w:eastAsia="Times New Roman" w:hAnsi="Times New Roman"/>
          <w:sz w:val="20"/>
          <w:szCs w:val="20"/>
          <w:color w:val="auto"/>
        </w:rPr>
        <w:t>Colorado Springs, CO 80907</w:t>
      </w:r>
    </w:p>
    <w:p>
      <w:pPr>
        <w:spacing w:after="0"/>
        <w:rPr>
          <w:sz w:val="20"/>
          <w:szCs w:val="20"/>
          <w:color w:val="auto"/>
        </w:rPr>
      </w:pPr>
      <w:r>
        <w:rPr>
          <w:rFonts w:ascii="Times New Roman" w:cs="Times New Roman" w:eastAsia="Times New Roman" w:hAnsi="Times New Roman"/>
          <w:sz w:val="20"/>
          <w:szCs w:val="20"/>
          <w:color w:val="auto"/>
        </w:rPr>
        <w:t>Attn: Legal</w:t>
      </w:r>
    </w:p>
    <w:p>
      <w:pPr>
        <w:spacing w:after="0"/>
        <w:rPr>
          <w:sz w:val="20"/>
          <w:szCs w:val="20"/>
          <w:color w:val="auto"/>
        </w:rPr>
      </w:pPr>
      <w:r>
        <w:rPr>
          <w:rFonts w:ascii="Times New Roman" w:cs="Times New Roman" w:eastAsia="Times New Roman" w:hAnsi="Times New Roman"/>
          <w:sz w:val="20"/>
          <w:szCs w:val="20"/>
          <w:color w:val="auto"/>
        </w:rPr>
        <w:t>Phone: [***]</w:t>
      </w:r>
    </w:p>
    <w:p>
      <w:pPr>
        <w:spacing w:after="0" w:line="429" w:lineRule="exact"/>
        <w:rPr>
          <w:sz w:val="20"/>
          <w:szCs w:val="20"/>
          <w:color w:val="auto"/>
        </w:rPr>
      </w:pPr>
    </w:p>
    <w:p>
      <w:pPr>
        <w:sectPr>
          <w:pgSz w:w="11900" w:h="16838" w:orient="portrait"/>
          <w:cols w:equalWidth="0" w:num="2">
            <w:col w:w="3400" w:space="720"/>
            <w:col w:w="5340"/>
          </w:cols>
          <w:pgMar w:left="1440" w:top="653" w:right="999" w:bottom="1440" w:gutter="0" w:footer="0" w:header="0"/>
          <w:type w:val="continuous"/>
        </w:sectPr>
      </w:pPr>
    </w:p>
    <w:p>
      <w:pPr>
        <w:spacing w:after="0" w:line="3" w:lineRule="exact"/>
        <w:rPr>
          <w:sz w:val="20"/>
          <w:szCs w:val="20"/>
          <w:color w:val="auto"/>
        </w:rPr>
      </w:pPr>
    </w:p>
    <w:p>
      <w:pPr>
        <w:jc w:val="both"/>
        <w:ind w:left="680" w:hanging="485"/>
        <w:spacing w:after="0" w:line="247" w:lineRule="auto"/>
        <w:tabs>
          <w:tab w:leader="none" w:pos="660" w:val="left"/>
        </w:tabs>
        <w:rPr>
          <w:sz w:val="20"/>
          <w:szCs w:val="20"/>
          <w:color w:val="auto"/>
        </w:rPr>
      </w:pPr>
      <w:r>
        <w:rPr>
          <w:rFonts w:ascii="Times New Roman" w:cs="Times New Roman" w:eastAsia="Times New Roman" w:hAnsi="Times New Roman"/>
          <w:sz w:val="20"/>
          <w:szCs w:val="20"/>
          <w:b w:val="1"/>
          <w:bCs w:val="1"/>
          <w:color w:val="auto"/>
        </w:rPr>
        <w:t>9.7</w:t>
        <w:tab/>
        <w:t>Force Majeure</w:t>
      </w:r>
      <w:r>
        <w:rPr>
          <w:rFonts w:ascii="Times New Roman" w:cs="Times New Roman" w:eastAsia="Times New Roman" w:hAnsi="Times New Roman"/>
          <w:sz w:val="20"/>
          <w:szCs w:val="20"/>
          <w:color w:val="auto"/>
        </w:rPr>
        <w:t>. Neither party will be liable for any loss or damage as a result of any failure to perform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any delay due to any cause beyond such party’s reasonable control, including acts of God, fire, theft, accident, earthquake, flood, war, sabotage, slowdown, strikes or other labor difficulties, riot, embargo, government act, regulation, rule, ordinance, or request, or inability to obtain necessary labor, materials, manufacturing facilities, or transportation.</w:t>
      </w:r>
    </w:p>
    <w:p>
      <w:pPr>
        <w:spacing w:after="0" w:line="180" w:lineRule="exact"/>
        <w:rPr>
          <w:sz w:val="20"/>
          <w:szCs w:val="20"/>
          <w:color w:val="auto"/>
        </w:rPr>
      </w:pPr>
    </w:p>
    <w:p>
      <w:pPr>
        <w:jc w:val="both"/>
        <w:ind w:left="680" w:hanging="485"/>
        <w:spacing w:after="0" w:line="256" w:lineRule="auto"/>
        <w:tabs>
          <w:tab w:leader="none" w:pos="660" w:val="left"/>
        </w:tabs>
        <w:rPr>
          <w:sz w:val="20"/>
          <w:szCs w:val="20"/>
          <w:color w:val="auto"/>
        </w:rPr>
      </w:pPr>
      <w:r>
        <w:rPr>
          <w:rFonts w:ascii="Times New Roman" w:cs="Times New Roman" w:eastAsia="Times New Roman" w:hAnsi="Times New Roman"/>
          <w:sz w:val="20"/>
          <w:szCs w:val="20"/>
          <w:b w:val="1"/>
          <w:bCs w:val="1"/>
          <w:color w:val="auto"/>
        </w:rPr>
        <w:t>9.8</w:t>
        <w:tab/>
        <w:t>Severability</w:t>
      </w:r>
      <w:r>
        <w:rPr>
          <w:rFonts w:ascii="Times New Roman" w:cs="Times New Roman" w:eastAsia="Times New Roman" w:hAnsi="Times New Roman"/>
          <w:sz w:val="20"/>
          <w:szCs w:val="20"/>
          <w:color w:val="auto"/>
        </w:rPr>
        <w:t>. In the event any provision of this Agreement is held to be invalid or unenforceable, the valid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enforceable portion thereof and the remaining provisions of this Agreement will remain in full force and effect.</w:t>
      </w:r>
    </w:p>
    <w:p>
      <w:pPr>
        <w:spacing w:after="0" w:line="169" w:lineRule="exact"/>
        <w:rPr>
          <w:sz w:val="20"/>
          <w:szCs w:val="20"/>
          <w:color w:val="auto"/>
        </w:rPr>
      </w:pPr>
    </w:p>
    <w:p>
      <w:pPr>
        <w:jc w:val="both"/>
        <w:ind w:left="680" w:hanging="485"/>
        <w:spacing w:after="0" w:line="245" w:lineRule="auto"/>
        <w:tabs>
          <w:tab w:leader="none" w:pos="660" w:val="left"/>
        </w:tabs>
        <w:rPr>
          <w:sz w:val="20"/>
          <w:szCs w:val="20"/>
          <w:color w:val="auto"/>
        </w:rPr>
      </w:pPr>
      <w:r>
        <w:rPr>
          <w:rFonts w:ascii="Times New Roman" w:cs="Times New Roman" w:eastAsia="Times New Roman" w:hAnsi="Times New Roman"/>
          <w:sz w:val="20"/>
          <w:szCs w:val="20"/>
          <w:b w:val="1"/>
          <w:bCs w:val="1"/>
          <w:color w:val="auto"/>
        </w:rPr>
        <w:t>9.9</w:t>
        <w:tab/>
        <w:t>Waivers; Amendment</w:t>
      </w:r>
      <w:r>
        <w:rPr>
          <w:rFonts w:ascii="Times New Roman" w:cs="Times New Roman" w:eastAsia="Times New Roman" w:hAnsi="Times New Roman"/>
          <w:sz w:val="20"/>
          <w:szCs w:val="20"/>
          <w:color w:val="auto"/>
        </w:rPr>
        <w:t>. No waiver of any terms or conditions of this Agreement will be valid or binding on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party unless such party makes the waiver in writing. The failure of one party to enforce any of the provisions of this Agreement, or the failure to require at any time the performance of the other party of any of the provisions of this Agreement, will in no way be construed to be a present or future waiver of such provisions, nor in any way affect the ability of a party to enforce each and every provision thereafter. This Agreement may not be altered, amended, modified, or otherwise changed in any way except by a written instrument signed by the authorized representatives of each party.</w:t>
      </w:r>
    </w:p>
    <w:p>
      <w:pPr>
        <w:spacing w:after="0" w:line="179" w:lineRule="exact"/>
        <w:rPr>
          <w:sz w:val="20"/>
          <w:szCs w:val="20"/>
          <w:color w:val="auto"/>
        </w:rPr>
      </w:pPr>
    </w:p>
    <w:p>
      <w:pPr>
        <w:jc w:val="both"/>
        <w:ind w:left="680" w:right="20" w:hanging="485"/>
        <w:spacing w:after="0" w:line="256" w:lineRule="auto"/>
        <w:rPr>
          <w:sz w:val="20"/>
          <w:szCs w:val="20"/>
          <w:color w:val="auto"/>
        </w:rPr>
      </w:pPr>
      <w:r>
        <w:rPr>
          <w:rFonts w:ascii="Times New Roman" w:cs="Times New Roman" w:eastAsia="Times New Roman" w:hAnsi="Times New Roman"/>
          <w:sz w:val="20"/>
          <w:szCs w:val="20"/>
          <w:b w:val="1"/>
          <w:bCs w:val="1"/>
          <w:color w:val="auto"/>
        </w:rPr>
        <w:t>9.10 Rights and Remedies Cumulative</w:t>
      </w:r>
      <w:r>
        <w:rPr>
          <w:rFonts w:ascii="Times New Roman" w:cs="Times New Roman" w:eastAsia="Times New Roman" w:hAnsi="Times New Roman"/>
          <w:sz w:val="20"/>
          <w:szCs w:val="20"/>
          <w:color w:val="auto"/>
        </w:rPr>
        <w:t>. Except to the extent expressly set forth to the contrary herein, the rights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remedies provided in this Agreement shall be cumulative and not exclusive of any other rights and remedies provided by law or otherwise.</w:t>
      </w:r>
    </w:p>
    <w:p>
      <w:pPr>
        <w:spacing w:after="0" w:line="169" w:lineRule="exact"/>
        <w:rPr>
          <w:sz w:val="20"/>
          <w:szCs w:val="20"/>
          <w:color w:val="auto"/>
        </w:rPr>
      </w:pPr>
    </w:p>
    <w:p>
      <w:pPr>
        <w:jc w:val="both"/>
        <w:ind w:left="680" w:hanging="485"/>
        <w:spacing w:after="0" w:line="243" w:lineRule="auto"/>
        <w:rPr>
          <w:sz w:val="20"/>
          <w:szCs w:val="20"/>
          <w:color w:val="auto"/>
        </w:rPr>
      </w:pPr>
      <w:r>
        <w:rPr>
          <w:rFonts w:ascii="Times New Roman" w:cs="Times New Roman" w:eastAsia="Times New Roman" w:hAnsi="Times New Roman"/>
          <w:sz w:val="20"/>
          <w:szCs w:val="20"/>
          <w:b w:val="1"/>
          <w:bCs w:val="1"/>
          <w:color w:val="auto"/>
        </w:rPr>
        <w:t>9.11 Construction</w:t>
      </w:r>
      <w:r>
        <w:rPr>
          <w:rFonts w:ascii="Times New Roman" w:cs="Times New Roman" w:eastAsia="Times New Roman" w:hAnsi="Times New Roman"/>
          <w:sz w:val="20"/>
          <w:szCs w:val="20"/>
          <w:color w:val="auto"/>
        </w:rPr>
        <w:t>. The headings of sections of this Agreement are included solely for convenience of reference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are not to be used to interpret, construe, define, or describe the scope of any aspect of this Agreement. As used in this Agreement, the word “including” means “including but not limited to.” Each party represents that it has had the opportunity to participate in the preparation of this Agreement, and any rule of construction to the effect that ambiguities are to be resolved against the drafting party will not be applied in connection with the construction or interpretation of this Agreement. For purposes of this Agreement, the word “will” shall be equivalent in meaning to the word “shall,” both of which describe an act or forbearance which is mandatory under this Agreement. The word “may” describes an act or forbearance which is optional under this Agreement. Unless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356870</wp:posOffset>
            </wp:positionV>
            <wp:extent cx="629221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653" w:right="999" w:bottom="1440" w:gutter="0" w:footer="0" w:header="0"/>
          <w:type w:val="continuous"/>
        </w:sectPr>
      </w:pPr>
    </w:p>
    <w:bookmarkStart w:id="56" w:name="page57"/>
    <w:bookmarkEnd w:id="56"/>
    <w:p>
      <w:pPr>
        <w:jc w:val="center"/>
        <w:spacing w:after="0"/>
        <w:rPr>
          <w:sz w:val="20"/>
          <w:szCs w:val="20"/>
          <w:color w:val="auto"/>
        </w:rPr>
      </w:pPr>
      <w:r>
        <w:rPr>
          <w:rFonts w:ascii="Times New Roman" w:cs="Times New Roman" w:eastAsia="Times New Roman" w:hAnsi="Times New Roman"/>
          <w:sz w:val="20"/>
          <w:szCs w:val="20"/>
          <w:b w:val="1"/>
          <w:bCs w:val="1"/>
          <w:color w:val="auto"/>
        </w:rPr>
        <w:t>CONFIDENTIAL</w:t>
      </w:r>
    </w:p>
    <w:p>
      <w:pPr>
        <w:spacing w:after="0" w:line="233" w:lineRule="exact"/>
        <w:rPr>
          <w:sz w:val="20"/>
          <w:szCs w:val="20"/>
          <w:color w:val="auto"/>
        </w:rPr>
      </w:pPr>
    </w:p>
    <w:p>
      <w:pPr>
        <w:jc w:val="both"/>
        <w:ind w:left="1140"/>
        <w:spacing w:after="0" w:line="254" w:lineRule="auto"/>
        <w:rPr>
          <w:sz w:val="20"/>
          <w:szCs w:val="20"/>
          <w:color w:val="auto"/>
        </w:rPr>
      </w:pPr>
      <w:r>
        <w:rPr>
          <w:rFonts w:ascii="Times New Roman" w:cs="Times New Roman" w:eastAsia="Times New Roman" w:hAnsi="Times New Roman"/>
          <w:sz w:val="20"/>
          <w:szCs w:val="20"/>
          <w:color w:val="auto"/>
        </w:rPr>
        <w:t>otherwise expressly stated to the contrary herein, all remedies are cumulative, and the exercise of any express remedy by either party does not by itself waive such party’s right to exercise its other rights and remedies available at law or in equity.</w:t>
      </w:r>
    </w:p>
    <w:p>
      <w:pPr>
        <w:spacing w:after="0" w:line="170" w:lineRule="exact"/>
        <w:rPr>
          <w:sz w:val="20"/>
          <w:szCs w:val="20"/>
          <w:color w:val="auto"/>
        </w:rPr>
      </w:pPr>
    </w:p>
    <w:p>
      <w:pPr>
        <w:jc w:val="both"/>
        <w:ind w:left="1140" w:hanging="485"/>
        <w:spacing w:after="0" w:line="256" w:lineRule="auto"/>
        <w:rPr>
          <w:sz w:val="20"/>
          <w:szCs w:val="20"/>
          <w:color w:val="auto"/>
        </w:rPr>
      </w:pPr>
      <w:r>
        <w:rPr>
          <w:rFonts w:ascii="Times New Roman" w:cs="Times New Roman" w:eastAsia="Times New Roman" w:hAnsi="Times New Roman"/>
          <w:sz w:val="20"/>
          <w:szCs w:val="20"/>
          <w:b w:val="1"/>
          <w:bCs w:val="1"/>
          <w:color w:val="auto"/>
        </w:rPr>
        <w:t>9.12 Entire Agreement</w:t>
      </w:r>
      <w:r>
        <w:rPr>
          <w:rFonts w:ascii="Times New Roman" w:cs="Times New Roman" w:eastAsia="Times New Roman" w:hAnsi="Times New Roman"/>
          <w:sz w:val="20"/>
          <w:szCs w:val="20"/>
          <w:color w:val="auto"/>
        </w:rPr>
        <w:t>. This Agreement and any attachments hereto constitute the entire, final, complete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exclusive agreement between the parties and supersede all previous and contemporaneous agreements or representations, written or oral, with respect to the subject matter of this Agreement.</w:t>
      </w:r>
    </w:p>
    <w:p>
      <w:pPr>
        <w:spacing w:after="0" w:line="169" w:lineRule="exact"/>
        <w:rPr>
          <w:sz w:val="20"/>
          <w:szCs w:val="20"/>
          <w:color w:val="auto"/>
        </w:rPr>
      </w:pPr>
    </w:p>
    <w:p>
      <w:pPr>
        <w:jc w:val="both"/>
        <w:ind w:left="1140" w:hanging="485"/>
        <w:spacing w:after="0" w:line="273" w:lineRule="auto"/>
        <w:rPr>
          <w:sz w:val="20"/>
          <w:szCs w:val="20"/>
          <w:color w:val="auto"/>
        </w:rPr>
      </w:pPr>
      <w:r>
        <w:rPr>
          <w:rFonts w:ascii="Times New Roman" w:cs="Times New Roman" w:eastAsia="Times New Roman" w:hAnsi="Times New Roman"/>
          <w:sz w:val="20"/>
          <w:szCs w:val="20"/>
          <w:b w:val="1"/>
          <w:bCs w:val="1"/>
          <w:color w:val="auto"/>
        </w:rPr>
        <w:t>9.13 Counterparts</w:t>
      </w:r>
      <w:r>
        <w:rPr>
          <w:rFonts w:ascii="Times New Roman" w:cs="Times New Roman" w:eastAsia="Times New Roman" w:hAnsi="Times New Roman"/>
          <w:sz w:val="20"/>
          <w:szCs w:val="20"/>
          <w:color w:val="auto"/>
        </w:rPr>
        <w:t>. This Agreement may be executed in counterparts, each of which shall be deemed an original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all of which taken together shall constitute one and the same instrument.</w:t>
      </w:r>
    </w:p>
    <w:p>
      <w:pPr>
        <w:spacing w:after="0" w:line="152" w:lineRule="exact"/>
        <w:rPr>
          <w:sz w:val="20"/>
          <w:szCs w:val="20"/>
          <w:color w:val="auto"/>
        </w:rPr>
      </w:pPr>
    </w:p>
    <w:p>
      <w:pPr>
        <w:ind w:firstLine="648"/>
        <w:spacing w:after="0" w:line="273" w:lineRule="auto"/>
        <w:rPr>
          <w:sz w:val="20"/>
          <w:szCs w:val="20"/>
          <w:color w:val="auto"/>
        </w:rPr>
      </w:pPr>
      <w:r>
        <w:rPr>
          <w:rFonts w:ascii="Times New Roman" w:cs="Times New Roman" w:eastAsia="Times New Roman" w:hAnsi="Times New Roman"/>
          <w:sz w:val="20"/>
          <w:szCs w:val="20"/>
          <w:b w:val="1"/>
          <w:bCs w:val="1"/>
          <w:color w:val="auto"/>
        </w:rPr>
        <w:t>IN WITNESS WHEREOF</w:t>
      </w:r>
      <w:r>
        <w:rPr>
          <w:rFonts w:ascii="Times New Roman" w:cs="Times New Roman" w:eastAsia="Times New Roman" w:hAnsi="Times New Roman"/>
          <w:sz w:val="20"/>
          <w:szCs w:val="20"/>
          <w:color w:val="auto"/>
        </w:rPr>
        <w:t>, each of the parties has caused its duly-authorized representative to execute this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Agreement as of the Effective Date.</w:t>
      </w:r>
    </w:p>
    <w:p>
      <w:pPr>
        <w:sectPr>
          <w:pgSz w:w="11900" w:h="16838" w:orient="portrait"/>
          <w:cols w:equalWidth="0" w:num="1">
            <w:col w:w="9920"/>
          </w:cols>
          <w:pgMar w:left="980" w:top="653" w:right="999" w:bottom="1440" w:gutter="0" w:footer="0" w:header="0"/>
        </w:sectPr>
      </w:pPr>
    </w:p>
    <w:p>
      <w:pPr>
        <w:spacing w:after="0" w:line="1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EVERSPIN, INC.</w:t>
      </w:r>
    </w:p>
    <w:p>
      <w:pPr>
        <w:spacing w:after="0" w:line="23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auto"/>
        </w:rPr>
        <w:t>/s/ David Schrenk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13970</wp:posOffset>
            </wp:positionV>
            <wp:extent cx="307721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1">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Signature</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David Schrenk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13970</wp:posOffset>
            </wp:positionV>
            <wp:extent cx="307721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2">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Printed Name</w:t>
      </w:r>
    </w:p>
    <w:p>
      <w:pPr>
        <w:spacing w:after="0" w:line="218" w:lineRule="exact"/>
        <w:rPr>
          <w:sz w:val="20"/>
          <w:szCs w:val="20"/>
          <w:color w:val="auto"/>
        </w:rPr>
      </w:pPr>
    </w:p>
    <w:p>
      <w:pPr>
        <w:ind w:right="1760"/>
        <w:spacing w:after="0" w:line="313" w:lineRule="auto"/>
        <w:rPr>
          <w:sz w:val="20"/>
          <w:szCs w:val="20"/>
          <w:color w:val="auto"/>
        </w:rPr>
      </w:pPr>
      <w:r>
        <w:rPr>
          <w:rFonts w:ascii="Times New Roman" w:cs="Times New Roman" w:eastAsia="Times New Roman" w:hAnsi="Times New Roman"/>
          <w:sz w:val="18"/>
          <w:szCs w:val="18"/>
          <w:color w:val="auto"/>
        </w:rPr>
        <w:t>VP, Sales &amp; Business Development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-184785</wp:posOffset>
            </wp:positionV>
            <wp:extent cx="307721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3">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8/12/2024</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-139700</wp:posOffset>
            </wp:positionV>
            <wp:extent cx="307721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4">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b w:val="1"/>
          <w:bCs w:val="1"/>
          <w:color w:val="auto"/>
        </w:rPr>
        <w:t>FRONTGRADE COLORADO LLC</w:t>
      </w:r>
    </w:p>
    <w:p>
      <w:pPr>
        <w:spacing w:after="0" w:line="23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auto"/>
        </w:rPr>
        <w:t>/s/ Rana Schultz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13970</wp:posOffset>
            </wp:positionV>
            <wp:extent cx="308610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5">
                      <a:extLst>
                        <a:ext uri="{28A0092B-C50C-407E-A947-70E740481C1C}"/>
                      </a:extLst>
                    </a:blip>
                    <a:srcRect/>
                    <a:stretch>
                      <a:fillRect/>
                    </a:stretch>
                  </pic:blipFill>
                  <pic:spPr bwMode="auto">
                    <a:xfrm>
                      <a:off x="0" y="0"/>
                      <a:ext cx="3086100" cy="825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Signature</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Rana Schultz, MBA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13970</wp:posOffset>
            </wp:positionV>
            <wp:extent cx="308610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6">
                      <a:extLst>
                        <a:ext uri="{28A0092B-C50C-407E-A947-70E740481C1C}"/>
                      </a:extLst>
                    </a:blip>
                    <a:srcRect/>
                    <a:stretch>
                      <a:fillRect/>
                    </a:stretch>
                  </pic:blipFill>
                  <pic:spPr bwMode="auto">
                    <a:xfrm>
                      <a:off x="0" y="0"/>
                      <a:ext cx="3086100" cy="825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Printed Name</w:t>
      </w:r>
    </w:p>
    <w:p>
      <w:pPr>
        <w:spacing w:after="0" w:line="214" w:lineRule="exact"/>
        <w:rPr>
          <w:sz w:val="20"/>
          <w:szCs w:val="20"/>
          <w:color w:val="auto"/>
        </w:rPr>
      </w:pPr>
    </w:p>
    <w:p>
      <w:pPr>
        <w:ind w:right="200"/>
        <w:spacing w:after="0" w:line="283" w:lineRule="auto"/>
        <w:rPr>
          <w:sz w:val="20"/>
          <w:szCs w:val="20"/>
          <w:color w:val="auto"/>
        </w:rPr>
      </w:pPr>
      <w:r>
        <w:rPr>
          <w:rFonts w:ascii="Times New Roman" w:cs="Times New Roman" w:eastAsia="Times New Roman" w:hAnsi="Times New Roman"/>
          <w:sz w:val="20"/>
          <w:szCs w:val="20"/>
          <w:color w:val="auto"/>
        </w:rPr>
        <w:t>Strategic Sourcing and Sub-Contract IT Category Manager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-183515</wp:posOffset>
            </wp:positionV>
            <wp:extent cx="308610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7">
                      <a:extLst>
                        <a:ext uri="{28A0092B-C50C-407E-A947-70E740481C1C}"/>
                      </a:extLst>
                    </a:blip>
                    <a:srcRect/>
                    <a:stretch>
                      <a:fillRect/>
                    </a:stretch>
                  </pic:blipFill>
                  <pic:spPr bwMode="auto">
                    <a:xfrm>
                      <a:off x="0" y="0"/>
                      <a:ext cx="3086100" cy="8255"/>
                    </a:xfrm>
                    <a:prstGeom prst="rect">
                      <a:avLst/>
                    </a:prstGeom>
                    <a:noFill/>
                  </pic:spPr>
                </pic:pic>
              </a:graphicData>
            </a:graphic>
          </wp:anchor>
        </w:drawing>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8/12/2024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13970</wp:posOffset>
            </wp:positionV>
            <wp:extent cx="308610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8">
                      <a:extLst>
                        <a:ext uri="{28A0092B-C50C-407E-A947-70E740481C1C}"/>
                      </a:extLst>
                    </a:blip>
                    <a:srcRect/>
                    <a:stretch>
                      <a:fillRect/>
                    </a:stretch>
                  </pic:blipFill>
                  <pic:spPr bwMode="auto">
                    <a:xfrm>
                      <a:off x="0" y="0"/>
                      <a:ext cx="3086100" cy="825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w:t>
      </w:r>
    </w:p>
    <w:p>
      <w:pPr>
        <w:spacing w:after="0" w:line="200" w:lineRule="exact"/>
        <w:rPr>
          <w:sz w:val="20"/>
          <w:szCs w:val="20"/>
          <w:color w:val="auto"/>
        </w:rPr>
      </w:pPr>
    </w:p>
    <w:p>
      <w:pPr>
        <w:sectPr>
          <w:pgSz w:w="11900" w:h="16838" w:orient="portrait"/>
          <w:cols w:equalWidth="0" w:num="2">
            <w:col w:w="4340" w:space="720"/>
            <w:col w:w="4860"/>
          </w:cols>
          <w:pgMar w:left="980" w:top="653" w:right="9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53" w:right="999" w:bottom="1440" w:gutter="0" w:footer="0" w:header="0"/>
          <w:type w:val="continuous"/>
        </w:sectPr>
      </w:pPr>
    </w:p>
    <w:bookmarkStart w:id="57" w:name="page58"/>
    <w:bookmarkEnd w:id="57"/>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CONFIDENTIAL</w:t>
      </w:r>
    </w:p>
    <w:p>
      <w:pPr>
        <w:spacing w:after="0" w:line="218"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29"/>
          <w:szCs w:val="29"/>
          <w:b w:val="1"/>
          <w:bCs w:val="1"/>
          <w:color w:val="auto"/>
        </w:rPr>
        <w:t>Development of Magnetoresistive Random Access Memory (MRAM) for Domestic Production:</w:t>
      </w:r>
    </w:p>
    <w:p>
      <w:pPr>
        <w:spacing w:after="0" w:line="33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Joint Development Agreement Between</w:t>
      </w:r>
    </w:p>
    <w:p>
      <w:pPr>
        <w:spacing w:after="0" w:line="200" w:lineRule="exact"/>
        <w:rPr>
          <w:sz w:val="20"/>
          <w:szCs w:val="20"/>
          <w:color w:val="auto"/>
        </w:rPr>
      </w:pPr>
    </w:p>
    <w:p>
      <w:pPr>
        <w:spacing w:after="0" w:line="23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Everspin Technologies, Inc. (“Everspin” or “ES”)</w:t>
      </w:r>
    </w:p>
    <w:p>
      <w:pPr>
        <w:spacing w:after="0" w:line="200" w:lineRule="exact"/>
        <w:rPr>
          <w:sz w:val="20"/>
          <w:szCs w:val="20"/>
          <w:color w:val="auto"/>
        </w:rPr>
      </w:pPr>
    </w:p>
    <w:p>
      <w:pPr>
        <w:spacing w:after="0" w:line="23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and</w:t>
      </w:r>
    </w:p>
    <w:p>
      <w:pPr>
        <w:spacing w:after="0" w:line="200" w:lineRule="exact"/>
        <w:rPr>
          <w:sz w:val="20"/>
          <w:szCs w:val="20"/>
          <w:color w:val="auto"/>
        </w:rPr>
      </w:pPr>
    </w:p>
    <w:p>
      <w:pPr>
        <w:spacing w:after="0" w:line="23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Frontgrade Technologies (“Frontgrade” or “FG”)</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tbl>
      <w:tblPr>
        <w:tblLayout w:type="fixed"/>
        <w:tblInd w:w="10" w:type="dxa"/>
        <w:tblCellMar>
          <w:top w:w="0" w:type="dxa"/>
          <w:left w:w="0" w:type="dxa"/>
          <w:bottom w:w="0" w:type="dxa"/>
          <w:right w:w="0" w:type="dxa"/>
        </w:tblCellMar>
      </w:tblPr>
      <w:tr>
        <w:trPr>
          <w:trHeight w:val="383"/>
        </w:trPr>
        <w:tc>
          <w:tcPr>
            <w:tcW w:w="2800" w:type="dxa"/>
            <w:vAlign w:val="bottom"/>
          </w:tcPr>
          <w:p>
            <w:pPr>
              <w:spacing w:after="0"/>
              <w:rPr>
                <w:sz w:val="24"/>
                <w:szCs w:val="24"/>
                <w:color w:val="auto"/>
              </w:rPr>
            </w:pPr>
          </w:p>
        </w:tc>
        <w:tc>
          <w:tcPr>
            <w:tcW w:w="7140" w:type="dxa"/>
            <w:vAlign w:val="bottom"/>
            <w:gridSpan w:val="2"/>
          </w:tcPr>
          <w:p>
            <w:pPr>
              <w:jc w:val="center"/>
              <w:ind w:right="2721"/>
              <w:spacing w:after="0"/>
              <w:rPr>
                <w:sz w:val="20"/>
                <w:szCs w:val="20"/>
                <w:color w:val="auto"/>
              </w:rPr>
            </w:pPr>
            <w:r>
              <w:rPr>
                <w:rFonts w:ascii="Times New Roman" w:cs="Times New Roman" w:eastAsia="Times New Roman" w:hAnsi="Times New Roman"/>
                <w:sz w:val="29"/>
                <w:szCs w:val="29"/>
                <w:b w:val="1"/>
                <w:bCs w:val="1"/>
                <w:color w:val="auto"/>
                <w:w w:val="99"/>
              </w:rPr>
              <w:t>Statement of Work (SOW)</w:t>
            </w:r>
          </w:p>
        </w:tc>
      </w:tr>
      <w:tr>
        <w:trPr>
          <w:trHeight w:val="444"/>
        </w:trPr>
        <w:tc>
          <w:tcPr>
            <w:tcW w:w="2800" w:type="dxa"/>
            <w:vAlign w:val="bottom"/>
          </w:tcPr>
          <w:p>
            <w:pPr>
              <w:spacing w:after="0"/>
              <w:rPr>
                <w:sz w:val="24"/>
                <w:szCs w:val="24"/>
                <w:color w:val="auto"/>
              </w:rPr>
            </w:pPr>
          </w:p>
        </w:tc>
        <w:tc>
          <w:tcPr>
            <w:tcW w:w="7140" w:type="dxa"/>
            <w:vAlign w:val="bottom"/>
            <w:gridSpan w:val="2"/>
          </w:tcPr>
          <w:p>
            <w:pPr>
              <w:jc w:val="center"/>
              <w:ind w:right="2721"/>
              <w:spacing w:after="0"/>
              <w:rPr>
                <w:sz w:val="20"/>
                <w:szCs w:val="20"/>
                <w:color w:val="auto"/>
              </w:rPr>
            </w:pPr>
            <w:r>
              <w:rPr>
                <w:rFonts w:ascii="Times New Roman" w:cs="Times New Roman" w:eastAsia="Times New Roman" w:hAnsi="Times New Roman"/>
                <w:sz w:val="20"/>
                <w:szCs w:val="20"/>
                <w:color w:val="auto"/>
                <w:w w:val="98"/>
              </w:rPr>
              <w:t>Revision 1.0</w:t>
            </w:r>
          </w:p>
        </w:tc>
      </w:tr>
      <w:tr>
        <w:trPr>
          <w:trHeight w:val="849"/>
        </w:trPr>
        <w:tc>
          <w:tcPr>
            <w:tcW w:w="2800" w:type="dxa"/>
            <w:vAlign w:val="bottom"/>
          </w:tcPr>
          <w:p>
            <w:pPr>
              <w:spacing w:after="0"/>
              <w:rPr>
                <w:sz w:val="24"/>
                <w:szCs w:val="24"/>
                <w:color w:val="auto"/>
              </w:rPr>
            </w:pPr>
          </w:p>
        </w:tc>
        <w:tc>
          <w:tcPr>
            <w:tcW w:w="7140" w:type="dxa"/>
            <w:vAlign w:val="bottom"/>
            <w:gridSpan w:val="2"/>
          </w:tcPr>
          <w:p>
            <w:pPr>
              <w:jc w:val="center"/>
              <w:ind w:right="2721"/>
              <w:spacing w:after="0"/>
              <w:rPr>
                <w:sz w:val="20"/>
                <w:szCs w:val="20"/>
                <w:color w:val="auto"/>
              </w:rPr>
            </w:pPr>
            <w:r>
              <w:rPr>
                <w:rFonts w:ascii="Times New Roman" w:cs="Times New Roman" w:eastAsia="Times New Roman" w:hAnsi="Times New Roman"/>
                <w:sz w:val="20"/>
                <w:szCs w:val="20"/>
                <w:b w:val="1"/>
                <w:bCs w:val="1"/>
                <w:color w:val="auto"/>
                <w:w w:val="98"/>
              </w:rPr>
              <w:t>Submitted to:</w:t>
            </w:r>
          </w:p>
        </w:tc>
      </w:tr>
      <w:tr>
        <w:trPr>
          <w:trHeight w:val="230"/>
        </w:trPr>
        <w:tc>
          <w:tcPr>
            <w:tcW w:w="2800" w:type="dxa"/>
            <w:vAlign w:val="bottom"/>
          </w:tcPr>
          <w:p>
            <w:pPr>
              <w:spacing w:after="0"/>
              <w:rPr>
                <w:sz w:val="19"/>
                <w:szCs w:val="19"/>
                <w:color w:val="auto"/>
              </w:rPr>
            </w:pPr>
          </w:p>
        </w:tc>
        <w:tc>
          <w:tcPr>
            <w:tcW w:w="7140" w:type="dxa"/>
            <w:vAlign w:val="bottom"/>
            <w:gridSpan w:val="2"/>
          </w:tcPr>
          <w:p>
            <w:pPr>
              <w:jc w:val="center"/>
              <w:ind w:right="2721"/>
              <w:spacing w:after="0"/>
              <w:rPr>
                <w:sz w:val="20"/>
                <w:szCs w:val="20"/>
                <w:color w:val="auto"/>
              </w:rPr>
            </w:pPr>
            <w:r>
              <w:rPr>
                <w:rFonts w:ascii="Times New Roman" w:cs="Times New Roman" w:eastAsia="Times New Roman" w:hAnsi="Times New Roman"/>
                <w:sz w:val="20"/>
                <w:szCs w:val="20"/>
                <w:color w:val="auto"/>
                <w:w w:val="99"/>
              </w:rPr>
              <w:t>Mr David Schrenk</w:t>
            </w:r>
          </w:p>
        </w:tc>
      </w:tr>
      <w:tr>
        <w:trPr>
          <w:trHeight w:val="229"/>
        </w:trPr>
        <w:tc>
          <w:tcPr>
            <w:tcW w:w="2800" w:type="dxa"/>
            <w:vAlign w:val="bottom"/>
          </w:tcPr>
          <w:p>
            <w:pPr>
              <w:spacing w:after="0"/>
              <w:rPr>
                <w:sz w:val="19"/>
                <w:szCs w:val="19"/>
                <w:color w:val="auto"/>
              </w:rPr>
            </w:pPr>
          </w:p>
        </w:tc>
        <w:tc>
          <w:tcPr>
            <w:tcW w:w="7140" w:type="dxa"/>
            <w:vAlign w:val="bottom"/>
            <w:gridSpan w:val="2"/>
          </w:tcPr>
          <w:p>
            <w:pPr>
              <w:jc w:val="center"/>
              <w:ind w:right="2721"/>
              <w:spacing w:after="0"/>
              <w:rPr>
                <w:sz w:val="20"/>
                <w:szCs w:val="20"/>
                <w:color w:val="auto"/>
              </w:rPr>
            </w:pPr>
            <w:r>
              <w:rPr>
                <w:rFonts w:ascii="Times New Roman" w:cs="Times New Roman" w:eastAsia="Times New Roman" w:hAnsi="Times New Roman"/>
                <w:sz w:val="20"/>
                <w:szCs w:val="20"/>
                <w:color w:val="auto"/>
                <w:w w:val="99"/>
              </w:rPr>
              <w:t>E-mail: David.schrenk@everspin.com</w:t>
            </w:r>
          </w:p>
        </w:tc>
      </w:tr>
      <w:tr>
        <w:trPr>
          <w:trHeight w:val="230"/>
        </w:trPr>
        <w:tc>
          <w:tcPr>
            <w:tcW w:w="2800" w:type="dxa"/>
            <w:vAlign w:val="bottom"/>
          </w:tcPr>
          <w:p>
            <w:pPr>
              <w:spacing w:after="0"/>
              <w:rPr>
                <w:sz w:val="19"/>
                <w:szCs w:val="19"/>
                <w:color w:val="auto"/>
              </w:rPr>
            </w:pPr>
          </w:p>
        </w:tc>
        <w:tc>
          <w:tcPr>
            <w:tcW w:w="7140" w:type="dxa"/>
            <w:vAlign w:val="bottom"/>
            <w:gridSpan w:val="2"/>
          </w:tcPr>
          <w:p>
            <w:pPr>
              <w:jc w:val="center"/>
              <w:ind w:right="2721"/>
              <w:spacing w:after="0"/>
              <w:rPr>
                <w:sz w:val="20"/>
                <w:szCs w:val="20"/>
                <w:color w:val="auto"/>
              </w:rPr>
            </w:pPr>
            <w:r>
              <w:rPr>
                <w:rFonts w:ascii="Times New Roman" w:cs="Times New Roman" w:eastAsia="Times New Roman" w:hAnsi="Times New Roman"/>
                <w:sz w:val="20"/>
                <w:szCs w:val="20"/>
                <w:color w:val="auto"/>
              </w:rPr>
              <w:t>5670 W. Chandler Blvd. | Suite 130</w:t>
            </w:r>
          </w:p>
        </w:tc>
      </w:tr>
      <w:tr>
        <w:trPr>
          <w:trHeight w:val="258"/>
        </w:trPr>
        <w:tc>
          <w:tcPr>
            <w:tcW w:w="2800" w:type="dxa"/>
            <w:vAlign w:val="bottom"/>
          </w:tcPr>
          <w:p>
            <w:pPr>
              <w:spacing w:after="0"/>
              <w:rPr>
                <w:sz w:val="22"/>
                <w:szCs w:val="22"/>
                <w:color w:val="auto"/>
              </w:rPr>
            </w:pPr>
          </w:p>
        </w:tc>
        <w:tc>
          <w:tcPr>
            <w:tcW w:w="7140" w:type="dxa"/>
            <w:vAlign w:val="bottom"/>
            <w:gridSpan w:val="2"/>
          </w:tcPr>
          <w:p>
            <w:pPr>
              <w:jc w:val="center"/>
              <w:ind w:right="2701"/>
              <w:spacing w:after="0"/>
              <w:rPr>
                <w:sz w:val="20"/>
                <w:szCs w:val="20"/>
                <w:color w:val="auto"/>
              </w:rPr>
            </w:pPr>
            <w:r>
              <w:rPr>
                <w:rFonts w:ascii="Times New Roman" w:cs="Times New Roman" w:eastAsia="Times New Roman" w:hAnsi="Times New Roman"/>
                <w:sz w:val="20"/>
                <w:szCs w:val="20"/>
                <w:color w:val="auto"/>
                <w:w w:val="98"/>
              </w:rPr>
              <w:t>Chandler, AZ 85226</w:t>
            </w:r>
          </w:p>
        </w:tc>
      </w:tr>
      <w:tr>
        <w:trPr>
          <w:trHeight w:val="525"/>
        </w:trPr>
        <w:tc>
          <w:tcPr>
            <w:tcW w:w="2800" w:type="dxa"/>
            <w:vAlign w:val="bottom"/>
          </w:tcPr>
          <w:p>
            <w:pPr>
              <w:spacing w:after="0"/>
              <w:rPr>
                <w:sz w:val="24"/>
                <w:szCs w:val="24"/>
                <w:color w:val="auto"/>
              </w:rPr>
            </w:pPr>
          </w:p>
        </w:tc>
        <w:tc>
          <w:tcPr>
            <w:tcW w:w="7140" w:type="dxa"/>
            <w:vAlign w:val="bottom"/>
            <w:gridSpan w:val="2"/>
          </w:tcPr>
          <w:p>
            <w:pPr>
              <w:jc w:val="center"/>
              <w:ind w:right="2721"/>
              <w:spacing w:after="0"/>
              <w:rPr>
                <w:sz w:val="20"/>
                <w:szCs w:val="20"/>
                <w:color w:val="auto"/>
              </w:rPr>
            </w:pPr>
            <w:r>
              <w:rPr>
                <w:rFonts w:ascii="Times New Roman" w:cs="Times New Roman" w:eastAsia="Times New Roman" w:hAnsi="Times New Roman"/>
                <w:sz w:val="20"/>
                <w:szCs w:val="20"/>
                <w:b w:val="1"/>
                <w:bCs w:val="1"/>
                <w:color w:val="auto"/>
                <w:w w:val="98"/>
              </w:rPr>
              <w:t>Submitted by:</w:t>
            </w:r>
          </w:p>
        </w:tc>
      </w:tr>
      <w:tr>
        <w:trPr>
          <w:trHeight w:val="230"/>
        </w:trPr>
        <w:tc>
          <w:tcPr>
            <w:tcW w:w="2800" w:type="dxa"/>
            <w:vAlign w:val="bottom"/>
          </w:tcPr>
          <w:p>
            <w:pPr>
              <w:spacing w:after="0"/>
              <w:rPr>
                <w:sz w:val="19"/>
                <w:szCs w:val="19"/>
                <w:color w:val="auto"/>
              </w:rPr>
            </w:pPr>
          </w:p>
        </w:tc>
        <w:tc>
          <w:tcPr>
            <w:tcW w:w="7140" w:type="dxa"/>
            <w:vAlign w:val="bottom"/>
            <w:gridSpan w:val="2"/>
          </w:tcPr>
          <w:p>
            <w:pPr>
              <w:jc w:val="center"/>
              <w:ind w:right="2721"/>
              <w:spacing w:after="0"/>
              <w:rPr>
                <w:sz w:val="20"/>
                <w:szCs w:val="20"/>
                <w:color w:val="auto"/>
              </w:rPr>
            </w:pPr>
            <w:r>
              <w:rPr>
                <w:rFonts w:ascii="Times New Roman" w:cs="Times New Roman" w:eastAsia="Times New Roman" w:hAnsi="Times New Roman"/>
                <w:sz w:val="20"/>
                <w:szCs w:val="20"/>
                <w:color w:val="auto"/>
                <w:w w:val="98"/>
              </w:rPr>
              <w:t>Frontgrade Colorado Springs LLC</w:t>
            </w:r>
          </w:p>
        </w:tc>
      </w:tr>
      <w:tr>
        <w:trPr>
          <w:trHeight w:val="230"/>
        </w:trPr>
        <w:tc>
          <w:tcPr>
            <w:tcW w:w="2800" w:type="dxa"/>
            <w:vAlign w:val="bottom"/>
          </w:tcPr>
          <w:p>
            <w:pPr>
              <w:spacing w:after="0"/>
              <w:rPr>
                <w:sz w:val="19"/>
                <w:szCs w:val="19"/>
                <w:color w:val="auto"/>
              </w:rPr>
            </w:pPr>
          </w:p>
        </w:tc>
        <w:tc>
          <w:tcPr>
            <w:tcW w:w="7140" w:type="dxa"/>
            <w:vAlign w:val="bottom"/>
            <w:gridSpan w:val="2"/>
          </w:tcPr>
          <w:p>
            <w:pPr>
              <w:jc w:val="center"/>
              <w:ind w:right="2701"/>
              <w:spacing w:after="0"/>
              <w:rPr>
                <w:sz w:val="20"/>
                <w:szCs w:val="20"/>
                <w:color w:val="auto"/>
              </w:rPr>
            </w:pPr>
            <w:r>
              <w:rPr>
                <w:rFonts w:ascii="Times New Roman" w:cs="Times New Roman" w:eastAsia="Times New Roman" w:hAnsi="Times New Roman"/>
                <w:sz w:val="20"/>
                <w:szCs w:val="20"/>
                <w:color w:val="auto"/>
                <w:w w:val="99"/>
              </w:rPr>
              <w:t>4350 Centennial Blvd</w:t>
            </w:r>
          </w:p>
        </w:tc>
      </w:tr>
      <w:tr>
        <w:trPr>
          <w:trHeight w:val="258"/>
        </w:trPr>
        <w:tc>
          <w:tcPr>
            <w:tcW w:w="2800" w:type="dxa"/>
            <w:vAlign w:val="bottom"/>
          </w:tcPr>
          <w:p>
            <w:pPr>
              <w:spacing w:after="0"/>
              <w:rPr>
                <w:sz w:val="22"/>
                <w:szCs w:val="22"/>
                <w:color w:val="auto"/>
              </w:rPr>
            </w:pPr>
          </w:p>
        </w:tc>
        <w:tc>
          <w:tcPr>
            <w:tcW w:w="7140" w:type="dxa"/>
            <w:vAlign w:val="bottom"/>
            <w:gridSpan w:val="2"/>
          </w:tcPr>
          <w:p>
            <w:pPr>
              <w:jc w:val="center"/>
              <w:ind w:right="2721"/>
              <w:spacing w:after="0"/>
              <w:rPr>
                <w:sz w:val="20"/>
                <w:szCs w:val="20"/>
                <w:color w:val="auto"/>
              </w:rPr>
            </w:pPr>
            <w:r>
              <w:rPr>
                <w:rFonts w:ascii="Times New Roman" w:cs="Times New Roman" w:eastAsia="Times New Roman" w:hAnsi="Times New Roman"/>
                <w:sz w:val="20"/>
                <w:szCs w:val="20"/>
                <w:color w:val="auto"/>
                <w:w w:val="98"/>
              </w:rPr>
              <w:t>Colorado Springs, CO 80907-3701</w:t>
            </w:r>
          </w:p>
        </w:tc>
      </w:tr>
      <w:tr>
        <w:trPr>
          <w:trHeight w:val="553"/>
        </w:trPr>
        <w:tc>
          <w:tcPr>
            <w:tcW w:w="2800" w:type="dxa"/>
            <w:vAlign w:val="bottom"/>
          </w:tcPr>
          <w:p>
            <w:pPr>
              <w:spacing w:after="0"/>
              <w:rPr>
                <w:sz w:val="24"/>
                <w:szCs w:val="24"/>
                <w:color w:val="auto"/>
              </w:rPr>
            </w:pPr>
          </w:p>
        </w:tc>
        <w:tc>
          <w:tcPr>
            <w:tcW w:w="7140" w:type="dxa"/>
            <w:vAlign w:val="bottom"/>
            <w:gridSpan w:val="2"/>
          </w:tcPr>
          <w:p>
            <w:pPr>
              <w:jc w:val="center"/>
              <w:ind w:right="2721"/>
              <w:spacing w:after="0"/>
              <w:rPr>
                <w:sz w:val="20"/>
                <w:szCs w:val="20"/>
                <w:color w:val="auto"/>
              </w:rPr>
            </w:pPr>
            <w:r>
              <w:rPr>
                <w:rFonts w:ascii="Times New Roman" w:cs="Times New Roman" w:eastAsia="Times New Roman" w:hAnsi="Times New Roman"/>
                <w:sz w:val="20"/>
                <w:szCs w:val="20"/>
                <w:b w:val="1"/>
                <w:bCs w:val="1"/>
                <w:color w:val="auto"/>
                <w:w w:val="98"/>
              </w:rPr>
              <w:t xml:space="preserve">SOW Effective Date: </w:t>
            </w:r>
            <w:r>
              <w:rPr>
                <w:rFonts w:ascii="Times New Roman" w:cs="Times New Roman" w:eastAsia="Times New Roman" w:hAnsi="Times New Roman"/>
                <w:sz w:val="20"/>
                <w:szCs w:val="20"/>
                <w:color w:val="auto"/>
                <w:w w:val="98"/>
              </w:rPr>
              <w:t>08/19/2024</w:t>
            </w:r>
          </w:p>
        </w:tc>
      </w:tr>
      <w:tr>
        <w:trPr>
          <w:trHeight w:val="696"/>
        </w:trPr>
        <w:tc>
          <w:tcPr>
            <w:tcW w:w="280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r>
      <w:tr>
        <w:trPr>
          <w:trHeight w:val="256"/>
        </w:trPr>
        <w:tc>
          <w:tcPr>
            <w:tcW w:w="2800" w:type="dxa"/>
            <w:vAlign w:val="bottom"/>
            <w:tcBorders>
              <w:left w:val="single" w:sz="8" w:color="auto"/>
            </w:tcBorders>
            <w:shd w:val="clear" w:color="auto" w:fill="D9D9D9"/>
          </w:tcPr>
          <w:p>
            <w:pPr>
              <w:jc w:val="right"/>
              <w:ind w:right="441"/>
              <w:spacing w:after="0"/>
              <w:rPr>
                <w:sz w:val="20"/>
                <w:szCs w:val="20"/>
                <w:color w:val="auto"/>
              </w:rPr>
            </w:pPr>
            <w:r>
              <w:rPr>
                <w:rFonts w:ascii="Times New Roman" w:cs="Times New Roman" w:eastAsia="Times New Roman" w:hAnsi="Times New Roman"/>
                <w:sz w:val="20"/>
                <w:szCs w:val="20"/>
                <w:b w:val="1"/>
                <w:bCs w:val="1"/>
                <w:color w:val="auto"/>
                <w:w w:val="98"/>
              </w:rPr>
              <w:t>Technical Point of Contact</w:t>
            </w:r>
          </w:p>
        </w:tc>
        <w:tc>
          <w:tcPr>
            <w:tcW w:w="2180" w:type="dxa"/>
            <w:vAlign w:val="bottom"/>
            <w:tcBorders>
              <w:right w:val="single" w:sz="8" w:color="auto"/>
            </w:tcBorders>
            <w:shd w:val="clear" w:color="auto" w:fill="D9D9D9"/>
          </w:tcPr>
          <w:p>
            <w:pPr>
              <w:spacing w:after="0"/>
              <w:rPr>
                <w:sz w:val="22"/>
                <w:szCs w:val="22"/>
                <w:color w:val="auto"/>
              </w:rPr>
            </w:pPr>
          </w:p>
        </w:tc>
        <w:tc>
          <w:tcPr>
            <w:tcW w:w="4960" w:type="dxa"/>
            <w:vAlign w:val="bottom"/>
            <w:tcBorders>
              <w:right w:val="single" w:sz="8" w:color="auto"/>
            </w:tcBorders>
            <w:shd w:val="clear" w:color="auto" w:fill="D9D9D9"/>
          </w:tcPr>
          <w:p>
            <w:pPr>
              <w:jc w:val="right"/>
              <w:ind w:right="2161"/>
              <w:spacing w:after="0"/>
              <w:rPr>
                <w:sz w:val="20"/>
                <w:szCs w:val="20"/>
                <w:color w:val="auto"/>
              </w:rPr>
            </w:pPr>
            <w:r>
              <w:rPr>
                <w:rFonts w:ascii="Times New Roman" w:cs="Times New Roman" w:eastAsia="Times New Roman" w:hAnsi="Times New Roman"/>
                <w:sz w:val="20"/>
                <w:szCs w:val="20"/>
                <w:b w:val="1"/>
                <w:bCs w:val="1"/>
                <w:color w:val="auto"/>
                <w:w w:val="97"/>
              </w:rPr>
              <w:t>Administrative Point of Contact</w:t>
            </w:r>
          </w:p>
        </w:tc>
      </w:tr>
      <w:tr>
        <w:trPr>
          <w:trHeight w:val="183"/>
        </w:trPr>
        <w:tc>
          <w:tcPr>
            <w:tcW w:w="2800" w:type="dxa"/>
            <w:vAlign w:val="bottom"/>
            <w:tcBorders>
              <w:left w:val="single" w:sz="8" w:color="auto"/>
              <w:bottom w:val="single" w:sz="8" w:color="auto"/>
            </w:tcBorders>
            <w:shd w:val="clear" w:color="auto" w:fill="D9D9D9"/>
          </w:tcPr>
          <w:p>
            <w:pPr>
              <w:spacing w:after="0"/>
              <w:rPr>
                <w:sz w:val="15"/>
                <w:szCs w:val="15"/>
                <w:color w:val="auto"/>
              </w:rPr>
            </w:pPr>
          </w:p>
        </w:tc>
        <w:tc>
          <w:tcPr>
            <w:tcW w:w="2180" w:type="dxa"/>
            <w:vAlign w:val="bottom"/>
            <w:tcBorders>
              <w:bottom w:val="single" w:sz="8" w:color="auto"/>
              <w:right w:val="single" w:sz="8" w:color="auto"/>
            </w:tcBorders>
            <w:shd w:val="clear" w:color="auto" w:fill="D9D9D9"/>
          </w:tcPr>
          <w:p>
            <w:pPr>
              <w:spacing w:after="0"/>
              <w:rPr>
                <w:sz w:val="15"/>
                <w:szCs w:val="15"/>
                <w:color w:val="auto"/>
              </w:rPr>
            </w:pPr>
          </w:p>
        </w:tc>
        <w:tc>
          <w:tcPr>
            <w:tcW w:w="4960" w:type="dxa"/>
            <w:vAlign w:val="bottom"/>
            <w:tcBorders>
              <w:bottom w:val="single" w:sz="8" w:color="auto"/>
              <w:right w:val="single" w:sz="8" w:color="auto"/>
            </w:tcBorders>
            <w:shd w:val="clear" w:color="auto" w:fill="D9D9D9"/>
          </w:tcPr>
          <w:p>
            <w:pPr>
              <w:spacing w:after="0"/>
              <w:rPr>
                <w:sz w:val="15"/>
                <w:szCs w:val="15"/>
                <w:color w:val="auto"/>
              </w:rPr>
            </w:pPr>
          </w:p>
        </w:tc>
      </w:tr>
      <w:tr>
        <w:trPr>
          <w:trHeight w:val="296"/>
        </w:trPr>
        <w:tc>
          <w:tcPr>
            <w:tcW w:w="2800" w:type="dxa"/>
            <w:vAlign w:val="bottom"/>
            <w:tcBorders>
              <w:left w:val="single" w:sz="8" w:color="auto"/>
            </w:tcBorders>
          </w:tcPr>
          <w:p>
            <w:pPr>
              <w:jc w:val="right"/>
              <w:ind w:right="2181"/>
              <w:spacing w:after="0"/>
              <w:rPr>
                <w:sz w:val="20"/>
                <w:szCs w:val="20"/>
                <w:color w:val="auto"/>
              </w:rPr>
            </w:pPr>
            <w:r>
              <w:rPr>
                <w:rFonts w:ascii="Times New Roman" w:cs="Times New Roman" w:eastAsia="Times New Roman" w:hAnsi="Times New Roman"/>
                <w:sz w:val="20"/>
                <w:szCs w:val="20"/>
                <w:color w:val="auto"/>
              </w:rPr>
              <w:t>[***]</w:t>
            </w:r>
          </w:p>
        </w:tc>
        <w:tc>
          <w:tcPr>
            <w:tcW w:w="2180" w:type="dxa"/>
            <w:vAlign w:val="bottom"/>
            <w:tcBorders>
              <w:right w:val="single" w:sz="8" w:color="auto"/>
            </w:tcBorders>
          </w:tcPr>
          <w:p>
            <w:pPr>
              <w:spacing w:after="0"/>
              <w:rPr>
                <w:sz w:val="24"/>
                <w:szCs w:val="24"/>
                <w:color w:val="auto"/>
              </w:rPr>
            </w:pPr>
          </w:p>
        </w:tc>
        <w:tc>
          <w:tcPr>
            <w:tcW w:w="4960" w:type="dxa"/>
            <w:vAlign w:val="bottom"/>
            <w:tcBorders>
              <w:right w:val="single" w:sz="8" w:color="auto"/>
            </w:tcBorders>
          </w:tcPr>
          <w:p>
            <w:pPr>
              <w:jc w:val="right"/>
              <w:ind w:right="4361"/>
              <w:spacing w:after="0"/>
              <w:rPr>
                <w:sz w:val="20"/>
                <w:szCs w:val="20"/>
                <w:color w:val="auto"/>
              </w:rPr>
            </w:pPr>
            <w:r>
              <w:rPr>
                <w:rFonts w:ascii="Times New Roman" w:cs="Times New Roman" w:eastAsia="Times New Roman" w:hAnsi="Times New Roman"/>
                <w:sz w:val="20"/>
                <w:szCs w:val="20"/>
                <w:color w:val="auto"/>
              </w:rPr>
              <w:t>[***]</w:t>
            </w:r>
          </w:p>
        </w:tc>
      </w:tr>
      <w:tr>
        <w:trPr>
          <w:trHeight w:val="75"/>
        </w:trPr>
        <w:tc>
          <w:tcPr>
            <w:tcW w:w="2800" w:type="dxa"/>
            <w:vAlign w:val="bottom"/>
            <w:tcBorders>
              <w:left w:val="single" w:sz="8" w:color="auto"/>
              <w:bottom w:val="single" w:sz="8" w:color="auto"/>
            </w:tcBorders>
          </w:tcPr>
          <w:p>
            <w:pPr>
              <w:spacing w:after="0"/>
              <w:rPr>
                <w:sz w:val="6"/>
                <w:szCs w:val="6"/>
                <w:color w:val="auto"/>
              </w:rPr>
            </w:pPr>
          </w:p>
        </w:tc>
        <w:tc>
          <w:tcPr>
            <w:tcW w:w="2180" w:type="dxa"/>
            <w:vAlign w:val="bottom"/>
            <w:tcBorders>
              <w:bottom w:val="single" w:sz="8" w:color="auto"/>
              <w:right w:val="single" w:sz="8" w:color="auto"/>
            </w:tcBorders>
          </w:tcPr>
          <w:p>
            <w:pPr>
              <w:spacing w:after="0"/>
              <w:rPr>
                <w:sz w:val="6"/>
                <w:szCs w:val="6"/>
                <w:color w:val="auto"/>
              </w:rPr>
            </w:pPr>
          </w:p>
        </w:tc>
        <w:tc>
          <w:tcPr>
            <w:tcW w:w="4960" w:type="dxa"/>
            <w:vAlign w:val="bottom"/>
            <w:tcBorders>
              <w:bottom w:val="single" w:sz="8" w:color="auto"/>
              <w:right w:val="single" w:sz="8" w:color="auto"/>
            </w:tcBorders>
          </w:tcPr>
          <w:p>
            <w:pPr>
              <w:spacing w:after="0"/>
              <w:rPr>
                <w:sz w:val="6"/>
                <w:szCs w:val="6"/>
                <w:color w:val="auto"/>
              </w:rPr>
            </w:pPr>
          </w:p>
        </w:tc>
      </w:tr>
      <w:tr>
        <w:trPr>
          <w:trHeight w:val="296"/>
        </w:trPr>
        <w:tc>
          <w:tcPr>
            <w:tcW w:w="2800" w:type="dxa"/>
            <w:vAlign w:val="bottom"/>
            <w:tcBorders>
              <w:left w:val="single" w:sz="8" w:color="auto"/>
            </w:tcBorders>
          </w:tcPr>
          <w:p>
            <w:pPr>
              <w:jc w:val="right"/>
              <w:ind w:right="2181"/>
              <w:spacing w:after="0"/>
              <w:rPr>
                <w:sz w:val="20"/>
                <w:szCs w:val="20"/>
                <w:color w:val="auto"/>
              </w:rPr>
            </w:pPr>
            <w:r>
              <w:rPr>
                <w:rFonts w:ascii="Times New Roman" w:cs="Times New Roman" w:eastAsia="Times New Roman" w:hAnsi="Times New Roman"/>
                <w:sz w:val="20"/>
                <w:szCs w:val="20"/>
                <w:color w:val="auto"/>
              </w:rPr>
              <w:t>[***]</w:t>
            </w:r>
          </w:p>
        </w:tc>
        <w:tc>
          <w:tcPr>
            <w:tcW w:w="2180" w:type="dxa"/>
            <w:vAlign w:val="bottom"/>
            <w:tcBorders>
              <w:right w:val="single" w:sz="8" w:color="auto"/>
            </w:tcBorders>
          </w:tcPr>
          <w:p>
            <w:pPr>
              <w:spacing w:after="0"/>
              <w:rPr>
                <w:sz w:val="24"/>
                <w:szCs w:val="24"/>
                <w:color w:val="auto"/>
              </w:rPr>
            </w:pPr>
          </w:p>
        </w:tc>
        <w:tc>
          <w:tcPr>
            <w:tcW w:w="4960" w:type="dxa"/>
            <w:vAlign w:val="bottom"/>
            <w:tcBorders>
              <w:right w:val="single" w:sz="8" w:color="auto"/>
            </w:tcBorders>
          </w:tcPr>
          <w:p>
            <w:pPr>
              <w:jc w:val="right"/>
              <w:ind w:right="4361"/>
              <w:spacing w:after="0"/>
              <w:rPr>
                <w:sz w:val="20"/>
                <w:szCs w:val="20"/>
                <w:color w:val="auto"/>
              </w:rPr>
            </w:pPr>
            <w:r>
              <w:rPr>
                <w:rFonts w:ascii="Times New Roman" w:cs="Times New Roman" w:eastAsia="Times New Roman" w:hAnsi="Times New Roman"/>
                <w:sz w:val="20"/>
                <w:szCs w:val="20"/>
                <w:color w:val="auto"/>
              </w:rPr>
              <w:t>[***]</w:t>
            </w:r>
          </w:p>
        </w:tc>
      </w:tr>
      <w:tr>
        <w:trPr>
          <w:trHeight w:val="75"/>
        </w:trPr>
        <w:tc>
          <w:tcPr>
            <w:tcW w:w="2800" w:type="dxa"/>
            <w:vAlign w:val="bottom"/>
            <w:tcBorders>
              <w:left w:val="single" w:sz="8" w:color="auto"/>
              <w:bottom w:val="single" w:sz="8" w:color="auto"/>
            </w:tcBorders>
          </w:tcPr>
          <w:p>
            <w:pPr>
              <w:spacing w:after="0"/>
              <w:rPr>
                <w:sz w:val="6"/>
                <w:szCs w:val="6"/>
                <w:color w:val="auto"/>
              </w:rPr>
            </w:pPr>
          </w:p>
        </w:tc>
        <w:tc>
          <w:tcPr>
            <w:tcW w:w="2180" w:type="dxa"/>
            <w:vAlign w:val="bottom"/>
            <w:tcBorders>
              <w:bottom w:val="single" w:sz="8" w:color="auto"/>
              <w:right w:val="single" w:sz="8" w:color="auto"/>
            </w:tcBorders>
          </w:tcPr>
          <w:p>
            <w:pPr>
              <w:spacing w:after="0"/>
              <w:rPr>
                <w:sz w:val="6"/>
                <w:szCs w:val="6"/>
                <w:color w:val="auto"/>
              </w:rPr>
            </w:pPr>
          </w:p>
        </w:tc>
        <w:tc>
          <w:tcPr>
            <w:tcW w:w="4960" w:type="dxa"/>
            <w:vAlign w:val="bottom"/>
            <w:tcBorders>
              <w:bottom w:val="single" w:sz="8" w:color="auto"/>
              <w:right w:val="single" w:sz="8" w:color="auto"/>
            </w:tcBorders>
          </w:tcPr>
          <w:p>
            <w:pPr>
              <w:spacing w:after="0"/>
              <w:rPr>
                <w:sz w:val="6"/>
                <w:szCs w:val="6"/>
                <w:color w:val="auto"/>
              </w:rPr>
            </w:pPr>
          </w:p>
        </w:tc>
      </w:tr>
      <w:tr>
        <w:trPr>
          <w:trHeight w:val="297"/>
        </w:trPr>
        <w:tc>
          <w:tcPr>
            <w:tcW w:w="2800" w:type="dxa"/>
            <w:vAlign w:val="bottom"/>
            <w:tcBorders>
              <w:left w:val="single" w:sz="8" w:color="auto"/>
            </w:tcBorders>
          </w:tcPr>
          <w:p>
            <w:pPr>
              <w:jc w:val="right"/>
              <w:ind w:right="2181"/>
              <w:spacing w:after="0"/>
              <w:rPr>
                <w:sz w:val="20"/>
                <w:szCs w:val="20"/>
                <w:color w:val="auto"/>
              </w:rPr>
            </w:pPr>
            <w:r>
              <w:rPr>
                <w:rFonts w:ascii="Times New Roman" w:cs="Times New Roman" w:eastAsia="Times New Roman" w:hAnsi="Times New Roman"/>
                <w:sz w:val="20"/>
                <w:szCs w:val="20"/>
                <w:color w:val="auto"/>
              </w:rPr>
              <w:t>[***]</w:t>
            </w:r>
          </w:p>
        </w:tc>
        <w:tc>
          <w:tcPr>
            <w:tcW w:w="2180" w:type="dxa"/>
            <w:vAlign w:val="bottom"/>
            <w:tcBorders>
              <w:right w:val="single" w:sz="8" w:color="auto"/>
            </w:tcBorders>
          </w:tcPr>
          <w:p>
            <w:pPr>
              <w:spacing w:after="0"/>
              <w:rPr>
                <w:sz w:val="24"/>
                <w:szCs w:val="24"/>
                <w:color w:val="auto"/>
              </w:rPr>
            </w:pPr>
          </w:p>
        </w:tc>
        <w:tc>
          <w:tcPr>
            <w:tcW w:w="4960" w:type="dxa"/>
            <w:vAlign w:val="bottom"/>
            <w:tcBorders>
              <w:right w:val="single" w:sz="8" w:color="auto"/>
            </w:tcBorders>
          </w:tcPr>
          <w:p>
            <w:pPr>
              <w:jc w:val="right"/>
              <w:ind w:right="4361"/>
              <w:spacing w:after="0"/>
              <w:rPr>
                <w:sz w:val="20"/>
                <w:szCs w:val="20"/>
                <w:color w:val="auto"/>
              </w:rPr>
            </w:pPr>
            <w:r>
              <w:rPr>
                <w:rFonts w:ascii="Times New Roman" w:cs="Times New Roman" w:eastAsia="Times New Roman" w:hAnsi="Times New Roman"/>
                <w:sz w:val="20"/>
                <w:szCs w:val="20"/>
                <w:color w:val="auto"/>
              </w:rPr>
              <w:t>[***]</w:t>
            </w:r>
          </w:p>
        </w:tc>
      </w:tr>
      <w:tr>
        <w:trPr>
          <w:trHeight w:val="75"/>
        </w:trPr>
        <w:tc>
          <w:tcPr>
            <w:tcW w:w="2800" w:type="dxa"/>
            <w:vAlign w:val="bottom"/>
            <w:tcBorders>
              <w:left w:val="single" w:sz="8" w:color="auto"/>
              <w:bottom w:val="single" w:sz="8" w:color="auto"/>
            </w:tcBorders>
          </w:tcPr>
          <w:p>
            <w:pPr>
              <w:spacing w:after="0"/>
              <w:rPr>
                <w:sz w:val="6"/>
                <w:szCs w:val="6"/>
                <w:color w:val="auto"/>
              </w:rPr>
            </w:pPr>
          </w:p>
        </w:tc>
        <w:tc>
          <w:tcPr>
            <w:tcW w:w="2180" w:type="dxa"/>
            <w:vAlign w:val="bottom"/>
            <w:tcBorders>
              <w:bottom w:val="single" w:sz="8" w:color="auto"/>
              <w:right w:val="single" w:sz="8" w:color="auto"/>
            </w:tcBorders>
          </w:tcPr>
          <w:p>
            <w:pPr>
              <w:spacing w:after="0"/>
              <w:rPr>
                <w:sz w:val="6"/>
                <w:szCs w:val="6"/>
                <w:color w:val="auto"/>
              </w:rPr>
            </w:pPr>
          </w:p>
        </w:tc>
        <w:tc>
          <w:tcPr>
            <w:tcW w:w="4960" w:type="dxa"/>
            <w:vAlign w:val="bottom"/>
            <w:tcBorders>
              <w:bottom w:val="single" w:sz="8" w:color="auto"/>
              <w:right w:val="single" w:sz="8" w:color="auto"/>
            </w:tcBorders>
          </w:tcPr>
          <w:p>
            <w:pPr>
              <w:spacing w:after="0"/>
              <w:rPr>
                <w:sz w:val="6"/>
                <w:szCs w:val="6"/>
                <w:color w:val="auto"/>
              </w:rPr>
            </w:pPr>
          </w:p>
        </w:tc>
      </w:tr>
      <w:tr>
        <w:trPr>
          <w:trHeight w:val="372"/>
        </w:trPr>
        <w:tc>
          <w:tcPr>
            <w:tcW w:w="2800" w:type="dxa"/>
            <w:vAlign w:val="bottom"/>
            <w:tcBorders>
              <w:left w:val="single" w:sz="8" w:color="auto"/>
              <w:bottom w:val="single" w:sz="8" w:color="auto"/>
            </w:tcBorders>
          </w:tcPr>
          <w:p>
            <w:pPr>
              <w:spacing w:after="0"/>
              <w:rPr>
                <w:sz w:val="24"/>
                <w:szCs w:val="24"/>
                <w:color w:val="auto"/>
              </w:rPr>
            </w:pPr>
          </w:p>
        </w:tc>
        <w:tc>
          <w:tcPr>
            <w:tcW w:w="2180" w:type="dxa"/>
            <w:vAlign w:val="bottom"/>
            <w:tcBorders>
              <w:bottom w:val="single" w:sz="8" w:color="auto"/>
              <w:right w:val="single" w:sz="8" w:color="auto"/>
            </w:tcBorders>
          </w:tcPr>
          <w:p>
            <w:pPr>
              <w:spacing w:after="0"/>
              <w:rPr>
                <w:sz w:val="24"/>
                <w:szCs w:val="24"/>
                <w:color w:val="auto"/>
              </w:rPr>
            </w:pPr>
          </w:p>
        </w:tc>
        <w:tc>
          <w:tcPr>
            <w:tcW w:w="4960" w:type="dxa"/>
            <w:vAlign w:val="bottom"/>
            <w:tcBorders>
              <w:bottom w:val="single" w:sz="8" w:color="auto"/>
              <w:right w:val="single" w:sz="8" w:color="auto"/>
            </w:tcBorders>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9940"/>
          </w:cols>
          <w:pgMar w:left="980" w:top="653" w:right="979" w:bottom="1440" w:gutter="0" w:footer="0" w:header="0"/>
        </w:sect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40"/>
          </w:cols>
          <w:pgMar w:left="980" w:top="653" w:right="979" w:bottom="1440" w:gutter="0" w:footer="0" w:header="0"/>
          <w:type w:val="continuous"/>
        </w:sectPr>
      </w:pPr>
    </w:p>
    <w:bookmarkStart w:id="58" w:name="page59"/>
    <w:bookmarkEnd w:id="58"/>
    <w:p>
      <w:pPr>
        <w:jc w:val="center"/>
        <w:spacing w:after="0"/>
        <w:rPr>
          <w:sz w:val="20"/>
          <w:szCs w:val="20"/>
          <w:color w:val="auto"/>
        </w:rPr>
      </w:pPr>
      <w:r>
        <w:rPr>
          <w:rFonts w:ascii="Times New Roman" w:cs="Times New Roman" w:eastAsia="Times New Roman" w:hAnsi="Times New Roman"/>
          <w:sz w:val="20"/>
          <w:szCs w:val="20"/>
          <w:b w:val="1"/>
          <w:bCs w:val="1"/>
          <w:color w:val="auto"/>
        </w:rPr>
        <w:t>CONFIDENTIAL</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i w:val="1"/>
          <w:iCs w:val="1"/>
          <w:color w:val="auto"/>
        </w:rPr>
        <w:t>1.0</w:t>
      </w:r>
      <w:r>
        <w:rPr>
          <w:sz w:val="20"/>
          <w:szCs w:val="20"/>
          <w:color w:val="auto"/>
        </w:rPr>
        <w:tab/>
      </w:r>
      <w:r>
        <w:rPr>
          <w:rFonts w:ascii="Times New Roman" w:cs="Times New Roman" w:eastAsia="Times New Roman" w:hAnsi="Times New Roman"/>
          <w:sz w:val="19"/>
          <w:szCs w:val="19"/>
          <w:b w:val="1"/>
          <w:bCs w:val="1"/>
          <w:i w:val="1"/>
          <w:iCs w:val="1"/>
          <w:color w:val="auto"/>
        </w:rPr>
        <w:t>Introduction</w:t>
      </w:r>
    </w:p>
    <w:p>
      <w:pPr>
        <w:spacing w:after="0" w:line="2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This Statement of Work (SOW) defines the scope of tasks, responsibilities, and deliverables for Phase 2 in the development of a hybrid Spin-Transfer Torque (STT) MRAM flow between Skywater Technologies (SW) and Everspin Technologies (ES). The Phase 2 development is a memory cell and array characterization vehicle which is part of a multi-phase technology development effort which will ultimately enable production of embedded STT MRAM macros produced using the abovementioned hybrid flow.</w:t>
      </w:r>
    </w:p>
    <w:p>
      <w:pPr>
        <w:spacing w:after="0" w:line="18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i w:val="1"/>
          <w:iCs w:val="1"/>
          <w:color w:val="auto"/>
        </w:rPr>
        <w:t>1.1</w:t>
      </w:r>
      <w:r>
        <w:rPr>
          <w:sz w:val="20"/>
          <w:szCs w:val="20"/>
          <w:color w:val="auto"/>
        </w:rPr>
        <w:tab/>
      </w:r>
      <w:r>
        <w:rPr>
          <w:rFonts w:ascii="Times New Roman" w:cs="Times New Roman" w:eastAsia="Times New Roman" w:hAnsi="Times New Roman"/>
          <w:sz w:val="19"/>
          <w:szCs w:val="19"/>
          <w:b w:val="1"/>
          <w:bCs w:val="1"/>
          <w:i w:val="1"/>
          <w:iCs w:val="1"/>
          <w:color w:val="auto"/>
        </w:rPr>
        <w:t>Program Overview, Purpose</w:t>
      </w:r>
    </w:p>
    <w:p>
      <w:pPr>
        <w:spacing w:after="0" w:line="26" w:lineRule="exact"/>
        <w:rPr>
          <w:sz w:val="20"/>
          <w:szCs w:val="20"/>
          <w:color w:val="auto"/>
        </w:rPr>
      </w:pPr>
    </w:p>
    <w:p>
      <w:pPr>
        <w:jc w:val="both"/>
        <w:ind w:left="660"/>
        <w:spacing w:after="0" w:line="242" w:lineRule="auto"/>
        <w:rPr>
          <w:sz w:val="20"/>
          <w:szCs w:val="20"/>
          <w:color w:val="auto"/>
        </w:rPr>
      </w:pPr>
      <w:r>
        <w:rPr>
          <w:rFonts w:ascii="Times New Roman" w:cs="Times New Roman" w:eastAsia="Times New Roman" w:hAnsi="Times New Roman"/>
          <w:sz w:val="20"/>
          <w:szCs w:val="20"/>
          <w:color w:val="auto"/>
        </w:rPr>
        <w:t>This SOW and affiliated purchase order cover Phase 2 of the proposed development plan outlined in Table 1. The follow-on work in phases 3-4 below remains unfunded at this time and parties agree to define specific requirements in subsequent phases.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808080"/>
        </w:rPr>
        <w:t>Table 1. Phased Development Overview</w:t>
      </w:r>
    </w:p>
    <w:p>
      <w:pPr>
        <w:spacing w:after="0" w:line="256"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1540" w:type="dxa"/>
            <w:vAlign w:val="bottom"/>
            <w:tcBorders>
              <w:left w:val="single" w:sz="8" w:color="auto"/>
              <w:right w:val="single" w:sz="8" w:color="auto"/>
            </w:tcBorders>
            <w:shd w:val="clear" w:color="auto" w:fill="000000"/>
          </w:tcPr>
          <w:p>
            <w:pPr>
              <w:ind w:left="20"/>
              <w:spacing w:after="0"/>
              <w:rPr>
                <w:sz w:val="20"/>
                <w:szCs w:val="20"/>
                <w:color w:val="auto"/>
              </w:rPr>
            </w:pPr>
            <w:r>
              <w:rPr>
                <w:rFonts w:ascii="Times New Roman" w:cs="Times New Roman" w:eastAsia="Times New Roman" w:hAnsi="Times New Roman"/>
                <w:sz w:val="20"/>
                <w:szCs w:val="20"/>
                <w:b w:val="1"/>
                <w:bCs w:val="1"/>
                <w:color w:val="FFFFFF"/>
              </w:rPr>
              <w:t>Phase</w:t>
            </w:r>
          </w:p>
        </w:tc>
        <w:tc>
          <w:tcPr>
            <w:tcW w:w="6100" w:type="dxa"/>
            <w:vAlign w:val="bottom"/>
            <w:tcBorders>
              <w:right w:val="single" w:sz="8" w:color="auto"/>
            </w:tcBorders>
            <w:shd w:val="clear" w:color="auto" w:fill="000000"/>
          </w:tcPr>
          <w:p>
            <w:pPr>
              <w:spacing w:after="0"/>
              <w:rPr>
                <w:sz w:val="20"/>
                <w:szCs w:val="20"/>
                <w:color w:val="auto"/>
              </w:rPr>
            </w:pPr>
            <w:r>
              <w:rPr>
                <w:rFonts w:ascii="Times New Roman" w:cs="Times New Roman" w:eastAsia="Times New Roman" w:hAnsi="Times New Roman"/>
                <w:sz w:val="20"/>
                <w:szCs w:val="20"/>
                <w:b w:val="1"/>
                <w:bCs w:val="1"/>
                <w:color w:val="FFFFFF"/>
              </w:rPr>
              <w:t>Deliverable</w:t>
            </w:r>
          </w:p>
        </w:tc>
        <w:tc>
          <w:tcPr>
            <w:tcW w:w="2280" w:type="dxa"/>
            <w:vAlign w:val="bottom"/>
            <w:tcBorders>
              <w:right w:val="single" w:sz="8" w:color="auto"/>
            </w:tcBorders>
            <w:shd w:val="clear" w:color="auto" w:fill="000000"/>
          </w:tcPr>
          <w:p>
            <w:pPr>
              <w:spacing w:after="0"/>
              <w:rPr>
                <w:sz w:val="20"/>
                <w:szCs w:val="20"/>
                <w:color w:val="auto"/>
              </w:rPr>
            </w:pPr>
            <w:r>
              <w:rPr>
                <w:rFonts w:ascii="Times New Roman" w:cs="Times New Roman" w:eastAsia="Times New Roman" w:hAnsi="Times New Roman"/>
                <w:sz w:val="20"/>
                <w:szCs w:val="20"/>
                <w:b w:val="1"/>
                <w:bCs w:val="1"/>
                <w:color w:val="FFFFFF"/>
              </w:rPr>
              <w:t>Status</w:t>
            </w:r>
          </w:p>
        </w:tc>
      </w:tr>
      <w:tr>
        <w:trPr>
          <w:trHeight w:val="230"/>
        </w:trPr>
        <w:tc>
          <w:tcPr>
            <w:tcW w:w="1540" w:type="dxa"/>
            <w:vAlign w:val="bottom"/>
            <w:tcBorders>
              <w:left w:val="single" w:sz="8" w:color="auto"/>
              <w:bottom w:val="single" w:sz="8" w:color="auto"/>
              <w:right w:val="single" w:sz="8" w:color="auto"/>
            </w:tcBorders>
            <w:shd w:val="clear" w:color="auto" w:fill="BFBFBF"/>
          </w:tcPr>
          <w:p>
            <w:pPr>
              <w:ind w:left="20"/>
              <w:spacing w:after="0"/>
              <w:rPr>
                <w:sz w:val="20"/>
                <w:szCs w:val="20"/>
                <w:color w:val="auto"/>
              </w:rPr>
            </w:pPr>
            <w:r>
              <w:rPr>
                <w:rFonts w:ascii="Times New Roman" w:cs="Times New Roman" w:eastAsia="Times New Roman" w:hAnsi="Times New Roman"/>
                <w:sz w:val="20"/>
                <w:szCs w:val="20"/>
                <w:color w:val="auto"/>
              </w:rPr>
              <w:t>1</w:t>
            </w:r>
          </w:p>
        </w:tc>
        <w:tc>
          <w:tcPr>
            <w:tcW w:w="6100" w:type="dxa"/>
            <w:vAlign w:val="bottom"/>
            <w:tcBorders>
              <w:bottom w:val="single" w:sz="8" w:color="auto"/>
              <w:right w:val="single" w:sz="8" w:color="auto"/>
            </w:tcBorders>
            <w:shd w:val="clear" w:color="auto" w:fill="BFBFBF"/>
          </w:tcPr>
          <w:p>
            <w:pPr>
              <w:spacing w:after="0"/>
              <w:rPr>
                <w:sz w:val="20"/>
                <w:szCs w:val="20"/>
                <w:color w:val="auto"/>
              </w:rPr>
            </w:pPr>
            <w:r>
              <w:rPr>
                <w:rFonts w:ascii="Times New Roman" w:cs="Times New Roman" w:eastAsia="Times New Roman" w:hAnsi="Times New Roman"/>
                <w:sz w:val="20"/>
                <w:szCs w:val="20"/>
                <w:color w:val="auto"/>
              </w:rPr>
              <w:t>Design and Tapeout Fab integration and MTJ test structure</w:t>
            </w:r>
          </w:p>
        </w:tc>
        <w:tc>
          <w:tcPr>
            <w:tcW w:w="2280" w:type="dxa"/>
            <w:vAlign w:val="bottom"/>
            <w:tcBorders>
              <w:bottom w:val="single" w:sz="8" w:color="auto"/>
              <w:right w:val="single" w:sz="8" w:color="auto"/>
            </w:tcBorders>
            <w:shd w:val="clear" w:color="auto" w:fill="BFBFBF"/>
          </w:tcPr>
          <w:p>
            <w:pPr>
              <w:spacing w:after="0"/>
              <w:rPr>
                <w:sz w:val="20"/>
                <w:szCs w:val="20"/>
                <w:color w:val="auto"/>
              </w:rPr>
            </w:pPr>
            <w:r>
              <w:rPr>
                <w:rFonts w:ascii="Times New Roman" w:cs="Times New Roman" w:eastAsia="Times New Roman" w:hAnsi="Times New Roman"/>
                <w:sz w:val="20"/>
                <w:szCs w:val="20"/>
                <w:color w:val="auto"/>
              </w:rPr>
              <w:t>Complete</w:t>
            </w:r>
          </w:p>
        </w:tc>
      </w:tr>
      <w:tr>
        <w:trPr>
          <w:trHeight w:val="223"/>
        </w:trPr>
        <w:tc>
          <w:tcPr>
            <w:tcW w:w="1540" w:type="dxa"/>
            <w:vAlign w:val="bottom"/>
            <w:tcBorders>
              <w:left w:val="single" w:sz="8" w:color="auto"/>
              <w:bottom w:val="single" w:sz="8" w:color="auto"/>
              <w:right w:val="single" w:sz="8" w:color="auto"/>
            </w:tcBorders>
          </w:tcPr>
          <w:p>
            <w:pPr>
              <w:ind w:left="20"/>
              <w:spacing w:after="0" w:line="223" w:lineRule="exact"/>
              <w:rPr>
                <w:sz w:val="20"/>
                <w:szCs w:val="20"/>
                <w:color w:val="auto"/>
              </w:rPr>
            </w:pPr>
            <w:r>
              <w:rPr>
                <w:rFonts w:ascii="Times New Roman" w:cs="Times New Roman" w:eastAsia="Times New Roman" w:hAnsi="Times New Roman"/>
                <w:sz w:val="20"/>
                <w:szCs w:val="20"/>
                <w:color w:val="auto"/>
              </w:rPr>
              <w:t>1</w:t>
            </w:r>
          </w:p>
        </w:tc>
        <w:tc>
          <w:tcPr>
            <w:tcW w:w="6100" w:type="dxa"/>
            <w:vAlign w:val="bottom"/>
            <w:tcBorders>
              <w:bottom w:val="single" w:sz="8" w:color="auto"/>
              <w:right w:val="single" w:sz="8" w:color="auto"/>
            </w:tcBorders>
          </w:tcPr>
          <w:p>
            <w:pPr>
              <w:spacing w:after="0" w:line="223" w:lineRule="exact"/>
              <w:rPr>
                <w:sz w:val="20"/>
                <w:szCs w:val="20"/>
                <w:color w:val="auto"/>
              </w:rPr>
            </w:pPr>
            <w:r>
              <w:rPr>
                <w:rFonts w:ascii="Times New Roman" w:cs="Times New Roman" w:eastAsia="Times New Roman" w:hAnsi="Times New Roman"/>
                <w:sz w:val="20"/>
                <w:szCs w:val="20"/>
                <w:color w:val="auto"/>
              </w:rPr>
              <w:t>Fabricate Test Chip</w:t>
            </w:r>
          </w:p>
        </w:tc>
        <w:tc>
          <w:tcPr>
            <w:tcW w:w="2280" w:type="dxa"/>
            <w:vAlign w:val="bottom"/>
            <w:tcBorders>
              <w:bottom w:val="single" w:sz="8" w:color="auto"/>
              <w:right w:val="single" w:sz="8" w:color="auto"/>
            </w:tcBorders>
          </w:tcPr>
          <w:p>
            <w:pPr>
              <w:spacing w:after="0" w:line="223" w:lineRule="exact"/>
              <w:rPr>
                <w:sz w:val="20"/>
                <w:szCs w:val="20"/>
                <w:color w:val="auto"/>
              </w:rPr>
            </w:pPr>
            <w:r>
              <w:rPr>
                <w:rFonts w:ascii="Times New Roman" w:cs="Times New Roman" w:eastAsia="Times New Roman" w:hAnsi="Times New Roman"/>
                <w:sz w:val="20"/>
                <w:szCs w:val="20"/>
                <w:color w:val="auto"/>
              </w:rPr>
              <w:t>Complete</w:t>
            </w:r>
          </w:p>
        </w:tc>
      </w:tr>
      <w:tr>
        <w:trPr>
          <w:trHeight w:val="223"/>
        </w:trPr>
        <w:tc>
          <w:tcPr>
            <w:tcW w:w="1540" w:type="dxa"/>
            <w:vAlign w:val="bottom"/>
            <w:tcBorders>
              <w:left w:val="single" w:sz="8" w:color="auto"/>
              <w:bottom w:val="single" w:sz="8" w:color="auto"/>
              <w:right w:val="single" w:sz="8" w:color="auto"/>
            </w:tcBorders>
            <w:shd w:val="clear" w:color="auto" w:fill="BFBFBF"/>
          </w:tcPr>
          <w:p>
            <w:pPr>
              <w:ind w:left="20"/>
              <w:spacing w:after="0" w:line="223" w:lineRule="exact"/>
              <w:rPr>
                <w:sz w:val="20"/>
                <w:szCs w:val="20"/>
                <w:color w:val="auto"/>
              </w:rPr>
            </w:pPr>
            <w:r>
              <w:rPr>
                <w:rFonts w:ascii="Times New Roman" w:cs="Times New Roman" w:eastAsia="Times New Roman" w:hAnsi="Times New Roman"/>
                <w:sz w:val="20"/>
                <w:szCs w:val="20"/>
                <w:color w:val="auto"/>
              </w:rPr>
              <w:t>1</w:t>
            </w:r>
          </w:p>
        </w:tc>
        <w:tc>
          <w:tcPr>
            <w:tcW w:w="6100" w:type="dxa"/>
            <w:vAlign w:val="bottom"/>
            <w:tcBorders>
              <w:bottom w:val="single" w:sz="8" w:color="auto"/>
              <w:right w:val="single" w:sz="8" w:color="auto"/>
            </w:tcBorders>
            <w:shd w:val="clear" w:color="auto" w:fill="BFBFBF"/>
          </w:tcPr>
          <w:p>
            <w:pPr>
              <w:spacing w:after="0" w:line="223" w:lineRule="exact"/>
              <w:rPr>
                <w:sz w:val="20"/>
                <w:szCs w:val="20"/>
                <w:color w:val="auto"/>
              </w:rPr>
            </w:pPr>
            <w:r>
              <w:rPr>
                <w:rFonts w:ascii="Times New Roman" w:cs="Times New Roman" w:eastAsia="Times New Roman" w:hAnsi="Times New Roman"/>
                <w:sz w:val="20"/>
                <w:szCs w:val="20"/>
                <w:color w:val="auto"/>
              </w:rPr>
              <w:t>Perform Electrical testing</w:t>
            </w:r>
          </w:p>
        </w:tc>
        <w:tc>
          <w:tcPr>
            <w:tcW w:w="2280" w:type="dxa"/>
            <w:vAlign w:val="bottom"/>
            <w:tcBorders>
              <w:bottom w:val="single" w:sz="8" w:color="auto"/>
              <w:right w:val="single" w:sz="8" w:color="auto"/>
            </w:tcBorders>
            <w:shd w:val="clear" w:color="auto" w:fill="BFBFBF"/>
          </w:tcPr>
          <w:p>
            <w:pPr>
              <w:spacing w:after="0" w:line="223" w:lineRule="exact"/>
              <w:rPr>
                <w:sz w:val="20"/>
                <w:szCs w:val="20"/>
                <w:color w:val="auto"/>
              </w:rPr>
            </w:pPr>
            <w:r>
              <w:rPr>
                <w:rFonts w:ascii="Times New Roman" w:cs="Times New Roman" w:eastAsia="Times New Roman" w:hAnsi="Times New Roman"/>
                <w:sz w:val="20"/>
                <w:szCs w:val="20"/>
                <w:color w:val="auto"/>
              </w:rPr>
              <w:t>Complete</w:t>
            </w:r>
          </w:p>
        </w:tc>
      </w:tr>
      <w:tr>
        <w:trPr>
          <w:trHeight w:val="223"/>
        </w:trPr>
        <w:tc>
          <w:tcPr>
            <w:tcW w:w="1540" w:type="dxa"/>
            <w:vAlign w:val="bottom"/>
            <w:tcBorders>
              <w:left w:val="single" w:sz="8" w:color="auto"/>
              <w:bottom w:val="single" w:sz="8" w:color="auto"/>
              <w:right w:val="single" w:sz="8" w:color="auto"/>
            </w:tcBorders>
          </w:tcPr>
          <w:p>
            <w:pPr>
              <w:ind w:left="20"/>
              <w:spacing w:after="0" w:line="223" w:lineRule="exact"/>
              <w:rPr>
                <w:sz w:val="20"/>
                <w:szCs w:val="20"/>
                <w:color w:val="auto"/>
              </w:rPr>
            </w:pPr>
            <w:r>
              <w:rPr>
                <w:rFonts w:ascii="Times New Roman" w:cs="Times New Roman" w:eastAsia="Times New Roman" w:hAnsi="Times New Roman"/>
                <w:sz w:val="20"/>
                <w:szCs w:val="20"/>
                <w:b w:val="1"/>
                <w:bCs w:val="1"/>
                <w:color w:val="auto"/>
              </w:rPr>
              <w:t>2</w:t>
            </w:r>
          </w:p>
        </w:tc>
        <w:tc>
          <w:tcPr>
            <w:tcW w:w="6100" w:type="dxa"/>
            <w:vAlign w:val="bottom"/>
            <w:tcBorders>
              <w:bottom w:val="single" w:sz="8" w:color="auto"/>
              <w:right w:val="single" w:sz="8" w:color="auto"/>
            </w:tcBorders>
          </w:tcPr>
          <w:p>
            <w:pPr>
              <w:spacing w:after="0" w:line="223" w:lineRule="exact"/>
              <w:rPr>
                <w:sz w:val="20"/>
                <w:szCs w:val="20"/>
                <w:color w:val="auto"/>
              </w:rPr>
            </w:pPr>
            <w:r>
              <w:rPr>
                <w:rFonts w:ascii="Times New Roman" w:cs="Times New Roman" w:eastAsia="Times New Roman" w:hAnsi="Times New Roman"/>
                <w:sz w:val="20"/>
                <w:szCs w:val="20"/>
                <w:b w:val="1"/>
                <w:bCs w:val="1"/>
                <w:color w:val="auto"/>
              </w:rPr>
              <w:t>PDK Document</w:t>
            </w:r>
          </w:p>
        </w:tc>
        <w:tc>
          <w:tcPr>
            <w:tcW w:w="2280" w:type="dxa"/>
            <w:vAlign w:val="bottom"/>
            <w:tcBorders>
              <w:bottom w:val="single" w:sz="8" w:color="auto"/>
              <w:right w:val="single" w:sz="8" w:color="auto"/>
            </w:tcBorders>
          </w:tcPr>
          <w:p>
            <w:pPr>
              <w:spacing w:after="0" w:line="223" w:lineRule="exact"/>
              <w:rPr>
                <w:sz w:val="20"/>
                <w:szCs w:val="20"/>
                <w:color w:val="auto"/>
              </w:rPr>
            </w:pPr>
            <w:r>
              <w:rPr>
                <w:rFonts w:ascii="Times New Roman" w:cs="Times New Roman" w:eastAsia="Times New Roman" w:hAnsi="Times New Roman"/>
                <w:sz w:val="20"/>
                <w:szCs w:val="20"/>
                <w:b w:val="1"/>
                <w:bCs w:val="1"/>
                <w:color w:val="auto"/>
              </w:rPr>
              <w:t>This Contract</w:t>
            </w:r>
          </w:p>
        </w:tc>
      </w:tr>
      <w:tr>
        <w:trPr>
          <w:trHeight w:val="223"/>
        </w:trPr>
        <w:tc>
          <w:tcPr>
            <w:tcW w:w="1540" w:type="dxa"/>
            <w:vAlign w:val="bottom"/>
            <w:tcBorders>
              <w:left w:val="single" w:sz="8" w:color="auto"/>
              <w:bottom w:val="single" w:sz="8" w:color="auto"/>
              <w:right w:val="single" w:sz="8" w:color="auto"/>
            </w:tcBorders>
            <w:shd w:val="clear" w:color="auto" w:fill="BFBFBF"/>
          </w:tcPr>
          <w:p>
            <w:pPr>
              <w:ind w:left="20"/>
              <w:spacing w:after="0" w:line="223" w:lineRule="exact"/>
              <w:rPr>
                <w:sz w:val="20"/>
                <w:szCs w:val="20"/>
                <w:color w:val="auto"/>
              </w:rPr>
            </w:pPr>
            <w:r>
              <w:rPr>
                <w:rFonts w:ascii="Times New Roman" w:cs="Times New Roman" w:eastAsia="Times New Roman" w:hAnsi="Times New Roman"/>
                <w:sz w:val="20"/>
                <w:szCs w:val="20"/>
                <w:b w:val="1"/>
                <w:bCs w:val="1"/>
                <w:color w:val="auto"/>
              </w:rPr>
              <w:t>2</w:t>
            </w:r>
          </w:p>
        </w:tc>
        <w:tc>
          <w:tcPr>
            <w:tcW w:w="6100" w:type="dxa"/>
            <w:vAlign w:val="bottom"/>
            <w:tcBorders>
              <w:bottom w:val="single" w:sz="8" w:color="auto"/>
              <w:right w:val="single" w:sz="8" w:color="auto"/>
            </w:tcBorders>
            <w:shd w:val="clear" w:color="auto" w:fill="BFBFBF"/>
          </w:tcPr>
          <w:p>
            <w:pPr>
              <w:spacing w:after="0" w:line="223" w:lineRule="exact"/>
              <w:rPr>
                <w:sz w:val="20"/>
                <w:szCs w:val="20"/>
                <w:color w:val="auto"/>
              </w:rPr>
            </w:pPr>
            <w:r>
              <w:rPr>
                <w:rFonts w:ascii="Times New Roman" w:cs="Times New Roman" w:eastAsia="Times New Roman" w:hAnsi="Times New Roman"/>
                <w:sz w:val="20"/>
                <w:szCs w:val="20"/>
                <w:b w:val="1"/>
                <w:bCs w:val="1"/>
                <w:color w:val="auto"/>
              </w:rPr>
              <w:t>PDK Development</w:t>
            </w:r>
          </w:p>
        </w:tc>
        <w:tc>
          <w:tcPr>
            <w:tcW w:w="2280" w:type="dxa"/>
            <w:vAlign w:val="bottom"/>
            <w:tcBorders>
              <w:bottom w:val="single" w:sz="8" w:color="auto"/>
              <w:right w:val="single" w:sz="8" w:color="auto"/>
            </w:tcBorders>
            <w:shd w:val="clear" w:color="auto" w:fill="BFBFBF"/>
          </w:tcPr>
          <w:p>
            <w:pPr>
              <w:spacing w:after="0" w:line="223" w:lineRule="exact"/>
              <w:rPr>
                <w:sz w:val="20"/>
                <w:szCs w:val="20"/>
                <w:color w:val="auto"/>
              </w:rPr>
            </w:pPr>
            <w:r>
              <w:rPr>
                <w:rFonts w:ascii="Times New Roman" w:cs="Times New Roman" w:eastAsia="Times New Roman" w:hAnsi="Times New Roman"/>
                <w:sz w:val="20"/>
                <w:szCs w:val="20"/>
                <w:b w:val="1"/>
                <w:bCs w:val="1"/>
                <w:color w:val="auto"/>
              </w:rPr>
              <w:t>This Contract</w:t>
            </w:r>
          </w:p>
        </w:tc>
      </w:tr>
      <w:tr>
        <w:trPr>
          <w:trHeight w:val="223"/>
        </w:trPr>
        <w:tc>
          <w:tcPr>
            <w:tcW w:w="1540" w:type="dxa"/>
            <w:vAlign w:val="bottom"/>
            <w:tcBorders>
              <w:left w:val="single" w:sz="8" w:color="auto"/>
              <w:bottom w:val="single" w:sz="8" w:color="auto"/>
              <w:right w:val="single" w:sz="8" w:color="auto"/>
            </w:tcBorders>
          </w:tcPr>
          <w:p>
            <w:pPr>
              <w:ind w:left="20"/>
              <w:spacing w:after="0" w:line="223" w:lineRule="exact"/>
              <w:rPr>
                <w:sz w:val="20"/>
                <w:szCs w:val="20"/>
                <w:color w:val="auto"/>
              </w:rPr>
            </w:pPr>
            <w:r>
              <w:rPr>
                <w:rFonts w:ascii="Times New Roman" w:cs="Times New Roman" w:eastAsia="Times New Roman" w:hAnsi="Times New Roman"/>
                <w:sz w:val="20"/>
                <w:szCs w:val="20"/>
                <w:b w:val="1"/>
                <w:bCs w:val="1"/>
                <w:color w:val="auto"/>
              </w:rPr>
              <w:t>2</w:t>
            </w:r>
          </w:p>
        </w:tc>
        <w:tc>
          <w:tcPr>
            <w:tcW w:w="6100" w:type="dxa"/>
            <w:vAlign w:val="bottom"/>
            <w:tcBorders>
              <w:bottom w:val="single" w:sz="8" w:color="auto"/>
              <w:right w:val="single" w:sz="8" w:color="auto"/>
            </w:tcBorders>
          </w:tcPr>
          <w:p>
            <w:pPr>
              <w:spacing w:after="0" w:line="223" w:lineRule="exact"/>
              <w:rPr>
                <w:sz w:val="20"/>
                <w:szCs w:val="20"/>
                <w:color w:val="auto"/>
              </w:rPr>
            </w:pPr>
            <w:r>
              <w:rPr>
                <w:rFonts w:ascii="Times New Roman" w:cs="Times New Roman" w:eastAsia="Times New Roman" w:hAnsi="Times New Roman"/>
                <w:sz w:val="20"/>
                <w:szCs w:val="20"/>
                <w:b w:val="1"/>
                <w:bCs w:val="1"/>
                <w:color w:val="auto"/>
              </w:rPr>
              <w:t>Mux IP Training and Mini-workshops</w:t>
            </w:r>
          </w:p>
        </w:tc>
        <w:tc>
          <w:tcPr>
            <w:tcW w:w="2280" w:type="dxa"/>
            <w:vAlign w:val="bottom"/>
            <w:tcBorders>
              <w:bottom w:val="single" w:sz="8" w:color="auto"/>
              <w:right w:val="single" w:sz="8" w:color="auto"/>
            </w:tcBorders>
          </w:tcPr>
          <w:p>
            <w:pPr>
              <w:spacing w:after="0" w:line="223" w:lineRule="exact"/>
              <w:rPr>
                <w:sz w:val="20"/>
                <w:szCs w:val="20"/>
                <w:color w:val="auto"/>
              </w:rPr>
            </w:pPr>
            <w:r>
              <w:rPr>
                <w:rFonts w:ascii="Times New Roman" w:cs="Times New Roman" w:eastAsia="Times New Roman" w:hAnsi="Times New Roman"/>
                <w:sz w:val="20"/>
                <w:szCs w:val="20"/>
                <w:b w:val="1"/>
                <w:bCs w:val="1"/>
                <w:color w:val="auto"/>
              </w:rPr>
              <w:t>This Contract</w:t>
            </w:r>
          </w:p>
        </w:tc>
      </w:tr>
      <w:tr>
        <w:trPr>
          <w:trHeight w:val="223"/>
        </w:trPr>
        <w:tc>
          <w:tcPr>
            <w:tcW w:w="1540" w:type="dxa"/>
            <w:vAlign w:val="bottom"/>
            <w:tcBorders>
              <w:left w:val="single" w:sz="8" w:color="auto"/>
              <w:bottom w:val="single" w:sz="8" w:color="auto"/>
              <w:right w:val="single" w:sz="8" w:color="auto"/>
            </w:tcBorders>
            <w:shd w:val="clear" w:color="auto" w:fill="BFBFBF"/>
          </w:tcPr>
          <w:p>
            <w:pPr>
              <w:ind w:left="20"/>
              <w:spacing w:after="0" w:line="223" w:lineRule="exact"/>
              <w:rPr>
                <w:sz w:val="20"/>
                <w:szCs w:val="20"/>
                <w:color w:val="auto"/>
              </w:rPr>
            </w:pPr>
            <w:r>
              <w:rPr>
                <w:rFonts w:ascii="Times New Roman" w:cs="Times New Roman" w:eastAsia="Times New Roman" w:hAnsi="Times New Roman"/>
                <w:sz w:val="20"/>
                <w:szCs w:val="20"/>
                <w:b w:val="1"/>
                <w:bCs w:val="1"/>
                <w:color w:val="auto"/>
              </w:rPr>
              <w:t>2</w:t>
            </w:r>
          </w:p>
        </w:tc>
        <w:tc>
          <w:tcPr>
            <w:tcW w:w="6100" w:type="dxa"/>
            <w:vAlign w:val="bottom"/>
            <w:tcBorders>
              <w:bottom w:val="single" w:sz="8" w:color="auto"/>
              <w:right w:val="single" w:sz="8" w:color="auto"/>
            </w:tcBorders>
            <w:shd w:val="clear" w:color="auto" w:fill="BFBFBF"/>
          </w:tcPr>
          <w:p>
            <w:pPr>
              <w:spacing w:after="0" w:line="223" w:lineRule="exact"/>
              <w:rPr>
                <w:sz w:val="20"/>
                <w:szCs w:val="20"/>
                <w:color w:val="auto"/>
              </w:rPr>
            </w:pPr>
            <w:r>
              <w:rPr>
                <w:rFonts w:ascii="Times New Roman" w:cs="Times New Roman" w:eastAsia="Times New Roman" w:hAnsi="Times New Roman"/>
                <w:sz w:val="20"/>
                <w:szCs w:val="20"/>
                <w:b w:val="1"/>
                <w:bCs w:val="1"/>
                <w:color w:val="auto"/>
              </w:rPr>
              <w:t>Mux/Bit cell development and Tape-out</w:t>
            </w:r>
          </w:p>
        </w:tc>
        <w:tc>
          <w:tcPr>
            <w:tcW w:w="2280" w:type="dxa"/>
            <w:vAlign w:val="bottom"/>
            <w:tcBorders>
              <w:bottom w:val="single" w:sz="8" w:color="auto"/>
              <w:right w:val="single" w:sz="8" w:color="auto"/>
            </w:tcBorders>
            <w:shd w:val="clear" w:color="auto" w:fill="BFBFBF"/>
          </w:tcPr>
          <w:p>
            <w:pPr>
              <w:spacing w:after="0" w:line="223" w:lineRule="exact"/>
              <w:rPr>
                <w:sz w:val="20"/>
                <w:szCs w:val="20"/>
                <w:color w:val="auto"/>
              </w:rPr>
            </w:pPr>
            <w:r>
              <w:rPr>
                <w:rFonts w:ascii="Times New Roman" w:cs="Times New Roman" w:eastAsia="Times New Roman" w:hAnsi="Times New Roman"/>
                <w:sz w:val="20"/>
                <w:szCs w:val="20"/>
                <w:b w:val="1"/>
                <w:bCs w:val="1"/>
                <w:color w:val="auto"/>
              </w:rPr>
              <w:t>This Contract</w:t>
            </w:r>
          </w:p>
        </w:tc>
      </w:tr>
      <w:tr>
        <w:trPr>
          <w:trHeight w:val="223"/>
        </w:trPr>
        <w:tc>
          <w:tcPr>
            <w:tcW w:w="1540" w:type="dxa"/>
            <w:vAlign w:val="bottom"/>
            <w:tcBorders>
              <w:left w:val="single" w:sz="8" w:color="auto"/>
              <w:bottom w:val="single" w:sz="8" w:color="auto"/>
              <w:right w:val="single" w:sz="8" w:color="auto"/>
            </w:tcBorders>
          </w:tcPr>
          <w:p>
            <w:pPr>
              <w:ind w:left="20"/>
              <w:spacing w:after="0" w:line="223" w:lineRule="exact"/>
              <w:rPr>
                <w:sz w:val="20"/>
                <w:szCs w:val="20"/>
                <w:color w:val="auto"/>
              </w:rPr>
            </w:pPr>
            <w:r>
              <w:rPr>
                <w:rFonts w:ascii="Times New Roman" w:cs="Times New Roman" w:eastAsia="Times New Roman" w:hAnsi="Times New Roman"/>
                <w:sz w:val="20"/>
                <w:szCs w:val="20"/>
                <w:color w:val="auto"/>
              </w:rPr>
              <w:t>3</w:t>
            </w:r>
          </w:p>
        </w:tc>
        <w:tc>
          <w:tcPr>
            <w:tcW w:w="6100" w:type="dxa"/>
            <w:vAlign w:val="bottom"/>
            <w:tcBorders>
              <w:bottom w:val="single" w:sz="8" w:color="auto"/>
              <w:right w:val="single" w:sz="8" w:color="auto"/>
            </w:tcBorders>
          </w:tcPr>
          <w:p>
            <w:pPr>
              <w:spacing w:after="0" w:line="223" w:lineRule="exact"/>
              <w:rPr>
                <w:sz w:val="20"/>
                <w:szCs w:val="20"/>
                <w:color w:val="auto"/>
              </w:rPr>
            </w:pPr>
            <w:r>
              <w:rPr>
                <w:rFonts w:ascii="Times New Roman" w:cs="Times New Roman" w:eastAsia="Times New Roman" w:hAnsi="Times New Roman"/>
                <w:sz w:val="20"/>
                <w:szCs w:val="20"/>
                <w:color w:val="auto"/>
              </w:rPr>
              <w:t>Orion Macro IP Transfer/Training</w:t>
            </w:r>
          </w:p>
        </w:tc>
        <w:tc>
          <w:tcPr>
            <w:tcW w:w="2280" w:type="dxa"/>
            <w:vAlign w:val="bottom"/>
            <w:tcBorders>
              <w:bottom w:val="single" w:sz="8" w:color="auto"/>
              <w:right w:val="single" w:sz="8" w:color="auto"/>
            </w:tcBorders>
          </w:tcPr>
          <w:p>
            <w:pPr>
              <w:spacing w:after="0" w:line="223" w:lineRule="exact"/>
              <w:rPr>
                <w:sz w:val="20"/>
                <w:szCs w:val="20"/>
                <w:color w:val="auto"/>
              </w:rPr>
            </w:pPr>
            <w:r>
              <w:rPr>
                <w:rFonts w:ascii="Times New Roman" w:cs="Times New Roman" w:eastAsia="Times New Roman" w:hAnsi="Times New Roman"/>
                <w:sz w:val="20"/>
                <w:szCs w:val="20"/>
                <w:color w:val="auto"/>
              </w:rPr>
              <w:t>Future Proposal</w:t>
            </w:r>
          </w:p>
        </w:tc>
      </w:tr>
      <w:tr>
        <w:trPr>
          <w:trHeight w:val="223"/>
        </w:trPr>
        <w:tc>
          <w:tcPr>
            <w:tcW w:w="1540" w:type="dxa"/>
            <w:vAlign w:val="bottom"/>
            <w:tcBorders>
              <w:left w:val="single" w:sz="8" w:color="auto"/>
              <w:bottom w:val="single" w:sz="8" w:color="auto"/>
              <w:right w:val="single" w:sz="8" w:color="auto"/>
            </w:tcBorders>
            <w:shd w:val="clear" w:color="auto" w:fill="BFBFBF"/>
          </w:tcPr>
          <w:p>
            <w:pPr>
              <w:ind w:left="20"/>
              <w:spacing w:after="0" w:line="223" w:lineRule="exact"/>
              <w:rPr>
                <w:sz w:val="20"/>
                <w:szCs w:val="20"/>
                <w:color w:val="auto"/>
              </w:rPr>
            </w:pPr>
            <w:r>
              <w:rPr>
                <w:rFonts w:ascii="Times New Roman" w:cs="Times New Roman" w:eastAsia="Times New Roman" w:hAnsi="Times New Roman"/>
                <w:sz w:val="20"/>
                <w:szCs w:val="20"/>
                <w:color w:val="auto"/>
              </w:rPr>
              <w:t>3</w:t>
            </w:r>
          </w:p>
        </w:tc>
        <w:tc>
          <w:tcPr>
            <w:tcW w:w="6100" w:type="dxa"/>
            <w:vAlign w:val="bottom"/>
            <w:tcBorders>
              <w:bottom w:val="single" w:sz="8" w:color="auto"/>
              <w:right w:val="single" w:sz="8" w:color="auto"/>
            </w:tcBorders>
            <w:shd w:val="clear" w:color="auto" w:fill="BFBFBF"/>
          </w:tcPr>
          <w:p>
            <w:pPr>
              <w:spacing w:after="0" w:line="223" w:lineRule="exact"/>
              <w:rPr>
                <w:sz w:val="20"/>
                <w:szCs w:val="20"/>
                <w:color w:val="auto"/>
              </w:rPr>
            </w:pPr>
            <w:r>
              <w:rPr>
                <w:rFonts w:ascii="Times New Roman" w:cs="Times New Roman" w:eastAsia="Times New Roman" w:hAnsi="Times New Roman"/>
                <w:sz w:val="20"/>
                <w:szCs w:val="20"/>
                <w:color w:val="auto"/>
              </w:rPr>
              <w:t>Macro development</w:t>
            </w:r>
          </w:p>
        </w:tc>
        <w:tc>
          <w:tcPr>
            <w:tcW w:w="2280" w:type="dxa"/>
            <w:vAlign w:val="bottom"/>
            <w:tcBorders>
              <w:bottom w:val="single" w:sz="8" w:color="auto"/>
              <w:right w:val="single" w:sz="8" w:color="auto"/>
            </w:tcBorders>
            <w:shd w:val="clear" w:color="auto" w:fill="BFBFBF"/>
          </w:tcPr>
          <w:p>
            <w:pPr>
              <w:spacing w:after="0" w:line="223" w:lineRule="exact"/>
              <w:rPr>
                <w:sz w:val="20"/>
                <w:szCs w:val="20"/>
                <w:color w:val="auto"/>
              </w:rPr>
            </w:pPr>
            <w:r>
              <w:rPr>
                <w:rFonts w:ascii="Times New Roman" w:cs="Times New Roman" w:eastAsia="Times New Roman" w:hAnsi="Times New Roman"/>
                <w:sz w:val="20"/>
                <w:szCs w:val="20"/>
                <w:color w:val="auto"/>
              </w:rPr>
              <w:t>Future Proposal</w:t>
            </w:r>
          </w:p>
        </w:tc>
      </w:tr>
      <w:tr>
        <w:trPr>
          <w:trHeight w:val="223"/>
        </w:trPr>
        <w:tc>
          <w:tcPr>
            <w:tcW w:w="1540" w:type="dxa"/>
            <w:vAlign w:val="bottom"/>
            <w:tcBorders>
              <w:left w:val="single" w:sz="8" w:color="auto"/>
              <w:bottom w:val="single" w:sz="8" w:color="auto"/>
              <w:right w:val="single" w:sz="8" w:color="auto"/>
            </w:tcBorders>
          </w:tcPr>
          <w:p>
            <w:pPr>
              <w:ind w:left="20"/>
              <w:spacing w:after="0" w:line="223" w:lineRule="exact"/>
              <w:rPr>
                <w:sz w:val="20"/>
                <w:szCs w:val="20"/>
                <w:color w:val="auto"/>
              </w:rPr>
            </w:pPr>
            <w:r>
              <w:rPr>
                <w:rFonts w:ascii="Times New Roman" w:cs="Times New Roman" w:eastAsia="Times New Roman" w:hAnsi="Times New Roman"/>
                <w:sz w:val="20"/>
                <w:szCs w:val="20"/>
                <w:color w:val="auto"/>
              </w:rPr>
              <w:t>3</w:t>
            </w:r>
          </w:p>
        </w:tc>
        <w:tc>
          <w:tcPr>
            <w:tcW w:w="6100" w:type="dxa"/>
            <w:vAlign w:val="bottom"/>
            <w:tcBorders>
              <w:bottom w:val="single" w:sz="8" w:color="auto"/>
              <w:right w:val="single" w:sz="8" w:color="auto"/>
            </w:tcBorders>
          </w:tcPr>
          <w:p>
            <w:pPr>
              <w:spacing w:after="0" w:line="223" w:lineRule="exact"/>
              <w:rPr>
                <w:sz w:val="20"/>
                <w:szCs w:val="20"/>
                <w:color w:val="auto"/>
              </w:rPr>
            </w:pPr>
            <w:r>
              <w:rPr>
                <w:rFonts w:ascii="Times New Roman" w:cs="Times New Roman" w:eastAsia="Times New Roman" w:hAnsi="Times New Roman"/>
                <w:sz w:val="20"/>
                <w:szCs w:val="20"/>
                <w:color w:val="auto"/>
              </w:rPr>
              <w:t>MRAM Mux Processing (post Tape-out)</w:t>
            </w:r>
          </w:p>
        </w:tc>
        <w:tc>
          <w:tcPr>
            <w:tcW w:w="2280" w:type="dxa"/>
            <w:vAlign w:val="bottom"/>
            <w:tcBorders>
              <w:bottom w:val="single" w:sz="8" w:color="auto"/>
              <w:right w:val="single" w:sz="8" w:color="auto"/>
            </w:tcBorders>
          </w:tcPr>
          <w:p>
            <w:pPr>
              <w:spacing w:after="0" w:line="223" w:lineRule="exact"/>
              <w:rPr>
                <w:sz w:val="20"/>
                <w:szCs w:val="20"/>
                <w:color w:val="auto"/>
              </w:rPr>
            </w:pPr>
            <w:r>
              <w:rPr>
                <w:rFonts w:ascii="Times New Roman" w:cs="Times New Roman" w:eastAsia="Times New Roman" w:hAnsi="Times New Roman"/>
                <w:sz w:val="20"/>
                <w:szCs w:val="20"/>
                <w:color w:val="auto"/>
              </w:rPr>
              <w:t>Future Proposal</w:t>
            </w:r>
          </w:p>
        </w:tc>
      </w:tr>
      <w:tr>
        <w:trPr>
          <w:trHeight w:val="223"/>
        </w:trPr>
        <w:tc>
          <w:tcPr>
            <w:tcW w:w="1540" w:type="dxa"/>
            <w:vAlign w:val="bottom"/>
            <w:tcBorders>
              <w:left w:val="single" w:sz="8" w:color="auto"/>
              <w:bottom w:val="single" w:sz="8" w:color="auto"/>
              <w:right w:val="single" w:sz="8" w:color="auto"/>
            </w:tcBorders>
            <w:shd w:val="clear" w:color="auto" w:fill="BFBFBF"/>
          </w:tcPr>
          <w:p>
            <w:pPr>
              <w:ind w:left="20"/>
              <w:spacing w:after="0" w:line="223" w:lineRule="exact"/>
              <w:rPr>
                <w:sz w:val="20"/>
                <w:szCs w:val="20"/>
                <w:color w:val="auto"/>
              </w:rPr>
            </w:pPr>
            <w:r>
              <w:rPr>
                <w:rFonts w:ascii="Times New Roman" w:cs="Times New Roman" w:eastAsia="Times New Roman" w:hAnsi="Times New Roman"/>
                <w:sz w:val="20"/>
                <w:szCs w:val="20"/>
                <w:color w:val="auto"/>
              </w:rPr>
              <w:t>3</w:t>
            </w:r>
          </w:p>
        </w:tc>
        <w:tc>
          <w:tcPr>
            <w:tcW w:w="6100" w:type="dxa"/>
            <w:vAlign w:val="bottom"/>
            <w:tcBorders>
              <w:bottom w:val="single" w:sz="8" w:color="auto"/>
              <w:right w:val="single" w:sz="8" w:color="auto"/>
            </w:tcBorders>
            <w:shd w:val="clear" w:color="auto" w:fill="BFBFBF"/>
          </w:tcPr>
          <w:p>
            <w:pPr>
              <w:spacing w:after="0" w:line="223" w:lineRule="exact"/>
              <w:rPr>
                <w:sz w:val="20"/>
                <w:szCs w:val="20"/>
                <w:color w:val="auto"/>
              </w:rPr>
            </w:pPr>
            <w:r>
              <w:rPr>
                <w:rFonts w:ascii="Times New Roman" w:cs="Times New Roman" w:eastAsia="Times New Roman" w:hAnsi="Times New Roman"/>
                <w:sz w:val="20"/>
                <w:szCs w:val="20"/>
                <w:color w:val="auto"/>
              </w:rPr>
              <w:t>Bit cell characterization and review</w:t>
            </w:r>
          </w:p>
        </w:tc>
        <w:tc>
          <w:tcPr>
            <w:tcW w:w="2280" w:type="dxa"/>
            <w:vAlign w:val="bottom"/>
            <w:tcBorders>
              <w:bottom w:val="single" w:sz="8" w:color="auto"/>
              <w:right w:val="single" w:sz="8" w:color="auto"/>
            </w:tcBorders>
            <w:shd w:val="clear" w:color="auto" w:fill="BFBFBF"/>
          </w:tcPr>
          <w:p>
            <w:pPr>
              <w:spacing w:after="0" w:line="223" w:lineRule="exact"/>
              <w:rPr>
                <w:sz w:val="20"/>
                <w:szCs w:val="20"/>
                <w:color w:val="auto"/>
              </w:rPr>
            </w:pPr>
            <w:r>
              <w:rPr>
                <w:rFonts w:ascii="Times New Roman" w:cs="Times New Roman" w:eastAsia="Times New Roman" w:hAnsi="Times New Roman"/>
                <w:sz w:val="20"/>
                <w:szCs w:val="20"/>
                <w:color w:val="auto"/>
              </w:rPr>
              <w:t>Future Proposal</w:t>
            </w:r>
          </w:p>
        </w:tc>
      </w:tr>
      <w:tr>
        <w:trPr>
          <w:trHeight w:val="223"/>
        </w:trPr>
        <w:tc>
          <w:tcPr>
            <w:tcW w:w="1540" w:type="dxa"/>
            <w:vAlign w:val="bottom"/>
            <w:tcBorders>
              <w:left w:val="single" w:sz="8" w:color="auto"/>
              <w:bottom w:val="single" w:sz="8" w:color="auto"/>
              <w:right w:val="single" w:sz="8" w:color="auto"/>
            </w:tcBorders>
          </w:tcPr>
          <w:p>
            <w:pPr>
              <w:ind w:left="20"/>
              <w:spacing w:after="0" w:line="223" w:lineRule="exact"/>
              <w:rPr>
                <w:sz w:val="20"/>
                <w:szCs w:val="20"/>
                <w:color w:val="auto"/>
              </w:rPr>
            </w:pPr>
            <w:r>
              <w:rPr>
                <w:rFonts w:ascii="Times New Roman" w:cs="Times New Roman" w:eastAsia="Times New Roman" w:hAnsi="Times New Roman"/>
                <w:sz w:val="20"/>
                <w:szCs w:val="20"/>
                <w:color w:val="auto"/>
              </w:rPr>
              <w:t>4</w:t>
            </w:r>
          </w:p>
        </w:tc>
        <w:tc>
          <w:tcPr>
            <w:tcW w:w="6100" w:type="dxa"/>
            <w:vAlign w:val="bottom"/>
            <w:tcBorders>
              <w:bottom w:val="single" w:sz="8" w:color="auto"/>
              <w:right w:val="single" w:sz="8" w:color="auto"/>
            </w:tcBorders>
          </w:tcPr>
          <w:p>
            <w:pPr>
              <w:spacing w:after="0" w:line="223" w:lineRule="exact"/>
              <w:rPr>
                <w:sz w:val="20"/>
                <w:szCs w:val="20"/>
                <w:color w:val="auto"/>
              </w:rPr>
            </w:pPr>
            <w:r>
              <w:rPr>
                <w:rFonts w:ascii="Times New Roman" w:cs="Times New Roman" w:eastAsia="Times New Roman" w:hAnsi="Times New Roman"/>
                <w:sz w:val="20"/>
                <w:szCs w:val="20"/>
                <w:color w:val="auto"/>
              </w:rPr>
              <w:t>Macro cell development completion</w:t>
            </w:r>
          </w:p>
        </w:tc>
        <w:tc>
          <w:tcPr>
            <w:tcW w:w="2280" w:type="dxa"/>
            <w:vAlign w:val="bottom"/>
            <w:tcBorders>
              <w:bottom w:val="single" w:sz="8" w:color="auto"/>
              <w:right w:val="single" w:sz="8" w:color="auto"/>
            </w:tcBorders>
          </w:tcPr>
          <w:p>
            <w:pPr>
              <w:spacing w:after="0" w:line="223" w:lineRule="exact"/>
              <w:rPr>
                <w:sz w:val="20"/>
                <w:szCs w:val="20"/>
                <w:color w:val="auto"/>
              </w:rPr>
            </w:pPr>
            <w:r>
              <w:rPr>
                <w:rFonts w:ascii="Times New Roman" w:cs="Times New Roman" w:eastAsia="Times New Roman" w:hAnsi="Times New Roman"/>
                <w:sz w:val="20"/>
                <w:szCs w:val="20"/>
                <w:color w:val="auto"/>
              </w:rPr>
              <w:t>Future Proposal</w:t>
            </w:r>
          </w:p>
        </w:tc>
      </w:tr>
      <w:tr>
        <w:trPr>
          <w:trHeight w:val="223"/>
        </w:trPr>
        <w:tc>
          <w:tcPr>
            <w:tcW w:w="1540" w:type="dxa"/>
            <w:vAlign w:val="bottom"/>
            <w:tcBorders>
              <w:left w:val="single" w:sz="8" w:color="auto"/>
              <w:bottom w:val="single" w:sz="8" w:color="auto"/>
              <w:right w:val="single" w:sz="8" w:color="auto"/>
            </w:tcBorders>
            <w:shd w:val="clear" w:color="auto" w:fill="BFBFBF"/>
          </w:tcPr>
          <w:p>
            <w:pPr>
              <w:ind w:left="20"/>
              <w:spacing w:after="0" w:line="223" w:lineRule="exact"/>
              <w:rPr>
                <w:sz w:val="20"/>
                <w:szCs w:val="20"/>
                <w:color w:val="auto"/>
              </w:rPr>
            </w:pPr>
            <w:r>
              <w:rPr>
                <w:rFonts w:ascii="Times New Roman" w:cs="Times New Roman" w:eastAsia="Times New Roman" w:hAnsi="Times New Roman"/>
                <w:sz w:val="20"/>
                <w:szCs w:val="20"/>
                <w:color w:val="auto"/>
              </w:rPr>
              <w:t>4</w:t>
            </w:r>
          </w:p>
        </w:tc>
        <w:tc>
          <w:tcPr>
            <w:tcW w:w="6100" w:type="dxa"/>
            <w:vAlign w:val="bottom"/>
            <w:tcBorders>
              <w:bottom w:val="single" w:sz="8" w:color="auto"/>
              <w:right w:val="single" w:sz="8" w:color="auto"/>
            </w:tcBorders>
            <w:shd w:val="clear" w:color="auto" w:fill="BFBFBF"/>
          </w:tcPr>
          <w:p>
            <w:pPr>
              <w:spacing w:after="0" w:line="223" w:lineRule="exact"/>
              <w:rPr>
                <w:sz w:val="20"/>
                <w:szCs w:val="20"/>
                <w:color w:val="auto"/>
              </w:rPr>
            </w:pPr>
            <w:r>
              <w:rPr>
                <w:rFonts w:ascii="Times New Roman" w:cs="Times New Roman" w:eastAsia="Times New Roman" w:hAnsi="Times New Roman"/>
                <w:sz w:val="20"/>
                <w:szCs w:val="20"/>
                <w:color w:val="auto"/>
              </w:rPr>
              <w:t>Macro cell tape-out</w:t>
            </w:r>
          </w:p>
        </w:tc>
        <w:tc>
          <w:tcPr>
            <w:tcW w:w="2280" w:type="dxa"/>
            <w:vAlign w:val="bottom"/>
            <w:tcBorders>
              <w:bottom w:val="single" w:sz="8" w:color="auto"/>
              <w:right w:val="single" w:sz="8" w:color="auto"/>
            </w:tcBorders>
            <w:shd w:val="clear" w:color="auto" w:fill="BFBFBF"/>
          </w:tcPr>
          <w:p>
            <w:pPr>
              <w:spacing w:after="0" w:line="223" w:lineRule="exact"/>
              <w:rPr>
                <w:sz w:val="20"/>
                <w:szCs w:val="20"/>
                <w:color w:val="auto"/>
              </w:rPr>
            </w:pPr>
            <w:r>
              <w:rPr>
                <w:rFonts w:ascii="Times New Roman" w:cs="Times New Roman" w:eastAsia="Times New Roman" w:hAnsi="Times New Roman"/>
                <w:sz w:val="20"/>
                <w:szCs w:val="20"/>
                <w:color w:val="auto"/>
              </w:rPr>
              <w:t>Future Proposal</w:t>
            </w:r>
          </w:p>
        </w:tc>
      </w:tr>
      <w:tr>
        <w:trPr>
          <w:trHeight w:val="223"/>
        </w:trPr>
        <w:tc>
          <w:tcPr>
            <w:tcW w:w="1540" w:type="dxa"/>
            <w:vAlign w:val="bottom"/>
            <w:tcBorders>
              <w:left w:val="single" w:sz="8" w:color="auto"/>
              <w:bottom w:val="single" w:sz="8" w:color="auto"/>
              <w:right w:val="single" w:sz="8" w:color="auto"/>
            </w:tcBorders>
          </w:tcPr>
          <w:p>
            <w:pPr>
              <w:ind w:left="20"/>
              <w:spacing w:after="0" w:line="223" w:lineRule="exact"/>
              <w:rPr>
                <w:sz w:val="20"/>
                <w:szCs w:val="20"/>
                <w:color w:val="auto"/>
              </w:rPr>
            </w:pPr>
            <w:r>
              <w:rPr>
                <w:rFonts w:ascii="Times New Roman" w:cs="Times New Roman" w:eastAsia="Times New Roman" w:hAnsi="Times New Roman"/>
                <w:sz w:val="20"/>
                <w:szCs w:val="20"/>
                <w:color w:val="auto"/>
              </w:rPr>
              <w:t>4</w:t>
            </w:r>
          </w:p>
        </w:tc>
        <w:tc>
          <w:tcPr>
            <w:tcW w:w="6100" w:type="dxa"/>
            <w:vAlign w:val="bottom"/>
            <w:tcBorders>
              <w:bottom w:val="single" w:sz="8" w:color="auto"/>
              <w:right w:val="single" w:sz="8" w:color="auto"/>
            </w:tcBorders>
          </w:tcPr>
          <w:p>
            <w:pPr>
              <w:spacing w:after="0" w:line="223" w:lineRule="exact"/>
              <w:rPr>
                <w:sz w:val="20"/>
                <w:szCs w:val="20"/>
                <w:color w:val="auto"/>
              </w:rPr>
            </w:pPr>
            <w:r>
              <w:rPr>
                <w:rFonts w:ascii="Times New Roman" w:cs="Times New Roman" w:eastAsia="Times New Roman" w:hAnsi="Times New Roman"/>
                <w:sz w:val="20"/>
                <w:szCs w:val="20"/>
                <w:color w:val="auto"/>
              </w:rPr>
              <w:t>MRAM Macro Processing (post Tape-out)</w:t>
            </w:r>
          </w:p>
        </w:tc>
        <w:tc>
          <w:tcPr>
            <w:tcW w:w="2280" w:type="dxa"/>
            <w:vAlign w:val="bottom"/>
            <w:tcBorders>
              <w:bottom w:val="single" w:sz="8" w:color="auto"/>
              <w:right w:val="single" w:sz="8" w:color="auto"/>
            </w:tcBorders>
          </w:tcPr>
          <w:p>
            <w:pPr>
              <w:spacing w:after="0" w:line="223" w:lineRule="exact"/>
              <w:rPr>
                <w:sz w:val="20"/>
                <w:szCs w:val="20"/>
                <w:color w:val="auto"/>
              </w:rPr>
            </w:pPr>
            <w:r>
              <w:rPr>
                <w:rFonts w:ascii="Times New Roman" w:cs="Times New Roman" w:eastAsia="Times New Roman" w:hAnsi="Times New Roman"/>
                <w:sz w:val="20"/>
                <w:szCs w:val="20"/>
                <w:color w:val="auto"/>
              </w:rPr>
              <w:t>Future Proposal</w:t>
            </w:r>
          </w:p>
        </w:tc>
      </w:tr>
      <w:tr>
        <w:trPr>
          <w:trHeight w:val="223"/>
        </w:trPr>
        <w:tc>
          <w:tcPr>
            <w:tcW w:w="1540" w:type="dxa"/>
            <w:vAlign w:val="bottom"/>
            <w:tcBorders>
              <w:left w:val="single" w:sz="8" w:color="auto"/>
              <w:bottom w:val="single" w:sz="8" w:color="auto"/>
              <w:right w:val="single" w:sz="8" w:color="auto"/>
            </w:tcBorders>
            <w:shd w:val="clear" w:color="auto" w:fill="BFBFBF"/>
          </w:tcPr>
          <w:p>
            <w:pPr>
              <w:ind w:left="20"/>
              <w:spacing w:after="0" w:line="223" w:lineRule="exact"/>
              <w:rPr>
                <w:sz w:val="20"/>
                <w:szCs w:val="20"/>
                <w:color w:val="auto"/>
              </w:rPr>
            </w:pPr>
            <w:r>
              <w:rPr>
                <w:rFonts w:ascii="Times New Roman" w:cs="Times New Roman" w:eastAsia="Times New Roman" w:hAnsi="Times New Roman"/>
                <w:sz w:val="20"/>
                <w:szCs w:val="20"/>
                <w:color w:val="auto"/>
              </w:rPr>
              <w:t>4</w:t>
            </w:r>
          </w:p>
        </w:tc>
        <w:tc>
          <w:tcPr>
            <w:tcW w:w="6100" w:type="dxa"/>
            <w:vAlign w:val="bottom"/>
            <w:tcBorders>
              <w:bottom w:val="single" w:sz="8" w:color="auto"/>
              <w:right w:val="single" w:sz="8" w:color="auto"/>
            </w:tcBorders>
            <w:shd w:val="clear" w:color="auto" w:fill="BFBFBF"/>
          </w:tcPr>
          <w:p>
            <w:pPr>
              <w:spacing w:after="0" w:line="223" w:lineRule="exact"/>
              <w:rPr>
                <w:sz w:val="20"/>
                <w:szCs w:val="20"/>
                <w:color w:val="auto"/>
              </w:rPr>
            </w:pPr>
            <w:r>
              <w:rPr>
                <w:rFonts w:ascii="Times New Roman" w:cs="Times New Roman" w:eastAsia="Times New Roman" w:hAnsi="Times New Roman"/>
                <w:sz w:val="20"/>
                <w:szCs w:val="20"/>
                <w:color w:val="auto"/>
              </w:rPr>
              <w:t>Macro characterization and review</w:t>
            </w:r>
          </w:p>
        </w:tc>
        <w:tc>
          <w:tcPr>
            <w:tcW w:w="2280" w:type="dxa"/>
            <w:vAlign w:val="bottom"/>
            <w:tcBorders>
              <w:bottom w:val="single" w:sz="8" w:color="auto"/>
              <w:right w:val="single" w:sz="8" w:color="auto"/>
            </w:tcBorders>
            <w:shd w:val="clear" w:color="auto" w:fill="BFBFBF"/>
          </w:tcPr>
          <w:p>
            <w:pPr>
              <w:spacing w:after="0" w:line="223" w:lineRule="exact"/>
              <w:rPr>
                <w:sz w:val="20"/>
                <w:szCs w:val="20"/>
                <w:color w:val="auto"/>
              </w:rPr>
            </w:pPr>
            <w:r>
              <w:rPr>
                <w:rFonts w:ascii="Times New Roman" w:cs="Times New Roman" w:eastAsia="Times New Roman" w:hAnsi="Times New Roman"/>
                <w:sz w:val="20"/>
                <w:szCs w:val="20"/>
                <w:color w:val="auto"/>
              </w:rPr>
              <w:t>Future Proposal</w:t>
            </w:r>
          </w:p>
        </w:tc>
      </w:tr>
      <w:tr>
        <w:trPr>
          <w:trHeight w:val="223"/>
        </w:trPr>
        <w:tc>
          <w:tcPr>
            <w:tcW w:w="1540" w:type="dxa"/>
            <w:vAlign w:val="bottom"/>
            <w:tcBorders>
              <w:left w:val="single" w:sz="8" w:color="auto"/>
              <w:bottom w:val="single" w:sz="8" w:color="auto"/>
              <w:right w:val="single" w:sz="8" w:color="auto"/>
            </w:tcBorders>
          </w:tcPr>
          <w:p>
            <w:pPr>
              <w:ind w:left="20"/>
              <w:spacing w:after="0" w:line="223" w:lineRule="exact"/>
              <w:rPr>
                <w:sz w:val="20"/>
                <w:szCs w:val="20"/>
                <w:color w:val="auto"/>
              </w:rPr>
            </w:pPr>
            <w:r>
              <w:rPr>
                <w:rFonts w:ascii="Times New Roman" w:cs="Times New Roman" w:eastAsia="Times New Roman" w:hAnsi="Times New Roman"/>
                <w:sz w:val="20"/>
                <w:szCs w:val="20"/>
                <w:color w:val="auto"/>
              </w:rPr>
              <w:t>Prod</w:t>
            </w:r>
          </w:p>
        </w:tc>
        <w:tc>
          <w:tcPr>
            <w:tcW w:w="6100" w:type="dxa"/>
            <w:vAlign w:val="bottom"/>
            <w:tcBorders>
              <w:bottom w:val="single" w:sz="8" w:color="auto"/>
              <w:right w:val="single" w:sz="8" w:color="auto"/>
            </w:tcBorders>
          </w:tcPr>
          <w:p>
            <w:pPr>
              <w:spacing w:after="0" w:line="223" w:lineRule="exact"/>
              <w:rPr>
                <w:sz w:val="20"/>
                <w:szCs w:val="20"/>
                <w:color w:val="auto"/>
              </w:rPr>
            </w:pPr>
            <w:r>
              <w:rPr>
                <w:rFonts w:ascii="Times New Roman" w:cs="Times New Roman" w:eastAsia="Times New Roman" w:hAnsi="Times New Roman"/>
                <w:sz w:val="20"/>
                <w:szCs w:val="20"/>
                <w:color w:val="auto"/>
              </w:rPr>
              <w:t>FG 1st ASIC/product tape-out</w:t>
            </w:r>
          </w:p>
        </w:tc>
        <w:tc>
          <w:tcPr>
            <w:tcW w:w="2280" w:type="dxa"/>
            <w:vAlign w:val="bottom"/>
            <w:tcBorders>
              <w:bottom w:val="single" w:sz="8" w:color="auto"/>
              <w:right w:val="single" w:sz="8" w:color="auto"/>
            </w:tcBorders>
          </w:tcPr>
          <w:p>
            <w:pPr>
              <w:spacing w:after="0" w:line="223" w:lineRule="exact"/>
              <w:rPr>
                <w:sz w:val="20"/>
                <w:szCs w:val="20"/>
                <w:color w:val="auto"/>
              </w:rPr>
            </w:pPr>
            <w:r>
              <w:rPr>
                <w:rFonts w:ascii="Times New Roman" w:cs="Times New Roman" w:eastAsia="Times New Roman" w:hAnsi="Times New Roman"/>
                <w:sz w:val="20"/>
                <w:szCs w:val="20"/>
                <w:color w:val="auto"/>
              </w:rPr>
              <w:t>Future Proposal</w:t>
            </w:r>
          </w:p>
        </w:tc>
      </w:tr>
    </w:tbl>
    <w:p>
      <w:pPr>
        <w:spacing w:after="0" w:line="20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i w:val="1"/>
          <w:iCs w:val="1"/>
          <w:color w:val="auto"/>
        </w:rPr>
        <w:t>1.2</w:t>
      </w:r>
      <w:r>
        <w:rPr>
          <w:sz w:val="20"/>
          <w:szCs w:val="20"/>
          <w:color w:val="auto"/>
        </w:rPr>
        <w:tab/>
      </w:r>
      <w:r>
        <w:rPr>
          <w:rFonts w:ascii="Times New Roman" w:cs="Times New Roman" w:eastAsia="Times New Roman" w:hAnsi="Times New Roman"/>
          <w:sz w:val="19"/>
          <w:szCs w:val="19"/>
          <w:b w:val="1"/>
          <w:bCs w:val="1"/>
          <w:i w:val="1"/>
          <w:iCs w:val="1"/>
          <w:color w:val="auto"/>
        </w:rPr>
        <w:t>Project Scope</w:t>
      </w:r>
    </w:p>
    <w:p>
      <w:pPr>
        <w:spacing w:after="0" w:line="26" w:lineRule="exact"/>
        <w:rPr>
          <w:sz w:val="20"/>
          <w:szCs w:val="20"/>
          <w:color w:val="auto"/>
        </w:rPr>
      </w:pPr>
    </w:p>
    <w:p>
      <w:pPr>
        <w:ind w:left="660" w:right="20"/>
        <w:spacing w:after="0" w:line="246" w:lineRule="auto"/>
        <w:rPr>
          <w:sz w:val="20"/>
          <w:szCs w:val="20"/>
          <w:color w:val="auto"/>
        </w:rPr>
      </w:pPr>
      <w:r>
        <w:rPr>
          <w:rFonts w:ascii="Times New Roman" w:cs="Times New Roman" w:eastAsia="Times New Roman" w:hAnsi="Times New Roman"/>
          <w:sz w:val="20"/>
          <w:szCs w:val="20"/>
          <w:color w:val="auto"/>
        </w:rPr>
        <w:t>The scope of this contract is to execute Phase 2 of the STT MRAM technology development plan which includes PDK development, bit cell array characterization, IC development, and frontend fabrication.</w:t>
      </w:r>
    </w:p>
    <w:p>
      <w:pPr>
        <w:spacing w:after="0" w:line="17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i w:val="1"/>
          <w:iCs w:val="1"/>
          <w:color w:val="auto"/>
        </w:rPr>
        <w:t>2.0</w:t>
      </w:r>
      <w:r>
        <w:rPr>
          <w:sz w:val="20"/>
          <w:szCs w:val="20"/>
          <w:color w:val="auto"/>
        </w:rPr>
        <w:tab/>
      </w:r>
      <w:r>
        <w:rPr>
          <w:rFonts w:ascii="Times New Roman" w:cs="Times New Roman" w:eastAsia="Times New Roman" w:hAnsi="Times New Roman"/>
          <w:sz w:val="19"/>
          <w:szCs w:val="19"/>
          <w:b w:val="1"/>
          <w:bCs w:val="1"/>
          <w:i w:val="1"/>
          <w:iCs w:val="1"/>
          <w:color w:val="auto"/>
        </w:rPr>
        <w:t>Everspin Requirements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contract requirements will be met by completing the following specific tasks.</w:t>
      </w:r>
    </w:p>
    <w:p>
      <w:pPr>
        <w:spacing w:after="0" w:line="19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i w:val="1"/>
          <w:iCs w:val="1"/>
          <w:color w:val="auto"/>
        </w:rPr>
        <w:t>2.1</w:t>
      </w:r>
      <w:r>
        <w:rPr>
          <w:sz w:val="20"/>
          <w:szCs w:val="20"/>
          <w:color w:val="auto"/>
        </w:rPr>
        <w:tab/>
      </w:r>
      <w:r>
        <w:rPr>
          <w:rFonts w:ascii="Times New Roman" w:cs="Times New Roman" w:eastAsia="Times New Roman" w:hAnsi="Times New Roman"/>
          <w:sz w:val="19"/>
          <w:szCs w:val="19"/>
          <w:b w:val="1"/>
          <w:bCs w:val="1"/>
          <w:i w:val="1"/>
          <w:iCs w:val="1"/>
          <w:color w:val="auto"/>
        </w:rPr>
        <w:t>Reference IP Transfer and Training</w:t>
      </w:r>
    </w:p>
    <w:p>
      <w:pPr>
        <w:spacing w:after="0" w:line="1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p>
    <w:p>
      <w:pPr>
        <w:spacing w:after="0" w:line="21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i w:val="1"/>
          <w:iCs w:val="1"/>
          <w:color w:val="auto"/>
        </w:rPr>
        <w:t>2.2</w:t>
      </w:r>
      <w:r>
        <w:rPr>
          <w:sz w:val="20"/>
          <w:szCs w:val="20"/>
          <w:color w:val="auto"/>
        </w:rPr>
        <w:tab/>
      </w:r>
      <w:r>
        <w:rPr>
          <w:rFonts w:ascii="Times New Roman" w:cs="Times New Roman" w:eastAsia="Times New Roman" w:hAnsi="Times New Roman"/>
          <w:sz w:val="19"/>
          <w:szCs w:val="19"/>
          <w:b w:val="1"/>
          <w:bCs w:val="1"/>
          <w:i w:val="1"/>
          <w:iCs w:val="1"/>
          <w:color w:val="auto"/>
        </w:rPr>
        <w:t>Everspin Engineering Support</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53" w:right="999" w:bottom="1440" w:gutter="0" w:footer="0" w:header="0"/>
        </w:sectPr>
      </w:pPr>
    </w:p>
    <w:bookmarkStart w:id="59" w:name="page60"/>
    <w:bookmarkEnd w:id="59"/>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CONFIDENTIAL</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p>
    <w:p>
      <w:pPr>
        <w:spacing w:after="0" w:line="21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i w:val="1"/>
          <w:iCs w:val="1"/>
          <w:color w:val="auto"/>
        </w:rPr>
        <w:t>2.3</w:t>
      </w:r>
      <w:r>
        <w:rPr>
          <w:sz w:val="20"/>
          <w:szCs w:val="20"/>
          <w:color w:val="auto"/>
        </w:rPr>
        <w:tab/>
      </w:r>
      <w:r>
        <w:rPr>
          <w:rFonts w:ascii="Times New Roman" w:cs="Times New Roman" w:eastAsia="Times New Roman" w:hAnsi="Times New Roman"/>
          <w:sz w:val="19"/>
          <w:szCs w:val="19"/>
          <w:b w:val="1"/>
          <w:bCs w:val="1"/>
          <w:i w:val="1"/>
          <w:iCs w:val="1"/>
          <w:color w:val="auto"/>
        </w:rPr>
        <w:t>SW RH90 MRAM Design Rules Document (a.k.a PDK Document)</w:t>
      </w:r>
    </w:p>
    <w:p>
      <w:pPr>
        <w:spacing w:after="0" w:line="1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p>
    <w:p>
      <w:pPr>
        <w:spacing w:after="0" w:line="21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i w:val="1"/>
          <w:iCs w:val="1"/>
          <w:color w:val="auto"/>
        </w:rPr>
        <w:t>3.0</w:t>
      </w:r>
      <w:r>
        <w:rPr>
          <w:sz w:val="20"/>
          <w:szCs w:val="20"/>
          <w:color w:val="auto"/>
        </w:rPr>
        <w:tab/>
      </w:r>
      <w:r>
        <w:rPr>
          <w:rFonts w:ascii="Times New Roman" w:cs="Times New Roman" w:eastAsia="Times New Roman" w:hAnsi="Times New Roman"/>
          <w:sz w:val="19"/>
          <w:szCs w:val="19"/>
          <w:b w:val="1"/>
          <w:bCs w:val="1"/>
          <w:i w:val="1"/>
          <w:iCs w:val="1"/>
          <w:color w:val="auto"/>
        </w:rPr>
        <w:t>Frontgrade Responsibilities to Everspin</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p>
    <w:p>
      <w:pPr>
        <w:spacing w:after="0" w:line="21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i w:val="1"/>
          <w:iCs w:val="1"/>
          <w:color w:val="auto"/>
        </w:rPr>
        <w:t>4.0</w:t>
      </w:r>
      <w:r>
        <w:rPr>
          <w:sz w:val="20"/>
          <w:szCs w:val="20"/>
          <w:color w:val="auto"/>
        </w:rPr>
        <w:tab/>
      </w:r>
      <w:r>
        <w:rPr>
          <w:rFonts w:ascii="Times New Roman" w:cs="Times New Roman" w:eastAsia="Times New Roman" w:hAnsi="Times New Roman"/>
          <w:sz w:val="19"/>
          <w:szCs w:val="19"/>
          <w:b w:val="1"/>
          <w:bCs w:val="1"/>
          <w:i w:val="1"/>
          <w:iCs w:val="1"/>
          <w:color w:val="auto"/>
        </w:rPr>
        <w:t>Milestones and Timeline</w:t>
      </w:r>
    </w:p>
    <w:p>
      <w:pPr>
        <w:spacing w:after="0" w:line="21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b w:val="1"/>
          <w:bCs w:val="1"/>
          <w:color w:val="auto"/>
        </w:rPr>
        <w:t xml:space="preserve">4.1 </w:t>
      </w:r>
      <w:r>
        <w:rPr>
          <w:rFonts w:ascii="Times New Roman" w:cs="Times New Roman" w:eastAsia="Times New Roman" w:hAnsi="Times New Roman"/>
          <w:sz w:val="20"/>
          <w:szCs w:val="20"/>
          <w:color w:val="auto"/>
        </w:rPr>
        <w:t>Milestone Payment Plan, End Deliverables, Acceptance Criteria</w:t>
      </w:r>
    </w:p>
    <w:p>
      <w:pPr>
        <w:spacing w:after="0" w:line="2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i w:val="1"/>
          <w:iCs w:val="1"/>
          <w:color w:val="auto"/>
        </w:rPr>
        <w:t>Table 3. “Milestone Payment and Acceptance”</w:t>
      </w:r>
    </w:p>
    <w:p>
      <w:pPr>
        <w:spacing w:after="0" w:line="236"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960" w:type="dxa"/>
            <w:vAlign w:val="bottom"/>
            <w:tcBorders>
              <w:top w:val="single" w:sz="8" w:color="auto"/>
              <w:left w:val="single" w:sz="8" w:color="auto"/>
              <w:bottom w:val="single" w:sz="8" w:color="auto"/>
            </w:tcBorders>
          </w:tcPr>
          <w:p>
            <w:pPr>
              <w:spacing w:after="0"/>
              <w:rPr>
                <w:sz w:val="19"/>
                <w:szCs w:val="19"/>
                <w:color w:val="auto"/>
              </w:rPr>
            </w:pPr>
          </w:p>
        </w:tc>
        <w:tc>
          <w:tcPr>
            <w:tcW w:w="3120" w:type="dxa"/>
            <w:vAlign w:val="bottom"/>
            <w:tcBorders>
              <w:top w:val="single" w:sz="8" w:color="auto"/>
              <w:bottom w:val="single" w:sz="8" w:color="auto"/>
              <w:right w:val="single" w:sz="8" w:color="auto"/>
            </w:tcBorders>
          </w:tcPr>
          <w:p>
            <w:pPr>
              <w:ind w:left="700"/>
              <w:spacing w:after="0"/>
              <w:rPr>
                <w:sz w:val="20"/>
                <w:szCs w:val="20"/>
                <w:color w:val="auto"/>
              </w:rPr>
            </w:pPr>
            <w:r>
              <w:rPr>
                <w:rFonts w:ascii="Times New Roman" w:cs="Times New Roman" w:eastAsia="Times New Roman" w:hAnsi="Times New Roman"/>
                <w:sz w:val="18"/>
                <w:szCs w:val="18"/>
                <w:b w:val="1"/>
                <w:bCs w:val="1"/>
                <w:color w:val="auto"/>
              </w:rPr>
              <w:t>Milestone</w:t>
            </w:r>
          </w:p>
        </w:tc>
        <w:tc>
          <w:tcPr>
            <w:tcW w:w="980" w:type="dxa"/>
            <w:vAlign w:val="bottom"/>
            <w:tcBorders>
              <w:top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Deliverable</w:t>
            </w:r>
          </w:p>
        </w:tc>
        <w:tc>
          <w:tcPr>
            <w:tcW w:w="1740" w:type="dxa"/>
            <w:vAlign w:val="bottom"/>
            <w:tcBorders>
              <w:top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Acceptance Criteria</w:t>
            </w:r>
          </w:p>
        </w:tc>
        <w:tc>
          <w:tcPr>
            <w:tcW w:w="1720" w:type="dxa"/>
            <w:vAlign w:val="bottom"/>
            <w:tcBorders>
              <w:top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Payment Amount</w:t>
            </w:r>
          </w:p>
        </w:tc>
        <w:tc>
          <w:tcPr>
            <w:tcW w:w="14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Notional Date</w:t>
            </w:r>
          </w:p>
        </w:tc>
      </w:tr>
      <w:tr>
        <w:trPr>
          <w:trHeight w:val="209"/>
        </w:trPr>
        <w:tc>
          <w:tcPr>
            <w:tcW w:w="960" w:type="dxa"/>
            <w:vAlign w:val="bottom"/>
            <w:tcBorders>
              <w:left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w w:val="98"/>
              </w:rPr>
              <w:t>Milestone 1</w:t>
            </w:r>
          </w:p>
        </w:tc>
        <w:tc>
          <w:tcPr>
            <w:tcW w:w="31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 Design License</w:t>
            </w:r>
          </w:p>
        </w:tc>
        <w:tc>
          <w:tcPr>
            <w:tcW w:w="9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960" w:type="dxa"/>
            <w:vAlign w:val="bottom"/>
            <w:tcBorders>
              <w:left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w w:val="98"/>
              </w:rPr>
              <w:t>Milestone 2</w:t>
            </w:r>
          </w:p>
        </w:tc>
        <w:tc>
          <w:tcPr>
            <w:tcW w:w="31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 PDK Document</w:t>
            </w:r>
          </w:p>
        </w:tc>
        <w:tc>
          <w:tcPr>
            <w:tcW w:w="9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960" w:type="dxa"/>
            <w:vAlign w:val="bottom"/>
            <w:tcBorders>
              <w:left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w w:val="98"/>
              </w:rPr>
              <w:t>Milestone 3</w:t>
            </w:r>
          </w:p>
        </w:tc>
        <w:tc>
          <w:tcPr>
            <w:tcW w:w="31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 MUX Training &amp; Mini Workshops</w:t>
            </w:r>
          </w:p>
        </w:tc>
        <w:tc>
          <w:tcPr>
            <w:tcW w:w="9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960" w:type="dxa"/>
            <w:vAlign w:val="bottom"/>
            <w:tcBorders>
              <w:left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w w:val="98"/>
              </w:rPr>
              <w:t>Milestone 4</w:t>
            </w:r>
          </w:p>
        </w:tc>
        <w:tc>
          <w:tcPr>
            <w:tcW w:w="31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 Tape-out</w:t>
            </w:r>
          </w:p>
        </w:tc>
        <w:tc>
          <w:tcPr>
            <w:tcW w:w="9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960" w:type="dxa"/>
            <w:vAlign w:val="bottom"/>
            <w:tcBorders>
              <w:left w:val="single" w:sz="8" w:color="auto"/>
              <w:bottom w:val="single" w:sz="8" w:color="auto"/>
            </w:tcBorders>
          </w:tcPr>
          <w:p>
            <w:pPr>
              <w:spacing w:after="0"/>
              <w:rPr>
                <w:sz w:val="18"/>
                <w:szCs w:val="18"/>
                <w:color w:val="auto"/>
              </w:rPr>
            </w:pPr>
          </w:p>
        </w:tc>
        <w:tc>
          <w:tcPr>
            <w:tcW w:w="312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spacing w:after="0"/>
              <w:rPr>
                <w:sz w:val="18"/>
                <w:szCs w:val="18"/>
                <w:color w:val="auto"/>
              </w:rPr>
            </w:pPr>
          </w:p>
        </w:tc>
        <w:tc>
          <w:tcPr>
            <w:tcW w:w="1740" w:type="dxa"/>
            <w:vAlign w:val="bottom"/>
            <w:tcBorders>
              <w:bottom w:val="single" w:sz="8" w:color="auto"/>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w w:val="92"/>
              </w:rPr>
              <w:t>Total:</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$1,250,000</w:t>
            </w:r>
          </w:p>
        </w:tc>
        <w:tc>
          <w:tcPr>
            <w:tcW w:w="1420" w:type="dxa"/>
            <w:vAlign w:val="bottom"/>
            <w:tcBorders>
              <w:bottom w:val="single" w:sz="8" w:color="auto"/>
              <w:right w:val="single" w:sz="8" w:color="auto"/>
            </w:tcBorders>
          </w:tcPr>
          <w:p>
            <w:pPr>
              <w:spacing w:after="0"/>
              <w:rPr>
                <w:sz w:val="18"/>
                <w:szCs w:val="18"/>
                <w:color w:val="auto"/>
              </w:rPr>
            </w:pPr>
          </w:p>
        </w:tc>
      </w:tr>
    </w:tbl>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b w:val="1"/>
          <w:bCs w:val="1"/>
          <w:color w:val="auto"/>
        </w:rPr>
        <w:t xml:space="preserve">4.2 </w:t>
      </w:r>
      <w:r>
        <w:rPr>
          <w:rFonts w:ascii="Times New Roman" w:cs="Times New Roman" w:eastAsia="Times New Roman" w:hAnsi="Times New Roman"/>
          <w:sz w:val="20"/>
          <w:szCs w:val="20"/>
          <w:color w:val="auto"/>
        </w:rPr>
        <w:t>Holistic Program Timeline Targets</w:t>
      </w:r>
    </w:p>
    <w:p>
      <w:pPr>
        <w:spacing w:after="0" w:line="26" w:lineRule="exact"/>
        <w:rPr>
          <w:sz w:val="20"/>
          <w:szCs w:val="20"/>
          <w:color w:val="auto"/>
        </w:rPr>
      </w:pPr>
    </w:p>
    <w:p>
      <w:pPr>
        <w:ind w:left="340" w:right="280"/>
        <w:spacing w:after="0" w:line="242" w:lineRule="auto"/>
        <w:rPr>
          <w:sz w:val="20"/>
          <w:szCs w:val="20"/>
          <w:color w:val="auto"/>
        </w:rPr>
      </w:pPr>
      <w:r>
        <w:rPr>
          <w:rFonts w:ascii="Times New Roman" w:cs="Times New Roman" w:eastAsia="Times New Roman" w:hAnsi="Times New Roman"/>
          <w:sz w:val="20"/>
          <w:szCs w:val="20"/>
          <w:color w:val="auto"/>
        </w:rPr>
        <w:t>The Parties recognize that all these dates are estimates and completing the work of this SOW within the specified timeframe, scope or within the limits of financial support allocated is not guaranteed but will use reasonable efforts to meet these targets.</w:t>
      </w:r>
    </w:p>
    <w:p>
      <w:pPr>
        <w:spacing w:after="0" w:line="18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i w:val="1"/>
          <w:iCs w:val="1"/>
          <w:color w:val="auto"/>
        </w:rPr>
        <w:t>Table 4. “Holistic Program Schedule Milestones”</w:t>
      </w:r>
    </w:p>
    <w:p>
      <w:pPr>
        <w:spacing w:after="0" w:line="236" w:lineRule="exact"/>
        <w:rPr>
          <w:sz w:val="20"/>
          <w:szCs w:val="20"/>
          <w:color w:val="auto"/>
        </w:rPr>
      </w:pPr>
    </w:p>
    <w:tbl>
      <w:tblPr>
        <w:tblLayout w:type="fixed"/>
        <w:tblInd w:w="1010" w:type="dxa"/>
        <w:tblCellMar>
          <w:top w:w="0" w:type="dxa"/>
          <w:left w:w="0" w:type="dxa"/>
          <w:bottom w:w="0" w:type="dxa"/>
          <w:right w:w="0" w:type="dxa"/>
        </w:tblCellMar>
      </w:tblPr>
      <w:tr>
        <w:trPr>
          <w:trHeight w:val="248"/>
        </w:trPr>
        <w:tc>
          <w:tcPr>
            <w:tcW w:w="62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Phase</w:t>
            </w:r>
          </w:p>
        </w:tc>
        <w:tc>
          <w:tcPr>
            <w:tcW w:w="13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Timeline</w:t>
            </w:r>
          </w:p>
        </w:tc>
        <w:tc>
          <w:tcPr>
            <w:tcW w:w="2380" w:type="dxa"/>
            <w:vAlign w:val="bottom"/>
            <w:tcBorders>
              <w:top w:val="single" w:sz="8" w:color="auto"/>
              <w:right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color w:val="auto"/>
              </w:rPr>
              <w:t>Deliverable</w:t>
            </w:r>
          </w:p>
        </w:tc>
        <w:tc>
          <w:tcPr>
            <w:tcW w:w="13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Responsible Party</w:t>
            </w:r>
          </w:p>
        </w:tc>
        <w:tc>
          <w:tcPr>
            <w:tcW w:w="10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Frontgrade $</w:t>
            </w:r>
          </w:p>
        </w:tc>
        <w:tc>
          <w:tcPr>
            <w:tcW w:w="1160" w:type="dxa"/>
            <w:vAlign w:val="bottom"/>
            <w:tcBorders>
              <w:top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Everspin $</w:t>
            </w:r>
          </w:p>
        </w:tc>
      </w:tr>
      <w:tr>
        <w:trPr>
          <w:trHeight w:val="22"/>
        </w:trPr>
        <w:tc>
          <w:tcPr>
            <w:tcW w:w="6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380" w:type="dxa"/>
            <w:vAlign w:val="bottom"/>
            <w:tcBorders>
              <w:bottom w:val="single" w:sz="8" w:color="auto"/>
              <w:right w:val="single" w:sz="8" w:color="auto"/>
            </w:tcBorders>
          </w:tcPr>
          <w:p>
            <w:pPr>
              <w:spacing w:after="0" w:line="20" w:lineRule="exact"/>
              <w:rPr>
                <w:sz w:val="1"/>
                <w:szCs w:val="1"/>
                <w:color w:val="auto"/>
              </w:rPr>
            </w:pPr>
          </w:p>
        </w:tc>
        <w:tc>
          <w:tcPr>
            <w:tcW w:w="2380" w:type="dxa"/>
            <w:vAlign w:val="bottom"/>
            <w:tcBorders>
              <w:bottom w:val="single" w:sz="8" w:color="auto"/>
              <w:right w:val="single" w:sz="8" w:color="auto"/>
            </w:tcBorders>
          </w:tcPr>
          <w:p>
            <w:pPr>
              <w:spacing w:after="0" w:line="20" w:lineRule="exact"/>
              <w:rPr>
                <w:sz w:val="1"/>
                <w:szCs w:val="1"/>
                <w:color w:val="auto"/>
              </w:rPr>
            </w:pPr>
          </w:p>
        </w:tc>
        <w:tc>
          <w:tcPr>
            <w:tcW w:w="1380" w:type="dxa"/>
            <w:vAlign w:val="bottom"/>
            <w:tcBorders>
              <w:bottom w:val="single" w:sz="8" w:color="auto"/>
              <w:right w:val="single" w:sz="8" w:color="auto"/>
            </w:tcBorders>
          </w:tcPr>
          <w:p>
            <w:pPr>
              <w:spacing w:after="0" w:line="20" w:lineRule="exact"/>
              <w:rPr>
                <w:sz w:val="1"/>
                <w:szCs w:val="1"/>
                <w:color w:val="auto"/>
              </w:rPr>
            </w:pPr>
          </w:p>
        </w:tc>
        <w:tc>
          <w:tcPr>
            <w:tcW w:w="1040" w:type="dxa"/>
            <w:vAlign w:val="bottom"/>
            <w:tcBorders>
              <w:bottom w:val="single" w:sz="8" w:color="auto"/>
              <w:right w:val="single" w:sz="8" w:color="auto"/>
            </w:tcBorders>
          </w:tcPr>
          <w:p>
            <w:pPr>
              <w:spacing w:after="0" w:line="20" w:lineRule="exact"/>
              <w:rPr>
                <w:sz w:val="1"/>
                <w:szCs w:val="1"/>
                <w:color w:val="auto"/>
              </w:rPr>
            </w:pPr>
          </w:p>
        </w:tc>
        <w:tc>
          <w:tcPr>
            <w:tcW w:w="1160" w:type="dxa"/>
            <w:vAlign w:val="bottom"/>
            <w:tcBorders>
              <w:bottom w:val="single" w:sz="8" w:color="auto"/>
              <w:right w:val="single" w:sz="8" w:color="auto"/>
            </w:tcBorders>
          </w:tcPr>
          <w:p>
            <w:pPr>
              <w:spacing w:after="0" w:line="20" w:lineRule="exact"/>
              <w:rPr>
                <w:sz w:val="1"/>
                <w:szCs w:val="1"/>
                <w:color w:val="auto"/>
              </w:rPr>
            </w:pPr>
          </w:p>
        </w:tc>
      </w:tr>
      <w:tr>
        <w:trPr>
          <w:trHeight w:val="255"/>
        </w:trPr>
        <w:tc>
          <w:tcPr>
            <w:tcW w:w="620" w:type="dxa"/>
            <w:vAlign w:val="bottom"/>
            <w:tcBorders>
              <w:left w:val="single" w:sz="8" w:color="auto"/>
              <w:bottom w:val="single" w:sz="8" w:color="FDE9D9"/>
              <w:right w:val="single" w:sz="8" w:color="auto"/>
            </w:tcBorders>
            <w:shd w:val="clear" w:color="auto" w:fill="FDE9D9"/>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380" w:type="dxa"/>
            <w:vAlign w:val="bottom"/>
            <w:tcBorders>
              <w:bottom w:val="single" w:sz="8" w:color="FDE9D9"/>
              <w:right w:val="single" w:sz="8" w:color="auto"/>
            </w:tcBorders>
            <w:shd w:val="clear" w:color="auto" w:fill="FDE9D9"/>
          </w:tcPr>
          <w:p>
            <w:pPr>
              <w:jc w:val="center"/>
              <w:spacing w:after="0"/>
              <w:rPr>
                <w:sz w:val="20"/>
                <w:szCs w:val="20"/>
                <w:color w:val="auto"/>
              </w:rPr>
            </w:pPr>
            <w:r>
              <w:rPr>
                <w:rFonts w:ascii="Times New Roman" w:cs="Times New Roman" w:eastAsia="Times New Roman" w:hAnsi="Times New Roman"/>
                <w:sz w:val="18"/>
                <w:szCs w:val="18"/>
                <w:color w:val="auto"/>
                <w:w w:val="97"/>
              </w:rPr>
              <w:t>[***]</w:t>
            </w:r>
          </w:p>
        </w:tc>
        <w:tc>
          <w:tcPr>
            <w:tcW w:w="2380" w:type="dxa"/>
            <w:vAlign w:val="bottom"/>
            <w:tcBorders>
              <w:bottom w:val="single" w:sz="8" w:color="FDE9D9"/>
              <w:right w:val="single" w:sz="8" w:color="auto"/>
            </w:tcBorders>
            <w:shd w:val="clear" w:color="auto" w:fill="FDE9D9"/>
          </w:tcPr>
          <w:p>
            <w:pPr>
              <w:jc w:val="right"/>
              <w:ind w:right="1910"/>
              <w:spacing w:after="0"/>
              <w:rPr>
                <w:sz w:val="20"/>
                <w:szCs w:val="20"/>
                <w:color w:val="auto"/>
              </w:rPr>
            </w:pPr>
            <w:r>
              <w:rPr>
                <w:rFonts w:ascii="Times New Roman" w:cs="Times New Roman" w:eastAsia="Times New Roman" w:hAnsi="Times New Roman"/>
                <w:sz w:val="18"/>
                <w:szCs w:val="18"/>
                <w:color w:val="auto"/>
                <w:w w:val="92"/>
              </w:rPr>
              <w:t>[***]</w:t>
            </w:r>
          </w:p>
        </w:tc>
        <w:tc>
          <w:tcPr>
            <w:tcW w:w="1380" w:type="dxa"/>
            <w:vAlign w:val="bottom"/>
            <w:tcBorders>
              <w:bottom w:val="single" w:sz="8" w:color="FDE9D9"/>
              <w:right w:val="single" w:sz="8" w:color="auto"/>
            </w:tcBorders>
            <w:shd w:val="clear" w:color="auto" w:fill="FDE9D9"/>
          </w:tcPr>
          <w:p>
            <w:pPr>
              <w:jc w:val="center"/>
              <w:spacing w:after="0"/>
              <w:rPr>
                <w:sz w:val="20"/>
                <w:szCs w:val="20"/>
                <w:color w:val="auto"/>
              </w:rPr>
            </w:pPr>
            <w:r>
              <w:rPr>
                <w:rFonts w:ascii="Times New Roman" w:cs="Times New Roman" w:eastAsia="Times New Roman" w:hAnsi="Times New Roman"/>
                <w:sz w:val="18"/>
                <w:szCs w:val="18"/>
                <w:color w:val="auto"/>
                <w:w w:val="97"/>
              </w:rPr>
              <w:t>[***]</w:t>
            </w:r>
          </w:p>
        </w:tc>
        <w:tc>
          <w:tcPr>
            <w:tcW w:w="1040" w:type="dxa"/>
            <w:vAlign w:val="bottom"/>
            <w:tcBorders>
              <w:bottom w:val="single" w:sz="8" w:color="FDE9D9"/>
              <w:right w:val="single" w:sz="8" w:color="auto"/>
            </w:tcBorders>
            <w:shd w:val="clear" w:color="auto" w:fill="FDE9D9"/>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FDE9D9"/>
              <w:right w:val="single" w:sz="8" w:color="auto"/>
            </w:tcBorders>
            <w:shd w:val="clear" w:color="auto" w:fill="FDE9D9"/>
          </w:tcPr>
          <w:p>
            <w:pPr>
              <w:jc w:val="center"/>
              <w:spacing w:after="0"/>
              <w:rPr>
                <w:sz w:val="20"/>
                <w:szCs w:val="20"/>
                <w:color w:val="auto"/>
              </w:rPr>
            </w:pPr>
            <w:r>
              <w:rPr>
                <w:rFonts w:ascii="Times New Roman" w:cs="Times New Roman" w:eastAsia="Times New Roman" w:hAnsi="Times New Roman"/>
                <w:sz w:val="18"/>
                <w:szCs w:val="18"/>
                <w:color w:val="auto"/>
                <w:w w:val="97"/>
              </w:rPr>
              <w:t>[***]</w:t>
            </w:r>
          </w:p>
        </w:tc>
      </w:tr>
      <w:tr>
        <w:trPr>
          <w:trHeight w:val="255"/>
        </w:trPr>
        <w:tc>
          <w:tcPr>
            <w:tcW w:w="620" w:type="dxa"/>
            <w:vAlign w:val="bottom"/>
            <w:tcBorders>
              <w:top w:val="single" w:sz="8" w:color="auto"/>
              <w:left w:val="single" w:sz="8" w:color="auto"/>
              <w:bottom w:val="single" w:sz="8" w:color="FDE9D9"/>
              <w:right w:val="single" w:sz="8" w:color="auto"/>
            </w:tcBorders>
            <w:shd w:val="clear" w:color="auto" w:fill="FDE9D9"/>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380" w:type="dxa"/>
            <w:vAlign w:val="bottom"/>
            <w:tcBorders>
              <w:top w:val="single" w:sz="8" w:color="auto"/>
              <w:bottom w:val="single" w:sz="8" w:color="FDE9D9"/>
              <w:right w:val="single" w:sz="8" w:color="auto"/>
            </w:tcBorders>
            <w:shd w:val="clear" w:color="auto" w:fill="FDE9D9"/>
          </w:tcPr>
          <w:p>
            <w:pPr>
              <w:jc w:val="center"/>
              <w:spacing w:after="0"/>
              <w:rPr>
                <w:sz w:val="20"/>
                <w:szCs w:val="20"/>
                <w:color w:val="auto"/>
              </w:rPr>
            </w:pPr>
            <w:r>
              <w:rPr>
                <w:rFonts w:ascii="Times New Roman" w:cs="Times New Roman" w:eastAsia="Times New Roman" w:hAnsi="Times New Roman"/>
                <w:sz w:val="18"/>
                <w:szCs w:val="18"/>
                <w:color w:val="auto"/>
                <w:w w:val="97"/>
              </w:rPr>
              <w:t>[***]</w:t>
            </w:r>
          </w:p>
        </w:tc>
        <w:tc>
          <w:tcPr>
            <w:tcW w:w="2380" w:type="dxa"/>
            <w:vAlign w:val="bottom"/>
            <w:tcBorders>
              <w:top w:val="single" w:sz="8" w:color="auto"/>
              <w:bottom w:val="single" w:sz="8" w:color="FDE9D9"/>
              <w:right w:val="single" w:sz="8" w:color="auto"/>
            </w:tcBorders>
            <w:shd w:val="clear" w:color="auto" w:fill="FDE9D9"/>
          </w:tcPr>
          <w:p>
            <w:pPr>
              <w:jc w:val="right"/>
              <w:ind w:right="1910"/>
              <w:spacing w:after="0"/>
              <w:rPr>
                <w:sz w:val="20"/>
                <w:szCs w:val="20"/>
                <w:color w:val="auto"/>
              </w:rPr>
            </w:pPr>
            <w:r>
              <w:rPr>
                <w:rFonts w:ascii="Times New Roman" w:cs="Times New Roman" w:eastAsia="Times New Roman" w:hAnsi="Times New Roman"/>
                <w:sz w:val="18"/>
                <w:szCs w:val="18"/>
                <w:color w:val="auto"/>
                <w:w w:val="92"/>
              </w:rPr>
              <w:t>[***]</w:t>
            </w:r>
          </w:p>
        </w:tc>
        <w:tc>
          <w:tcPr>
            <w:tcW w:w="1380" w:type="dxa"/>
            <w:vAlign w:val="bottom"/>
            <w:tcBorders>
              <w:top w:val="single" w:sz="8" w:color="auto"/>
              <w:bottom w:val="single" w:sz="8" w:color="FDE9D9"/>
              <w:right w:val="single" w:sz="8" w:color="auto"/>
            </w:tcBorders>
            <w:shd w:val="clear" w:color="auto" w:fill="FDE9D9"/>
          </w:tcPr>
          <w:p>
            <w:pPr>
              <w:jc w:val="center"/>
              <w:spacing w:after="0"/>
              <w:rPr>
                <w:sz w:val="20"/>
                <w:szCs w:val="20"/>
                <w:color w:val="auto"/>
              </w:rPr>
            </w:pPr>
            <w:r>
              <w:rPr>
                <w:rFonts w:ascii="Times New Roman" w:cs="Times New Roman" w:eastAsia="Times New Roman" w:hAnsi="Times New Roman"/>
                <w:sz w:val="18"/>
                <w:szCs w:val="18"/>
                <w:color w:val="auto"/>
                <w:w w:val="97"/>
              </w:rPr>
              <w:t>[***]</w:t>
            </w:r>
          </w:p>
        </w:tc>
        <w:tc>
          <w:tcPr>
            <w:tcW w:w="1040" w:type="dxa"/>
            <w:vAlign w:val="bottom"/>
            <w:tcBorders>
              <w:top w:val="single" w:sz="8" w:color="auto"/>
              <w:bottom w:val="single" w:sz="8" w:color="FDE9D9"/>
              <w:right w:val="single" w:sz="8" w:color="auto"/>
            </w:tcBorders>
            <w:shd w:val="clear" w:color="auto" w:fill="FDE9D9"/>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FDE9D9"/>
              <w:right w:val="single" w:sz="8" w:color="auto"/>
            </w:tcBorders>
            <w:shd w:val="clear" w:color="auto" w:fill="FDE9D9"/>
          </w:tcPr>
          <w:p>
            <w:pPr>
              <w:jc w:val="center"/>
              <w:spacing w:after="0"/>
              <w:rPr>
                <w:sz w:val="20"/>
                <w:szCs w:val="20"/>
                <w:color w:val="auto"/>
              </w:rPr>
            </w:pPr>
            <w:r>
              <w:rPr>
                <w:rFonts w:ascii="Times New Roman" w:cs="Times New Roman" w:eastAsia="Times New Roman" w:hAnsi="Times New Roman"/>
                <w:sz w:val="18"/>
                <w:szCs w:val="18"/>
                <w:color w:val="auto"/>
                <w:w w:val="97"/>
              </w:rPr>
              <w:t>[***]</w:t>
            </w:r>
          </w:p>
        </w:tc>
      </w:tr>
      <w:tr>
        <w:trPr>
          <w:trHeight w:val="255"/>
        </w:trPr>
        <w:tc>
          <w:tcPr>
            <w:tcW w:w="620" w:type="dxa"/>
            <w:vAlign w:val="bottom"/>
            <w:tcBorders>
              <w:top w:val="single" w:sz="8" w:color="auto"/>
              <w:left w:val="single" w:sz="8" w:color="auto"/>
              <w:bottom w:val="single" w:sz="8" w:color="FDE9D9"/>
              <w:right w:val="single" w:sz="8" w:color="auto"/>
            </w:tcBorders>
            <w:shd w:val="clear" w:color="auto" w:fill="FDE9D9"/>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380" w:type="dxa"/>
            <w:vAlign w:val="bottom"/>
            <w:tcBorders>
              <w:top w:val="single" w:sz="8" w:color="auto"/>
              <w:bottom w:val="single" w:sz="8" w:color="FDE9D9"/>
              <w:right w:val="single" w:sz="8" w:color="auto"/>
            </w:tcBorders>
            <w:shd w:val="clear" w:color="auto" w:fill="FDE9D9"/>
          </w:tcPr>
          <w:p>
            <w:pPr>
              <w:jc w:val="center"/>
              <w:spacing w:after="0"/>
              <w:rPr>
                <w:sz w:val="20"/>
                <w:szCs w:val="20"/>
                <w:color w:val="auto"/>
              </w:rPr>
            </w:pPr>
            <w:r>
              <w:rPr>
                <w:rFonts w:ascii="Times New Roman" w:cs="Times New Roman" w:eastAsia="Times New Roman" w:hAnsi="Times New Roman"/>
                <w:sz w:val="18"/>
                <w:szCs w:val="18"/>
                <w:color w:val="auto"/>
                <w:w w:val="97"/>
              </w:rPr>
              <w:t>[***]</w:t>
            </w:r>
          </w:p>
        </w:tc>
        <w:tc>
          <w:tcPr>
            <w:tcW w:w="2380" w:type="dxa"/>
            <w:vAlign w:val="bottom"/>
            <w:tcBorders>
              <w:top w:val="single" w:sz="8" w:color="auto"/>
              <w:bottom w:val="single" w:sz="8" w:color="FDE9D9"/>
              <w:right w:val="single" w:sz="8" w:color="auto"/>
            </w:tcBorders>
            <w:shd w:val="clear" w:color="auto" w:fill="FDE9D9"/>
          </w:tcPr>
          <w:p>
            <w:pPr>
              <w:jc w:val="right"/>
              <w:ind w:right="1910"/>
              <w:spacing w:after="0"/>
              <w:rPr>
                <w:sz w:val="20"/>
                <w:szCs w:val="20"/>
                <w:color w:val="auto"/>
              </w:rPr>
            </w:pPr>
            <w:r>
              <w:rPr>
                <w:rFonts w:ascii="Times New Roman" w:cs="Times New Roman" w:eastAsia="Times New Roman" w:hAnsi="Times New Roman"/>
                <w:sz w:val="18"/>
                <w:szCs w:val="18"/>
                <w:color w:val="auto"/>
                <w:w w:val="92"/>
              </w:rPr>
              <w:t>[***]</w:t>
            </w:r>
          </w:p>
        </w:tc>
        <w:tc>
          <w:tcPr>
            <w:tcW w:w="1380" w:type="dxa"/>
            <w:vAlign w:val="bottom"/>
            <w:tcBorders>
              <w:top w:val="single" w:sz="8" w:color="auto"/>
              <w:bottom w:val="single" w:sz="8" w:color="FDE9D9"/>
              <w:right w:val="single" w:sz="8" w:color="auto"/>
            </w:tcBorders>
            <w:shd w:val="clear" w:color="auto" w:fill="FDE9D9"/>
          </w:tcPr>
          <w:p>
            <w:pPr>
              <w:jc w:val="center"/>
              <w:spacing w:after="0"/>
              <w:rPr>
                <w:sz w:val="20"/>
                <w:szCs w:val="20"/>
                <w:color w:val="auto"/>
              </w:rPr>
            </w:pPr>
            <w:r>
              <w:rPr>
                <w:rFonts w:ascii="Times New Roman" w:cs="Times New Roman" w:eastAsia="Times New Roman" w:hAnsi="Times New Roman"/>
                <w:sz w:val="18"/>
                <w:szCs w:val="18"/>
                <w:color w:val="auto"/>
                <w:w w:val="97"/>
              </w:rPr>
              <w:t>[***]</w:t>
            </w:r>
          </w:p>
        </w:tc>
        <w:tc>
          <w:tcPr>
            <w:tcW w:w="1040" w:type="dxa"/>
            <w:vAlign w:val="bottom"/>
            <w:tcBorders>
              <w:top w:val="single" w:sz="8" w:color="auto"/>
              <w:bottom w:val="single" w:sz="8" w:color="FDE9D9"/>
              <w:right w:val="single" w:sz="8" w:color="auto"/>
            </w:tcBorders>
            <w:shd w:val="clear" w:color="auto" w:fill="FDE9D9"/>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FDE9D9"/>
              <w:right w:val="single" w:sz="8" w:color="auto"/>
            </w:tcBorders>
            <w:shd w:val="clear" w:color="auto" w:fill="FDE9D9"/>
          </w:tcPr>
          <w:p>
            <w:pPr>
              <w:spacing w:after="0"/>
              <w:rPr>
                <w:sz w:val="21"/>
                <w:szCs w:val="21"/>
                <w:color w:val="auto"/>
              </w:rPr>
            </w:pPr>
          </w:p>
        </w:tc>
      </w:tr>
      <w:tr>
        <w:trPr>
          <w:trHeight w:val="255"/>
        </w:trPr>
        <w:tc>
          <w:tcPr>
            <w:tcW w:w="620" w:type="dxa"/>
            <w:vAlign w:val="bottom"/>
            <w:tcBorders>
              <w:top w:val="single" w:sz="8" w:color="auto"/>
              <w:left w:val="single" w:sz="8" w:color="auto"/>
              <w:bottom w:val="single" w:sz="8" w:color="FDE9D9"/>
              <w:right w:val="single" w:sz="8" w:color="auto"/>
            </w:tcBorders>
            <w:shd w:val="clear" w:color="auto" w:fill="FDE9D9"/>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380" w:type="dxa"/>
            <w:vAlign w:val="bottom"/>
            <w:tcBorders>
              <w:top w:val="single" w:sz="8" w:color="auto"/>
              <w:bottom w:val="single" w:sz="8" w:color="FDE9D9"/>
              <w:right w:val="single" w:sz="8" w:color="auto"/>
            </w:tcBorders>
            <w:shd w:val="clear" w:color="auto" w:fill="FDE9D9"/>
          </w:tcPr>
          <w:p>
            <w:pPr>
              <w:jc w:val="center"/>
              <w:spacing w:after="0"/>
              <w:rPr>
                <w:sz w:val="20"/>
                <w:szCs w:val="20"/>
                <w:color w:val="auto"/>
              </w:rPr>
            </w:pPr>
            <w:r>
              <w:rPr>
                <w:rFonts w:ascii="Times New Roman" w:cs="Times New Roman" w:eastAsia="Times New Roman" w:hAnsi="Times New Roman"/>
                <w:sz w:val="18"/>
                <w:szCs w:val="18"/>
                <w:color w:val="auto"/>
                <w:w w:val="97"/>
              </w:rPr>
              <w:t>[***]</w:t>
            </w:r>
          </w:p>
        </w:tc>
        <w:tc>
          <w:tcPr>
            <w:tcW w:w="2380" w:type="dxa"/>
            <w:vAlign w:val="bottom"/>
            <w:tcBorders>
              <w:top w:val="single" w:sz="8" w:color="auto"/>
              <w:bottom w:val="single" w:sz="8" w:color="FDE9D9"/>
              <w:right w:val="single" w:sz="8" w:color="auto"/>
            </w:tcBorders>
            <w:shd w:val="clear" w:color="auto" w:fill="FDE9D9"/>
          </w:tcPr>
          <w:p>
            <w:pPr>
              <w:jc w:val="right"/>
              <w:ind w:right="1910"/>
              <w:spacing w:after="0"/>
              <w:rPr>
                <w:sz w:val="20"/>
                <w:szCs w:val="20"/>
                <w:color w:val="auto"/>
              </w:rPr>
            </w:pPr>
            <w:r>
              <w:rPr>
                <w:rFonts w:ascii="Times New Roman" w:cs="Times New Roman" w:eastAsia="Times New Roman" w:hAnsi="Times New Roman"/>
                <w:sz w:val="18"/>
                <w:szCs w:val="18"/>
                <w:color w:val="auto"/>
                <w:w w:val="92"/>
              </w:rPr>
              <w:t>[***]</w:t>
            </w:r>
          </w:p>
        </w:tc>
        <w:tc>
          <w:tcPr>
            <w:tcW w:w="1380" w:type="dxa"/>
            <w:vAlign w:val="bottom"/>
            <w:tcBorders>
              <w:top w:val="single" w:sz="8" w:color="auto"/>
              <w:bottom w:val="single" w:sz="8" w:color="FDE9D9"/>
              <w:right w:val="single" w:sz="8" w:color="auto"/>
            </w:tcBorders>
            <w:shd w:val="clear" w:color="auto" w:fill="FDE9D9"/>
          </w:tcPr>
          <w:p>
            <w:pPr>
              <w:jc w:val="center"/>
              <w:spacing w:after="0"/>
              <w:rPr>
                <w:sz w:val="20"/>
                <w:szCs w:val="20"/>
                <w:color w:val="auto"/>
              </w:rPr>
            </w:pPr>
            <w:r>
              <w:rPr>
                <w:rFonts w:ascii="Times New Roman" w:cs="Times New Roman" w:eastAsia="Times New Roman" w:hAnsi="Times New Roman"/>
                <w:sz w:val="18"/>
                <w:szCs w:val="18"/>
                <w:color w:val="auto"/>
                <w:w w:val="97"/>
              </w:rPr>
              <w:t>[***]</w:t>
            </w:r>
          </w:p>
        </w:tc>
        <w:tc>
          <w:tcPr>
            <w:tcW w:w="1040" w:type="dxa"/>
            <w:vAlign w:val="bottom"/>
            <w:tcBorders>
              <w:top w:val="single" w:sz="8" w:color="auto"/>
              <w:bottom w:val="single" w:sz="8" w:color="FDE9D9"/>
              <w:right w:val="single" w:sz="8" w:color="auto"/>
            </w:tcBorders>
            <w:shd w:val="clear" w:color="auto" w:fill="FDE9D9"/>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FDE9D9"/>
              <w:right w:val="single" w:sz="8" w:color="auto"/>
            </w:tcBorders>
            <w:shd w:val="clear" w:color="auto" w:fill="FDE9D9"/>
          </w:tcPr>
          <w:p>
            <w:pPr>
              <w:jc w:val="center"/>
              <w:spacing w:after="0"/>
              <w:rPr>
                <w:sz w:val="20"/>
                <w:szCs w:val="20"/>
                <w:color w:val="auto"/>
              </w:rPr>
            </w:pPr>
            <w:r>
              <w:rPr>
                <w:rFonts w:ascii="Times New Roman" w:cs="Times New Roman" w:eastAsia="Times New Roman" w:hAnsi="Times New Roman"/>
                <w:sz w:val="18"/>
                <w:szCs w:val="18"/>
                <w:color w:val="auto"/>
                <w:w w:val="97"/>
              </w:rPr>
              <w:t>[***]</w:t>
            </w:r>
          </w:p>
        </w:tc>
      </w:tr>
      <w:tr>
        <w:trPr>
          <w:trHeight w:val="255"/>
        </w:trPr>
        <w:tc>
          <w:tcPr>
            <w:tcW w:w="620" w:type="dxa"/>
            <w:vAlign w:val="bottom"/>
            <w:tcBorders>
              <w:top w:val="single" w:sz="8" w:color="auto"/>
              <w:left w:val="single" w:sz="8" w:color="auto"/>
              <w:bottom w:val="single" w:sz="8" w:color="FDE9D9"/>
              <w:right w:val="single" w:sz="8" w:color="auto"/>
            </w:tcBorders>
            <w:shd w:val="clear" w:color="auto" w:fill="FDE9D9"/>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380" w:type="dxa"/>
            <w:vAlign w:val="bottom"/>
            <w:tcBorders>
              <w:top w:val="single" w:sz="8" w:color="auto"/>
              <w:bottom w:val="single" w:sz="8" w:color="FDE9D9"/>
              <w:right w:val="single" w:sz="8" w:color="auto"/>
            </w:tcBorders>
            <w:shd w:val="clear" w:color="auto" w:fill="FDE9D9"/>
          </w:tcPr>
          <w:p>
            <w:pPr>
              <w:jc w:val="center"/>
              <w:spacing w:after="0"/>
              <w:rPr>
                <w:sz w:val="20"/>
                <w:szCs w:val="20"/>
                <w:color w:val="auto"/>
              </w:rPr>
            </w:pPr>
            <w:r>
              <w:rPr>
                <w:rFonts w:ascii="Times New Roman" w:cs="Times New Roman" w:eastAsia="Times New Roman" w:hAnsi="Times New Roman"/>
                <w:sz w:val="18"/>
                <w:szCs w:val="18"/>
                <w:color w:val="auto"/>
                <w:w w:val="97"/>
              </w:rPr>
              <w:t>[***]</w:t>
            </w:r>
          </w:p>
        </w:tc>
        <w:tc>
          <w:tcPr>
            <w:tcW w:w="2380" w:type="dxa"/>
            <w:vAlign w:val="bottom"/>
            <w:tcBorders>
              <w:top w:val="single" w:sz="8" w:color="auto"/>
              <w:bottom w:val="single" w:sz="8" w:color="FDE9D9"/>
              <w:right w:val="single" w:sz="8" w:color="auto"/>
            </w:tcBorders>
            <w:shd w:val="clear" w:color="auto" w:fill="FDE9D9"/>
          </w:tcPr>
          <w:p>
            <w:pPr>
              <w:jc w:val="right"/>
              <w:ind w:right="1910"/>
              <w:spacing w:after="0"/>
              <w:rPr>
                <w:sz w:val="20"/>
                <w:szCs w:val="20"/>
                <w:color w:val="auto"/>
              </w:rPr>
            </w:pPr>
            <w:r>
              <w:rPr>
                <w:rFonts w:ascii="Times New Roman" w:cs="Times New Roman" w:eastAsia="Times New Roman" w:hAnsi="Times New Roman"/>
                <w:sz w:val="18"/>
                <w:szCs w:val="18"/>
                <w:color w:val="auto"/>
                <w:w w:val="92"/>
              </w:rPr>
              <w:t>[***]</w:t>
            </w:r>
          </w:p>
        </w:tc>
        <w:tc>
          <w:tcPr>
            <w:tcW w:w="1380" w:type="dxa"/>
            <w:vAlign w:val="bottom"/>
            <w:tcBorders>
              <w:top w:val="single" w:sz="8" w:color="auto"/>
              <w:bottom w:val="single" w:sz="8" w:color="FDE9D9"/>
              <w:right w:val="single" w:sz="8" w:color="auto"/>
            </w:tcBorders>
            <w:shd w:val="clear" w:color="auto" w:fill="FDE9D9"/>
          </w:tcPr>
          <w:p>
            <w:pPr>
              <w:jc w:val="center"/>
              <w:spacing w:after="0"/>
              <w:rPr>
                <w:sz w:val="20"/>
                <w:szCs w:val="20"/>
                <w:color w:val="auto"/>
              </w:rPr>
            </w:pPr>
            <w:r>
              <w:rPr>
                <w:rFonts w:ascii="Times New Roman" w:cs="Times New Roman" w:eastAsia="Times New Roman" w:hAnsi="Times New Roman"/>
                <w:sz w:val="18"/>
                <w:szCs w:val="18"/>
                <w:color w:val="auto"/>
                <w:w w:val="97"/>
              </w:rPr>
              <w:t>[***]</w:t>
            </w:r>
          </w:p>
        </w:tc>
        <w:tc>
          <w:tcPr>
            <w:tcW w:w="1040" w:type="dxa"/>
            <w:vAlign w:val="bottom"/>
            <w:tcBorders>
              <w:top w:val="single" w:sz="8" w:color="auto"/>
              <w:bottom w:val="single" w:sz="8" w:color="FDE9D9"/>
              <w:right w:val="single" w:sz="8" w:color="auto"/>
            </w:tcBorders>
            <w:shd w:val="clear" w:color="auto" w:fill="FDE9D9"/>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FDE9D9"/>
              <w:right w:val="single" w:sz="8" w:color="auto"/>
            </w:tcBorders>
            <w:shd w:val="clear" w:color="auto" w:fill="FDE9D9"/>
          </w:tcPr>
          <w:p>
            <w:pPr>
              <w:spacing w:after="0"/>
              <w:rPr>
                <w:sz w:val="21"/>
                <w:szCs w:val="21"/>
                <w:color w:val="auto"/>
              </w:rPr>
            </w:pPr>
          </w:p>
        </w:tc>
      </w:tr>
      <w:tr>
        <w:trPr>
          <w:trHeight w:val="255"/>
        </w:trPr>
        <w:tc>
          <w:tcPr>
            <w:tcW w:w="620" w:type="dxa"/>
            <w:vAlign w:val="bottom"/>
            <w:tcBorders>
              <w:top w:val="single" w:sz="8" w:color="auto"/>
              <w:left w:val="single" w:sz="8" w:color="auto"/>
              <w:bottom w:val="single" w:sz="8" w:color="C39BE1"/>
              <w:right w:val="single" w:sz="8" w:color="auto"/>
            </w:tcBorders>
            <w:shd w:val="clear" w:color="auto" w:fill="C39BE1"/>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1380" w:type="dxa"/>
            <w:vAlign w:val="bottom"/>
            <w:tcBorders>
              <w:top w:val="single" w:sz="8" w:color="auto"/>
              <w:bottom w:val="single" w:sz="8" w:color="C39BE1"/>
              <w:right w:val="single" w:sz="8" w:color="auto"/>
            </w:tcBorders>
            <w:shd w:val="clear" w:color="auto" w:fill="C39BE1"/>
          </w:tcPr>
          <w:p>
            <w:pPr>
              <w:jc w:val="center"/>
              <w:spacing w:after="0"/>
              <w:rPr>
                <w:sz w:val="20"/>
                <w:szCs w:val="20"/>
                <w:color w:val="auto"/>
              </w:rPr>
            </w:pPr>
            <w:r>
              <w:rPr>
                <w:rFonts w:ascii="Times New Roman" w:cs="Times New Roman" w:eastAsia="Times New Roman" w:hAnsi="Times New Roman"/>
                <w:sz w:val="18"/>
                <w:szCs w:val="18"/>
                <w:color w:val="auto"/>
                <w:w w:val="97"/>
              </w:rPr>
              <w:t>[***]</w:t>
            </w:r>
          </w:p>
        </w:tc>
        <w:tc>
          <w:tcPr>
            <w:tcW w:w="2380" w:type="dxa"/>
            <w:vAlign w:val="bottom"/>
            <w:tcBorders>
              <w:top w:val="single" w:sz="8" w:color="auto"/>
              <w:bottom w:val="single" w:sz="8" w:color="C39BE1"/>
              <w:right w:val="single" w:sz="8" w:color="auto"/>
            </w:tcBorders>
            <w:shd w:val="clear" w:color="auto" w:fill="C39BE1"/>
          </w:tcPr>
          <w:p>
            <w:pPr>
              <w:jc w:val="right"/>
              <w:ind w:right="1910"/>
              <w:spacing w:after="0"/>
              <w:rPr>
                <w:sz w:val="20"/>
                <w:szCs w:val="20"/>
                <w:color w:val="auto"/>
              </w:rPr>
            </w:pPr>
            <w:r>
              <w:rPr>
                <w:rFonts w:ascii="Times New Roman" w:cs="Times New Roman" w:eastAsia="Times New Roman" w:hAnsi="Times New Roman"/>
                <w:sz w:val="18"/>
                <w:szCs w:val="18"/>
                <w:color w:val="auto"/>
                <w:w w:val="92"/>
              </w:rPr>
              <w:t>[***]</w:t>
            </w:r>
          </w:p>
        </w:tc>
        <w:tc>
          <w:tcPr>
            <w:tcW w:w="1380" w:type="dxa"/>
            <w:vAlign w:val="bottom"/>
            <w:tcBorders>
              <w:top w:val="single" w:sz="8" w:color="auto"/>
              <w:bottom w:val="single" w:sz="8" w:color="C39BE1"/>
              <w:right w:val="single" w:sz="8" w:color="auto"/>
            </w:tcBorders>
            <w:shd w:val="clear" w:color="auto" w:fill="C39BE1"/>
          </w:tcPr>
          <w:p>
            <w:pPr>
              <w:jc w:val="center"/>
              <w:spacing w:after="0"/>
              <w:rPr>
                <w:sz w:val="20"/>
                <w:szCs w:val="20"/>
                <w:color w:val="auto"/>
              </w:rPr>
            </w:pPr>
            <w:r>
              <w:rPr>
                <w:rFonts w:ascii="Times New Roman" w:cs="Times New Roman" w:eastAsia="Times New Roman" w:hAnsi="Times New Roman"/>
                <w:sz w:val="18"/>
                <w:szCs w:val="18"/>
                <w:color w:val="auto"/>
                <w:w w:val="97"/>
              </w:rPr>
              <w:t>[***]</w:t>
            </w:r>
          </w:p>
        </w:tc>
        <w:tc>
          <w:tcPr>
            <w:tcW w:w="1040" w:type="dxa"/>
            <w:vAlign w:val="bottom"/>
            <w:tcBorders>
              <w:top w:val="single" w:sz="8" w:color="auto"/>
              <w:bottom w:val="single" w:sz="8" w:color="C39BE1"/>
              <w:right w:val="single" w:sz="8" w:color="auto"/>
            </w:tcBorders>
            <w:shd w:val="clear" w:color="auto" w:fill="C39BE1"/>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C39BE1"/>
              <w:right w:val="single" w:sz="8" w:color="auto"/>
            </w:tcBorders>
            <w:shd w:val="clear" w:color="auto" w:fill="C39BE1"/>
          </w:tcPr>
          <w:p>
            <w:pPr>
              <w:jc w:val="center"/>
              <w:spacing w:after="0"/>
              <w:rPr>
                <w:sz w:val="20"/>
                <w:szCs w:val="20"/>
                <w:color w:val="auto"/>
              </w:rPr>
            </w:pPr>
            <w:r>
              <w:rPr>
                <w:rFonts w:ascii="Times New Roman" w:cs="Times New Roman" w:eastAsia="Times New Roman" w:hAnsi="Times New Roman"/>
                <w:sz w:val="18"/>
                <w:szCs w:val="18"/>
                <w:color w:val="auto"/>
                <w:w w:val="97"/>
              </w:rPr>
              <w:t>[***]</w:t>
            </w:r>
          </w:p>
        </w:tc>
      </w:tr>
      <w:tr>
        <w:trPr>
          <w:trHeight w:val="255"/>
        </w:trPr>
        <w:tc>
          <w:tcPr>
            <w:tcW w:w="620" w:type="dxa"/>
            <w:vAlign w:val="bottom"/>
            <w:tcBorders>
              <w:top w:val="single" w:sz="8" w:color="auto"/>
              <w:left w:val="single" w:sz="8" w:color="auto"/>
              <w:bottom w:val="single" w:sz="8" w:color="C39BE1"/>
              <w:right w:val="single" w:sz="8" w:color="auto"/>
            </w:tcBorders>
            <w:shd w:val="clear" w:color="auto" w:fill="C39BE1"/>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1380" w:type="dxa"/>
            <w:vAlign w:val="bottom"/>
            <w:tcBorders>
              <w:top w:val="single" w:sz="8" w:color="auto"/>
              <w:bottom w:val="single" w:sz="8" w:color="C39BE1"/>
              <w:right w:val="single" w:sz="8" w:color="auto"/>
            </w:tcBorders>
            <w:shd w:val="clear" w:color="auto" w:fill="C39BE1"/>
          </w:tcPr>
          <w:p>
            <w:pPr>
              <w:jc w:val="center"/>
              <w:spacing w:after="0"/>
              <w:rPr>
                <w:sz w:val="20"/>
                <w:szCs w:val="20"/>
                <w:color w:val="auto"/>
              </w:rPr>
            </w:pPr>
            <w:r>
              <w:rPr>
                <w:rFonts w:ascii="Times New Roman" w:cs="Times New Roman" w:eastAsia="Times New Roman" w:hAnsi="Times New Roman"/>
                <w:sz w:val="18"/>
                <w:szCs w:val="18"/>
                <w:color w:val="auto"/>
                <w:w w:val="97"/>
              </w:rPr>
              <w:t>[***]</w:t>
            </w:r>
          </w:p>
        </w:tc>
        <w:tc>
          <w:tcPr>
            <w:tcW w:w="2380" w:type="dxa"/>
            <w:vAlign w:val="bottom"/>
            <w:tcBorders>
              <w:top w:val="single" w:sz="8" w:color="auto"/>
              <w:bottom w:val="single" w:sz="8" w:color="C39BE1"/>
              <w:right w:val="single" w:sz="8" w:color="auto"/>
            </w:tcBorders>
            <w:shd w:val="clear" w:color="auto" w:fill="C39BE1"/>
          </w:tcPr>
          <w:p>
            <w:pPr>
              <w:jc w:val="right"/>
              <w:ind w:right="1910"/>
              <w:spacing w:after="0"/>
              <w:rPr>
                <w:sz w:val="20"/>
                <w:szCs w:val="20"/>
                <w:color w:val="auto"/>
              </w:rPr>
            </w:pPr>
            <w:r>
              <w:rPr>
                <w:rFonts w:ascii="Times New Roman" w:cs="Times New Roman" w:eastAsia="Times New Roman" w:hAnsi="Times New Roman"/>
                <w:sz w:val="18"/>
                <w:szCs w:val="18"/>
                <w:color w:val="auto"/>
                <w:w w:val="92"/>
              </w:rPr>
              <w:t>[***]</w:t>
            </w:r>
          </w:p>
        </w:tc>
        <w:tc>
          <w:tcPr>
            <w:tcW w:w="1380" w:type="dxa"/>
            <w:vAlign w:val="bottom"/>
            <w:tcBorders>
              <w:top w:val="single" w:sz="8" w:color="auto"/>
              <w:bottom w:val="single" w:sz="8" w:color="C39BE1"/>
              <w:right w:val="single" w:sz="8" w:color="auto"/>
            </w:tcBorders>
            <w:shd w:val="clear" w:color="auto" w:fill="C39BE1"/>
          </w:tcPr>
          <w:p>
            <w:pPr>
              <w:jc w:val="center"/>
              <w:spacing w:after="0"/>
              <w:rPr>
                <w:sz w:val="20"/>
                <w:szCs w:val="20"/>
                <w:color w:val="auto"/>
              </w:rPr>
            </w:pPr>
            <w:r>
              <w:rPr>
                <w:rFonts w:ascii="Times New Roman" w:cs="Times New Roman" w:eastAsia="Times New Roman" w:hAnsi="Times New Roman"/>
                <w:sz w:val="18"/>
                <w:szCs w:val="18"/>
                <w:color w:val="auto"/>
                <w:w w:val="97"/>
              </w:rPr>
              <w:t>[***]</w:t>
            </w:r>
          </w:p>
        </w:tc>
        <w:tc>
          <w:tcPr>
            <w:tcW w:w="1040" w:type="dxa"/>
            <w:vAlign w:val="bottom"/>
            <w:tcBorders>
              <w:top w:val="single" w:sz="8" w:color="auto"/>
              <w:bottom w:val="single" w:sz="8" w:color="C39BE1"/>
              <w:right w:val="single" w:sz="8" w:color="auto"/>
            </w:tcBorders>
            <w:shd w:val="clear" w:color="auto" w:fill="C39BE1"/>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C39BE1"/>
              <w:right w:val="single" w:sz="8" w:color="auto"/>
            </w:tcBorders>
            <w:shd w:val="clear" w:color="auto" w:fill="C39BE1"/>
          </w:tcPr>
          <w:p>
            <w:pPr>
              <w:jc w:val="center"/>
              <w:spacing w:after="0"/>
              <w:rPr>
                <w:sz w:val="20"/>
                <w:szCs w:val="20"/>
                <w:color w:val="auto"/>
              </w:rPr>
            </w:pPr>
            <w:r>
              <w:rPr>
                <w:rFonts w:ascii="Times New Roman" w:cs="Times New Roman" w:eastAsia="Times New Roman" w:hAnsi="Times New Roman"/>
                <w:sz w:val="18"/>
                <w:szCs w:val="18"/>
                <w:color w:val="auto"/>
                <w:w w:val="97"/>
              </w:rPr>
              <w:t>[***]</w:t>
            </w:r>
          </w:p>
        </w:tc>
      </w:tr>
      <w:tr>
        <w:trPr>
          <w:trHeight w:val="255"/>
        </w:trPr>
        <w:tc>
          <w:tcPr>
            <w:tcW w:w="620" w:type="dxa"/>
            <w:vAlign w:val="bottom"/>
            <w:tcBorders>
              <w:top w:val="single" w:sz="8" w:color="auto"/>
              <w:left w:val="single" w:sz="8" w:color="auto"/>
              <w:bottom w:val="single" w:sz="8" w:color="C39BE1"/>
              <w:right w:val="single" w:sz="8" w:color="auto"/>
            </w:tcBorders>
            <w:shd w:val="clear" w:color="auto" w:fill="C39BE1"/>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1380" w:type="dxa"/>
            <w:vAlign w:val="bottom"/>
            <w:tcBorders>
              <w:top w:val="single" w:sz="8" w:color="auto"/>
              <w:bottom w:val="single" w:sz="8" w:color="C39BE1"/>
              <w:right w:val="single" w:sz="8" w:color="auto"/>
            </w:tcBorders>
            <w:shd w:val="clear" w:color="auto" w:fill="C39BE1"/>
          </w:tcPr>
          <w:p>
            <w:pPr>
              <w:jc w:val="center"/>
              <w:spacing w:after="0"/>
              <w:rPr>
                <w:sz w:val="20"/>
                <w:szCs w:val="20"/>
                <w:color w:val="auto"/>
              </w:rPr>
            </w:pPr>
            <w:r>
              <w:rPr>
                <w:rFonts w:ascii="Times New Roman" w:cs="Times New Roman" w:eastAsia="Times New Roman" w:hAnsi="Times New Roman"/>
                <w:sz w:val="18"/>
                <w:szCs w:val="18"/>
                <w:color w:val="auto"/>
                <w:w w:val="97"/>
              </w:rPr>
              <w:t>[***]</w:t>
            </w:r>
          </w:p>
        </w:tc>
        <w:tc>
          <w:tcPr>
            <w:tcW w:w="2380" w:type="dxa"/>
            <w:vAlign w:val="bottom"/>
            <w:tcBorders>
              <w:top w:val="single" w:sz="8" w:color="auto"/>
              <w:bottom w:val="single" w:sz="8" w:color="C39BE1"/>
              <w:right w:val="single" w:sz="8" w:color="auto"/>
            </w:tcBorders>
            <w:shd w:val="clear" w:color="auto" w:fill="C39BE1"/>
          </w:tcPr>
          <w:p>
            <w:pPr>
              <w:jc w:val="right"/>
              <w:ind w:right="1910"/>
              <w:spacing w:after="0"/>
              <w:rPr>
                <w:sz w:val="20"/>
                <w:szCs w:val="20"/>
                <w:color w:val="auto"/>
              </w:rPr>
            </w:pPr>
            <w:r>
              <w:rPr>
                <w:rFonts w:ascii="Times New Roman" w:cs="Times New Roman" w:eastAsia="Times New Roman" w:hAnsi="Times New Roman"/>
                <w:sz w:val="18"/>
                <w:szCs w:val="18"/>
                <w:color w:val="auto"/>
                <w:w w:val="92"/>
              </w:rPr>
              <w:t>[***]</w:t>
            </w:r>
          </w:p>
        </w:tc>
        <w:tc>
          <w:tcPr>
            <w:tcW w:w="1380" w:type="dxa"/>
            <w:vAlign w:val="bottom"/>
            <w:tcBorders>
              <w:top w:val="single" w:sz="8" w:color="auto"/>
              <w:bottom w:val="single" w:sz="8" w:color="C39BE1"/>
              <w:right w:val="single" w:sz="8" w:color="auto"/>
            </w:tcBorders>
            <w:shd w:val="clear" w:color="auto" w:fill="C39BE1"/>
          </w:tcPr>
          <w:p>
            <w:pPr>
              <w:jc w:val="center"/>
              <w:spacing w:after="0"/>
              <w:rPr>
                <w:sz w:val="20"/>
                <w:szCs w:val="20"/>
                <w:color w:val="auto"/>
              </w:rPr>
            </w:pPr>
            <w:r>
              <w:rPr>
                <w:rFonts w:ascii="Times New Roman" w:cs="Times New Roman" w:eastAsia="Times New Roman" w:hAnsi="Times New Roman"/>
                <w:sz w:val="18"/>
                <w:szCs w:val="18"/>
                <w:color w:val="auto"/>
                <w:w w:val="97"/>
              </w:rPr>
              <w:t>[***]</w:t>
            </w:r>
          </w:p>
        </w:tc>
        <w:tc>
          <w:tcPr>
            <w:tcW w:w="1040" w:type="dxa"/>
            <w:vAlign w:val="bottom"/>
            <w:tcBorders>
              <w:top w:val="single" w:sz="8" w:color="auto"/>
              <w:bottom w:val="single" w:sz="8" w:color="C39BE1"/>
              <w:right w:val="single" w:sz="8" w:color="auto"/>
            </w:tcBorders>
            <w:shd w:val="clear" w:color="auto" w:fill="C39BE1"/>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C39BE1"/>
              <w:right w:val="single" w:sz="8" w:color="auto"/>
            </w:tcBorders>
            <w:shd w:val="clear" w:color="auto" w:fill="C39BE1"/>
          </w:tcPr>
          <w:p>
            <w:pPr>
              <w:jc w:val="center"/>
              <w:spacing w:after="0"/>
              <w:rPr>
                <w:sz w:val="20"/>
                <w:szCs w:val="20"/>
                <w:color w:val="auto"/>
              </w:rPr>
            </w:pPr>
            <w:r>
              <w:rPr>
                <w:rFonts w:ascii="Times New Roman" w:cs="Times New Roman" w:eastAsia="Times New Roman" w:hAnsi="Times New Roman"/>
                <w:sz w:val="18"/>
                <w:szCs w:val="18"/>
                <w:color w:val="auto"/>
                <w:w w:val="97"/>
              </w:rPr>
              <w:t>[***]</w:t>
            </w:r>
          </w:p>
        </w:tc>
      </w:tr>
      <w:tr>
        <w:trPr>
          <w:trHeight w:val="255"/>
        </w:trPr>
        <w:tc>
          <w:tcPr>
            <w:tcW w:w="620" w:type="dxa"/>
            <w:vAlign w:val="bottom"/>
            <w:tcBorders>
              <w:top w:val="single" w:sz="8" w:color="auto"/>
              <w:left w:val="single" w:sz="8" w:color="auto"/>
              <w:bottom w:val="single" w:sz="8" w:color="C39BE1"/>
              <w:right w:val="single" w:sz="8" w:color="auto"/>
            </w:tcBorders>
            <w:shd w:val="clear" w:color="auto" w:fill="C39BE1"/>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1380" w:type="dxa"/>
            <w:vAlign w:val="bottom"/>
            <w:tcBorders>
              <w:top w:val="single" w:sz="8" w:color="auto"/>
              <w:bottom w:val="single" w:sz="8" w:color="C39BE1"/>
              <w:right w:val="single" w:sz="8" w:color="auto"/>
            </w:tcBorders>
            <w:shd w:val="clear" w:color="auto" w:fill="C39BE1"/>
          </w:tcPr>
          <w:p>
            <w:pPr>
              <w:jc w:val="center"/>
              <w:spacing w:after="0"/>
              <w:rPr>
                <w:sz w:val="20"/>
                <w:szCs w:val="20"/>
                <w:color w:val="auto"/>
              </w:rPr>
            </w:pPr>
            <w:r>
              <w:rPr>
                <w:rFonts w:ascii="Times New Roman" w:cs="Times New Roman" w:eastAsia="Times New Roman" w:hAnsi="Times New Roman"/>
                <w:sz w:val="18"/>
                <w:szCs w:val="18"/>
                <w:color w:val="auto"/>
                <w:w w:val="97"/>
              </w:rPr>
              <w:t>[***]</w:t>
            </w:r>
          </w:p>
        </w:tc>
        <w:tc>
          <w:tcPr>
            <w:tcW w:w="2380" w:type="dxa"/>
            <w:vAlign w:val="bottom"/>
            <w:tcBorders>
              <w:top w:val="single" w:sz="8" w:color="auto"/>
              <w:bottom w:val="single" w:sz="8" w:color="C39BE1"/>
              <w:right w:val="single" w:sz="8" w:color="auto"/>
            </w:tcBorders>
            <w:shd w:val="clear" w:color="auto" w:fill="C39BE1"/>
          </w:tcPr>
          <w:p>
            <w:pPr>
              <w:jc w:val="right"/>
              <w:ind w:right="1910"/>
              <w:spacing w:after="0"/>
              <w:rPr>
                <w:sz w:val="20"/>
                <w:szCs w:val="20"/>
                <w:color w:val="auto"/>
              </w:rPr>
            </w:pPr>
            <w:r>
              <w:rPr>
                <w:rFonts w:ascii="Times New Roman" w:cs="Times New Roman" w:eastAsia="Times New Roman" w:hAnsi="Times New Roman"/>
                <w:sz w:val="18"/>
                <w:szCs w:val="18"/>
                <w:color w:val="auto"/>
                <w:w w:val="92"/>
              </w:rPr>
              <w:t>[***]</w:t>
            </w:r>
          </w:p>
        </w:tc>
        <w:tc>
          <w:tcPr>
            <w:tcW w:w="1380" w:type="dxa"/>
            <w:vAlign w:val="bottom"/>
            <w:tcBorders>
              <w:top w:val="single" w:sz="8" w:color="auto"/>
              <w:bottom w:val="single" w:sz="8" w:color="C39BE1"/>
              <w:right w:val="single" w:sz="8" w:color="auto"/>
            </w:tcBorders>
            <w:shd w:val="clear" w:color="auto" w:fill="C39BE1"/>
          </w:tcPr>
          <w:p>
            <w:pPr>
              <w:jc w:val="center"/>
              <w:spacing w:after="0"/>
              <w:rPr>
                <w:sz w:val="20"/>
                <w:szCs w:val="20"/>
                <w:color w:val="auto"/>
              </w:rPr>
            </w:pPr>
            <w:r>
              <w:rPr>
                <w:rFonts w:ascii="Times New Roman" w:cs="Times New Roman" w:eastAsia="Times New Roman" w:hAnsi="Times New Roman"/>
                <w:sz w:val="18"/>
                <w:szCs w:val="18"/>
                <w:color w:val="auto"/>
                <w:w w:val="97"/>
              </w:rPr>
              <w:t>[***]</w:t>
            </w:r>
          </w:p>
        </w:tc>
        <w:tc>
          <w:tcPr>
            <w:tcW w:w="1040" w:type="dxa"/>
            <w:vAlign w:val="bottom"/>
            <w:tcBorders>
              <w:top w:val="single" w:sz="8" w:color="auto"/>
              <w:bottom w:val="single" w:sz="8" w:color="C39BE1"/>
              <w:right w:val="single" w:sz="8" w:color="auto"/>
            </w:tcBorders>
            <w:shd w:val="clear" w:color="auto" w:fill="C39BE1"/>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C39BE1"/>
              <w:right w:val="single" w:sz="8" w:color="auto"/>
            </w:tcBorders>
            <w:shd w:val="clear" w:color="auto" w:fill="C39BE1"/>
          </w:tcPr>
          <w:p>
            <w:pPr>
              <w:jc w:val="center"/>
              <w:spacing w:after="0"/>
              <w:rPr>
                <w:sz w:val="20"/>
                <w:szCs w:val="20"/>
                <w:color w:val="auto"/>
              </w:rPr>
            </w:pPr>
            <w:r>
              <w:rPr>
                <w:rFonts w:ascii="Times New Roman" w:cs="Times New Roman" w:eastAsia="Times New Roman" w:hAnsi="Times New Roman"/>
                <w:sz w:val="18"/>
                <w:szCs w:val="18"/>
                <w:color w:val="auto"/>
                <w:w w:val="97"/>
              </w:rPr>
              <w:t>[***]</w:t>
            </w:r>
          </w:p>
        </w:tc>
      </w:tr>
      <w:tr>
        <w:trPr>
          <w:trHeight w:val="255"/>
        </w:trPr>
        <w:tc>
          <w:tcPr>
            <w:tcW w:w="620" w:type="dxa"/>
            <w:vAlign w:val="bottom"/>
            <w:tcBorders>
              <w:top w:val="single" w:sz="8" w:color="auto"/>
              <w:left w:val="single" w:sz="8" w:color="auto"/>
              <w:bottom w:val="single" w:sz="8" w:color="71DAFF"/>
              <w:right w:val="single" w:sz="8" w:color="auto"/>
            </w:tcBorders>
            <w:shd w:val="clear" w:color="auto" w:fill="71DAFF"/>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1380" w:type="dxa"/>
            <w:vAlign w:val="bottom"/>
            <w:tcBorders>
              <w:top w:val="single" w:sz="8" w:color="auto"/>
              <w:bottom w:val="single" w:sz="8" w:color="71DAFF"/>
              <w:right w:val="single" w:sz="8" w:color="auto"/>
            </w:tcBorders>
            <w:shd w:val="clear" w:color="auto" w:fill="71DAFF"/>
          </w:tcPr>
          <w:p>
            <w:pPr>
              <w:jc w:val="center"/>
              <w:spacing w:after="0"/>
              <w:rPr>
                <w:sz w:val="20"/>
                <w:szCs w:val="20"/>
                <w:color w:val="auto"/>
              </w:rPr>
            </w:pPr>
            <w:r>
              <w:rPr>
                <w:rFonts w:ascii="Times New Roman" w:cs="Times New Roman" w:eastAsia="Times New Roman" w:hAnsi="Times New Roman"/>
                <w:sz w:val="18"/>
                <w:szCs w:val="18"/>
                <w:color w:val="auto"/>
                <w:w w:val="97"/>
              </w:rPr>
              <w:t>[***]</w:t>
            </w:r>
          </w:p>
        </w:tc>
        <w:tc>
          <w:tcPr>
            <w:tcW w:w="2380" w:type="dxa"/>
            <w:vAlign w:val="bottom"/>
            <w:tcBorders>
              <w:top w:val="single" w:sz="8" w:color="auto"/>
              <w:bottom w:val="single" w:sz="8" w:color="71DAFF"/>
              <w:right w:val="single" w:sz="8" w:color="auto"/>
            </w:tcBorders>
            <w:shd w:val="clear" w:color="auto" w:fill="71DAFF"/>
          </w:tcPr>
          <w:p>
            <w:pPr>
              <w:jc w:val="right"/>
              <w:ind w:right="1910"/>
              <w:spacing w:after="0"/>
              <w:rPr>
                <w:sz w:val="20"/>
                <w:szCs w:val="20"/>
                <w:color w:val="auto"/>
              </w:rPr>
            </w:pPr>
            <w:r>
              <w:rPr>
                <w:rFonts w:ascii="Times New Roman" w:cs="Times New Roman" w:eastAsia="Times New Roman" w:hAnsi="Times New Roman"/>
                <w:sz w:val="18"/>
                <w:szCs w:val="18"/>
                <w:color w:val="auto"/>
                <w:w w:val="92"/>
              </w:rPr>
              <w:t>[***]</w:t>
            </w:r>
          </w:p>
        </w:tc>
        <w:tc>
          <w:tcPr>
            <w:tcW w:w="1380" w:type="dxa"/>
            <w:vAlign w:val="bottom"/>
            <w:tcBorders>
              <w:top w:val="single" w:sz="8" w:color="auto"/>
              <w:bottom w:val="single" w:sz="8" w:color="71DAFF"/>
              <w:right w:val="single" w:sz="8" w:color="auto"/>
            </w:tcBorders>
            <w:shd w:val="clear" w:color="auto" w:fill="71DAFF"/>
          </w:tcPr>
          <w:p>
            <w:pPr>
              <w:jc w:val="center"/>
              <w:spacing w:after="0"/>
              <w:rPr>
                <w:sz w:val="20"/>
                <w:szCs w:val="20"/>
                <w:color w:val="auto"/>
              </w:rPr>
            </w:pPr>
            <w:r>
              <w:rPr>
                <w:rFonts w:ascii="Times New Roman" w:cs="Times New Roman" w:eastAsia="Times New Roman" w:hAnsi="Times New Roman"/>
                <w:sz w:val="18"/>
                <w:szCs w:val="18"/>
                <w:color w:val="auto"/>
                <w:w w:val="97"/>
              </w:rPr>
              <w:t>[***]</w:t>
            </w:r>
          </w:p>
        </w:tc>
        <w:tc>
          <w:tcPr>
            <w:tcW w:w="1040" w:type="dxa"/>
            <w:vAlign w:val="bottom"/>
            <w:tcBorders>
              <w:top w:val="single" w:sz="8" w:color="auto"/>
              <w:bottom w:val="single" w:sz="8" w:color="71DAFF"/>
              <w:right w:val="single" w:sz="8" w:color="auto"/>
            </w:tcBorders>
            <w:shd w:val="clear" w:color="auto" w:fill="71DA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71DAFF"/>
              <w:right w:val="single" w:sz="8" w:color="auto"/>
            </w:tcBorders>
            <w:shd w:val="clear" w:color="auto" w:fill="71DAFF"/>
          </w:tcPr>
          <w:p>
            <w:pPr>
              <w:jc w:val="center"/>
              <w:spacing w:after="0"/>
              <w:rPr>
                <w:sz w:val="20"/>
                <w:szCs w:val="20"/>
                <w:color w:val="auto"/>
              </w:rPr>
            </w:pPr>
            <w:r>
              <w:rPr>
                <w:rFonts w:ascii="Times New Roman" w:cs="Times New Roman" w:eastAsia="Times New Roman" w:hAnsi="Times New Roman"/>
                <w:sz w:val="18"/>
                <w:szCs w:val="18"/>
                <w:color w:val="auto"/>
                <w:w w:val="97"/>
              </w:rPr>
              <w:t>[***]</w:t>
            </w:r>
          </w:p>
        </w:tc>
      </w:tr>
      <w:tr>
        <w:trPr>
          <w:trHeight w:val="255"/>
        </w:trPr>
        <w:tc>
          <w:tcPr>
            <w:tcW w:w="620" w:type="dxa"/>
            <w:vAlign w:val="bottom"/>
            <w:tcBorders>
              <w:top w:val="single" w:sz="8" w:color="auto"/>
              <w:left w:val="single" w:sz="8" w:color="auto"/>
              <w:bottom w:val="single" w:sz="8" w:color="71DAFF"/>
              <w:right w:val="single" w:sz="8" w:color="auto"/>
            </w:tcBorders>
            <w:shd w:val="clear" w:color="auto" w:fill="71DAFF"/>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1380" w:type="dxa"/>
            <w:vAlign w:val="bottom"/>
            <w:tcBorders>
              <w:top w:val="single" w:sz="8" w:color="auto"/>
              <w:bottom w:val="single" w:sz="8" w:color="71DAFF"/>
              <w:right w:val="single" w:sz="8" w:color="auto"/>
            </w:tcBorders>
            <w:shd w:val="clear" w:color="auto" w:fill="71DAFF"/>
          </w:tcPr>
          <w:p>
            <w:pPr>
              <w:jc w:val="center"/>
              <w:spacing w:after="0"/>
              <w:rPr>
                <w:sz w:val="20"/>
                <w:szCs w:val="20"/>
                <w:color w:val="auto"/>
              </w:rPr>
            </w:pPr>
            <w:r>
              <w:rPr>
                <w:rFonts w:ascii="Times New Roman" w:cs="Times New Roman" w:eastAsia="Times New Roman" w:hAnsi="Times New Roman"/>
                <w:sz w:val="18"/>
                <w:szCs w:val="18"/>
                <w:color w:val="auto"/>
                <w:w w:val="97"/>
              </w:rPr>
              <w:t>[***]</w:t>
            </w:r>
          </w:p>
        </w:tc>
        <w:tc>
          <w:tcPr>
            <w:tcW w:w="2380" w:type="dxa"/>
            <w:vAlign w:val="bottom"/>
            <w:tcBorders>
              <w:top w:val="single" w:sz="8" w:color="auto"/>
              <w:bottom w:val="single" w:sz="8" w:color="71DAFF"/>
              <w:right w:val="single" w:sz="8" w:color="auto"/>
            </w:tcBorders>
            <w:shd w:val="clear" w:color="auto" w:fill="71DAFF"/>
          </w:tcPr>
          <w:p>
            <w:pPr>
              <w:jc w:val="right"/>
              <w:ind w:right="1910"/>
              <w:spacing w:after="0"/>
              <w:rPr>
                <w:sz w:val="20"/>
                <w:szCs w:val="20"/>
                <w:color w:val="auto"/>
              </w:rPr>
            </w:pPr>
            <w:r>
              <w:rPr>
                <w:rFonts w:ascii="Times New Roman" w:cs="Times New Roman" w:eastAsia="Times New Roman" w:hAnsi="Times New Roman"/>
                <w:sz w:val="18"/>
                <w:szCs w:val="18"/>
                <w:color w:val="auto"/>
                <w:w w:val="92"/>
              </w:rPr>
              <w:t>[***]</w:t>
            </w:r>
          </w:p>
        </w:tc>
        <w:tc>
          <w:tcPr>
            <w:tcW w:w="1380" w:type="dxa"/>
            <w:vAlign w:val="bottom"/>
            <w:tcBorders>
              <w:top w:val="single" w:sz="8" w:color="auto"/>
              <w:bottom w:val="single" w:sz="8" w:color="71DAFF"/>
              <w:right w:val="single" w:sz="8" w:color="auto"/>
            </w:tcBorders>
            <w:shd w:val="clear" w:color="auto" w:fill="71DAFF"/>
          </w:tcPr>
          <w:p>
            <w:pPr>
              <w:jc w:val="center"/>
              <w:spacing w:after="0"/>
              <w:rPr>
                <w:sz w:val="20"/>
                <w:szCs w:val="20"/>
                <w:color w:val="auto"/>
              </w:rPr>
            </w:pPr>
            <w:r>
              <w:rPr>
                <w:rFonts w:ascii="Times New Roman" w:cs="Times New Roman" w:eastAsia="Times New Roman" w:hAnsi="Times New Roman"/>
                <w:sz w:val="18"/>
                <w:szCs w:val="18"/>
                <w:color w:val="auto"/>
                <w:w w:val="97"/>
              </w:rPr>
              <w:t>[***]</w:t>
            </w:r>
          </w:p>
        </w:tc>
        <w:tc>
          <w:tcPr>
            <w:tcW w:w="1040" w:type="dxa"/>
            <w:vAlign w:val="bottom"/>
            <w:tcBorders>
              <w:top w:val="single" w:sz="8" w:color="auto"/>
              <w:bottom w:val="single" w:sz="8" w:color="71DAFF"/>
              <w:right w:val="single" w:sz="8" w:color="auto"/>
            </w:tcBorders>
            <w:shd w:val="clear" w:color="auto" w:fill="71DA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71DAFF"/>
              <w:right w:val="single" w:sz="8" w:color="auto"/>
            </w:tcBorders>
            <w:shd w:val="clear" w:color="auto" w:fill="71DAFF"/>
          </w:tcPr>
          <w:p>
            <w:pPr>
              <w:jc w:val="center"/>
              <w:spacing w:after="0"/>
              <w:rPr>
                <w:sz w:val="20"/>
                <w:szCs w:val="20"/>
                <w:color w:val="auto"/>
              </w:rPr>
            </w:pPr>
            <w:r>
              <w:rPr>
                <w:rFonts w:ascii="Times New Roman" w:cs="Times New Roman" w:eastAsia="Times New Roman" w:hAnsi="Times New Roman"/>
                <w:sz w:val="18"/>
                <w:szCs w:val="18"/>
                <w:color w:val="auto"/>
                <w:w w:val="97"/>
              </w:rPr>
              <w:t>[***]</w:t>
            </w:r>
          </w:p>
        </w:tc>
      </w:tr>
      <w:tr>
        <w:trPr>
          <w:trHeight w:val="255"/>
        </w:trPr>
        <w:tc>
          <w:tcPr>
            <w:tcW w:w="620" w:type="dxa"/>
            <w:vAlign w:val="bottom"/>
            <w:tcBorders>
              <w:top w:val="single" w:sz="8" w:color="auto"/>
              <w:left w:val="single" w:sz="8" w:color="auto"/>
              <w:bottom w:val="single" w:sz="8" w:color="71DAFF"/>
              <w:right w:val="single" w:sz="8" w:color="auto"/>
            </w:tcBorders>
            <w:shd w:val="clear" w:color="auto" w:fill="71DAFF"/>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1380" w:type="dxa"/>
            <w:vAlign w:val="bottom"/>
            <w:tcBorders>
              <w:top w:val="single" w:sz="8" w:color="auto"/>
              <w:bottom w:val="single" w:sz="8" w:color="71DAFF"/>
              <w:right w:val="single" w:sz="8" w:color="auto"/>
            </w:tcBorders>
            <w:shd w:val="clear" w:color="auto" w:fill="71DAFF"/>
          </w:tcPr>
          <w:p>
            <w:pPr>
              <w:jc w:val="center"/>
              <w:spacing w:after="0"/>
              <w:rPr>
                <w:sz w:val="20"/>
                <w:szCs w:val="20"/>
                <w:color w:val="auto"/>
              </w:rPr>
            </w:pPr>
            <w:r>
              <w:rPr>
                <w:rFonts w:ascii="Times New Roman" w:cs="Times New Roman" w:eastAsia="Times New Roman" w:hAnsi="Times New Roman"/>
                <w:sz w:val="18"/>
                <w:szCs w:val="18"/>
                <w:color w:val="auto"/>
                <w:w w:val="97"/>
              </w:rPr>
              <w:t>[***]</w:t>
            </w:r>
          </w:p>
        </w:tc>
        <w:tc>
          <w:tcPr>
            <w:tcW w:w="2380" w:type="dxa"/>
            <w:vAlign w:val="bottom"/>
            <w:tcBorders>
              <w:top w:val="single" w:sz="8" w:color="auto"/>
              <w:bottom w:val="single" w:sz="8" w:color="71DAFF"/>
              <w:right w:val="single" w:sz="8" w:color="auto"/>
            </w:tcBorders>
            <w:shd w:val="clear" w:color="auto" w:fill="71DAFF"/>
          </w:tcPr>
          <w:p>
            <w:pPr>
              <w:jc w:val="right"/>
              <w:ind w:right="1910"/>
              <w:spacing w:after="0"/>
              <w:rPr>
                <w:sz w:val="20"/>
                <w:szCs w:val="20"/>
                <w:color w:val="auto"/>
              </w:rPr>
            </w:pPr>
            <w:r>
              <w:rPr>
                <w:rFonts w:ascii="Times New Roman" w:cs="Times New Roman" w:eastAsia="Times New Roman" w:hAnsi="Times New Roman"/>
                <w:sz w:val="18"/>
                <w:szCs w:val="18"/>
                <w:color w:val="auto"/>
                <w:w w:val="92"/>
              </w:rPr>
              <w:t>[***]</w:t>
            </w:r>
          </w:p>
        </w:tc>
        <w:tc>
          <w:tcPr>
            <w:tcW w:w="1380" w:type="dxa"/>
            <w:vAlign w:val="bottom"/>
            <w:tcBorders>
              <w:top w:val="single" w:sz="8" w:color="auto"/>
              <w:bottom w:val="single" w:sz="8" w:color="71DAFF"/>
              <w:right w:val="single" w:sz="8" w:color="auto"/>
            </w:tcBorders>
            <w:shd w:val="clear" w:color="auto" w:fill="71DAFF"/>
          </w:tcPr>
          <w:p>
            <w:pPr>
              <w:jc w:val="center"/>
              <w:spacing w:after="0"/>
              <w:rPr>
                <w:sz w:val="20"/>
                <w:szCs w:val="20"/>
                <w:color w:val="auto"/>
              </w:rPr>
            </w:pPr>
            <w:r>
              <w:rPr>
                <w:rFonts w:ascii="Times New Roman" w:cs="Times New Roman" w:eastAsia="Times New Roman" w:hAnsi="Times New Roman"/>
                <w:sz w:val="18"/>
                <w:szCs w:val="18"/>
                <w:color w:val="auto"/>
                <w:w w:val="97"/>
              </w:rPr>
              <w:t>[***]</w:t>
            </w:r>
          </w:p>
        </w:tc>
        <w:tc>
          <w:tcPr>
            <w:tcW w:w="1040" w:type="dxa"/>
            <w:vAlign w:val="bottom"/>
            <w:tcBorders>
              <w:top w:val="single" w:sz="8" w:color="auto"/>
              <w:bottom w:val="single" w:sz="8" w:color="71DAFF"/>
              <w:right w:val="single" w:sz="8" w:color="auto"/>
            </w:tcBorders>
            <w:shd w:val="clear" w:color="auto" w:fill="71DA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71DAFF"/>
              <w:right w:val="single" w:sz="8" w:color="auto"/>
            </w:tcBorders>
            <w:shd w:val="clear" w:color="auto" w:fill="71DAFF"/>
          </w:tcPr>
          <w:p>
            <w:pPr>
              <w:jc w:val="center"/>
              <w:spacing w:after="0"/>
              <w:rPr>
                <w:sz w:val="20"/>
                <w:szCs w:val="20"/>
                <w:color w:val="auto"/>
              </w:rPr>
            </w:pPr>
            <w:r>
              <w:rPr>
                <w:rFonts w:ascii="Times New Roman" w:cs="Times New Roman" w:eastAsia="Times New Roman" w:hAnsi="Times New Roman"/>
                <w:sz w:val="18"/>
                <w:szCs w:val="18"/>
                <w:color w:val="auto"/>
                <w:w w:val="97"/>
              </w:rPr>
              <w:t>[***]</w:t>
            </w:r>
          </w:p>
        </w:tc>
      </w:tr>
      <w:tr>
        <w:trPr>
          <w:trHeight w:val="255"/>
        </w:trPr>
        <w:tc>
          <w:tcPr>
            <w:tcW w:w="620" w:type="dxa"/>
            <w:vAlign w:val="bottom"/>
            <w:tcBorders>
              <w:top w:val="single" w:sz="8" w:color="auto"/>
              <w:left w:val="single" w:sz="8" w:color="auto"/>
              <w:bottom w:val="single" w:sz="8" w:color="71DAFF"/>
              <w:right w:val="single" w:sz="8" w:color="auto"/>
            </w:tcBorders>
            <w:shd w:val="clear" w:color="auto" w:fill="71DAFF"/>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1380" w:type="dxa"/>
            <w:vAlign w:val="bottom"/>
            <w:tcBorders>
              <w:top w:val="single" w:sz="8" w:color="auto"/>
              <w:bottom w:val="single" w:sz="8" w:color="71DAFF"/>
              <w:right w:val="single" w:sz="8" w:color="auto"/>
            </w:tcBorders>
            <w:shd w:val="clear" w:color="auto" w:fill="71DAFF"/>
          </w:tcPr>
          <w:p>
            <w:pPr>
              <w:jc w:val="center"/>
              <w:spacing w:after="0"/>
              <w:rPr>
                <w:sz w:val="20"/>
                <w:szCs w:val="20"/>
                <w:color w:val="auto"/>
              </w:rPr>
            </w:pPr>
            <w:r>
              <w:rPr>
                <w:rFonts w:ascii="Times New Roman" w:cs="Times New Roman" w:eastAsia="Times New Roman" w:hAnsi="Times New Roman"/>
                <w:sz w:val="18"/>
                <w:szCs w:val="18"/>
                <w:color w:val="auto"/>
                <w:w w:val="97"/>
              </w:rPr>
              <w:t>[***]</w:t>
            </w:r>
          </w:p>
        </w:tc>
        <w:tc>
          <w:tcPr>
            <w:tcW w:w="2380" w:type="dxa"/>
            <w:vAlign w:val="bottom"/>
            <w:tcBorders>
              <w:top w:val="single" w:sz="8" w:color="auto"/>
              <w:bottom w:val="single" w:sz="8" w:color="71DAFF"/>
              <w:right w:val="single" w:sz="8" w:color="auto"/>
            </w:tcBorders>
            <w:shd w:val="clear" w:color="auto" w:fill="71DAFF"/>
          </w:tcPr>
          <w:p>
            <w:pPr>
              <w:jc w:val="right"/>
              <w:ind w:right="1910"/>
              <w:spacing w:after="0"/>
              <w:rPr>
                <w:sz w:val="20"/>
                <w:szCs w:val="20"/>
                <w:color w:val="auto"/>
              </w:rPr>
            </w:pPr>
            <w:r>
              <w:rPr>
                <w:rFonts w:ascii="Times New Roman" w:cs="Times New Roman" w:eastAsia="Times New Roman" w:hAnsi="Times New Roman"/>
                <w:sz w:val="18"/>
                <w:szCs w:val="18"/>
                <w:color w:val="auto"/>
                <w:w w:val="92"/>
              </w:rPr>
              <w:t>[***]</w:t>
            </w:r>
          </w:p>
        </w:tc>
        <w:tc>
          <w:tcPr>
            <w:tcW w:w="1380" w:type="dxa"/>
            <w:vAlign w:val="bottom"/>
            <w:tcBorders>
              <w:top w:val="single" w:sz="8" w:color="auto"/>
              <w:bottom w:val="single" w:sz="8" w:color="71DAFF"/>
              <w:right w:val="single" w:sz="8" w:color="auto"/>
            </w:tcBorders>
            <w:shd w:val="clear" w:color="auto" w:fill="71DAFF"/>
          </w:tcPr>
          <w:p>
            <w:pPr>
              <w:jc w:val="center"/>
              <w:spacing w:after="0"/>
              <w:rPr>
                <w:sz w:val="20"/>
                <w:szCs w:val="20"/>
                <w:color w:val="auto"/>
              </w:rPr>
            </w:pPr>
            <w:r>
              <w:rPr>
                <w:rFonts w:ascii="Times New Roman" w:cs="Times New Roman" w:eastAsia="Times New Roman" w:hAnsi="Times New Roman"/>
                <w:sz w:val="18"/>
                <w:szCs w:val="18"/>
                <w:color w:val="auto"/>
                <w:w w:val="97"/>
              </w:rPr>
              <w:t>[***]</w:t>
            </w:r>
          </w:p>
        </w:tc>
        <w:tc>
          <w:tcPr>
            <w:tcW w:w="1040" w:type="dxa"/>
            <w:vAlign w:val="bottom"/>
            <w:tcBorders>
              <w:top w:val="single" w:sz="8" w:color="auto"/>
              <w:bottom w:val="single" w:sz="8" w:color="71DAFF"/>
              <w:right w:val="single" w:sz="8" w:color="auto"/>
            </w:tcBorders>
            <w:shd w:val="clear" w:color="auto" w:fill="71DA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71DAFF"/>
              <w:right w:val="single" w:sz="8" w:color="auto"/>
            </w:tcBorders>
            <w:shd w:val="clear" w:color="auto" w:fill="71DAFF"/>
          </w:tcPr>
          <w:p>
            <w:pPr>
              <w:jc w:val="center"/>
              <w:spacing w:after="0"/>
              <w:rPr>
                <w:sz w:val="20"/>
                <w:szCs w:val="20"/>
                <w:color w:val="auto"/>
              </w:rPr>
            </w:pPr>
            <w:r>
              <w:rPr>
                <w:rFonts w:ascii="Times New Roman" w:cs="Times New Roman" w:eastAsia="Times New Roman" w:hAnsi="Times New Roman"/>
                <w:sz w:val="18"/>
                <w:szCs w:val="18"/>
                <w:color w:val="auto"/>
                <w:w w:val="97"/>
              </w:rPr>
              <w:t>[***]</w:t>
            </w:r>
          </w:p>
        </w:tc>
      </w:tr>
      <w:tr>
        <w:trPr>
          <w:trHeight w:val="255"/>
        </w:trPr>
        <w:tc>
          <w:tcPr>
            <w:tcW w:w="620" w:type="dxa"/>
            <w:vAlign w:val="bottom"/>
            <w:tcBorders>
              <w:top w:val="single" w:sz="8" w:color="auto"/>
              <w:left w:val="single" w:sz="8" w:color="auto"/>
              <w:bottom w:val="single" w:sz="8" w:color="B4DE86"/>
              <w:right w:val="single" w:sz="8" w:color="auto"/>
            </w:tcBorders>
            <w:shd w:val="clear" w:color="auto" w:fill="B4DE86"/>
          </w:tcPr>
          <w:p>
            <w:pPr>
              <w:jc w:val="center"/>
              <w:spacing w:after="0"/>
              <w:rPr>
                <w:sz w:val="20"/>
                <w:szCs w:val="20"/>
                <w:color w:val="auto"/>
              </w:rPr>
            </w:pPr>
            <w:r>
              <w:rPr>
                <w:rFonts w:ascii="Times New Roman" w:cs="Times New Roman" w:eastAsia="Times New Roman" w:hAnsi="Times New Roman"/>
                <w:sz w:val="18"/>
                <w:szCs w:val="18"/>
                <w:color w:val="auto"/>
                <w:w w:val="99"/>
              </w:rPr>
              <w:t>Prod</w:t>
            </w:r>
          </w:p>
        </w:tc>
        <w:tc>
          <w:tcPr>
            <w:tcW w:w="1380" w:type="dxa"/>
            <w:vAlign w:val="bottom"/>
            <w:tcBorders>
              <w:top w:val="single" w:sz="8" w:color="auto"/>
              <w:bottom w:val="single" w:sz="8" w:color="B4DE86"/>
              <w:right w:val="single" w:sz="8" w:color="auto"/>
            </w:tcBorders>
            <w:shd w:val="clear" w:color="auto" w:fill="B4DE86"/>
          </w:tcPr>
          <w:p>
            <w:pPr>
              <w:jc w:val="center"/>
              <w:spacing w:after="0"/>
              <w:rPr>
                <w:sz w:val="20"/>
                <w:szCs w:val="20"/>
                <w:color w:val="auto"/>
              </w:rPr>
            </w:pPr>
            <w:r>
              <w:rPr>
                <w:rFonts w:ascii="Times New Roman" w:cs="Times New Roman" w:eastAsia="Times New Roman" w:hAnsi="Times New Roman"/>
                <w:sz w:val="18"/>
                <w:szCs w:val="18"/>
                <w:color w:val="auto"/>
                <w:w w:val="97"/>
              </w:rPr>
              <w:t>[***]</w:t>
            </w:r>
          </w:p>
        </w:tc>
        <w:tc>
          <w:tcPr>
            <w:tcW w:w="2380" w:type="dxa"/>
            <w:vAlign w:val="bottom"/>
            <w:tcBorders>
              <w:top w:val="single" w:sz="8" w:color="auto"/>
              <w:bottom w:val="single" w:sz="8" w:color="B4DE86"/>
              <w:right w:val="single" w:sz="8" w:color="auto"/>
            </w:tcBorders>
            <w:shd w:val="clear" w:color="auto" w:fill="B4DE86"/>
          </w:tcPr>
          <w:p>
            <w:pPr>
              <w:jc w:val="right"/>
              <w:ind w:right="1910"/>
              <w:spacing w:after="0"/>
              <w:rPr>
                <w:sz w:val="20"/>
                <w:szCs w:val="20"/>
                <w:color w:val="auto"/>
              </w:rPr>
            </w:pPr>
            <w:r>
              <w:rPr>
                <w:rFonts w:ascii="Times New Roman" w:cs="Times New Roman" w:eastAsia="Times New Roman" w:hAnsi="Times New Roman"/>
                <w:sz w:val="18"/>
                <w:szCs w:val="18"/>
                <w:color w:val="auto"/>
                <w:w w:val="92"/>
              </w:rPr>
              <w:t>[***]</w:t>
            </w:r>
          </w:p>
        </w:tc>
        <w:tc>
          <w:tcPr>
            <w:tcW w:w="1380" w:type="dxa"/>
            <w:vAlign w:val="bottom"/>
            <w:tcBorders>
              <w:top w:val="single" w:sz="8" w:color="auto"/>
              <w:bottom w:val="single" w:sz="8" w:color="B4DE86"/>
              <w:right w:val="single" w:sz="8" w:color="auto"/>
            </w:tcBorders>
            <w:shd w:val="clear" w:color="auto" w:fill="B4DE86"/>
          </w:tcPr>
          <w:p>
            <w:pPr>
              <w:jc w:val="center"/>
              <w:spacing w:after="0"/>
              <w:rPr>
                <w:sz w:val="20"/>
                <w:szCs w:val="20"/>
                <w:color w:val="auto"/>
              </w:rPr>
            </w:pPr>
            <w:r>
              <w:rPr>
                <w:rFonts w:ascii="Times New Roman" w:cs="Times New Roman" w:eastAsia="Times New Roman" w:hAnsi="Times New Roman"/>
                <w:sz w:val="18"/>
                <w:szCs w:val="18"/>
                <w:color w:val="auto"/>
                <w:w w:val="97"/>
              </w:rPr>
              <w:t>[***]</w:t>
            </w:r>
          </w:p>
        </w:tc>
        <w:tc>
          <w:tcPr>
            <w:tcW w:w="1040" w:type="dxa"/>
            <w:vAlign w:val="bottom"/>
            <w:tcBorders>
              <w:top w:val="single" w:sz="8" w:color="auto"/>
              <w:bottom w:val="single" w:sz="8" w:color="B4DE86"/>
              <w:right w:val="single" w:sz="8" w:color="auto"/>
            </w:tcBorders>
            <w:shd w:val="clear" w:color="auto" w:fill="B4DE86"/>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B4DE86"/>
              <w:right w:val="single" w:sz="8" w:color="auto"/>
            </w:tcBorders>
            <w:shd w:val="clear" w:color="auto" w:fill="B4DE86"/>
          </w:tcPr>
          <w:p>
            <w:pPr>
              <w:jc w:val="center"/>
              <w:spacing w:after="0"/>
              <w:rPr>
                <w:sz w:val="20"/>
                <w:szCs w:val="20"/>
                <w:color w:val="auto"/>
              </w:rPr>
            </w:pPr>
            <w:r>
              <w:rPr>
                <w:rFonts w:ascii="Times New Roman" w:cs="Times New Roman" w:eastAsia="Times New Roman" w:hAnsi="Times New Roman"/>
                <w:sz w:val="18"/>
                <w:szCs w:val="18"/>
                <w:color w:val="auto"/>
                <w:w w:val="97"/>
              </w:rPr>
              <w:t>[***]</w:t>
            </w:r>
          </w:p>
        </w:tc>
      </w:tr>
      <w:tr>
        <w:trPr>
          <w:trHeight w:val="255"/>
        </w:trPr>
        <w:tc>
          <w:tcPr>
            <w:tcW w:w="620" w:type="dxa"/>
            <w:vAlign w:val="bottom"/>
            <w:tcBorders>
              <w:top w:val="single" w:sz="8" w:color="auto"/>
              <w:left w:val="single" w:sz="8" w:color="auto"/>
              <w:bottom w:val="single" w:sz="8" w:color="B4DE86"/>
              <w:right w:val="single" w:sz="8" w:color="auto"/>
            </w:tcBorders>
            <w:shd w:val="clear" w:color="auto" w:fill="B4DE86"/>
          </w:tcPr>
          <w:p>
            <w:pPr>
              <w:jc w:val="center"/>
              <w:spacing w:after="0"/>
              <w:rPr>
                <w:sz w:val="20"/>
                <w:szCs w:val="20"/>
                <w:color w:val="auto"/>
              </w:rPr>
            </w:pPr>
            <w:r>
              <w:rPr>
                <w:rFonts w:ascii="Times New Roman" w:cs="Times New Roman" w:eastAsia="Times New Roman" w:hAnsi="Times New Roman"/>
                <w:sz w:val="18"/>
                <w:szCs w:val="18"/>
                <w:color w:val="auto"/>
                <w:w w:val="99"/>
              </w:rPr>
              <w:t>Prod</w:t>
            </w:r>
          </w:p>
        </w:tc>
        <w:tc>
          <w:tcPr>
            <w:tcW w:w="1380" w:type="dxa"/>
            <w:vAlign w:val="bottom"/>
            <w:tcBorders>
              <w:top w:val="single" w:sz="8" w:color="auto"/>
              <w:bottom w:val="single" w:sz="8" w:color="B4DE86"/>
              <w:right w:val="single" w:sz="8" w:color="auto"/>
            </w:tcBorders>
            <w:shd w:val="clear" w:color="auto" w:fill="B4DE86"/>
          </w:tcPr>
          <w:p>
            <w:pPr>
              <w:jc w:val="center"/>
              <w:spacing w:after="0"/>
              <w:rPr>
                <w:sz w:val="20"/>
                <w:szCs w:val="20"/>
                <w:color w:val="auto"/>
              </w:rPr>
            </w:pPr>
            <w:r>
              <w:rPr>
                <w:rFonts w:ascii="Times New Roman" w:cs="Times New Roman" w:eastAsia="Times New Roman" w:hAnsi="Times New Roman"/>
                <w:sz w:val="18"/>
                <w:szCs w:val="18"/>
                <w:color w:val="auto"/>
                <w:w w:val="97"/>
              </w:rPr>
              <w:t>[***]</w:t>
            </w:r>
          </w:p>
        </w:tc>
        <w:tc>
          <w:tcPr>
            <w:tcW w:w="2380" w:type="dxa"/>
            <w:vAlign w:val="bottom"/>
            <w:tcBorders>
              <w:top w:val="single" w:sz="8" w:color="auto"/>
              <w:bottom w:val="single" w:sz="8" w:color="B4DE86"/>
              <w:right w:val="single" w:sz="8" w:color="auto"/>
            </w:tcBorders>
            <w:shd w:val="clear" w:color="auto" w:fill="B4DE86"/>
          </w:tcPr>
          <w:p>
            <w:pPr>
              <w:jc w:val="right"/>
              <w:ind w:right="1910"/>
              <w:spacing w:after="0"/>
              <w:rPr>
                <w:sz w:val="20"/>
                <w:szCs w:val="20"/>
                <w:color w:val="auto"/>
              </w:rPr>
            </w:pPr>
            <w:r>
              <w:rPr>
                <w:rFonts w:ascii="Times New Roman" w:cs="Times New Roman" w:eastAsia="Times New Roman" w:hAnsi="Times New Roman"/>
                <w:sz w:val="18"/>
                <w:szCs w:val="18"/>
                <w:color w:val="auto"/>
                <w:w w:val="92"/>
              </w:rPr>
              <w:t>[***]</w:t>
            </w:r>
          </w:p>
        </w:tc>
        <w:tc>
          <w:tcPr>
            <w:tcW w:w="1380" w:type="dxa"/>
            <w:vAlign w:val="bottom"/>
            <w:tcBorders>
              <w:top w:val="single" w:sz="8" w:color="auto"/>
              <w:bottom w:val="single" w:sz="8" w:color="B4DE86"/>
              <w:right w:val="single" w:sz="8" w:color="auto"/>
            </w:tcBorders>
            <w:shd w:val="clear" w:color="auto" w:fill="B4DE86"/>
          </w:tcPr>
          <w:p>
            <w:pPr>
              <w:jc w:val="center"/>
              <w:spacing w:after="0"/>
              <w:rPr>
                <w:sz w:val="20"/>
                <w:szCs w:val="20"/>
                <w:color w:val="auto"/>
              </w:rPr>
            </w:pPr>
            <w:r>
              <w:rPr>
                <w:rFonts w:ascii="Times New Roman" w:cs="Times New Roman" w:eastAsia="Times New Roman" w:hAnsi="Times New Roman"/>
                <w:sz w:val="18"/>
                <w:szCs w:val="18"/>
                <w:color w:val="auto"/>
                <w:w w:val="97"/>
              </w:rPr>
              <w:t>[***]</w:t>
            </w:r>
          </w:p>
        </w:tc>
        <w:tc>
          <w:tcPr>
            <w:tcW w:w="1040" w:type="dxa"/>
            <w:vAlign w:val="bottom"/>
            <w:tcBorders>
              <w:top w:val="single" w:sz="8" w:color="auto"/>
              <w:bottom w:val="single" w:sz="8" w:color="B4DE86"/>
              <w:right w:val="single" w:sz="8" w:color="auto"/>
            </w:tcBorders>
            <w:shd w:val="clear" w:color="auto" w:fill="B4DE86"/>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B4DE86"/>
              <w:right w:val="single" w:sz="8" w:color="auto"/>
            </w:tcBorders>
            <w:shd w:val="clear" w:color="auto" w:fill="B4DE86"/>
          </w:tcPr>
          <w:p>
            <w:pPr>
              <w:jc w:val="center"/>
              <w:spacing w:after="0"/>
              <w:rPr>
                <w:sz w:val="20"/>
                <w:szCs w:val="20"/>
                <w:color w:val="auto"/>
              </w:rPr>
            </w:pPr>
            <w:r>
              <w:rPr>
                <w:rFonts w:ascii="Times New Roman" w:cs="Times New Roman" w:eastAsia="Times New Roman" w:hAnsi="Times New Roman"/>
                <w:sz w:val="18"/>
                <w:szCs w:val="18"/>
                <w:color w:val="auto"/>
                <w:w w:val="97"/>
              </w:rPr>
              <w:t>[***]</w:t>
            </w:r>
          </w:p>
        </w:tc>
      </w:tr>
      <w:tr>
        <w:trPr>
          <w:trHeight w:val="255"/>
        </w:trPr>
        <w:tc>
          <w:tcPr>
            <w:tcW w:w="620" w:type="dxa"/>
            <w:vAlign w:val="bottom"/>
            <w:tcBorders>
              <w:top w:val="single" w:sz="8" w:color="auto"/>
              <w:left w:val="single" w:sz="8" w:color="auto"/>
              <w:bottom w:val="single" w:sz="8" w:color="B4DE86"/>
              <w:right w:val="single" w:sz="8" w:color="auto"/>
            </w:tcBorders>
            <w:shd w:val="clear" w:color="auto" w:fill="B4DE86"/>
          </w:tcPr>
          <w:p>
            <w:pPr>
              <w:jc w:val="center"/>
              <w:spacing w:after="0"/>
              <w:rPr>
                <w:sz w:val="20"/>
                <w:szCs w:val="20"/>
                <w:color w:val="auto"/>
              </w:rPr>
            </w:pPr>
            <w:r>
              <w:rPr>
                <w:rFonts w:ascii="Times New Roman" w:cs="Times New Roman" w:eastAsia="Times New Roman" w:hAnsi="Times New Roman"/>
                <w:sz w:val="18"/>
                <w:szCs w:val="18"/>
                <w:color w:val="auto"/>
                <w:w w:val="99"/>
              </w:rPr>
              <w:t>Prod</w:t>
            </w:r>
          </w:p>
        </w:tc>
        <w:tc>
          <w:tcPr>
            <w:tcW w:w="1380" w:type="dxa"/>
            <w:vAlign w:val="bottom"/>
            <w:tcBorders>
              <w:top w:val="single" w:sz="8" w:color="auto"/>
              <w:bottom w:val="single" w:sz="8" w:color="B4DE86"/>
              <w:right w:val="single" w:sz="8" w:color="auto"/>
            </w:tcBorders>
            <w:shd w:val="clear" w:color="auto" w:fill="B4DE86"/>
          </w:tcPr>
          <w:p>
            <w:pPr>
              <w:jc w:val="center"/>
              <w:spacing w:after="0"/>
              <w:rPr>
                <w:sz w:val="20"/>
                <w:szCs w:val="20"/>
                <w:color w:val="auto"/>
              </w:rPr>
            </w:pPr>
            <w:r>
              <w:rPr>
                <w:rFonts w:ascii="Times New Roman" w:cs="Times New Roman" w:eastAsia="Times New Roman" w:hAnsi="Times New Roman"/>
                <w:sz w:val="18"/>
                <w:szCs w:val="18"/>
                <w:color w:val="auto"/>
                <w:w w:val="97"/>
              </w:rPr>
              <w:t>[***]</w:t>
            </w:r>
          </w:p>
        </w:tc>
        <w:tc>
          <w:tcPr>
            <w:tcW w:w="2380" w:type="dxa"/>
            <w:vAlign w:val="bottom"/>
            <w:tcBorders>
              <w:top w:val="single" w:sz="8" w:color="auto"/>
              <w:bottom w:val="single" w:sz="8" w:color="B4DE86"/>
              <w:right w:val="single" w:sz="8" w:color="auto"/>
            </w:tcBorders>
            <w:shd w:val="clear" w:color="auto" w:fill="B4DE86"/>
          </w:tcPr>
          <w:p>
            <w:pPr>
              <w:jc w:val="right"/>
              <w:ind w:right="1910"/>
              <w:spacing w:after="0"/>
              <w:rPr>
                <w:sz w:val="20"/>
                <w:szCs w:val="20"/>
                <w:color w:val="auto"/>
              </w:rPr>
            </w:pPr>
            <w:r>
              <w:rPr>
                <w:rFonts w:ascii="Times New Roman" w:cs="Times New Roman" w:eastAsia="Times New Roman" w:hAnsi="Times New Roman"/>
                <w:sz w:val="18"/>
                <w:szCs w:val="18"/>
                <w:color w:val="auto"/>
                <w:w w:val="92"/>
              </w:rPr>
              <w:t>[***]</w:t>
            </w:r>
          </w:p>
        </w:tc>
        <w:tc>
          <w:tcPr>
            <w:tcW w:w="1380" w:type="dxa"/>
            <w:vAlign w:val="bottom"/>
            <w:tcBorders>
              <w:top w:val="single" w:sz="8" w:color="auto"/>
              <w:bottom w:val="single" w:sz="8" w:color="B4DE86"/>
              <w:right w:val="single" w:sz="8" w:color="auto"/>
            </w:tcBorders>
            <w:shd w:val="clear" w:color="auto" w:fill="B4DE86"/>
          </w:tcPr>
          <w:p>
            <w:pPr>
              <w:jc w:val="center"/>
              <w:spacing w:after="0"/>
              <w:rPr>
                <w:sz w:val="20"/>
                <w:szCs w:val="20"/>
                <w:color w:val="auto"/>
              </w:rPr>
            </w:pPr>
            <w:r>
              <w:rPr>
                <w:rFonts w:ascii="Times New Roman" w:cs="Times New Roman" w:eastAsia="Times New Roman" w:hAnsi="Times New Roman"/>
                <w:sz w:val="18"/>
                <w:szCs w:val="18"/>
                <w:color w:val="auto"/>
                <w:w w:val="97"/>
              </w:rPr>
              <w:t>[***]</w:t>
            </w:r>
          </w:p>
        </w:tc>
        <w:tc>
          <w:tcPr>
            <w:tcW w:w="1040" w:type="dxa"/>
            <w:vAlign w:val="bottom"/>
            <w:tcBorders>
              <w:top w:val="single" w:sz="8" w:color="auto"/>
              <w:bottom w:val="single" w:sz="8" w:color="B4DE86"/>
              <w:right w:val="single" w:sz="8" w:color="auto"/>
            </w:tcBorders>
            <w:shd w:val="clear" w:color="auto" w:fill="B4DE86"/>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B4DE86"/>
              <w:right w:val="single" w:sz="8" w:color="auto"/>
            </w:tcBorders>
            <w:shd w:val="clear" w:color="auto" w:fill="B4DE86"/>
          </w:tcPr>
          <w:p>
            <w:pPr>
              <w:jc w:val="center"/>
              <w:spacing w:after="0"/>
              <w:rPr>
                <w:sz w:val="20"/>
                <w:szCs w:val="20"/>
                <w:color w:val="auto"/>
              </w:rPr>
            </w:pPr>
            <w:r>
              <w:rPr>
                <w:rFonts w:ascii="Times New Roman" w:cs="Times New Roman" w:eastAsia="Times New Roman" w:hAnsi="Times New Roman"/>
                <w:sz w:val="18"/>
                <w:szCs w:val="18"/>
                <w:color w:val="auto"/>
                <w:w w:val="97"/>
              </w:rPr>
              <w:t>[***]</w:t>
            </w:r>
          </w:p>
        </w:tc>
      </w:tr>
      <w:tr>
        <w:trPr>
          <w:trHeight w:val="255"/>
        </w:trPr>
        <w:tc>
          <w:tcPr>
            <w:tcW w:w="620" w:type="dxa"/>
            <w:vAlign w:val="bottom"/>
            <w:tcBorders>
              <w:top w:val="single" w:sz="8" w:color="auto"/>
              <w:left w:val="single" w:sz="8" w:color="auto"/>
              <w:bottom w:val="single" w:sz="8" w:color="B4DE86"/>
              <w:right w:val="single" w:sz="8" w:color="auto"/>
            </w:tcBorders>
            <w:shd w:val="clear" w:color="auto" w:fill="B4DE86"/>
          </w:tcPr>
          <w:p>
            <w:pPr>
              <w:jc w:val="center"/>
              <w:spacing w:after="0"/>
              <w:rPr>
                <w:sz w:val="20"/>
                <w:szCs w:val="20"/>
                <w:color w:val="auto"/>
              </w:rPr>
            </w:pPr>
            <w:r>
              <w:rPr>
                <w:rFonts w:ascii="Times New Roman" w:cs="Times New Roman" w:eastAsia="Times New Roman" w:hAnsi="Times New Roman"/>
                <w:sz w:val="18"/>
                <w:szCs w:val="18"/>
                <w:color w:val="auto"/>
                <w:w w:val="99"/>
              </w:rPr>
              <w:t>Prod</w:t>
            </w:r>
          </w:p>
        </w:tc>
        <w:tc>
          <w:tcPr>
            <w:tcW w:w="1380" w:type="dxa"/>
            <w:vAlign w:val="bottom"/>
            <w:tcBorders>
              <w:top w:val="single" w:sz="8" w:color="auto"/>
              <w:bottom w:val="single" w:sz="8" w:color="B4DE86"/>
              <w:right w:val="single" w:sz="8" w:color="auto"/>
            </w:tcBorders>
            <w:shd w:val="clear" w:color="auto" w:fill="B4DE86"/>
          </w:tcPr>
          <w:p>
            <w:pPr>
              <w:jc w:val="center"/>
              <w:spacing w:after="0"/>
              <w:rPr>
                <w:sz w:val="20"/>
                <w:szCs w:val="20"/>
                <w:color w:val="auto"/>
              </w:rPr>
            </w:pPr>
            <w:r>
              <w:rPr>
                <w:rFonts w:ascii="Times New Roman" w:cs="Times New Roman" w:eastAsia="Times New Roman" w:hAnsi="Times New Roman"/>
                <w:sz w:val="18"/>
                <w:szCs w:val="18"/>
                <w:color w:val="auto"/>
                <w:w w:val="97"/>
              </w:rPr>
              <w:t>[***]</w:t>
            </w:r>
          </w:p>
        </w:tc>
        <w:tc>
          <w:tcPr>
            <w:tcW w:w="2380" w:type="dxa"/>
            <w:vAlign w:val="bottom"/>
            <w:tcBorders>
              <w:top w:val="single" w:sz="8" w:color="auto"/>
              <w:bottom w:val="single" w:sz="8" w:color="B4DE86"/>
              <w:right w:val="single" w:sz="8" w:color="auto"/>
            </w:tcBorders>
            <w:shd w:val="clear" w:color="auto" w:fill="B4DE86"/>
          </w:tcPr>
          <w:p>
            <w:pPr>
              <w:jc w:val="right"/>
              <w:ind w:right="1910"/>
              <w:spacing w:after="0"/>
              <w:rPr>
                <w:sz w:val="20"/>
                <w:szCs w:val="20"/>
                <w:color w:val="auto"/>
              </w:rPr>
            </w:pPr>
            <w:r>
              <w:rPr>
                <w:rFonts w:ascii="Times New Roman" w:cs="Times New Roman" w:eastAsia="Times New Roman" w:hAnsi="Times New Roman"/>
                <w:sz w:val="18"/>
                <w:szCs w:val="18"/>
                <w:color w:val="auto"/>
                <w:w w:val="92"/>
              </w:rPr>
              <w:t>[***]</w:t>
            </w:r>
          </w:p>
        </w:tc>
        <w:tc>
          <w:tcPr>
            <w:tcW w:w="1380" w:type="dxa"/>
            <w:vAlign w:val="bottom"/>
            <w:tcBorders>
              <w:top w:val="single" w:sz="8" w:color="auto"/>
              <w:bottom w:val="single" w:sz="8" w:color="B4DE86"/>
              <w:right w:val="single" w:sz="8" w:color="auto"/>
            </w:tcBorders>
            <w:shd w:val="clear" w:color="auto" w:fill="B4DE86"/>
          </w:tcPr>
          <w:p>
            <w:pPr>
              <w:jc w:val="center"/>
              <w:spacing w:after="0"/>
              <w:rPr>
                <w:sz w:val="20"/>
                <w:szCs w:val="20"/>
                <w:color w:val="auto"/>
              </w:rPr>
            </w:pPr>
            <w:r>
              <w:rPr>
                <w:rFonts w:ascii="Times New Roman" w:cs="Times New Roman" w:eastAsia="Times New Roman" w:hAnsi="Times New Roman"/>
                <w:sz w:val="18"/>
                <w:szCs w:val="18"/>
                <w:color w:val="auto"/>
                <w:w w:val="97"/>
              </w:rPr>
              <w:t>[***]</w:t>
            </w:r>
          </w:p>
        </w:tc>
        <w:tc>
          <w:tcPr>
            <w:tcW w:w="1040" w:type="dxa"/>
            <w:vAlign w:val="bottom"/>
            <w:tcBorders>
              <w:top w:val="single" w:sz="8" w:color="auto"/>
              <w:bottom w:val="single" w:sz="8" w:color="B4DE86"/>
              <w:right w:val="single" w:sz="8" w:color="auto"/>
            </w:tcBorders>
            <w:shd w:val="clear" w:color="auto" w:fill="B4DE86"/>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B4DE86"/>
              <w:right w:val="single" w:sz="8" w:color="auto"/>
            </w:tcBorders>
            <w:shd w:val="clear" w:color="auto" w:fill="B4DE86"/>
          </w:tcPr>
          <w:p>
            <w:pPr>
              <w:jc w:val="center"/>
              <w:spacing w:after="0"/>
              <w:rPr>
                <w:sz w:val="20"/>
                <w:szCs w:val="20"/>
                <w:color w:val="auto"/>
              </w:rPr>
            </w:pPr>
            <w:r>
              <w:rPr>
                <w:rFonts w:ascii="Times New Roman" w:cs="Times New Roman" w:eastAsia="Times New Roman" w:hAnsi="Times New Roman"/>
                <w:sz w:val="18"/>
                <w:szCs w:val="18"/>
                <w:color w:val="auto"/>
                <w:w w:val="97"/>
              </w:rPr>
              <w:t>[***]</w:t>
            </w:r>
          </w:p>
        </w:tc>
      </w:tr>
      <w:tr>
        <w:trPr>
          <w:trHeight w:val="255"/>
        </w:trPr>
        <w:tc>
          <w:tcPr>
            <w:tcW w:w="620" w:type="dxa"/>
            <w:vAlign w:val="bottom"/>
            <w:tcBorders>
              <w:top w:val="single" w:sz="8" w:color="auto"/>
              <w:left w:val="single" w:sz="8" w:color="auto"/>
              <w:bottom w:val="single" w:sz="8" w:color="B4DE86"/>
              <w:right w:val="single" w:sz="8" w:color="auto"/>
            </w:tcBorders>
            <w:shd w:val="clear" w:color="auto" w:fill="B4DE86"/>
          </w:tcPr>
          <w:p>
            <w:pPr>
              <w:jc w:val="center"/>
              <w:spacing w:after="0"/>
              <w:rPr>
                <w:sz w:val="20"/>
                <w:szCs w:val="20"/>
                <w:color w:val="auto"/>
              </w:rPr>
            </w:pPr>
            <w:r>
              <w:rPr>
                <w:rFonts w:ascii="Times New Roman" w:cs="Times New Roman" w:eastAsia="Times New Roman" w:hAnsi="Times New Roman"/>
                <w:sz w:val="18"/>
                <w:szCs w:val="18"/>
                <w:color w:val="auto"/>
                <w:w w:val="99"/>
              </w:rPr>
              <w:t>Prod</w:t>
            </w:r>
          </w:p>
        </w:tc>
        <w:tc>
          <w:tcPr>
            <w:tcW w:w="1380" w:type="dxa"/>
            <w:vAlign w:val="bottom"/>
            <w:tcBorders>
              <w:top w:val="single" w:sz="8" w:color="auto"/>
              <w:bottom w:val="single" w:sz="8" w:color="B4DE86"/>
              <w:right w:val="single" w:sz="8" w:color="auto"/>
            </w:tcBorders>
            <w:shd w:val="clear" w:color="auto" w:fill="B4DE86"/>
          </w:tcPr>
          <w:p>
            <w:pPr>
              <w:jc w:val="center"/>
              <w:spacing w:after="0"/>
              <w:rPr>
                <w:sz w:val="20"/>
                <w:szCs w:val="20"/>
                <w:color w:val="auto"/>
              </w:rPr>
            </w:pPr>
            <w:r>
              <w:rPr>
                <w:rFonts w:ascii="Times New Roman" w:cs="Times New Roman" w:eastAsia="Times New Roman" w:hAnsi="Times New Roman"/>
                <w:sz w:val="18"/>
                <w:szCs w:val="18"/>
                <w:color w:val="auto"/>
                <w:w w:val="97"/>
              </w:rPr>
              <w:t>[***]</w:t>
            </w:r>
          </w:p>
        </w:tc>
        <w:tc>
          <w:tcPr>
            <w:tcW w:w="2380" w:type="dxa"/>
            <w:vAlign w:val="bottom"/>
            <w:tcBorders>
              <w:top w:val="single" w:sz="8" w:color="auto"/>
              <w:bottom w:val="single" w:sz="8" w:color="B4DE86"/>
              <w:right w:val="single" w:sz="8" w:color="auto"/>
            </w:tcBorders>
            <w:shd w:val="clear" w:color="auto" w:fill="B4DE86"/>
          </w:tcPr>
          <w:p>
            <w:pPr>
              <w:jc w:val="right"/>
              <w:ind w:right="1910"/>
              <w:spacing w:after="0"/>
              <w:rPr>
                <w:sz w:val="20"/>
                <w:szCs w:val="20"/>
                <w:color w:val="auto"/>
              </w:rPr>
            </w:pPr>
            <w:r>
              <w:rPr>
                <w:rFonts w:ascii="Times New Roman" w:cs="Times New Roman" w:eastAsia="Times New Roman" w:hAnsi="Times New Roman"/>
                <w:sz w:val="18"/>
                <w:szCs w:val="18"/>
                <w:color w:val="auto"/>
                <w:w w:val="92"/>
              </w:rPr>
              <w:t>[***]</w:t>
            </w:r>
          </w:p>
        </w:tc>
        <w:tc>
          <w:tcPr>
            <w:tcW w:w="1380" w:type="dxa"/>
            <w:vAlign w:val="bottom"/>
            <w:tcBorders>
              <w:top w:val="single" w:sz="8" w:color="auto"/>
              <w:bottom w:val="single" w:sz="8" w:color="B4DE86"/>
              <w:right w:val="single" w:sz="8" w:color="auto"/>
            </w:tcBorders>
            <w:shd w:val="clear" w:color="auto" w:fill="B4DE86"/>
          </w:tcPr>
          <w:p>
            <w:pPr>
              <w:jc w:val="center"/>
              <w:spacing w:after="0"/>
              <w:rPr>
                <w:sz w:val="20"/>
                <w:szCs w:val="20"/>
                <w:color w:val="auto"/>
              </w:rPr>
            </w:pPr>
            <w:r>
              <w:rPr>
                <w:rFonts w:ascii="Times New Roman" w:cs="Times New Roman" w:eastAsia="Times New Roman" w:hAnsi="Times New Roman"/>
                <w:sz w:val="18"/>
                <w:szCs w:val="18"/>
                <w:color w:val="auto"/>
                <w:w w:val="97"/>
              </w:rPr>
              <w:t>[***]</w:t>
            </w:r>
          </w:p>
        </w:tc>
        <w:tc>
          <w:tcPr>
            <w:tcW w:w="1040" w:type="dxa"/>
            <w:vAlign w:val="bottom"/>
            <w:tcBorders>
              <w:top w:val="single" w:sz="8" w:color="auto"/>
              <w:bottom w:val="single" w:sz="8" w:color="B4DE86"/>
              <w:right w:val="single" w:sz="8" w:color="auto"/>
            </w:tcBorders>
            <w:shd w:val="clear" w:color="auto" w:fill="B4DE86"/>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B4DE86"/>
              <w:right w:val="single" w:sz="8" w:color="auto"/>
            </w:tcBorders>
            <w:shd w:val="clear" w:color="auto" w:fill="B4DE86"/>
          </w:tcPr>
          <w:p>
            <w:pPr>
              <w:jc w:val="center"/>
              <w:spacing w:after="0"/>
              <w:rPr>
                <w:sz w:val="20"/>
                <w:szCs w:val="20"/>
                <w:color w:val="auto"/>
              </w:rPr>
            </w:pPr>
            <w:r>
              <w:rPr>
                <w:rFonts w:ascii="Times New Roman" w:cs="Times New Roman" w:eastAsia="Times New Roman" w:hAnsi="Times New Roman"/>
                <w:sz w:val="18"/>
                <w:szCs w:val="18"/>
                <w:color w:val="auto"/>
                <w:w w:val="97"/>
              </w:rPr>
              <w:t>[***]</w:t>
            </w:r>
          </w:p>
        </w:tc>
      </w:tr>
      <w:tr>
        <w:trPr>
          <w:trHeight w:val="228"/>
        </w:trPr>
        <w:tc>
          <w:tcPr>
            <w:tcW w:w="620" w:type="dxa"/>
            <w:vAlign w:val="bottom"/>
            <w:tcBorders>
              <w:top w:val="single" w:sz="8" w:color="auto"/>
              <w:left w:val="single" w:sz="8" w:color="auto"/>
              <w:right w:val="single" w:sz="8" w:color="auto"/>
            </w:tcBorders>
          </w:tcPr>
          <w:p>
            <w:pPr>
              <w:spacing w:after="0"/>
              <w:rPr>
                <w:sz w:val="19"/>
                <w:szCs w:val="19"/>
                <w:color w:val="auto"/>
              </w:rPr>
            </w:pPr>
          </w:p>
        </w:tc>
        <w:tc>
          <w:tcPr>
            <w:tcW w:w="1380" w:type="dxa"/>
            <w:vAlign w:val="bottom"/>
            <w:tcBorders>
              <w:top w:val="single" w:sz="8" w:color="auto"/>
              <w:right w:val="single" w:sz="8" w:color="auto"/>
            </w:tcBorders>
          </w:tcPr>
          <w:p>
            <w:pPr>
              <w:spacing w:after="0"/>
              <w:rPr>
                <w:sz w:val="19"/>
                <w:szCs w:val="19"/>
                <w:color w:val="auto"/>
              </w:rPr>
            </w:pPr>
          </w:p>
        </w:tc>
        <w:tc>
          <w:tcPr>
            <w:tcW w:w="2380" w:type="dxa"/>
            <w:vAlign w:val="bottom"/>
            <w:tcBorders>
              <w:top w:val="single" w:sz="8" w:color="auto"/>
              <w:right w:val="single" w:sz="8" w:color="auto"/>
            </w:tcBorders>
          </w:tcPr>
          <w:p>
            <w:pPr>
              <w:spacing w:after="0"/>
              <w:rPr>
                <w:sz w:val="19"/>
                <w:szCs w:val="19"/>
                <w:color w:val="auto"/>
              </w:rPr>
            </w:pPr>
          </w:p>
        </w:tc>
        <w:tc>
          <w:tcPr>
            <w:tcW w:w="1380" w:type="dxa"/>
            <w:vAlign w:val="bottom"/>
            <w:tcBorders>
              <w:top w:val="single" w:sz="8" w:color="auto"/>
              <w:right w:val="single" w:sz="8" w:color="auto"/>
            </w:tcBorders>
          </w:tcPr>
          <w:p>
            <w:pPr>
              <w:spacing w:after="0"/>
              <w:rPr>
                <w:sz w:val="19"/>
                <w:szCs w:val="19"/>
                <w:color w:val="auto"/>
              </w:rPr>
            </w:pPr>
          </w:p>
        </w:tc>
        <w:tc>
          <w:tcPr>
            <w:tcW w:w="10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$9,250,000</w:t>
            </w:r>
          </w:p>
        </w:tc>
      </w:tr>
      <w:tr>
        <w:trPr>
          <w:trHeight w:val="22"/>
        </w:trPr>
        <w:tc>
          <w:tcPr>
            <w:tcW w:w="6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380" w:type="dxa"/>
            <w:vAlign w:val="bottom"/>
            <w:tcBorders>
              <w:bottom w:val="single" w:sz="8" w:color="auto"/>
              <w:right w:val="single" w:sz="8" w:color="auto"/>
            </w:tcBorders>
          </w:tcPr>
          <w:p>
            <w:pPr>
              <w:spacing w:after="0" w:line="20" w:lineRule="exact"/>
              <w:rPr>
                <w:sz w:val="1"/>
                <w:szCs w:val="1"/>
                <w:color w:val="auto"/>
              </w:rPr>
            </w:pPr>
          </w:p>
        </w:tc>
        <w:tc>
          <w:tcPr>
            <w:tcW w:w="2380" w:type="dxa"/>
            <w:vAlign w:val="bottom"/>
            <w:tcBorders>
              <w:bottom w:val="single" w:sz="8" w:color="auto"/>
              <w:right w:val="single" w:sz="8" w:color="auto"/>
            </w:tcBorders>
          </w:tcPr>
          <w:p>
            <w:pPr>
              <w:spacing w:after="0" w:line="20" w:lineRule="exact"/>
              <w:rPr>
                <w:sz w:val="1"/>
                <w:szCs w:val="1"/>
                <w:color w:val="auto"/>
              </w:rPr>
            </w:pPr>
          </w:p>
        </w:tc>
        <w:tc>
          <w:tcPr>
            <w:tcW w:w="1380" w:type="dxa"/>
            <w:vAlign w:val="bottom"/>
            <w:tcBorders>
              <w:bottom w:val="single" w:sz="8" w:color="auto"/>
              <w:right w:val="single" w:sz="8" w:color="auto"/>
            </w:tcBorders>
          </w:tcPr>
          <w:p>
            <w:pPr>
              <w:spacing w:after="0" w:line="20" w:lineRule="exact"/>
              <w:rPr>
                <w:sz w:val="1"/>
                <w:szCs w:val="1"/>
                <w:color w:val="auto"/>
              </w:rPr>
            </w:pPr>
          </w:p>
        </w:tc>
        <w:tc>
          <w:tcPr>
            <w:tcW w:w="1040" w:type="dxa"/>
            <w:vAlign w:val="bottom"/>
            <w:tcBorders>
              <w:bottom w:val="single" w:sz="8" w:color="auto"/>
              <w:right w:val="single" w:sz="8" w:color="auto"/>
            </w:tcBorders>
          </w:tcPr>
          <w:p>
            <w:pPr>
              <w:spacing w:after="0" w:line="20" w:lineRule="exact"/>
              <w:rPr>
                <w:sz w:val="1"/>
                <w:szCs w:val="1"/>
                <w:color w:val="auto"/>
              </w:rPr>
            </w:pPr>
          </w:p>
        </w:tc>
        <w:tc>
          <w:tcPr>
            <w:tcW w:w="1160" w:type="dxa"/>
            <w:vAlign w:val="bottom"/>
            <w:tcBorders>
              <w:bottom w:val="single" w:sz="8" w:color="auto"/>
              <w:right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940"/>
          </w:cols>
          <w:pgMar w:left="980" w:top="653" w:right="979" w:bottom="1440" w:gutter="0" w:footer="0" w:header="0"/>
        </w:sectPr>
      </w:pPr>
    </w:p>
    <w:p>
      <w:pPr>
        <w:spacing w:after="0" w:line="200" w:lineRule="exact"/>
        <w:rPr>
          <w:sz w:val="20"/>
          <w:szCs w:val="20"/>
          <w:color w:val="auto"/>
        </w:rPr>
      </w:pP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40"/>
          </w:cols>
          <w:pgMar w:left="980" w:top="653" w:right="979" w:bottom="1440" w:gutter="0" w:footer="0" w:header="0"/>
          <w:type w:val="continuous"/>
        </w:sectPr>
      </w:pPr>
    </w:p>
    <w:bookmarkStart w:id="60" w:name="page61"/>
    <w:bookmarkEnd w:id="60"/>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CONFIDENTIAL</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CHANGE MANAGEMENT:</w:t>
      </w:r>
    </w:p>
    <w:p>
      <w:pPr>
        <w:spacing w:after="0" w:line="210"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22"/>
          <w:szCs w:val="22"/>
          <w:color w:val="auto"/>
        </w:rPr>
        <w:t>Everspin acknowledges that Frontgrade’s requirements for the Services may change during the Term and both parties shall not unreasonably withhold or delay its consent to any reasonable variation or addition to the project and milestones, as may be requested by Frontgrade or Everspin from time to time; provided such request accounts for appropriate additional time and fees.</w:t>
      </w:r>
    </w:p>
    <w:p>
      <w:pPr>
        <w:spacing w:after="0" w:line="180" w:lineRule="exact"/>
        <w:rPr>
          <w:sz w:val="20"/>
          <w:szCs w:val="20"/>
          <w:color w:val="auto"/>
        </w:rPr>
      </w:pPr>
    </w:p>
    <w:p>
      <w:pPr>
        <w:ind w:right="140"/>
        <w:spacing w:after="0" w:line="238" w:lineRule="auto"/>
        <w:rPr>
          <w:sz w:val="20"/>
          <w:szCs w:val="20"/>
          <w:color w:val="auto"/>
        </w:rPr>
      </w:pPr>
      <w:r>
        <w:rPr>
          <w:rFonts w:ascii="Times New Roman" w:cs="Times New Roman" w:eastAsia="Times New Roman" w:hAnsi="Times New Roman"/>
          <w:sz w:val="22"/>
          <w:szCs w:val="22"/>
          <w:color w:val="auto"/>
        </w:rPr>
        <w:t>Any change to the Services or other variation to this Statement of Work shall only be binding once it has been agreed to in writing: (a) All changes are subject to a formal change control process and a Change Notice shall be filled out and signed by an authorized representative of both parties, and for the avoidance of doubt the only authorized representative for Frontgrade is Strategic Sourcing representative. A Change Notice Template is attached as Attachment 2.</w:t>
      </w:r>
    </w:p>
    <w:p>
      <w:pPr>
        <w:spacing w:after="0" w:line="177"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22"/>
          <w:szCs w:val="22"/>
          <w:color w:val="auto"/>
        </w:rPr>
        <w:t>If a request is made for onsite work at any point, Frongrade will request a Change Order noting the travel and expenses to be incurred as estimates for budgetary purposes and to track these requested changes. Any changes to the Not-to-Exceed value of this Statement of Work will be subject to a Change Request approved and signed off by Frontgrade.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653" w:right="1039" w:bottom="1440" w:gutter="0" w:footer="0" w:header="0"/>
        </w:sectPr>
      </w:pPr>
    </w:p>
    <w:bookmarkStart w:id="61" w:name="page62"/>
    <w:bookmarkEnd w:id="61"/>
    <w:p>
      <w:pPr>
        <w:jc w:val="center"/>
        <w:spacing w:after="0"/>
        <w:rPr>
          <w:sz w:val="20"/>
          <w:szCs w:val="20"/>
          <w:color w:val="auto"/>
        </w:rPr>
      </w:pPr>
      <w:r>
        <w:rPr>
          <w:rFonts w:ascii="Times New Roman" w:cs="Times New Roman" w:eastAsia="Times New Roman" w:hAnsi="Times New Roman"/>
          <w:sz w:val="20"/>
          <w:szCs w:val="20"/>
          <w:b w:val="1"/>
          <w:bCs w:val="1"/>
          <w:color w:val="auto"/>
        </w:rPr>
        <w:t>CONFIDENTIAL</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ATTACHMENT A</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FRONTGRADE INTELLECTUAL PROPERTY</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356870</wp:posOffset>
            </wp:positionV>
            <wp:extent cx="6292215"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019"/>
          </w:cols>
          <w:pgMar w:left="1440" w:top="653" w:right="1440" w:bottom="1440" w:gutter="0" w:footer="0" w:header="0"/>
        </w:sectPr>
      </w:pPr>
    </w:p>
    <w:bookmarkStart w:id="62" w:name="page63"/>
    <w:bookmarkEnd w:id="62"/>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CONFIDENTIAL</w:t>
      </w: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EVERSPIN INTELLECTUAL PROPERTY</w:t>
      </w: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356870</wp:posOffset>
            </wp:positionV>
            <wp:extent cx="6292215"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019"/>
          </w:cols>
          <w:pgMar w:left="1440" w:top="653" w:right="1440" w:bottom="1440" w:gutter="0" w:footer="0" w:header="0"/>
        </w:sectPr>
      </w:pPr>
    </w:p>
    <w:bookmarkStart w:id="63" w:name="page64"/>
    <w:bookmarkEnd w:id="63"/>
    <w:p>
      <w:pPr>
        <w:jc w:val="center"/>
        <w:spacing w:after="0"/>
        <w:rPr>
          <w:sz w:val="20"/>
          <w:szCs w:val="20"/>
          <w:color w:val="auto"/>
        </w:rPr>
      </w:pPr>
      <w:r>
        <w:rPr>
          <w:rFonts w:ascii="Times New Roman" w:cs="Times New Roman" w:eastAsia="Times New Roman" w:hAnsi="Times New Roman"/>
          <w:sz w:val="20"/>
          <w:szCs w:val="20"/>
          <w:b w:val="1"/>
          <w:bCs w:val="1"/>
          <w:color w:val="auto"/>
        </w:rPr>
        <w:t>CONFIDENTIAL</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ATTACHMENT B</w:t>
      </w:r>
    </w:p>
    <w:p>
      <w:pPr>
        <w:spacing w:after="0" w:line="216" w:lineRule="exact"/>
        <w:rPr>
          <w:sz w:val="20"/>
          <w:szCs w:val="20"/>
          <w:color w:val="auto"/>
        </w:rPr>
      </w:pPr>
    </w:p>
    <w:p>
      <w:pPr>
        <w:jc w:val="center"/>
        <w:spacing w:after="0" w:line="250" w:lineRule="auto"/>
        <w:rPr>
          <w:sz w:val="20"/>
          <w:szCs w:val="20"/>
          <w:color w:val="auto"/>
        </w:rPr>
      </w:pPr>
      <w:r>
        <w:rPr>
          <w:rFonts w:ascii="Times New Roman" w:cs="Times New Roman" w:eastAsia="Times New Roman" w:hAnsi="Times New Roman"/>
          <w:sz w:val="20"/>
          <w:szCs w:val="20"/>
          <w:b w:val="1"/>
          <w:bCs w:val="1"/>
          <w:color w:val="auto"/>
        </w:rPr>
        <w:t>APPENDIX 1 - FEDERAL ACQUISITION REGULATION (FAR) AND DEFENSE FEDERAL ACQUISITION REGULATION SUPPLEMENT (DFARS) FLOW DOWN PROVISIONS FOR SUBCONTRACTS/PURCHASE ORDERS FOR COMMERCIAL PRODUCTS AND/OR SERVICES UNDER A UNITED STATES DEPARTMENT OF DEFENSE PRIME CONTRACT</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SEE ATTACHED .PDF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356870</wp:posOffset>
            </wp:positionV>
            <wp:extent cx="6292215"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760"/>
          </w:cols>
          <w:pgMar w:left="1060" w:top="653" w:right="1079" w:bottom="1440" w:gutter="0" w:footer="0" w:header="0"/>
        </w:sectPr>
      </w:pPr>
    </w:p>
    <w:bookmarkStart w:id="64" w:name="page65"/>
    <w:bookmarkEnd w:id="64"/>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CONFIDENTIAL</w:t>
      </w:r>
    </w:p>
    <w:p>
      <w:pPr>
        <w:spacing w:after="0" w:line="2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ATTACHMENT C</w:t>
      </w:r>
    </w:p>
    <w:p>
      <w:pPr>
        <w:spacing w:after="0" w:line="2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CHANGE NOTICE TEMPLATE</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Project Change Request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-137160</wp:posOffset>
            </wp:positionV>
            <wp:extent cx="6301105" cy="474916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7">
                      <a:extLst>
                        <a:ext uri="{28A0092B-C50C-407E-A947-70E740481C1C}"/>
                      </a:extLst>
                    </a:blip>
                    <a:srcRect/>
                    <a:stretch>
                      <a:fillRect/>
                    </a:stretch>
                  </pic:blipFill>
                  <pic:spPr bwMode="auto">
                    <a:xfrm>
                      <a:off x="0" y="0"/>
                      <a:ext cx="6301105" cy="4749165"/>
                    </a:xfrm>
                    <a:prstGeom prst="rect">
                      <a:avLst/>
                    </a:prstGeom>
                    <a:noFill/>
                  </pic:spPr>
                </pic:pic>
              </a:graphicData>
            </a:graphic>
          </wp:anchor>
        </w:drawing>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520" w:type="dxa"/>
            <w:vAlign w:val="bottom"/>
            <w:tcBorders>
              <w:top w:val="single" w:sz="8" w:color="auto"/>
              <w:right w:val="single" w:sz="8" w:color="auto"/>
            </w:tcBorders>
            <w:shd w:val="clear" w:color="auto" w:fill="B4DE86"/>
          </w:tcPr>
          <w:p>
            <w:pPr>
              <w:ind w:left="100"/>
              <w:spacing w:after="0" w:line="209" w:lineRule="exact"/>
              <w:rPr>
                <w:sz w:val="20"/>
                <w:szCs w:val="20"/>
                <w:color w:val="auto"/>
              </w:rPr>
            </w:pPr>
            <w:r>
              <w:rPr>
                <w:rFonts w:ascii="Times New Roman" w:cs="Times New Roman" w:eastAsia="Times New Roman" w:hAnsi="Times New Roman"/>
                <w:sz w:val="20"/>
                <w:szCs w:val="20"/>
                <w:b w:val="1"/>
                <w:bCs w:val="1"/>
                <w:color w:val="auto"/>
                <w:shd w:val="clear" w:color="auto" w:fill="B4DE86"/>
              </w:rPr>
              <w:t>Project Name</w:t>
            </w:r>
          </w:p>
        </w:tc>
        <w:tc>
          <w:tcPr>
            <w:tcW w:w="2980" w:type="dxa"/>
            <w:vAlign w:val="bottom"/>
            <w:tcBorders>
              <w:top w:val="single" w:sz="8" w:color="auto"/>
              <w:right w:val="single" w:sz="8" w:color="auto"/>
            </w:tcBorders>
          </w:tcPr>
          <w:p>
            <w:pPr>
              <w:ind w:left="60"/>
              <w:spacing w:after="0" w:line="209" w:lineRule="exact"/>
              <w:rPr>
                <w:sz w:val="20"/>
                <w:szCs w:val="20"/>
                <w:color w:val="auto"/>
              </w:rPr>
            </w:pPr>
            <w:r>
              <w:rPr>
                <w:rFonts w:ascii="Times New Roman" w:cs="Times New Roman" w:eastAsia="Times New Roman" w:hAnsi="Times New Roman"/>
                <w:sz w:val="20"/>
                <w:szCs w:val="20"/>
                <w:i w:val="1"/>
                <w:iCs w:val="1"/>
                <w:color w:val="auto"/>
              </w:rPr>
              <w:t>(Enter Project Title</w:t>
            </w:r>
          </w:p>
        </w:tc>
        <w:tc>
          <w:tcPr>
            <w:tcW w:w="1960" w:type="dxa"/>
            <w:vAlign w:val="bottom"/>
            <w:tcBorders>
              <w:top w:val="single" w:sz="8" w:color="auto"/>
              <w:right w:val="single" w:sz="8" w:color="auto"/>
            </w:tcBorders>
            <w:shd w:val="clear" w:color="auto" w:fill="B4DE86"/>
          </w:tcPr>
          <w:p>
            <w:pPr>
              <w:ind w:left="60"/>
              <w:spacing w:after="0" w:line="209" w:lineRule="exact"/>
              <w:rPr>
                <w:sz w:val="20"/>
                <w:szCs w:val="20"/>
                <w:color w:val="auto"/>
              </w:rPr>
            </w:pPr>
            <w:r>
              <w:rPr>
                <w:rFonts w:ascii="Times New Roman" w:cs="Times New Roman" w:eastAsia="Times New Roman" w:hAnsi="Times New Roman"/>
                <w:sz w:val="20"/>
                <w:szCs w:val="20"/>
                <w:b w:val="1"/>
                <w:bCs w:val="1"/>
                <w:color w:val="auto"/>
                <w:shd w:val="clear" w:color="auto" w:fill="B4DE86"/>
              </w:rPr>
              <w:t>Change Title Change</w:t>
            </w:r>
          </w:p>
        </w:tc>
        <w:tc>
          <w:tcPr>
            <w:tcW w:w="2460" w:type="dxa"/>
            <w:vAlign w:val="bottom"/>
            <w:tcBorders>
              <w:top w:val="single" w:sz="8" w:color="auto"/>
            </w:tcBorders>
          </w:tcPr>
          <w:p>
            <w:pPr>
              <w:ind w:left="80"/>
              <w:spacing w:after="0" w:line="209" w:lineRule="exact"/>
              <w:rPr>
                <w:sz w:val="20"/>
                <w:szCs w:val="20"/>
                <w:color w:val="auto"/>
              </w:rPr>
            </w:pPr>
            <w:r>
              <w:rPr>
                <w:rFonts w:ascii="Times New Roman" w:cs="Times New Roman" w:eastAsia="Times New Roman" w:hAnsi="Times New Roman"/>
                <w:sz w:val="20"/>
                <w:szCs w:val="20"/>
                <w:i w:val="1"/>
                <w:iCs w:val="1"/>
                <w:color w:val="auto"/>
              </w:rPr>
              <w:t>Enter Change Request title)</w:t>
            </w:r>
          </w:p>
        </w:tc>
        <w:tc>
          <w:tcPr>
            <w:tcW w:w="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2520" w:type="dxa"/>
            <w:vAlign w:val="bottom"/>
            <w:tcBorders>
              <w:bottom w:val="single" w:sz="8" w:color="auto"/>
              <w:right w:val="single" w:sz="8" w:color="auto"/>
            </w:tcBorders>
            <w:shd w:val="clear" w:color="auto" w:fill="B4DE86"/>
          </w:tcPr>
          <w:p>
            <w:pPr>
              <w:spacing w:after="0"/>
              <w:rPr>
                <w:sz w:val="5"/>
                <w:szCs w:val="5"/>
                <w:color w:val="auto"/>
              </w:rPr>
            </w:pPr>
          </w:p>
        </w:tc>
        <w:tc>
          <w:tcPr>
            <w:tcW w:w="2980" w:type="dxa"/>
            <w:vAlign w:val="bottom"/>
            <w:tcBorders>
              <w:bottom w:val="single" w:sz="8" w:color="auto"/>
              <w:right w:val="single" w:sz="8" w:color="auto"/>
            </w:tcBorders>
          </w:tcPr>
          <w:p>
            <w:pPr>
              <w:spacing w:after="0"/>
              <w:rPr>
                <w:sz w:val="5"/>
                <w:szCs w:val="5"/>
                <w:color w:val="auto"/>
              </w:rPr>
            </w:pPr>
          </w:p>
        </w:tc>
        <w:tc>
          <w:tcPr>
            <w:tcW w:w="1960" w:type="dxa"/>
            <w:vAlign w:val="bottom"/>
            <w:tcBorders>
              <w:bottom w:val="single" w:sz="8" w:color="auto"/>
              <w:right w:val="single" w:sz="8" w:color="auto"/>
            </w:tcBorders>
            <w:shd w:val="clear" w:color="auto" w:fill="B4DE86"/>
          </w:tcPr>
          <w:p>
            <w:pPr>
              <w:spacing w:after="0"/>
              <w:rPr>
                <w:sz w:val="5"/>
                <w:szCs w:val="5"/>
                <w:color w:val="auto"/>
              </w:rPr>
            </w:pPr>
          </w:p>
        </w:tc>
        <w:tc>
          <w:tcPr>
            <w:tcW w:w="24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2520" w:type="dxa"/>
            <w:vAlign w:val="bottom"/>
            <w:tcBorders>
              <w:right w:val="single" w:sz="8" w:color="auto"/>
            </w:tcBorders>
            <w:shd w:val="clear" w:color="auto" w:fill="B4DE86"/>
          </w:tcPr>
          <w:p>
            <w:pPr>
              <w:ind w:left="100"/>
              <w:spacing w:after="0" w:line="209" w:lineRule="exact"/>
              <w:rPr>
                <w:sz w:val="20"/>
                <w:szCs w:val="20"/>
                <w:color w:val="auto"/>
              </w:rPr>
            </w:pPr>
            <w:r>
              <w:rPr>
                <w:rFonts w:ascii="Times New Roman" w:cs="Times New Roman" w:eastAsia="Times New Roman" w:hAnsi="Times New Roman"/>
                <w:sz w:val="20"/>
                <w:szCs w:val="20"/>
                <w:b w:val="1"/>
                <w:bCs w:val="1"/>
                <w:color w:val="auto"/>
                <w:shd w:val="clear" w:color="auto" w:fill="B4DE86"/>
              </w:rPr>
              <w:t>Initiated By</w:t>
            </w:r>
          </w:p>
        </w:tc>
        <w:tc>
          <w:tcPr>
            <w:tcW w:w="2980" w:type="dxa"/>
            <w:vAlign w:val="bottom"/>
            <w:tcBorders>
              <w:right w:val="single" w:sz="8" w:color="auto"/>
            </w:tcBorders>
          </w:tcPr>
          <w:p>
            <w:pPr>
              <w:ind w:left="60"/>
              <w:spacing w:after="0" w:line="209" w:lineRule="exact"/>
              <w:rPr>
                <w:sz w:val="20"/>
                <w:szCs w:val="20"/>
                <w:color w:val="auto"/>
              </w:rPr>
            </w:pPr>
            <w:r>
              <w:rPr>
                <w:rFonts w:ascii="Times New Roman" w:cs="Times New Roman" w:eastAsia="Times New Roman" w:hAnsi="Times New Roman"/>
                <w:sz w:val="20"/>
                <w:szCs w:val="20"/>
                <w:i w:val="1"/>
                <w:iCs w:val="1"/>
                <w:color w:val="auto"/>
              </w:rPr>
              <w:t>(Enter changer requester)</w:t>
            </w:r>
          </w:p>
        </w:tc>
        <w:tc>
          <w:tcPr>
            <w:tcW w:w="1960" w:type="dxa"/>
            <w:vAlign w:val="bottom"/>
            <w:tcBorders>
              <w:right w:val="single" w:sz="8" w:color="auto"/>
            </w:tcBorders>
            <w:shd w:val="clear" w:color="auto" w:fill="B4DE86"/>
          </w:tcPr>
          <w:p>
            <w:pPr>
              <w:ind w:left="60"/>
              <w:spacing w:after="0" w:line="209" w:lineRule="exact"/>
              <w:rPr>
                <w:sz w:val="20"/>
                <w:szCs w:val="20"/>
                <w:color w:val="auto"/>
              </w:rPr>
            </w:pPr>
            <w:r>
              <w:rPr>
                <w:rFonts w:ascii="Times New Roman" w:cs="Times New Roman" w:eastAsia="Times New Roman" w:hAnsi="Times New Roman"/>
                <w:sz w:val="20"/>
                <w:szCs w:val="20"/>
                <w:b w:val="1"/>
                <w:bCs w:val="1"/>
                <w:color w:val="auto"/>
                <w:shd w:val="clear" w:color="auto" w:fill="B4DE86"/>
              </w:rPr>
              <w:t>Priority (L M H)</w:t>
            </w:r>
          </w:p>
        </w:tc>
        <w:tc>
          <w:tcPr>
            <w:tcW w:w="2460" w:type="dxa"/>
            <w:vAlign w:val="bottom"/>
          </w:tcPr>
          <w:p>
            <w:pPr>
              <w:ind w:left="80"/>
              <w:spacing w:after="0" w:line="209" w:lineRule="exact"/>
              <w:rPr>
                <w:sz w:val="20"/>
                <w:szCs w:val="20"/>
                <w:color w:val="auto"/>
              </w:rPr>
            </w:pPr>
            <w:r>
              <w:rPr>
                <w:rFonts w:ascii="Times New Roman" w:cs="Times New Roman" w:eastAsia="Times New Roman" w:hAnsi="Times New Roman"/>
                <w:sz w:val="20"/>
                <w:szCs w:val="20"/>
                <w:i w:val="1"/>
                <w:iCs w:val="1"/>
                <w:color w:val="auto"/>
              </w:rPr>
              <w:t>(Enter Low Medium High)</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2520" w:type="dxa"/>
            <w:vAlign w:val="bottom"/>
            <w:tcBorders>
              <w:bottom w:val="single" w:sz="8" w:color="auto"/>
              <w:right w:val="single" w:sz="8" w:color="auto"/>
            </w:tcBorders>
            <w:shd w:val="clear" w:color="auto" w:fill="B4DE86"/>
          </w:tcPr>
          <w:p>
            <w:pPr>
              <w:spacing w:after="0"/>
              <w:rPr>
                <w:sz w:val="5"/>
                <w:szCs w:val="5"/>
                <w:color w:val="auto"/>
              </w:rPr>
            </w:pPr>
          </w:p>
        </w:tc>
        <w:tc>
          <w:tcPr>
            <w:tcW w:w="2980" w:type="dxa"/>
            <w:vAlign w:val="bottom"/>
            <w:tcBorders>
              <w:bottom w:val="single" w:sz="8" w:color="auto"/>
              <w:right w:val="single" w:sz="8" w:color="auto"/>
            </w:tcBorders>
          </w:tcPr>
          <w:p>
            <w:pPr>
              <w:spacing w:after="0"/>
              <w:rPr>
                <w:sz w:val="5"/>
                <w:szCs w:val="5"/>
                <w:color w:val="auto"/>
              </w:rPr>
            </w:pPr>
          </w:p>
        </w:tc>
        <w:tc>
          <w:tcPr>
            <w:tcW w:w="1960" w:type="dxa"/>
            <w:vAlign w:val="bottom"/>
            <w:tcBorders>
              <w:bottom w:val="single" w:sz="8" w:color="auto"/>
              <w:right w:val="single" w:sz="8" w:color="auto"/>
            </w:tcBorders>
            <w:shd w:val="clear" w:color="auto" w:fill="B4DE86"/>
          </w:tcPr>
          <w:p>
            <w:pPr>
              <w:spacing w:after="0"/>
              <w:rPr>
                <w:sz w:val="5"/>
                <w:szCs w:val="5"/>
                <w:color w:val="auto"/>
              </w:rPr>
            </w:pPr>
          </w:p>
        </w:tc>
        <w:tc>
          <w:tcPr>
            <w:tcW w:w="24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2520" w:type="dxa"/>
            <w:vAlign w:val="bottom"/>
            <w:tcBorders>
              <w:right w:val="single" w:sz="8" w:color="auto"/>
            </w:tcBorders>
            <w:shd w:val="clear" w:color="auto" w:fill="B4DE86"/>
          </w:tcPr>
          <w:p>
            <w:pPr>
              <w:ind w:left="100"/>
              <w:spacing w:after="0" w:line="209" w:lineRule="exact"/>
              <w:rPr>
                <w:sz w:val="20"/>
                <w:szCs w:val="20"/>
                <w:color w:val="auto"/>
              </w:rPr>
            </w:pPr>
            <w:r>
              <w:rPr>
                <w:rFonts w:ascii="Times New Roman" w:cs="Times New Roman" w:eastAsia="Times New Roman" w:hAnsi="Times New Roman"/>
                <w:sz w:val="20"/>
                <w:szCs w:val="20"/>
                <w:b w:val="1"/>
                <w:bCs w:val="1"/>
                <w:color w:val="auto"/>
                <w:shd w:val="clear" w:color="auto" w:fill="B4DE86"/>
              </w:rPr>
              <w:t>Date</w:t>
            </w:r>
          </w:p>
        </w:tc>
        <w:tc>
          <w:tcPr>
            <w:tcW w:w="2980" w:type="dxa"/>
            <w:vAlign w:val="bottom"/>
            <w:tcBorders>
              <w:right w:val="single" w:sz="8" w:color="auto"/>
            </w:tcBorders>
          </w:tcPr>
          <w:p>
            <w:pPr>
              <w:ind w:left="60"/>
              <w:spacing w:after="0" w:line="209" w:lineRule="exact"/>
              <w:rPr>
                <w:sz w:val="20"/>
                <w:szCs w:val="20"/>
                <w:color w:val="auto"/>
              </w:rPr>
            </w:pPr>
            <w:r>
              <w:rPr>
                <w:rFonts w:ascii="Times New Roman" w:cs="Times New Roman" w:eastAsia="Times New Roman" w:hAnsi="Times New Roman"/>
                <w:sz w:val="20"/>
                <w:szCs w:val="20"/>
                <w:i w:val="1"/>
                <w:iCs w:val="1"/>
                <w:color w:val="auto"/>
              </w:rPr>
              <w:t>(Enter change registration date)</w:t>
            </w:r>
          </w:p>
        </w:tc>
        <w:tc>
          <w:tcPr>
            <w:tcW w:w="1960" w:type="dxa"/>
            <w:vAlign w:val="bottom"/>
            <w:tcBorders>
              <w:right w:val="single" w:sz="8" w:color="auto"/>
            </w:tcBorders>
            <w:shd w:val="clear" w:color="auto" w:fill="B4DE86"/>
          </w:tcPr>
          <w:p>
            <w:pPr>
              <w:ind w:left="60"/>
              <w:spacing w:after="0" w:line="209" w:lineRule="exact"/>
              <w:rPr>
                <w:sz w:val="20"/>
                <w:szCs w:val="20"/>
                <w:color w:val="auto"/>
              </w:rPr>
            </w:pPr>
            <w:r>
              <w:rPr>
                <w:rFonts w:ascii="Times New Roman" w:cs="Times New Roman" w:eastAsia="Times New Roman" w:hAnsi="Times New Roman"/>
                <w:sz w:val="20"/>
                <w:szCs w:val="20"/>
                <w:b w:val="1"/>
                <w:bCs w:val="1"/>
                <w:color w:val="auto"/>
                <w:shd w:val="clear" w:color="auto" w:fill="B4DE86"/>
              </w:rPr>
              <w:t>Change Number</w:t>
            </w:r>
          </w:p>
        </w:tc>
        <w:tc>
          <w:tcPr>
            <w:tcW w:w="2460" w:type="dxa"/>
            <w:vAlign w:val="bottom"/>
          </w:tcPr>
          <w:p>
            <w:pPr>
              <w:ind w:left="80"/>
              <w:spacing w:after="0" w:line="209" w:lineRule="exact"/>
              <w:rPr>
                <w:sz w:val="20"/>
                <w:szCs w:val="20"/>
                <w:color w:val="auto"/>
              </w:rPr>
            </w:pPr>
            <w:r>
              <w:rPr>
                <w:rFonts w:ascii="Times New Roman" w:cs="Times New Roman" w:eastAsia="Times New Roman" w:hAnsi="Times New Roman"/>
                <w:sz w:val="20"/>
                <w:szCs w:val="20"/>
                <w:i w:val="1"/>
                <w:iCs w:val="1"/>
                <w:color w:val="auto"/>
              </w:rPr>
              <w:t>(Enter Change request ID)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2520" w:type="dxa"/>
            <w:vAlign w:val="bottom"/>
            <w:tcBorders>
              <w:bottom w:val="single" w:sz="8" w:color="auto"/>
              <w:right w:val="single" w:sz="8" w:color="auto"/>
            </w:tcBorders>
            <w:shd w:val="clear" w:color="auto" w:fill="B4DE86"/>
          </w:tcPr>
          <w:p>
            <w:pPr>
              <w:spacing w:after="0"/>
              <w:rPr>
                <w:sz w:val="5"/>
                <w:szCs w:val="5"/>
                <w:color w:val="auto"/>
              </w:rPr>
            </w:pPr>
          </w:p>
        </w:tc>
        <w:tc>
          <w:tcPr>
            <w:tcW w:w="2980" w:type="dxa"/>
            <w:vAlign w:val="bottom"/>
            <w:tcBorders>
              <w:bottom w:val="single" w:sz="8" w:color="auto"/>
              <w:right w:val="single" w:sz="8" w:color="auto"/>
            </w:tcBorders>
          </w:tcPr>
          <w:p>
            <w:pPr>
              <w:spacing w:after="0"/>
              <w:rPr>
                <w:sz w:val="5"/>
                <w:szCs w:val="5"/>
                <w:color w:val="auto"/>
              </w:rPr>
            </w:pPr>
          </w:p>
        </w:tc>
        <w:tc>
          <w:tcPr>
            <w:tcW w:w="1960" w:type="dxa"/>
            <w:vAlign w:val="bottom"/>
            <w:tcBorders>
              <w:bottom w:val="single" w:sz="8" w:color="auto"/>
              <w:right w:val="single" w:sz="8" w:color="auto"/>
            </w:tcBorders>
            <w:shd w:val="clear" w:color="auto" w:fill="B4DE86"/>
          </w:tcPr>
          <w:p>
            <w:pPr>
              <w:spacing w:after="0"/>
              <w:rPr>
                <w:sz w:val="5"/>
                <w:szCs w:val="5"/>
                <w:color w:val="auto"/>
              </w:rPr>
            </w:pPr>
          </w:p>
        </w:tc>
        <w:tc>
          <w:tcPr>
            <w:tcW w:w="24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2520" w:type="dxa"/>
            <w:vAlign w:val="bottom"/>
            <w:tcBorders>
              <w:bottom w:val="single" w:sz="8" w:color="95B3D7"/>
              <w:right w:val="single" w:sz="8" w:color="95B3D7"/>
            </w:tcBorders>
            <w:shd w:val="clear" w:color="auto" w:fill="95B3D7"/>
          </w:tcPr>
          <w:p>
            <w:pPr>
              <w:ind w:left="100"/>
              <w:spacing w:after="0"/>
              <w:rPr>
                <w:sz w:val="20"/>
                <w:szCs w:val="20"/>
                <w:color w:val="auto"/>
              </w:rPr>
            </w:pPr>
            <w:r>
              <w:rPr>
                <w:rFonts w:ascii="Times New Roman" w:cs="Times New Roman" w:eastAsia="Times New Roman" w:hAnsi="Times New Roman"/>
                <w:sz w:val="20"/>
                <w:szCs w:val="20"/>
                <w:b w:val="1"/>
                <w:bCs w:val="1"/>
                <w:color w:val="auto"/>
              </w:rPr>
              <w:t>Change Request Details</w:t>
            </w:r>
          </w:p>
        </w:tc>
        <w:tc>
          <w:tcPr>
            <w:tcW w:w="2980" w:type="dxa"/>
            <w:vAlign w:val="bottom"/>
            <w:tcBorders>
              <w:bottom w:val="single" w:sz="8" w:color="95B3D7"/>
              <w:right w:val="single" w:sz="8" w:color="95B3D7"/>
            </w:tcBorders>
            <w:shd w:val="clear" w:color="auto" w:fill="95B3D7"/>
          </w:tcPr>
          <w:p>
            <w:pPr>
              <w:spacing w:after="0"/>
              <w:rPr>
                <w:sz w:val="24"/>
                <w:szCs w:val="24"/>
                <w:color w:val="auto"/>
              </w:rPr>
            </w:pPr>
          </w:p>
        </w:tc>
        <w:tc>
          <w:tcPr>
            <w:tcW w:w="1960" w:type="dxa"/>
            <w:vAlign w:val="bottom"/>
            <w:tcBorders>
              <w:bottom w:val="single" w:sz="8" w:color="95B3D7"/>
              <w:right w:val="single" w:sz="8" w:color="95B3D7"/>
            </w:tcBorders>
            <w:shd w:val="clear" w:color="auto" w:fill="95B3D7"/>
          </w:tcPr>
          <w:p>
            <w:pPr>
              <w:spacing w:after="0"/>
              <w:rPr>
                <w:sz w:val="24"/>
                <w:szCs w:val="24"/>
                <w:color w:val="auto"/>
              </w:rPr>
            </w:pPr>
          </w:p>
        </w:tc>
        <w:tc>
          <w:tcPr>
            <w:tcW w:w="2460" w:type="dxa"/>
            <w:vAlign w:val="bottom"/>
            <w:tcBorders>
              <w:bottom w:val="single" w:sz="8" w:color="95B3D7"/>
            </w:tcBorders>
            <w:shd w:val="clear" w:color="auto" w:fill="95B3D7"/>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520" w:type="dxa"/>
            <w:vAlign w:val="bottom"/>
            <w:tcBorders>
              <w:top w:val="single" w:sz="8" w:color="auto"/>
              <w:right w:val="single" w:sz="8" w:color="B4DE86"/>
            </w:tcBorders>
            <w:shd w:val="clear" w:color="auto" w:fill="B4DE86"/>
          </w:tcPr>
          <w:p>
            <w:pPr>
              <w:ind w:left="100"/>
              <w:spacing w:after="0" w:line="209" w:lineRule="exact"/>
              <w:rPr>
                <w:sz w:val="20"/>
                <w:szCs w:val="20"/>
                <w:color w:val="auto"/>
              </w:rPr>
            </w:pPr>
            <w:r>
              <w:rPr>
                <w:rFonts w:ascii="Times New Roman" w:cs="Times New Roman" w:eastAsia="Times New Roman" w:hAnsi="Times New Roman"/>
                <w:sz w:val="20"/>
                <w:szCs w:val="20"/>
                <w:b w:val="1"/>
                <w:bCs w:val="1"/>
                <w:color w:val="auto"/>
                <w:shd w:val="clear" w:color="auto" w:fill="B4DE86"/>
              </w:rPr>
              <w:t>Description</w:t>
            </w:r>
          </w:p>
        </w:tc>
        <w:tc>
          <w:tcPr>
            <w:tcW w:w="2980" w:type="dxa"/>
            <w:vAlign w:val="bottom"/>
            <w:tcBorders>
              <w:top w:val="single" w:sz="8" w:color="auto"/>
              <w:right w:val="single" w:sz="8" w:color="B4DE86"/>
            </w:tcBorders>
            <w:shd w:val="clear" w:color="auto" w:fill="B4DE86"/>
          </w:tcPr>
          <w:p>
            <w:pPr>
              <w:spacing w:after="0"/>
              <w:rPr>
                <w:sz w:val="18"/>
                <w:szCs w:val="18"/>
                <w:color w:val="auto"/>
              </w:rPr>
            </w:pPr>
          </w:p>
        </w:tc>
        <w:tc>
          <w:tcPr>
            <w:tcW w:w="1960" w:type="dxa"/>
            <w:vAlign w:val="bottom"/>
            <w:tcBorders>
              <w:top w:val="single" w:sz="8" w:color="auto"/>
              <w:right w:val="single" w:sz="8" w:color="B4DE86"/>
            </w:tcBorders>
            <w:shd w:val="clear" w:color="auto" w:fill="B4DE86"/>
          </w:tcPr>
          <w:p>
            <w:pPr>
              <w:spacing w:after="0"/>
              <w:rPr>
                <w:sz w:val="18"/>
                <w:szCs w:val="18"/>
                <w:color w:val="auto"/>
              </w:rPr>
            </w:pPr>
          </w:p>
        </w:tc>
        <w:tc>
          <w:tcPr>
            <w:tcW w:w="2460" w:type="dxa"/>
            <w:vAlign w:val="bottom"/>
            <w:tcBorders>
              <w:top w:val="single" w:sz="8" w:color="auto"/>
            </w:tcBorders>
            <w:shd w:val="clear" w:color="auto" w:fill="B4DE86"/>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2520" w:type="dxa"/>
            <w:vAlign w:val="bottom"/>
            <w:tcBorders>
              <w:bottom w:val="single" w:sz="8" w:color="auto"/>
              <w:right w:val="single" w:sz="8" w:color="B4DE86"/>
            </w:tcBorders>
            <w:shd w:val="clear" w:color="auto" w:fill="B4DE86"/>
          </w:tcPr>
          <w:p>
            <w:pPr>
              <w:spacing w:after="0"/>
              <w:rPr>
                <w:sz w:val="5"/>
                <w:szCs w:val="5"/>
                <w:color w:val="auto"/>
              </w:rPr>
            </w:pPr>
          </w:p>
        </w:tc>
        <w:tc>
          <w:tcPr>
            <w:tcW w:w="2980" w:type="dxa"/>
            <w:vAlign w:val="bottom"/>
            <w:tcBorders>
              <w:bottom w:val="single" w:sz="8" w:color="auto"/>
              <w:right w:val="single" w:sz="8" w:color="B4DE86"/>
            </w:tcBorders>
            <w:shd w:val="clear" w:color="auto" w:fill="B4DE86"/>
          </w:tcPr>
          <w:p>
            <w:pPr>
              <w:spacing w:after="0"/>
              <w:rPr>
                <w:sz w:val="5"/>
                <w:szCs w:val="5"/>
                <w:color w:val="auto"/>
              </w:rPr>
            </w:pPr>
          </w:p>
        </w:tc>
        <w:tc>
          <w:tcPr>
            <w:tcW w:w="1960" w:type="dxa"/>
            <w:vAlign w:val="bottom"/>
            <w:tcBorders>
              <w:bottom w:val="single" w:sz="8" w:color="auto"/>
              <w:right w:val="single" w:sz="8" w:color="B4DE86"/>
            </w:tcBorders>
            <w:shd w:val="clear" w:color="auto" w:fill="B4DE86"/>
          </w:tcPr>
          <w:p>
            <w:pPr>
              <w:spacing w:after="0"/>
              <w:rPr>
                <w:sz w:val="5"/>
                <w:szCs w:val="5"/>
                <w:color w:val="auto"/>
              </w:rPr>
            </w:pPr>
          </w:p>
        </w:tc>
        <w:tc>
          <w:tcPr>
            <w:tcW w:w="2460" w:type="dxa"/>
            <w:vAlign w:val="bottom"/>
            <w:tcBorders>
              <w:bottom w:val="single" w:sz="8" w:color="auto"/>
            </w:tcBorders>
            <w:shd w:val="clear" w:color="auto" w:fill="B4DE86"/>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5500" w:type="dxa"/>
            <w:vAlign w:val="bottom"/>
            <w:gridSpan w:val="2"/>
          </w:tcPr>
          <w:p>
            <w:pPr>
              <w:ind w:left="100"/>
              <w:spacing w:after="0"/>
              <w:rPr>
                <w:sz w:val="20"/>
                <w:szCs w:val="20"/>
                <w:color w:val="auto"/>
              </w:rPr>
            </w:pPr>
            <w:r>
              <w:rPr>
                <w:rFonts w:ascii="Times New Roman" w:cs="Times New Roman" w:eastAsia="Times New Roman" w:hAnsi="Times New Roman"/>
                <w:sz w:val="20"/>
                <w:szCs w:val="20"/>
                <w:i w:val="1"/>
                <w:iCs w:val="1"/>
                <w:color w:val="auto"/>
              </w:rPr>
              <w:t>(Enter Description of Change Request)</w:t>
            </w:r>
          </w:p>
        </w:tc>
        <w:tc>
          <w:tcPr>
            <w:tcW w:w="1960" w:type="dxa"/>
            <w:vAlign w:val="bottom"/>
          </w:tcPr>
          <w:p>
            <w:pPr>
              <w:spacing w:after="0"/>
              <w:rPr>
                <w:sz w:val="22"/>
                <w:szCs w:val="22"/>
                <w:color w:val="auto"/>
              </w:rPr>
            </w:pPr>
          </w:p>
        </w:tc>
        <w:tc>
          <w:tcPr>
            <w:tcW w:w="2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5"/>
        </w:trPr>
        <w:tc>
          <w:tcPr>
            <w:tcW w:w="252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520" w:type="dxa"/>
            <w:vAlign w:val="bottom"/>
            <w:tcBorders>
              <w:right w:val="single" w:sz="8" w:color="B4DE86"/>
            </w:tcBorders>
            <w:shd w:val="clear" w:color="auto" w:fill="B4DE86"/>
          </w:tcPr>
          <w:p>
            <w:pPr>
              <w:ind w:left="100"/>
              <w:spacing w:after="0" w:line="209" w:lineRule="exact"/>
              <w:rPr>
                <w:sz w:val="20"/>
                <w:szCs w:val="20"/>
                <w:color w:val="auto"/>
              </w:rPr>
            </w:pPr>
            <w:r>
              <w:rPr>
                <w:rFonts w:ascii="Times New Roman" w:cs="Times New Roman" w:eastAsia="Times New Roman" w:hAnsi="Times New Roman"/>
                <w:sz w:val="20"/>
                <w:szCs w:val="20"/>
                <w:b w:val="1"/>
                <w:bCs w:val="1"/>
                <w:color w:val="auto"/>
                <w:shd w:val="clear" w:color="auto" w:fill="B4DE86"/>
              </w:rPr>
              <w:t>Justification</w:t>
            </w:r>
          </w:p>
        </w:tc>
        <w:tc>
          <w:tcPr>
            <w:tcW w:w="2980" w:type="dxa"/>
            <w:vAlign w:val="bottom"/>
            <w:tcBorders>
              <w:right w:val="single" w:sz="8" w:color="B4DE86"/>
            </w:tcBorders>
            <w:shd w:val="clear" w:color="auto" w:fill="B4DE86"/>
          </w:tcPr>
          <w:p>
            <w:pPr>
              <w:spacing w:after="0"/>
              <w:rPr>
                <w:sz w:val="18"/>
                <w:szCs w:val="18"/>
                <w:color w:val="auto"/>
              </w:rPr>
            </w:pPr>
          </w:p>
        </w:tc>
        <w:tc>
          <w:tcPr>
            <w:tcW w:w="1960" w:type="dxa"/>
            <w:vAlign w:val="bottom"/>
            <w:tcBorders>
              <w:right w:val="single" w:sz="8" w:color="B4DE86"/>
            </w:tcBorders>
            <w:shd w:val="clear" w:color="auto" w:fill="B4DE86"/>
          </w:tcPr>
          <w:p>
            <w:pPr>
              <w:spacing w:after="0"/>
              <w:rPr>
                <w:sz w:val="18"/>
                <w:szCs w:val="18"/>
                <w:color w:val="auto"/>
              </w:rPr>
            </w:pPr>
          </w:p>
        </w:tc>
        <w:tc>
          <w:tcPr>
            <w:tcW w:w="2460" w:type="dxa"/>
            <w:vAlign w:val="bottom"/>
            <w:shd w:val="clear" w:color="auto" w:fill="B4DE86"/>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2520" w:type="dxa"/>
            <w:vAlign w:val="bottom"/>
            <w:tcBorders>
              <w:bottom w:val="single" w:sz="8" w:color="auto"/>
              <w:right w:val="single" w:sz="8" w:color="B4DE86"/>
            </w:tcBorders>
            <w:shd w:val="clear" w:color="auto" w:fill="B4DE86"/>
          </w:tcPr>
          <w:p>
            <w:pPr>
              <w:spacing w:after="0"/>
              <w:rPr>
                <w:sz w:val="5"/>
                <w:szCs w:val="5"/>
                <w:color w:val="auto"/>
              </w:rPr>
            </w:pPr>
          </w:p>
        </w:tc>
        <w:tc>
          <w:tcPr>
            <w:tcW w:w="2980" w:type="dxa"/>
            <w:vAlign w:val="bottom"/>
            <w:tcBorders>
              <w:bottom w:val="single" w:sz="8" w:color="auto"/>
              <w:right w:val="single" w:sz="8" w:color="B4DE86"/>
            </w:tcBorders>
            <w:shd w:val="clear" w:color="auto" w:fill="B4DE86"/>
          </w:tcPr>
          <w:p>
            <w:pPr>
              <w:spacing w:after="0"/>
              <w:rPr>
                <w:sz w:val="5"/>
                <w:szCs w:val="5"/>
                <w:color w:val="auto"/>
              </w:rPr>
            </w:pPr>
          </w:p>
        </w:tc>
        <w:tc>
          <w:tcPr>
            <w:tcW w:w="1960" w:type="dxa"/>
            <w:vAlign w:val="bottom"/>
            <w:tcBorders>
              <w:bottom w:val="single" w:sz="8" w:color="auto"/>
              <w:right w:val="single" w:sz="8" w:color="B4DE86"/>
            </w:tcBorders>
            <w:shd w:val="clear" w:color="auto" w:fill="B4DE86"/>
          </w:tcPr>
          <w:p>
            <w:pPr>
              <w:spacing w:after="0"/>
              <w:rPr>
                <w:sz w:val="5"/>
                <w:szCs w:val="5"/>
                <w:color w:val="auto"/>
              </w:rPr>
            </w:pPr>
          </w:p>
        </w:tc>
        <w:tc>
          <w:tcPr>
            <w:tcW w:w="2460" w:type="dxa"/>
            <w:vAlign w:val="bottom"/>
            <w:tcBorders>
              <w:bottom w:val="single" w:sz="8" w:color="auto"/>
            </w:tcBorders>
            <w:shd w:val="clear" w:color="auto" w:fill="B4DE86"/>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5500" w:type="dxa"/>
            <w:vAlign w:val="bottom"/>
            <w:gridSpan w:val="2"/>
          </w:tcPr>
          <w:p>
            <w:pPr>
              <w:ind w:left="100"/>
              <w:spacing w:after="0"/>
              <w:rPr>
                <w:sz w:val="20"/>
                <w:szCs w:val="20"/>
                <w:color w:val="auto"/>
              </w:rPr>
            </w:pPr>
            <w:r>
              <w:rPr>
                <w:rFonts w:ascii="Times New Roman" w:cs="Times New Roman" w:eastAsia="Times New Roman" w:hAnsi="Times New Roman"/>
                <w:sz w:val="20"/>
                <w:szCs w:val="20"/>
                <w:i w:val="1"/>
                <w:iCs w:val="1"/>
                <w:color w:val="auto"/>
              </w:rPr>
              <w:t>(Enter justification for change request)</w:t>
            </w:r>
          </w:p>
        </w:tc>
        <w:tc>
          <w:tcPr>
            <w:tcW w:w="1960" w:type="dxa"/>
            <w:vAlign w:val="bottom"/>
          </w:tcPr>
          <w:p>
            <w:pPr>
              <w:spacing w:after="0"/>
              <w:rPr>
                <w:sz w:val="22"/>
                <w:szCs w:val="22"/>
                <w:color w:val="auto"/>
              </w:rPr>
            </w:pPr>
          </w:p>
        </w:tc>
        <w:tc>
          <w:tcPr>
            <w:tcW w:w="2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1"/>
        </w:trPr>
        <w:tc>
          <w:tcPr>
            <w:tcW w:w="2520" w:type="dxa"/>
            <w:vAlign w:val="bottom"/>
            <w:tcBorders>
              <w:bottom w:val="single" w:sz="8" w:color="auto"/>
            </w:tcBorders>
          </w:tcPr>
          <w:p>
            <w:pPr>
              <w:spacing w:after="0"/>
              <w:rPr>
                <w:sz w:val="21"/>
                <w:szCs w:val="21"/>
                <w:color w:val="auto"/>
              </w:rPr>
            </w:pPr>
          </w:p>
        </w:tc>
        <w:tc>
          <w:tcPr>
            <w:tcW w:w="2980" w:type="dxa"/>
            <w:vAlign w:val="bottom"/>
            <w:tcBorders>
              <w:bottom w:val="single" w:sz="8" w:color="auto"/>
            </w:tcBorders>
          </w:tcPr>
          <w:p>
            <w:pPr>
              <w:spacing w:after="0"/>
              <w:rPr>
                <w:sz w:val="21"/>
                <w:szCs w:val="21"/>
                <w:color w:val="auto"/>
              </w:rPr>
            </w:pPr>
          </w:p>
        </w:tc>
        <w:tc>
          <w:tcPr>
            <w:tcW w:w="1960" w:type="dxa"/>
            <w:vAlign w:val="bottom"/>
            <w:tcBorders>
              <w:bottom w:val="single" w:sz="8" w:color="auto"/>
            </w:tcBorders>
          </w:tcPr>
          <w:p>
            <w:pPr>
              <w:spacing w:after="0"/>
              <w:rPr>
                <w:sz w:val="21"/>
                <w:szCs w:val="21"/>
                <w:color w:val="auto"/>
              </w:rPr>
            </w:pPr>
          </w:p>
        </w:tc>
        <w:tc>
          <w:tcPr>
            <w:tcW w:w="24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520" w:type="dxa"/>
            <w:vAlign w:val="bottom"/>
            <w:tcBorders>
              <w:bottom w:val="single" w:sz="8" w:color="auto"/>
              <w:right w:val="single" w:sz="8" w:color="95B3D7"/>
            </w:tcBorders>
            <w:shd w:val="clear" w:color="auto" w:fill="95B3D7"/>
          </w:tcPr>
          <w:p>
            <w:pPr>
              <w:spacing w:after="0"/>
              <w:rPr>
                <w:sz w:val="19"/>
                <w:szCs w:val="19"/>
                <w:color w:val="auto"/>
              </w:rPr>
            </w:pPr>
          </w:p>
        </w:tc>
        <w:tc>
          <w:tcPr>
            <w:tcW w:w="2980" w:type="dxa"/>
            <w:vAlign w:val="bottom"/>
            <w:tcBorders>
              <w:bottom w:val="single" w:sz="8" w:color="auto"/>
              <w:right w:val="single" w:sz="8" w:color="95B3D7"/>
            </w:tcBorders>
            <w:shd w:val="clear" w:color="auto" w:fill="95B3D7"/>
          </w:tcPr>
          <w:p>
            <w:pPr>
              <w:jc w:val="center"/>
              <w:ind w:left="1821"/>
              <w:spacing w:after="0" w:line="223" w:lineRule="exact"/>
              <w:rPr>
                <w:sz w:val="20"/>
                <w:szCs w:val="20"/>
                <w:color w:val="auto"/>
              </w:rPr>
            </w:pPr>
            <w:r>
              <w:rPr>
                <w:rFonts w:ascii="Times New Roman" w:cs="Times New Roman" w:eastAsia="Times New Roman" w:hAnsi="Times New Roman"/>
                <w:sz w:val="20"/>
                <w:szCs w:val="20"/>
                <w:b w:val="1"/>
                <w:bCs w:val="1"/>
                <w:color w:val="auto"/>
              </w:rPr>
              <w:t>Impact</w:t>
            </w:r>
          </w:p>
        </w:tc>
        <w:tc>
          <w:tcPr>
            <w:tcW w:w="1960" w:type="dxa"/>
            <w:vAlign w:val="bottom"/>
            <w:tcBorders>
              <w:bottom w:val="single" w:sz="8" w:color="auto"/>
              <w:right w:val="single" w:sz="8" w:color="95B3D7"/>
            </w:tcBorders>
            <w:shd w:val="clear" w:color="auto" w:fill="95B3D7"/>
          </w:tcPr>
          <w:p>
            <w:pPr>
              <w:spacing w:after="0"/>
              <w:rPr>
                <w:sz w:val="19"/>
                <w:szCs w:val="19"/>
                <w:color w:val="auto"/>
              </w:rPr>
            </w:pPr>
          </w:p>
        </w:tc>
        <w:tc>
          <w:tcPr>
            <w:tcW w:w="2460" w:type="dxa"/>
            <w:vAlign w:val="bottom"/>
            <w:tcBorders>
              <w:bottom w:val="single" w:sz="8" w:color="auto"/>
            </w:tcBorders>
            <w:shd w:val="clear" w:color="auto" w:fill="95B3D7"/>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520" w:type="dxa"/>
            <w:vAlign w:val="bottom"/>
            <w:tcBorders>
              <w:right w:val="single" w:sz="8" w:color="auto"/>
            </w:tcBorders>
            <w:shd w:val="clear" w:color="auto" w:fill="B4DE86"/>
          </w:tcPr>
          <w:p>
            <w:pPr>
              <w:ind w:left="100"/>
              <w:spacing w:after="0" w:line="209" w:lineRule="exact"/>
              <w:rPr>
                <w:sz w:val="20"/>
                <w:szCs w:val="20"/>
                <w:color w:val="auto"/>
              </w:rPr>
            </w:pPr>
            <w:r>
              <w:rPr>
                <w:rFonts w:ascii="Times New Roman" w:cs="Times New Roman" w:eastAsia="Times New Roman" w:hAnsi="Times New Roman"/>
                <w:sz w:val="20"/>
                <w:szCs w:val="20"/>
                <w:b w:val="1"/>
                <w:bCs w:val="1"/>
                <w:color w:val="auto"/>
                <w:shd w:val="clear" w:color="auto" w:fill="B4DE86"/>
              </w:rPr>
              <w:t>COST</w:t>
            </w:r>
          </w:p>
        </w:tc>
        <w:tc>
          <w:tcPr>
            <w:tcW w:w="2980" w:type="dxa"/>
            <w:vAlign w:val="bottom"/>
          </w:tcPr>
          <w:p>
            <w:pPr>
              <w:ind w:left="60"/>
              <w:spacing w:after="0" w:line="209" w:lineRule="exact"/>
              <w:rPr>
                <w:sz w:val="20"/>
                <w:szCs w:val="20"/>
                <w:color w:val="auto"/>
              </w:rPr>
            </w:pPr>
            <w:r>
              <w:rPr>
                <w:rFonts w:ascii="Times New Roman" w:cs="Times New Roman" w:eastAsia="Times New Roman" w:hAnsi="Times New Roman"/>
                <w:sz w:val="20"/>
                <w:szCs w:val="20"/>
                <w:i w:val="1"/>
                <w:iCs w:val="1"/>
                <w:color w:val="auto"/>
              </w:rPr>
              <w:t>(Enter cost impact)</w:t>
            </w:r>
          </w:p>
        </w:tc>
        <w:tc>
          <w:tcPr>
            <w:tcW w:w="19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20" w:type="dxa"/>
            <w:vAlign w:val="bottom"/>
            <w:tcBorders>
              <w:bottom w:val="single" w:sz="8" w:color="auto"/>
              <w:right w:val="single" w:sz="8" w:color="auto"/>
            </w:tcBorders>
            <w:shd w:val="clear" w:color="auto" w:fill="B4DE86"/>
          </w:tcPr>
          <w:p>
            <w:pPr>
              <w:spacing w:after="0"/>
              <w:rPr>
                <w:sz w:val="19"/>
                <w:szCs w:val="19"/>
                <w:color w:val="auto"/>
              </w:rPr>
            </w:pPr>
          </w:p>
        </w:tc>
        <w:tc>
          <w:tcPr>
            <w:tcW w:w="298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spacing w:after="0"/>
              <w:rPr>
                <w:sz w:val="19"/>
                <w:szCs w:val="19"/>
                <w:color w:val="auto"/>
              </w:rPr>
            </w:pPr>
          </w:p>
        </w:tc>
        <w:tc>
          <w:tcPr>
            <w:tcW w:w="24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520" w:type="dxa"/>
            <w:vAlign w:val="bottom"/>
            <w:tcBorders>
              <w:right w:val="single" w:sz="8" w:color="auto"/>
            </w:tcBorders>
            <w:shd w:val="clear" w:color="auto" w:fill="B4DE86"/>
          </w:tcPr>
          <w:p>
            <w:pPr>
              <w:ind w:left="100"/>
              <w:spacing w:after="0" w:line="209" w:lineRule="exact"/>
              <w:rPr>
                <w:sz w:val="20"/>
                <w:szCs w:val="20"/>
                <w:color w:val="auto"/>
              </w:rPr>
            </w:pPr>
            <w:r>
              <w:rPr>
                <w:rFonts w:ascii="Times New Roman" w:cs="Times New Roman" w:eastAsia="Times New Roman" w:hAnsi="Times New Roman"/>
                <w:sz w:val="20"/>
                <w:szCs w:val="20"/>
                <w:b w:val="1"/>
                <w:bCs w:val="1"/>
                <w:color w:val="auto"/>
                <w:shd w:val="clear" w:color="auto" w:fill="B4DE86"/>
              </w:rPr>
              <w:t>SCHEDULE</w:t>
            </w:r>
          </w:p>
        </w:tc>
        <w:tc>
          <w:tcPr>
            <w:tcW w:w="2980" w:type="dxa"/>
            <w:vAlign w:val="bottom"/>
          </w:tcPr>
          <w:p>
            <w:pPr>
              <w:ind w:left="60"/>
              <w:spacing w:after="0" w:line="209" w:lineRule="exact"/>
              <w:rPr>
                <w:sz w:val="20"/>
                <w:szCs w:val="20"/>
                <w:color w:val="auto"/>
              </w:rPr>
            </w:pPr>
            <w:r>
              <w:rPr>
                <w:rFonts w:ascii="Times New Roman" w:cs="Times New Roman" w:eastAsia="Times New Roman" w:hAnsi="Times New Roman"/>
                <w:sz w:val="20"/>
                <w:szCs w:val="20"/>
                <w:i w:val="1"/>
                <w:iCs w:val="1"/>
                <w:color w:val="auto"/>
              </w:rPr>
              <w:t>(Enter schedule impact)</w:t>
            </w:r>
          </w:p>
        </w:tc>
        <w:tc>
          <w:tcPr>
            <w:tcW w:w="19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520" w:type="dxa"/>
            <w:vAlign w:val="bottom"/>
            <w:tcBorders>
              <w:bottom w:val="single" w:sz="8" w:color="auto"/>
              <w:right w:val="single" w:sz="8" w:color="auto"/>
            </w:tcBorders>
            <w:shd w:val="clear" w:color="auto" w:fill="B4DE86"/>
          </w:tcPr>
          <w:p>
            <w:pPr>
              <w:spacing w:after="0"/>
              <w:rPr>
                <w:sz w:val="19"/>
                <w:szCs w:val="19"/>
                <w:color w:val="auto"/>
              </w:rPr>
            </w:pPr>
          </w:p>
        </w:tc>
        <w:tc>
          <w:tcPr>
            <w:tcW w:w="298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spacing w:after="0"/>
              <w:rPr>
                <w:sz w:val="19"/>
                <w:szCs w:val="19"/>
                <w:color w:val="auto"/>
              </w:rPr>
            </w:pPr>
          </w:p>
        </w:tc>
        <w:tc>
          <w:tcPr>
            <w:tcW w:w="24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520" w:type="dxa"/>
            <w:vAlign w:val="bottom"/>
            <w:tcBorders>
              <w:right w:val="single" w:sz="8" w:color="auto"/>
            </w:tcBorders>
            <w:shd w:val="clear" w:color="auto" w:fill="B4DE86"/>
          </w:tcPr>
          <w:p>
            <w:pPr>
              <w:ind w:left="100"/>
              <w:spacing w:after="0" w:line="209" w:lineRule="exact"/>
              <w:rPr>
                <w:sz w:val="20"/>
                <w:szCs w:val="20"/>
                <w:color w:val="auto"/>
              </w:rPr>
            </w:pPr>
            <w:r>
              <w:rPr>
                <w:rFonts w:ascii="Times New Roman" w:cs="Times New Roman" w:eastAsia="Times New Roman" w:hAnsi="Times New Roman"/>
                <w:sz w:val="20"/>
                <w:szCs w:val="20"/>
                <w:b w:val="1"/>
                <w:bCs w:val="1"/>
                <w:color w:val="auto"/>
                <w:shd w:val="clear" w:color="auto" w:fill="B4DE86"/>
              </w:rPr>
              <w:t>RESOURCES</w:t>
            </w:r>
          </w:p>
        </w:tc>
        <w:tc>
          <w:tcPr>
            <w:tcW w:w="4940" w:type="dxa"/>
            <w:vAlign w:val="bottom"/>
            <w:gridSpan w:val="2"/>
          </w:tcPr>
          <w:p>
            <w:pPr>
              <w:ind w:left="60"/>
              <w:spacing w:after="0" w:line="209" w:lineRule="exact"/>
              <w:rPr>
                <w:sz w:val="20"/>
                <w:szCs w:val="20"/>
                <w:color w:val="auto"/>
              </w:rPr>
            </w:pPr>
            <w:r>
              <w:rPr>
                <w:rFonts w:ascii="Times New Roman" w:cs="Times New Roman" w:eastAsia="Times New Roman" w:hAnsi="Times New Roman"/>
                <w:sz w:val="20"/>
                <w:szCs w:val="20"/>
                <w:i w:val="1"/>
                <w:iCs w:val="1"/>
                <w:color w:val="auto"/>
              </w:rPr>
              <w:t>(Enter resource additions or subtractions and reason)</w:t>
            </w:r>
          </w:p>
        </w:tc>
        <w:tc>
          <w:tcPr>
            <w:tcW w:w="2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520" w:type="dxa"/>
            <w:vAlign w:val="bottom"/>
            <w:tcBorders>
              <w:bottom w:val="single" w:sz="8" w:color="auto"/>
              <w:right w:val="single" w:sz="8" w:color="auto"/>
            </w:tcBorders>
            <w:shd w:val="clear" w:color="auto" w:fill="B4DE86"/>
          </w:tcPr>
          <w:p>
            <w:pPr>
              <w:spacing w:after="0"/>
              <w:rPr>
                <w:sz w:val="19"/>
                <w:szCs w:val="19"/>
                <w:color w:val="auto"/>
              </w:rPr>
            </w:pPr>
          </w:p>
        </w:tc>
        <w:tc>
          <w:tcPr>
            <w:tcW w:w="298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spacing w:after="0"/>
              <w:rPr>
                <w:sz w:val="19"/>
                <w:szCs w:val="19"/>
                <w:color w:val="auto"/>
              </w:rPr>
            </w:pPr>
          </w:p>
        </w:tc>
        <w:tc>
          <w:tcPr>
            <w:tcW w:w="24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520" w:type="dxa"/>
            <w:vAlign w:val="bottom"/>
            <w:tcBorders>
              <w:right w:val="single" w:sz="8" w:color="auto"/>
            </w:tcBorders>
            <w:shd w:val="clear" w:color="auto" w:fill="B4DE86"/>
          </w:tcPr>
          <w:p>
            <w:pPr>
              <w:ind w:left="100"/>
              <w:spacing w:after="0" w:line="209" w:lineRule="exact"/>
              <w:rPr>
                <w:sz w:val="20"/>
                <w:szCs w:val="20"/>
                <w:color w:val="auto"/>
              </w:rPr>
            </w:pPr>
            <w:r>
              <w:rPr>
                <w:rFonts w:ascii="Times New Roman" w:cs="Times New Roman" w:eastAsia="Times New Roman" w:hAnsi="Times New Roman"/>
                <w:sz w:val="20"/>
                <w:szCs w:val="20"/>
                <w:b w:val="1"/>
                <w:bCs w:val="1"/>
                <w:color w:val="auto"/>
                <w:shd w:val="clear" w:color="auto" w:fill="B4DE86"/>
              </w:rPr>
              <w:t>OTHER</w:t>
            </w:r>
          </w:p>
        </w:tc>
        <w:tc>
          <w:tcPr>
            <w:tcW w:w="4940" w:type="dxa"/>
            <w:vAlign w:val="bottom"/>
            <w:gridSpan w:val="2"/>
          </w:tcPr>
          <w:p>
            <w:pPr>
              <w:ind w:left="60"/>
              <w:spacing w:after="0" w:line="209" w:lineRule="exact"/>
              <w:rPr>
                <w:sz w:val="20"/>
                <w:szCs w:val="20"/>
                <w:color w:val="auto"/>
              </w:rPr>
            </w:pPr>
            <w:r>
              <w:rPr>
                <w:rFonts w:ascii="Times New Roman" w:cs="Times New Roman" w:eastAsia="Times New Roman" w:hAnsi="Times New Roman"/>
                <w:sz w:val="20"/>
                <w:szCs w:val="20"/>
                <w:i w:val="1"/>
                <w:iCs w:val="1"/>
                <w:color w:val="auto"/>
              </w:rPr>
              <w:t>(Enter any other impact considerations)</w:t>
            </w:r>
          </w:p>
        </w:tc>
        <w:tc>
          <w:tcPr>
            <w:tcW w:w="2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20" w:type="dxa"/>
            <w:vAlign w:val="bottom"/>
            <w:tcBorders>
              <w:bottom w:val="single" w:sz="8" w:color="auto"/>
              <w:right w:val="single" w:sz="8" w:color="auto"/>
            </w:tcBorders>
            <w:shd w:val="clear" w:color="auto" w:fill="B4DE86"/>
          </w:tcPr>
          <w:p>
            <w:pPr>
              <w:spacing w:after="0"/>
              <w:rPr>
                <w:sz w:val="19"/>
                <w:szCs w:val="19"/>
                <w:color w:val="auto"/>
              </w:rPr>
            </w:pPr>
          </w:p>
        </w:tc>
        <w:tc>
          <w:tcPr>
            <w:tcW w:w="298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spacing w:after="0"/>
              <w:rPr>
                <w:sz w:val="19"/>
                <w:szCs w:val="19"/>
                <w:color w:val="auto"/>
              </w:rPr>
            </w:pPr>
          </w:p>
        </w:tc>
        <w:tc>
          <w:tcPr>
            <w:tcW w:w="24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520" w:type="dxa"/>
            <w:vAlign w:val="bottom"/>
            <w:tcBorders>
              <w:bottom w:val="single" w:sz="8" w:color="auto"/>
              <w:right w:val="single" w:sz="8" w:color="95B3D7"/>
            </w:tcBorders>
            <w:shd w:val="clear" w:color="auto" w:fill="95B3D7"/>
          </w:tcPr>
          <w:p>
            <w:pPr>
              <w:spacing w:after="0"/>
              <w:rPr>
                <w:sz w:val="19"/>
                <w:szCs w:val="19"/>
                <w:color w:val="auto"/>
              </w:rPr>
            </w:pPr>
          </w:p>
        </w:tc>
        <w:tc>
          <w:tcPr>
            <w:tcW w:w="4940" w:type="dxa"/>
            <w:vAlign w:val="bottom"/>
            <w:tcBorders>
              <w:bottom w:val="single" w:sz="8" w:color="auto"/>
              <w:right w:val="single" w:sz="8" w:color="95B3D7"/>
            </w:tcBorders>
            <w:gridSpan w:val="2"/>
            <w:shd w:val="clear" w:color="auto" w:fill="95B3D7"/>
          </w:tcPr>
          <w:p>
            <w:pPr>
              <w:jc w:val="center"/>
              <w:spacing w:after="0" w:line="223" w:lineRule="exact"/>
              <w:rPr>
                <w:sz w:val="20"/>
                <w:szCs w:val="20"/>
                <w:color w:val="auto"/>
              </w:rPr>
            </w:pPr>
            <w:r>
              <w:rPr>
                <w:rFonts w:ascii="Times New Roman" w:cs="Times New Roman" w:eastAsia="Times New Roman" w:hAnsi="Times New Roman"/>
                <w:sz w:val="20"/>
                <w:szCs w:val="20"/>
                <w:b w:val="1"/>
                <w:bCs w:val="1"/>
                <w:color w:val="auto"/>
                <w:w w:val="98"/>
              </w:rPr>
              <w:t>Management Approval</w:t>
            </w:r>
          </w:p>
        </w:tc>
        <w:tc>
          <w:tcPr>
            <w:tcW w:w="2460" w:type="dxa"/>
            <w:vAlign w:val="bottom"/>
            <w:tcBorders>
              <w:bottom w:val="single" w:sz="8" w:color="auto"/>
            </w:tcBorders>
            <w:shd w:val="clear" w:color="auto" w:fill="95B3D7"/>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520" w:type="dxa"/>
            <w:vAlign w:val="bottom"/>
            <w:tcBorders>
              <w:right w:val="single" w:sz="8" w:color="auto"/>
            </w:tcBorders>
            <w:shd w:val="clear" w:color="auto" w:fill="B4DE86"/>
          </w:tcPr>
          <w:p>
            <w:pPr>
              <w:ind w:left="100"/>
              <w:spacing w:after="0" w:line="209" w:lineRule="exact"/>
              <w:rPr>
                <w:sz w:val="20"/>
                <w:szCs w:val="20"/>
                <w:color w:val="auto"/>
              </w:rPr>
            </w:pPr>
            <w:r>
              <w:rPr>
                <w:rFonts w:ascii="Times New Roman" w:cs="Times New Roman" w:eastAsia="Times New Roman" w:hAnsi="Times New Roman"/>
                <w:sz w:val="20"/>
                <w:szCs w:val="20"/>
                <w:b w:val="1"/>
                <w:bCs w:val="1"/>
                <w:color w:val="auto"/>
                <w:shd w:val="clear" w:color="auto" w:fill="B4DE86"/>
              </w:rPr>
              <w:t>Approval Date</w:t>
            </w:r>
          </w:p>
        </w:tc>
        <w:tc>
          <w:tcPr>
            <w:tcW w:w="2980" w:type="dxa"/>
            <w:vAlign w:val="bottom"/>
            <w:tcBorders>
              <w:right w:val="single" w:sz="8" w:color="auto"/>
            </w:tcBorders>
          </w:tcPr>
          <w:p>
            <w:pPr>
              <w:spacing w:after="0"/>
              <w:rPr>
                <w:sz w:val="18"/>
                <w:szCs w:val="18"/>
                <w:color w:val="auto"/>
              </w:rPr>
            </w:pPr>
          </w:p>
        </w:tc>
        <w:tc>
          <w:tcPr>
            <w:tcW w:w="1960" w:type="dxa"/>
            <w:vAlign w:val="bottom"/>
            <w:tcBorders>
              <w:right w:val="single" w:sz="8" w:color="auto"/>
            </w:tcBorders>
            <w:shd w:val="clear" w:color="auto" w:fill="B4DE86"/>
          </w:tcPr>
          <w:p>
            <w:pPr>
              <w:ind w:left="60"/>
              <w:spacing w:after="0" w:line="209" w:lineRule="exact"/>
              <w:rPr>
                <w:sz w:val="20"/>
                <w:szCs w:val="20"/>
                <w:color w:val="auto"/>
              </w:rPr>
            </w:pPr>
            <w:r>
              <w:rPr>
                <w:rFonts w:ascii="Times New Roman" w:cs="Times New Roman" w:eastAsia="Times New Roman" w:hAnsi="Times New Roman"/>
                <w:sz w:val="20"/>
                <w:szCs w:val="20"/>
                <w:b w:val="1"/>
                <w:bCs w:val="1"/>
                <w:color w:val="auto"/>
              </w:rPr>
              <w:t>Name</w:t>
            </w:r>
          </w:p>
        </w:tc>
        <w:tc>
          <w:tcPr>
            <w:tcW w:w="2460" w:type="dxa"/>
            <w:vAlign w:val="bottom"/>
            <w:vMerge w:val="restart"/>
          </w:tcPr>
          <w:p>
            <w:pPr>
              <w:ind w:left="80"/>
              <w:spacing w:after="0"/>
              <w:rPr>
                <w:sz w:val="20"/>
                <w:szCs w:val="20"/>
                <w:color w:val="auto"/>
              </w:rPr>
            </w:pPr>
            <w:r>
              <w:rPr>
                <w:rFonts w:ascii="Times New Roman" w:cs="Times New Roman" w:eastAsia="Times New Roman" w:hAnsi="Times New Roman"/>
                <w:sz w:val="20"/>
                <w:szCs w:val="20"/>
                <w:i w:val="1"/>
                <w:iCs w:val="1"/>
                <w:color w:val="auto"/>
              </w:rPr>
              <w:t>(Enter approver name)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20" w:type="dxa"/>
            <w:vAlign w:val="bottom"/>
            <w:tcBorders>
              <w:bottom w:val="single" w:sz="8" w:color="auto"/>
              <w:right w:val="single" w:sz="8" w:color="auto"/>
            </w:tcBorders>
            <w:shd w:val="clear" w:color="auto" w:fill="B4DE86"/>
          </w:tcPr>
          <w:p>
            <w:pPr>
              <w:spacing w:after="0"/>
              <w:rPr>
                <w:sz w:val="19"/>
                <w:szCs w:val="19"/>
                <w:color w:val="auto"/>
              </w:rPr>
            </w:pPr>
          </w:p>
        </w:tc>
        <w:tc>
          <w:tcPr>
            <w:tcW w:w="2980" w:type="dxa"/>
            <w:vAlign w:val="bottom"/>
            <w:tcBorders>
              <w:bottom w:val="single" w:sz="8" w:color="auto"/>
              <w:right w:val="single" w:sz="8" w:color="auto"/>
            </w:tcBorders>
          </w:tcPr>
          <w:p>
            <w:pPr>
              <w:spacing w:after="0"/>
              <w:rPr>
                <w:sz w:val="19"/>
                <w:szCs w:val="19"/>
                <w:color w:val="auto"/>
              </w:rPr>
            </w:pPr>
          </w:p>
        </w:tc>
        <w:tc>
          <w:tcPr>
            <w:tcW w:w="1960" w:type="dxa"/>
            <w:vAlign w:val="bottom"/>
            <w:tcBorders>
              <w:bottom w:val="single" w:sz="8" w:color="auto"/>
              <w:right w:val="single" w:sz="8" w:color="auto"/>
            </w:tcBorders>
            <w:shd w:val="clear" w:color="auto" w:fill="B4DE86"/>
          </w:tcPr>
          <w:p>
            <w:pPr>
              <w:spacing w:after="0"/>
              <w:rPr>
                <w:sz w:val="19"/>
                <w:szCs w:val="19"/>
                <w:color w:val="auto"/>
              </w:rPr>
            </w:pPr>
          </w:p>
        </w:tc>
        <w:tc>
          <w:tcPr>
            <w:tcW w:w="2460" w:type="dxa"/>
            <w:vAlign w:val="bottom"/>
            <w:tcBorders>
              <w:bottom w:val="single" w:sz="8" w:color="auto"/>
            </w:tcBorders>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520" w:type="dxa"/>
            <w:vAlign w:val="bottom"/>
            <w:tcBorders>
              <w:right w:val="single" w:sz="8" w:color="auto"/>
            </w:tcBorders>
            <w:shd w:val="clear" w:color="auto" w:fill="B4DE86"/>
          </w:tcPr>
          <w:p>
            <w:pPr>
              <w:ind w:left="100"/>
              <w:spacing w:after="0" w:line="209" w:lineRule="exact"/>
              <w:rPr>
                <w:sz w:val="20"/>
                <w:szCs w:val="20"/>
                <w:color w:val="auto"/>
              </w:rPr>
            </w:pPr>
            <w:r>
              <w:rPr>
                <w:rFonts w:ascii="Times New Roman" w:cs="Times New Roman" w:eastAsia="Times New Roman" w:hAnsi="Times New Roman"/>
                <w:sz w:val="20"/>
                <w:szCs w:val="20"/>
                <w:b w:val="1"/>
                <w:bCs w:val="1"/>
                <w:color w:val="auto"/>
                <w:shd w:val="clear" w:color="auto" w:fill="B4DE86"/>
              </w:rPr>
              <w:t>Decision</w:t>
            </w:r>
          </w:p>
        </w:tc>
        <w:tc>
          <w:tcPr>
            <w:tcW w:w="2980" w:type="dxa"/>
            <w:vAlign w:val="bottom"/>
            <w:tcBorders>
              <w:right w:val="single" w:sz="8" w:color="auto"/>
            </w:tcBorders>
          </w:tcPr>
          <w:p>
            <w:pPr>
              <w:ind w:left="60"/>
              <w:spacing w:after="0" w:line="209" w:lineRule="exact"/>
              <w:rPr>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Accepted</w:t>
            </w:r>
          </w:p>
        </w:tc>
        <w:tc>
          <w:tcPr>
            <w:tcW w:w="1960" w:type="dxa"/>
            <w:vAlign w:val="bottom"/>
            <w:tcBorders>
              <w:right w:val="single" w:sz="8" w:color="auto"/>
            </w:tcBorders>
          </w:tcPr>
          <w:p>
            <w:pPr>
              <w:ind w:left="60"/>
              <w:spacing w:after="0" w:line="209" w:lineRule="exact"/>
              <w:rPr>
                <w:sz w:val="20"/>
                <w:szCs w:val="20"/>
                <w:color w:val="auto"/>
              </w:rPr>
            </w:pPr>
            <w:r>
              <w:rPr>
                <w:rFonts w:ascii="Times New Roman" w:cs="Times New Roman" w:eastAsia="Times New Roman" w:hAnsi="Times New Roman"/>
                <w:sz w:val="20"/>
                <w:szCs w:val="20"/>
                <w:b w:val="1"/>
                <w:bCs w:val="1"/>
                <w:color w:val="auto"/>
              </w:rPr>
              <w:t>Reason for decision</w:t>
            </w:r>
          </w:p>
        </w:tc>
        <w:tc>
          <w:tcPr>
            <w:tcW w:w="2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520" w:type="dxa"/>
            <w:vAlign w:val="bottom"/>
            <w:tcBorders>
              <w:bottom w:val="single" w:sz="8" w:color="auto"/>
              <w:right w:val="single" w:sz="8" w:color="auto"/>
            </w:tcBorders>
            <w:shd w:val="clear" w:color="auto" w:fill="B4DE86"/>
          </w:tcPr>
          <w:p>
            <w:pPr>
              <w:spacing w:after="0"/>
              <w:rPr>
                <w:sz w:val="21"/>
                <w:szCs w:val="21"/>
                <w:color w:val="auto"/>
              </w:rPr>
            </w:pPr>
          </w:p>
        </w:tc>
        <w:tc>
          <w:tcPr>
            <w:tcW w:w="2980" w:type="dxa"/>
            <w:vAlign w:val="bottom"/>
            <w:tcBorders>
              <w:bottom w:val="single" w:sz="8" w:color="auto"/>
              <w:right w:val="single" w:sz="8" w:color="auto"/>
            </w:tcBorders>
          </w:tcPr>
          <w:p>
            <w:pPr>
              <w:spacing w:after="0"/>
              <w:rPr>
                <w:sz w:val="21"/>
                <w:szCs w:val="21"/>
                <w:color w:val="auto"/>
              </w:rPr>
            </w:pPr>
          </w:p>
        </w:tc>
        <w:tc>
          <w:tcPr>
            <w:tcW w:w="1960" w:type="dxa"/>
            <w:vAlign w:val="bottom"/>
            <w:tcBorders>
              <w:bottom w:val="single" w:sz="8" w:color="auto"/>
              <w:right w:val="single" w:sz="8" w:color="auto"/>
            </w:tcBorders>
          </w:tcPr>
          <w:p>
            <w:pPr>
              <w:spacing w:after="0"/>
              <w:rPr>
                <w:sz w:val="21"/>
                <w:szCs w:val="21"/>
                <w:color w:val="auto"/>
              </w:rPr>
            </w:pPr>
          </w:p>
        </w:tc>
        <w:tc>
          <w:tcPr>
            <w:tcW w:w="24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520" w:type="dxa"/>
            <w:vAlign w:val="bottom"/>
            <w:tcBorders>
              <w:right w:val="single" w:sz="8" w:color="auto"/>
            </w:tcBorders>
            <w:shd w:val="clear" w:color="auto" w:fill="B4DE86"/>
          </w:tcPr>
          <w:p>
            <w:pPr>
              <w:ind w:left="100"/>
              <w:spacing w:after="0" w:line="209" w:lineRule="exact"/>
              <w:rPr>
                <w:sz w:val="20"/>
                <w:szCs w:val="20"/>
                <w:color w:val="auto"/>
              </w:rPr>
            </w:pPr>
            <w:r>
              <w:rPr>
                <w:rFonts w:ascii="Times New Roman" w:cs="Times New Roman" w:eastAsia="Times New Roman" w:hAnsi="Times New Roman"/>
                <w:sz w:val="20"/>
                <w:szCs w:val="20"/>
                <w:b w:val="1"/>
                <w:bCs w:val="1"/>
                <w:color w:val="auto"/>
                <w:shd w:val="clear" w:color="auto" w:fill="B4DE86"/>
              </w:rPr>
              <w:t>Comments</w:t>
            </w:r>
          </w:p>
        </w:tc>
        <w:tc>
          <w:tcPr>
            <w:tcW w:w="2980" w:type="dxa"/>
            <w:vAlign w:val="bottom"/>
            <w:tcBorders>
              <w:right w:val="single" w:sz="8" w:color="auto"/>
            </w:tcBorders>
          </w:tcPr>
          <w:p>
            <w:pPr>
              <w:ind w:left="60"/>
              <w:spacing w:after="0" w:line="209" w:lineRule="exact"/>
              <w:rPr>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Rejected</w:t>
            </w:r>
          </w:p>
        </w:tc>
        <w:tc>
          <w:tcPr>
            <w:tcW w:w="1960" w:type="dxa"/>
            <w:vAlign w:val="bottom"/>
            <w:tcBorders>
              <w:right w:val="single" w:sz="8" w:color="auto"/>
            </w:tcBorders>
          </w:tcPr>
          <w:p>
            <w:pPr>
              <w:spacing w:after="0"/>
              <w:rPr>
                <w:sz w:val="18"/>
                <w:szCs w:val="18"/>
                <w:color w:val="auto"/>
              </w:rPr>
            </w:pPr>
          </w:p>
        </w:tc>
        <w:tc>
          <w:tcPr>
            <w:tcW w:w="2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3"/>
        </w:trPr>
        <w:tc>
          <w:tcPr>
            <w:tcW w:w="2520" w:type="dxa"/>
            <w:vAlign w:val="bottom"/>
            <w:tcBorders>
              <w:right w:val="single" w:sz="8" w:color="auto"/>
            </w:tcBorders>
            <w:shd w:val="clear" w:color="auto" w:fill="B4DE86"/>
          </w:tcPr>
          <w:p>
            <w:pPr>
              <w:spacing w:after="0"/>
              <w:rPr>
                <w:sz w:val="24"/>
                <w:szCs w:val="24"/>
                <w:color w:val="auto"/>
              </w:rPr>
            </w:pPr>
          </w:p>
        </w:tc>
        <w:tc>
          <w:tcPr>
            <w:tcW w:w="29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i w:val="1"/>
                <w:iCs w:val="1"/>
                <w:color w:val="auto"/>
              </w:rPr>
              <w:t>(Enter additional comments)</w:t>
            </w:r>
          </w:p>
        </w:tc>
        <w:tc>
          <w:tcPr>
            <w:tcW w:w="1960" w:type="dxa"/>
            <w:vAlign w:val="bottom"/>
            <w:tcBorders>
              <w:right w:val="single" w:sz="8" w:color="auto"/>
            </w:tcBorders>
          </w:tcPr>
          <w:p>
            <w:pPr>
              <w:spacing w:after="0"/>
              <w:rPr>
                <w:sz w:val="24"/>
                <w:szCs w:val="24"/>
                <w:color w:val="auto"/>
              </w:rPr>
            </w:pPr>
          </w:p>
        </w:tc>
        <w:tc>
          <w:tcPr>
            <w:tcW w:w="2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8"/>
        </w:trPr>
        <w:tc>
          <w:tcPr>
            <w:tcW w:w="2520" w:type="dxa"/>
            <w:vAlign w:val="bottom"/>
            <w:tcBorders>
              <w:bottom w:val="single" w:sz="8" w:color="auto"/>
              <w:right w:val="single" w:sz="8" w:color="auto"/>
            </w:tcBorders>
            <w:shd w:val="clear" w:color="auto" w:fill="B4DE86"/>
          </w:tcPr>
          <w:p>
            <w:pPr>
              <w:spacing w:after="0"/>
              <w:rPr>
                <w:sz w:val="24"/>
                <w:szCs w:val="24"/>
                <w:color w:val="auto"/>
              </w:rPr>
            </w:pPr>
          </w:p>
        </w:tc>
        <w:tc>
          <w:tcPr>
            <w:tcW w:w="2980" w:type="dxa"/>
            <w:vAlign w:val="bottom"/>
            <w:tcBorders>
              <w:bottom w:val="single" w:sz="8" w:color="auto"/>
              <w:right w:val="single" w:sz="8" w:color="auto"/>
            </w:tcBorders>
          </w:tcPr>
          <w:p>
            <w:pPr>
              <w:spacing w:after="0"/>
              <w:rPr>
                <w:sz w:val="24"/>
                <w:szCs w:val="24"/>
                <w:color w:val="auto"/>
              </w:rPr>
            </w:pPr>
          </w:p>
        </w:tc>
        <w:tc>
          <w:tcPr>
            <w:tcW w:w="1960" w:type="dxa"/>
            <w:vAlign w:val="bottom"/>
            <w:tcBorders>
              <w:bottom w:val="single" w:sz="8" w:color="auto"/>
              <w:right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77"/>
        </w:trPr>
        <w:tc>
          <w:tcPr>
            <w:tcW w:w="2520" w:type="dxa"/>
            <w:vAlign w:val="bottom"/>
          </w:tcPr>
          <w:p>
            <w:pPr>
              <w:spacing w:after="0"/>
              <w:rPr>
                <w:sz w:val="24"/>
                <w:szCs w:val="24"/>
                <w:color w:val="auto"/>
              </w:rPr>
            </w:pPr>
          </w:p>
        </w:tc>
        <w:tc>
          <w:tcPr>
            <w:tcW w:w="2980" w:type="dxa"/>
            <w:vAlign w:val="bottom"/>
          </w:tcPr>
          <w:p>
            <w:pPr>
              <w:jc w:val="center"/>
              <w:ind w:left="1801"/>
              <w:spacing w:after="0"/>
              <w:rPr>
                <w:sz w:val="20"/>
                <w:szCs w:val="20"/>
                <w:color w:val="auto"/>
              </w:rPr>
            </w:pPr>
            <w:r>
              <w:rPr>
                <w:rFonts w:ascii="Times New Roman" w:cs="Times New Roman" w:eastAsia="Times New Roman" w:hAnsi="Times New Roman"/>
                <w:sz w:val="20"/>
                <w:szCs w:val="20"/>
                <w:color w:val="auto"/>
                <w:w w:val="99"/>
              </w:rPr>
              <w:t>16</w:t>
            </w:r>
          </w:p>
        </w:tc>
        <w:tc>
          <w:tcPr>
            <w:tcW w:w="196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252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40"/>
          </w:cols>
          <w:pgMar w:left="980" w:top="653" w:right="979" w:bottom="1440" w:gutter="0" w:footer="0" w:header="0"/>
        </w:sectPr>
      </w:pPr>
    </w:p>
    <w:bookmarkStart w:id="65" w:name="page66"/>
    <w:bookmarkEnd w:id="65"/>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Principal Executive Officer</w:t>
      </w:r>
    </w:p>
    <w:p>
      <w:pPr>
        <w:spacing w:after="0" w:line="2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 Sanjeev Aggarwal, certify that:</w:t>
      </w:r>
    </w:p>
    <w:p>
      <w:pPr>
        <w:spacing w:after="0" w:line="225" w:lineRule="exact"/>
        <w:rPr>
          <w:sz w:val="20"/>
          <w:szCs w:val="20"/>
          <w:color w:val="auto"/>
        </w:rPr>
      </w:pPr>
    </w:p>
    <w:p>
      <w:pPr>
        <w:ind w:left="380" w:hanging="330"/>
        <w:spacing w:after="0"/>
        <w:tabs>
          <w:tab w:leader="none" w:pos="3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Form 10-Q of Everspin Technologies, Inc.;</w:t>
      </w:r>
    </w:p>
    <w:p>
      <w:pPr>
        <w:spacing w:after="0" w:line="225" w:lineRule="exact"/>
        <w:rPr>
          <w:rFonts w:ascii="Times New Roman" w:cs="Times New Roman" w:eastAsia="Times New Roman" w:hAnsi="Times New Roman"/>
          <w:sz w:val="18"/>
          <w:szCs w:val="18"/>
          <w:color w:val="auto"/>
        </w:rPr>
      </w:pPr>
    </w:p>
    <w:p>
      <w:pPr>
        <w:jc w:val="both"/>
        <w:ind w:left="380" w:right="119" w:hanging="330"/>
        <w:spacing w:after="0" w:line="266" w:lineRule="auto"/>
        <w:tabs>
          <w:tab w:leader="none" w:pos="3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80" w:right="79" w:hanging="330"/>
        <w:spacing w:after="0" w:line="266" w:lineRule="auto"/>
        <w:tabs>
          <w:tab w:leader="none" w:pos="3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jc w:val="both"/>
        <w:ind w:left="380" w:right="239" w:hanging="330"/>
        <w:spacing w:after="0" w:line="258" w:lineRule="auto"/>
        <w:tabs>
          <w:tab w:leader="none" w:pos="3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6" w:lineRule="exact"/>
        <w:rPr>
          <w:rFonts w:ascii="Times New Roman" w:cs="Times New Roman" w:eastAsia="Times New Roman" w:hAnsi="Times New Roman"/>
          <w:sz w:val="18"/>
          <w:szCs w:val="18"/>
          <w:color w:val="auto"/>
        </w:rPr>
      </w:pPr>
    </w:p>
    <w:p>
      <w:pPr>
        <w:jc w:val="both"/>
        <w:ind w:left="380" w:right="59" w:hanging="6"/>
        <w:spacing w:after="0" w:line="255" w:lineRule="auto"/>
        <w:tabs>
          <w:tab w:leader="none" w:pos="668"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Times New Roman" w:cs="Times New Roman" w:eastAsia="Times New Roman" w:hAnsi="Times New Roman"/>
          <w:sz w:val="18"/>
          <w:szCs w:val="18"/>
          <w:color w:val="auto"/>
        </w:rPr>
      </w:pPr>
    </w:p>
    <w:p>
      <w:pPr>
        <w:jc w:val="both"/>
        <w:ind w:left="380" w:right="59" w:hanging="6"/>
        <w:spacing w:after="0" w:line="255" w:lineRule="auto"/>
        <w:tabs>
          <w:tab w:leader="none" w:pos="644"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6" w:lineRule="exact"/>
        <w:rPr>
          <w:rFonts w:ascii="Times New Roman" w:cs="Times New Roman" w:eastAsia="Times New Roman" w:hAnsi="Times New Roman"/>
          <w:sz w:val="18"/>
          <w:szCs w:val="18"/>
          <w:color w:val="auto"/>
        </w:rPr>
      </w:pPr>
    </w:p>
    <w:p>
      <w:pPr>
        <w:jc w:val="both"/>
        <w:ind w:left="380" w:right="59" w:hanging="6"/>
        <w:spacing w:after="0" w:line="266" w:lineRule="auto"/>
        <w:tabs>
          <w:tab w:leader="none" w:pos="641"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left="380" w:right="59" w:hanging="6"/>
        <w:spacing w:after="0" w:line="255" w:lineRule="auto"/>
        <w:tabs>
          <w:tab w:leader="none" w:pos="64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rFonts w:ascii="Times New Roman" w:cs="Times New Roman" w:eastAsia="Times New Roman" w:hAnsi="Times New Roman"/>
          <w:sz w:val="18"/>
          <w:szCs w:val="18"/>
          <w:color w:val="auto"/>
        </w:rPr>
      </w:pPr>
    </w:p>
    <w:p>
      <w:pPr>
        <w:jc w:val="both"/>
        <w:ind w:left="380" w:right="319" w:hanging="330"/>
        <w:spacing w:after="0" w:line="266" w:lineRule="auto"/>
        <w:tabs>
          <w:tab w:leader="none" w:pos="3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jc w:val="both"/>
        <w:ind w:left="380" w:right="59" w:hanging="6"/>
        <w:spacing w:after="0" w:line="266" w:lineRule="auto"/>
        <w:tabs>
          <w:tab w:leader="none" w:pos="643"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rFonts w:ascii="Times New Roman" w:cs="Times New Roman" w:eastAsia="Times New Roman" w:hAnsi="Times New Roman"/>
          <w:sz w:val="18"/>
          <w:szCs w:val="18"/>
          <w:color w:val="auto"/>
        </w:rPr>
      </w:pPr>
    </w:p>
    <w:p>
      <w:pPr>
        <w:ind w:left="380" w:right="79" w:hanging="6"/>
        <w:spacing w:after="0" w:line="282" w:lineRule="auto"/>
        <w:tabs>
          <w:tab w:leader="none" w:pos="648"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 November 5, 2024</w:t>
      </w:r>
    </w:p>
    <w:p>
      <w:pPr>
        <w:spacing w:after="0" w:line="22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 Sanjeev Aggarwal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17145</wp:posOffset>
            </wp:positionV>
            <wp:extent cx="282003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8">
                      <a:extLst>
                        <a:ext uri="{28A0092B-C50C-407E-A947-70E740481C1C}"/>
                      </a:extLst>
                    </a:blip>
                    <a:srcRect/>
                    <a:stretch>
                      <a:fillRect/>
                    </a:stretch>
                  </pic:blipFill>
                  <pic:spPr bwMode="auto">
                    <a:xfrm>
                      <a:off x="0" y="0"/>
                      <a:ext cx="2820035" cy="8890"/>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Sanjeev Aggarwal</w:t>
      </w:r>
    </w:p>
    <w:p>
      <w:pPr>
        <w:spacing w:after="0" w:line="2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477520</wp:posOffset>
            </wp:positionV>
            <wp:extent cx="5657850"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66" w:name="page67"/>
    <w:bookmarkEnd w:id="66"/>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2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 Matthew Tenorio, certify that:</w:t>
      </w:r>
    </w:p>
    <w:p>
      <w:pPr>
        <w:spacing w:after="0" w:line="225" w:lineRule="exact"/>
        <w:rPr>
          <w:sz w:val="20"/>
          <w:szCs w:val="20"/>
          <w:color w:val="auto"/>
        </w:rPr>
      </w:pPr>
    </w:p>
    <w:p>
      <w:pPr>
        <w:ind w:left="700" w:hanging="326"/>
        <w:spacing w:after="0"/>
        <w:tabs>
          <w:tab w:leader="none" w:pos="7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Form 10-Q of Everspin Technologies, Inc.;</w:t>
      </w:r>
    </w:p>
    <w:p>
      <w:pPr>
        <w:spacing w:after="0" w:line="225" w:lineRule="exact"/>
        <w:rPr>
          <w:rFonts w:ascii="Times New Roman" w:cs="Times New Roman" w:eastAsia="Times New Roman" w:hAnsi="Times New Roman"/>
          <w:sz w:val="18"/>
          <w:szCs w:val="18"/>
          <w:color w:val="auto"/>
        </w:rPr>
      </w:pPr>
    </w:p>
    <w:p>
      <w:pPr>
        <w:ind w:left="700" w:right="299" w:hanging="326"/>
        <w:spacing w:after="0" w:line="266" w:lineRule="auto"/>
        <w:tabs>
          <w:tab w:leader="none" w:pos="7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700" w:right="179" w:hanging="326"/>
        <w:spacing w:after="0" w:line="266" w:lineRule="auto"/>
        <w:tabs>
          <w:tab w:leader="none" w:pos="7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700" w:right="219" w:hanging="326"/>
        <w:spacing w:after="0" w:line="258" w:lineRule="auto"/>
        <w:tabs>
          <w:tab w:leader="none" w:pos="7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6" w:lineRule="exact"/>
        <w:rPr>
          <w:rFonts w:ascii="Times New Roman" w:cs="Times New Roman" w:eastAsia="Times New Roman" w:hAnsi="Times New Roman"/>
          <w:sz w:val="18"/>
          <w:szCs w:val="18"/>
          <w:color w:val="auto"/>
        </w:rPr>
      </w:pPr>
    </w:p>
    <w:p>
      <w:pPr>
        <w:jc w:val="both"/>
        <w:ind w:left="1020" w:right="79" w:hanging="322"/>
        <w:spacing w:after="0" w:line="255" w:lineRule="auto"/>
        <w:tabs>
          <w:tab w:leader="none" w:pos="102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3" w:lineRule="exact"/>
        <w:rPr>
          <w:rFonts w:ascii="Times New Roman" w:cs="Times New Roman" w:eastAsia="Times New Roman" w:hAnsi="Times New Roman"/>
          <w:sz w:val="18"/>
          <w:szCs w:val="18"/>
          <w:color w:val="auto"/>
        </w:rPr>
      </w:pPr>
    </w:p>
    <w:p>
      <w:pPr>
        <w:jc w:val="both"/>
        <w:ind w:left="1020" w:right="79" w:hanging="322"/>
        <w:spacing w:after="0" w:line="261" w:lineRule="auto"/>
        <w:tabs>
          <w:tab w:leader="none" w:pos="102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6" w:lineRule="exact"/>
        <w:rPr>
          <w:rFonts w:ascii="Times New Roman" w:cs="Times New Roman" w:eastAsia="Times New Roman" w:hAnsi="Times New Roman"/>
          <w:sz w:val="18"/>
          <w:szCs w:val="18"/>
          <w:color w:val="auto"/>
        </w:rPr>
      </w:pPr>
    </w:p>
    <w:p>
      <w:pPr>
        <w:jc w:val="both"/>
        <w:ind w:left="1020" w:right="79" w:hanging="322"/>
        <w:spacing w:after="0" w:line="266" w:lineRule="auto"/>
        <w:tabs>
          <w:tab w:leader="none" w:pos="102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left="1020" w:right="79" w:hanging="322"/>
        <w:spacing w:after="0" w:line="261" w:lineRule="auto"/>
        <w:tabs>
          <w:tab w:leader="none" w:pos="102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6" w:lineRule="exact"/>
        <w:rPr>
          <w:rFonts w:ascii="Times New Roman" w:cs="Times New Roman" w:eastAsia="Times New Roman" w:hAnsi="Times New Roman"/>
          <w:sz w:val="18"/>
          <w:szCs w:val="18"/>
          <w:color w:val="auto"/>
        </w:rPr>
      </w:pPr>
    </w:p>
    <w:p>
      <w:pPr>
        <w:ind w:left="700" w:right="399" w:hanging="326"/>
        <w:spacing w:after="0" w:line="266" w:lineRule="auto"/>
        <w:tabs>
          <w:tab w:leader="none" w:pos="7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jc w:val="both"/>
        <w:ind w:left="1020" w:right="79" w:hanging="322"/>
        <w:spacing w:after="0" w:line="266" w:lineRule="auto"/>
        <w:tabs>
          <w:tab w:leader="none" w:pos="102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1020" w:right="79" w:hanging="322"/>
        <w:spacing w:after="0" w:line="282" w:lineRule="auto"/>
        <w:tabs>
          <w:tab w:leader="none" w:pos="102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 November 5, 2024</w:t>
      </w:r>
    </w:p>
    <w:p>
      <w:pPr>
        <w:spacing w:after="0" w:line="212"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 Matthew Tenorio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17145</wp:posOffset>
            </wp:positionV>
            <wp:extent cx="282003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0">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Matthew Tenorio</w:t>
      </w:r>
    </w:p>
    <w:p>
      <w:pPr>
        <w:spacing w:after="0" w:line="2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i w:val="1"/>
          <w:iCs w:val="1"/>
          <w:color w:val="auto"/>
        </w:rPr>
        <w:t>Interim Chief Financial Officer</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485775</wp:posOffset>
            </wp:positionV>
            <wp:extent cx="5657850"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67" w:name="page68"/>
    <w:bookmarkEnd w:id="67"/>
    <w:p>
      <w:pPr>
        <w:ind w:left="8020"/>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 AND CHIEF FINANCIAL OFFICER</w:t>
      </w:r>
    </w:p>
    <w:p>
      <w:pPr>
        <w:spacing w:after="0" w:line="189" w:lineRule="exact"/>
        <w:rPr>
          <w:sz w:val="20"/>
          <w:szCs w:val="20"/>
          <w:color w:val="auto"/>
        </w:rPr>
      </w:pPr>
    </w:p>
    <w:p>
      <w:pPr>
        <w:ind w:left="60" w:right="199"/>
        <w:spacing w:after="0" w:line="255" w:lineRule="auto"/>
        <w:rPr>
          <w:sz w:val="20"/>
          <w:szCs w:val="20"/>
          <w:color w:val="auto"/>
        </w:rPr>
      </w:pPr>
      <w:r>
        <w:rPr>
          <w:rFonts w:ascii="Times New Roman" w:cs="Times New Roman" w:eastAsia="Times New Roman" w:hAnsi="Times New Roman"/>
          <w:sz w:val="18"/>
          <w:szCs w:val="18"/>
          <w:color w:val="auto"/>
        </w:rPr>
        <w:t>Pursuant to the requirement set forth in Rule 13a-14(b) of the Securities Exchange Act of 1934, as amended, (the “Exchange Act”) and Section 1350 of Chapter 63 of Title 18 of the United States Code (18 U.S.C. §1350), Sanjeev Aggarwal, Chief Executive Officer of Everspin Technologies, Inc. (the “Company”), and Matthew Tenorio, Interim Chief Financial Officer of the Company, each hereby certifies that, to the best of his knowledge:</w:t>
      </w:r>
    </w:p>
    <w:p>
      <w:pPr>
        <w:spacing w:after="0" w:line="160" w:lineRule="exact"/>
        <w:rPr>
          <w:sz w:val="20"/>
          <w:szCs w:val="20"/>
          <w:color w:val="auto"/>
        </w:rPr>
      </w:pPr>
    </w:p>
    <w:p>
      <w:pPr>
        <w:jc w:val="both"/>
        <w:ind w:left="60" w:right="159" w:hanging="10"/>
        <w:spacing w:after="0" w:line="258" w:lineRule="auto"/>
        <w:tabs>
          <w:tab w:leader="none" w:pos="2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Quarterly Report on Form 10-Q for the period ended September 30, 2024, to which this Certification is attached as Exhibit 32.1 (the “Periodic Report”), fully complies with the requirements of Section 13(a) or Section 15(d) of the Exchange Act; and</w:t>
      </w:r>
    </w:p>
    <w:p>
      <w:pPr>
        <w:spacing w:after="0" w:line="155" w:lineRule="exact"/>
        <w:rPr>
          <w:rFonts w:ascii="Times New Roman" w:cs="Times New Roman" w:eastAsia="Times New Roman" w:hAnsi="Times New Roman"/>
          <w:sz w:val="18"/>
          <w:szCs w:val="18"/>
          <w:color w:val="auto"/>
        </w:rPr>
      </w:pPr>
    </w:p>
    <w:p>
      <w:pPr>
        <w:ind w:left="60" w:right="439" w:hanging="10"/>
        <w:spacing w:after="0" w:line="266" w:lineRule="auto"/>
        <w:tabs>
          <w:tab w:leader="none" w:pos="2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Periodic Report fairly presents, in all material respects, the financial condition and results of operations of the Company.</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 November 5, 2024</w:t>
      </w:r>
    </w:p>
    <w:p>
      <w:pPr>
        <w:spacing w:after="0" w:line="23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 Sanjeev Aggarwal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17145</wp:posOffset>
            </wp:positionV>
            <wp:extent cx="282003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2">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Sanjeev Aggarwal</w:t>
      </w:r>
    </w:p>
    <w:p>
      <w:pPr>
        <w:spacing w:after="0" w:line="2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 Matthew Tenorio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17145</wp:posOffset>
            </wp:positionV>
            <wp:extent cx="282003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3">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Matthew Tenorio</w:t>
      </w:r>
    </w:p>
    <w:p>
      <w:pPr>
        <w:spacing w:after="0" w:line="2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i w:val="1"/>
          <w:iCs w:val="1"/>
          <w:color w:val="auto"/>
        </w:rPr>
        <w:t>Interim Chief Financial Officer</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07" w:lineRule="exact"/>
        <w:rPr>
          <w:sz w:val="20"/>
          <w:szCs w:val="20"/>
          <w:color w:val="auto"/>
        </w:rPr>
      </w:pPr>
    </w:p>
    <w:p>
      <w:pPr>
        <w:ind w:left="60" w:right="239"/>
        <w:spacing w:after="0" w:line="255" w:lineRule="auto"/>
        <w:rPr>
          <w:sz w:val="20"/>
          <w:szCs w:val="20"/>
          <w:color w:val="auto"/>
        </w:rPr>
      </w:pPr>
      <w:r>
        <w:rPr>
          <w:rFonts w:ascii="Times New Roman" w:cs="Times New Roman" w:eastAsia="Times New Roman" w:hAnsi="Times New Roman"/>
          <w:sz w:val="18"/>
          <w:szCs w:val="18"/>
          <w:color w:val="auto"/>
        </w:rPr>
        <w:t>This certification accompanies the Form 10-Q to which it relates, is not deemed filed with the Securities and Exchange Commission and is not to be incorporated by reference into any filing of Everspin Technologies, Inc. under the Securities Act of 1933, as amended, or the Securities Exchange Act of 1934, as amended (whether made before or after the date of the Form 10-Q),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335915</wp:posOffset>
            </wp:positionV>
            <wp:extent cx="5657850"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sectPr>
      <w:pgSz w:w="11900" w:h="16838" w:orient="portrait"/>
      <w:cols w:equalWidth="0" w:num="1">
        <w:col w:w="9019"/>
      </w:cols>
      <w:pgMar w:left="1440" w:top="1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abstractNum>
  <w:abstractNum w:abstractNumId="1">
    <w:nsid w:val="62BBD95A"/>
    <w:multiLevelType w:val="hybridMultilevel"/>
    <w:lvl w:ilvl="0">
      <w:lvlJc w:val="left"/>
      <w:lvlText w:val="☐"/>
      <w:numFmt w:val="bullet"/>
      <w:start w:val="1"/>
    </w:lvl>
  </w:abstractNum>
  <w:abstractNum w:abstractNumId="2">
    <w:nsid w:val="436C6125"/>
    <w:multiLevelType w:val="hybridMultilevel"/>
    <w:lvl w:ilvl="0">
      <w:lvlJc w:val="left"/>
      <w:lvlText w:val="●"/>
      <w:numFmt w:val="bullet"/>
      <w:start w:val="1"/>
    </w:lvl>
    <w:lvl w:ilvl="1">
      <w:lvlJc w:val="left"/>
      <w:lvlText w:val="●"/>
      <w:numFmt w:val="bullet"/>
      <w:start w:val="1"/>
    </w:lvl>
  </w:abstractNum>
  <w:abstractNum w:abstractNumId="3">
    <w:nsid w:val="628C895D"/>
    <w:multiLevelType w:val="hybridMultilevel"/>
    <w:lvl w:ilvl="0">
      <w:lvlJc w:val="left"/>
      <w:lvlText w:val="●"/>
      <w:numFmt w:val="bullet"/>
      <w:start w:val="1"/>
    </w:lvl>
  </w:abstractNum>
  <w:abstractNum w:abstractNumId="4">
    <w:nsid w:val="333AB105"/>
    <w:multiLevelType w:val="hybridMultilevel"/>
    <w:lvl w:ilvl="0">
      <w:lvlJc w:val="left"/>
      <w:lvlText w:val="●"/>
      <w:numFmt w:val="bullet"/>
      <w:start w:val="1"/>
    </w:lvl>
  </w:abstractNum>
  <w:abstractNum w:abstractNumId="5">
    <w:nsid w:val="721DA317"/>
    <w:multiLevelType w:val="hybridMultilevel"/>
    <w:lvl w:ilvl="0">
      <w:lvlJc w:val="left"/>
      <w:lvlText w:val="●"/>
      <w:numFmt w:val="bullet"/>
      <w:start w:val="1"/>
    </w:lvl>
  </w:abstractNum>
  <w:abstractNum w:abstractNumId="6">
    <w:nsid w:val="2443A858"/>
    <w:multiLevelType w:val="hybridMultilevel"/>
    <w:lvl w:ilvl="0">
      <w:lvlJc w:val="left"/>
      <w:lvlText w:val="●"/>
      <w:numFmt w:val="bullet"/>
      <w:start w:val="1"/>
    </w:lvl>
  </w:abstractNum>
  <w:abstractNum w:abstractNumId="7">
    <w:nsid w:val="2D1D5AE9"/>
    <w:multiLevelType w:val="hybridMultilevel"/>
    <w:lvl w:ilvl="0">
      <w:lvlJc w:val="left"/>
      <w:lvlText w:val="●"/>
      <w:numFmt w:val="bullet"/>
      <w:start w:val="1"/>
    </w:lvl>
  </w:abstractNum>
  <w:abstractNum w:abstractNumId="8">
    <w:nsid w:val="6763845E"/>
    <w:multiLevelType w:val="hybridMultilevel"/>
    <w:lvl w:ilvl="0">
      <w:lvlJc w:val="left"/>
      <w:lvlText w:val="●"/>
      <w:numFmt w:val="bullet"/>
      <w:start w:val="1"/>
    </w:lvl>
  </w:abstractNum>
  <w:abstractNum w:abstractNumId="9">
    <w:nsid w:val="75A2A8D4"/>
    <w:multiLevelType w:val="hybridMultilevel"/>
    <w:lvl w:ilvl="0">
      <w:lvlJc w:val="left"/>
      <w:lvlText w:val="●"/>
      <w:numFmt w:val="bullet"/>
      <w:start w:val="1"/>
    </w:lvl>
  </w:abstractNum>
  <w:abstractNum w:abstractNumId="10">
    <w:nsid w:val="8EDBDAB"/>
    <w:multiLevelType w:val="hybridMultilevel"/>
    <w:lvl w:ilvl="0">
      <w:lvlJc w:val="left"/>
      <w:lvlText w:val="●"/>
      <w:numFmt w:val="bullet"/>
      <w:start w:val="1"/>
    </w:lvl>
  </w:abstractNum>
  <w:abstractNum w:abstractNumId="11">
    <w:nsid w:val="79838CB2"/>
    <w:multiLevelType w:val="hybridMultilevel"/>
    <w:lvl w:ilvl="0">
      <w:lvlJc w:val="left"/>
      <w:lvlText w:val="●"/>
      <w:numFmt w:val="bullet"/>
      <w:start w:val="1"/>
    </w:lvl>
  </w:abstractNum>
  <w:abstractNum w:abstractNumId="12">
    <w:nsid w:val="4353D0CD"/>
    <w:multiLevelType w:val="hybridMultilevel"/>
    <w:lvl w:ilvl="0">
      <w:lvlJc w:val="left"/>
      <w:lvlText w:val="●"/>
      <w:numFmt w:val="bullet"/>
      <w:start w:val="1"/>
    </w:lvl>
  </w:abstractNum>
  <w:abstractNum w:abstractNumId="13">
    <w:nsid w:val="B03E0C6"/>
    <w:multiLevelType w:val="hybridMultilevel"/>
    <w:lvl w:ilvl="0">
      <w:lvlJc w:val="left"/>
      <w:lvlText w:val="●"/>
      <w:numFmt w:val="bullet"/>
      <w:start w:val="1"/>
    </w:lvl>
  </w:abstractNum>
  <w:abstractNum w:abstractNumId="14">
    <w:nsid w:val="189A769B"/>
    <w:multiLevelType w:val="hybridMultilevel"/>
    <w:lvl w:ilvl="0">
      <w:lvlJc w:val="left"/>
      <w:lvlText w:val="●"/>
      <w:numFmt w:val="bullet"/>
      <w:start w:val="1"/>
    </w:lvl>
  </w:abstractNum>
  <w:abstractNum w:abstractNumId="15">
    <w:nsid w:val="54E49EB4"/>
    <w:multiLevelType w:val="hybridMultilevel"/>
    <w:lvl w:ilvl="0">
      <w:lvlJc w:val="left"/>
      <w:lvlText w:val="●"/>
      <w:numFmt w:val="bullet"/>
      <w:start w:val="1"/>
    </w:lvl>
  </w:abstractNum>
  <w:abstractNum w:abstractNumId="16">
    <w:nsid w:val="71F32454"/>
    <w:multiLevelType w:val="hybridMultilevel"/>
    <w:lvl w:ilvl="0">
      <w:lvlJc w:val="left"/>
      <w:lvlText w:val="●"/>
      <w:numFmt w:val="bullet"/>
      <w:start w:val="1"/>
    </w:lvl>
  </w:abstractNum>
  <w:abstractNum w:abstractNumId="17">
    <w:nsid w:val="2CA88611"/>
    <w:multiLevelType w:val="hybridMultilevel"/>
    <w:lvl w:ilvl="0">
      <w:lvlJc w:val="left"/>
      <w:lvlText w:val="●"/>
      <w:numFmt w:val="bullet"/>
      <w:start w:val="1"/>
    </w:lvl>
  </w:abstractNum>
  <w:abstractNum w:abstractNumId="18">
    <w:nsid w:val="836C40E"/>
    <w:multiLevelType w:val="hybridMultilevel"/>
    <w:lvl w:ilvl="0">
      <w:lvlJc w:val="left"/>
      <w:lvlText w:val="*"/>
      <w:numFmt w:val="bullet"/>
      <w:start w:val="1"/>
    </w:lvl>
  </w:abstractNum>
  <w:abstractNum w:abstractNumId="19">
    <w:nsid w:val="2901D82"/>
    <w:multiLevelType w:val="hybridMultilevel"/>
    <w:lvl w:ilvl="0">
      <w:lvlJc w:val="left"/>
      <w:lvlText w:val="†"/>
      <w:numFmt w:val="bullet"/>
      <w:start w:val="1"/>
    </w:lvl>
    <w:lvl w:ilvl="1">
      <w:lvlJc w:val="left"/>
      <w:lvlText w:val="(%2)"/>
      <w:numFmt w:val="lowerLetter"/>
      <w:start w:val="1"/>
    </w:lvl>
  </w:abstractNum>
  <w:abstractNum w:abstractNumId="20">
    <w:nsid w:val="3A95F874"/>
    <w:multiLevelType w:val="hybridMultilevel"/>
    <w:lvl w:ilvl="0">
      <w:lvlJc w:val="left"/>
      <w:lvlText w:val="%1."/>
      <w:numFmt w:val="decimal"/>
      <w:start w:val="1"/>
    </w:lvl>
  </w:abstractNum>
  <w:abstractNum w:abstractNumId="21">
    <w:nsid w:val="8138641"/>
    <w:multiLevelType w:val="hybridMultilevel"/>
    <w:lvl w:ilvl="0">
      <w:lvlJc w:val="left"/>
      <w:lvlText w:val="%1."/>
      <w:numFmt w:val="decimal"/>
      <w:start w:val="7"/>
    </w:lvl>
  </w:abstractNum>
  <w:abstractNum w:abstractNumId="22">
    <w:nsid w:val="1E7FF521"/>
    <w:multiLevelType w:val="hybridMultilevel"/>
    <w:lvl w:ilvl="0">
      <w:lvlJc w:val="left"/>
      <w:lvlText w:val="%1."/>
      <w:numFmt w:val="decimal"/>
      <w:start w:val="13"/>
    </w:lvl>
  </w:abstractNum>
  <w:abstractNum w:abstractNumId="23">
    <w:nsid w:val="7C3DBD3D"/>
    <w:multiLevelType w:val="hybridMultilevel"/>
    <w:lvl w:ilvl="0">
      <w:lvlJc w:val="left"/>
      <w:lvlText w:val="%1."/>
      <w:numFmt w:val="decimal"/>
      <w:start w:val="16"/>
    </w:lvl>
  </w:abstractNum>
  <w:abstractNum w:abstractNumId="24">
    <w:nsid w:val="737B8DDC"/>
    <w:multiLevelType w:val="hybridMultilevel"/>
    <w:lvl w:ilvl="0">
      <w:lvlJc w:val="left"/>
      <w:lvlText w:val="%1."/>
      <w:numFmt w:val="decimal"/>
      <w:start w:val="1"/>
    </w:lvl>
  </w:abstractNum>
  <w:abstractNum w:abstractNumId="25">
    <w:nsid w:val="6CEAF087"/>
    <w:multiLevelType w:val="hybridMultilevel"/>
    <w:lvl w:ilvl="0">
      <w:lvlJc w:val="left"/>
      <w:lvlText w:val="%1."/>
      <w:numFmt w:val="decimal"/>
      <w:start w:val="2"/>
    </w:lvl>
  </w:abstractNum>
  <w:abstractNum w:abstractNumId="26">
    <w:nsid w:val="22221A70"/>
    <w:multiLevelType w:val="hybridMultilevel"/>
    <w:lvl w:ilvl="0">
      <w:lvlJc w:val="left"/>
      <w:lvlText w:val="%1."/>
      <w:numFmt w:val="decimal"/>
      <w:start w:val="3"/>
    </w:lvl>
  </w:abstractNum>
  <w:abstractNum w:abstractNumId="27">
    <w:nsid w:val="4516DDE9"/>
    <w:multiLevelType w:val="hybridMultilevel"/>
    <w:lvl w:ilvl="0">
      <w:lvlJc w:val="left"/>
      <w:lvlText w:val="%1."/>
      <w:numFmt w:val="decimal"/>
      <w:start w:val="4"/>
    </w:lvl>
  </w:abstractNum>
  <w:abstractNum w:abstractNumId="28">
    <w:nsid w:val="3006C83E"/>
    <w:multiLevelType w:val="hybridMultilevel"/>
    <w:lvl w:ilvl="0">
      <w:lvlJc w:val="left"/>
      <w:lvlText w:val="%1."/>
      <w:numFmt w:val="decimal"/>
      <w:start w:val="5"/>
    </w:lvl>
  </w:abstractNum>
  <w:abstractNum w:abstractNumId="29">
    <w:nsid w:val="614FD4A1"/>
    <w:multiLevelType w:val="hybridMultilevel"/>
    <w:lvl w:ilvl="0">
      <w:lvlJc w:val="left"/>
      <w:lvlText w:val="(%1)"/>
      <w:numFmt w:val="lowerLetter"/>
      <w:start w:val="2"/>
    </w:lvl>
  </w:abstractNum>
  <w:abstractNum w:abstractNumId="30">
    <w:nsid w:val="419AC241"/>
    <w:multiLevelType w:val="hybridMultilevel"/>
    <w:lvl w:ilvl="0">
      <w:lvlJc w:val="left"/>
      <w:lvlText w:val="(%1)"/>
      <w:numFmt w:val="lowerLetter"/>
      <w:start w:val="61"/>
    </w:lvl>
  </w:abstractNum>
  <w:abstractNum w:abstractNumId="31">
    <w:nsid w:val="5577F8E1"/>
    <w:multiLevelType w:val="hybridMultilevel"/>
    <w:lvl w:ilvl="0">
      <w:lvlJc w:val="left"/>
      <w:lvlText w:val="%1."/>
      <w:numFmt w:val="decimal"/>
      <w:start w:val="6"/>
    </w:lvl>
  </w:abstractNum>
  <w:abstractNum w:abstractNumId="32">
    <w:nsid w:val="440BADFC"/>
    <w:multiLevelType w:val="hybridMultilevel"/>
    <w:lvl w:ilvl="0">
      <w:lvlJc w:val="left"/>
      <w:lvlText w:val="%1."/>
      <w:numFmt w:val="decimal"/>
      <w:start w:val="7"/>
    </w:lvl>
  </w:abstractNum>
  <w:abstractNum w:abstractNumId="33">
    <w:nsid w:val="5072367"/>
    <w:multiLevelType w:val="hybridMultilevel"/>
    <w:lvl w:ilvl="0">
      <w:lvlJc w:val="left"/>
      <w:lvlText w:val="%1."/>
      <w:numFmt w:val="decimal"/>
      <w:start w:val="8"/>
    </w:lvl>
  </w:abstractNum>
  <w:abstractNum w:abstractNumId="34">
    <w:nsid w:val="3804823E"/>
    <w:multiLevelType w:val="hybridMultilevel"/>
    <w:lvl w:ilvl="0">
      <w:lvlJc w:val="left"/>
      <w:lvlText w:val="%1."/>
      <w:numFmt w:val="decimal"/>
      <w:start w:val="9"/>
    </w:lvl>
  </w:abstractNum>
  <w:abstractNum w:abstractNumId="35">
    <w:nsid w:val="77465F01"/>
    <w:multiLevelType w:val="hybridMultilevel"/>
    <w:lvl w:ilvl="0">
      <w:lvlJc w:val="left"/>
      <w:lvlText w:val="%1."/>
      <w:numFmt w:val="decimal"/>
      <w:start w:val="1"/>
    </w:lvl>
    <w:lvl w:ilvl="1">
      <w:lvlJc w:val="left"/>
      <w:lvlText w:val="(%2)"/>
      <w:numFmt w:val="lowerLetter"/>
      <w:start w:val="1"/>
    </w:lvl>
  </w:abstractNum>
  <w:abstractNum w:abstractNumId="36">
    <w:nsid w:val="7724C67E"/>
    <w:multiLevelType w:val="hybridMultilevel"/>
    <w:lvl w:ilvl="0">
      <w:lvlJc w:val="left"/>
      <w:lvlText w:val="%1."/>
      <w:numFmt w:val="decimal"/>
      <w:start w:val="1"/>
    </w:lvl>
    <w:lvl w:ilvl="1">
      <w:lvlJc w:val="left"/>
      <w:lvlText w:val="(%2)"/>
      <w:numFmt w:val="lowerLetter"/>
      <w:start w:val="1"/>
    </w:lvl>
  </w:abstractNum>
  <w:abstractNum w:abstractNumId="37">
    <w:nsid w:val="5C482A9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65" Type="http://schemas.openxmlformats.org/officeDocument/2006/relationships/image" Target="media/image52.png"/><Relationship Id="rId66" Type="http://schemas.openxmlformats.org/officeDocument/2006/relationships/image" Target="media/image53.png"/><Relationship Id="rId67" Type="http://schemas.openxmlformats.org/officeDocument/2006/relationships/image" Target="media/image54.png"/><Relationship Id="rId68" Type="http://schemas.openxmlformats.org/officeDocument/2006/relationships/image" Target="media/image55.jpeg"/><Relationship Id="rId69" Type="http://schemas.openxmlformats.org/officeDocument/2006/relationships/image" Target="media/image56.png"/><Relationship Id="rId70" Type="http://schemas.openxmlformats.org/officeDocument/2006/relationships/image" Target="media/image57.png"/><Relationship Id="rId71" Type="http://schemas.openxmlformats.org/officeDocument/2006/relationships/image" Target="media/image58.png"/><Relationship Id="rId72" Type="http://schemas.openxmlformats.org/officeDocument/2006/relationships/image" Target="media/image59.png"/><Relationship Id="rId73" Type="http://schemas.openxmlformats.org/officeDocument/2006/relationships/image" Target="media/image60.png"/><Relationship Id="rId74" Type="http://schemas.openxmlformats.org/officeDocument/2006/relationships/image" Target="media/image61.png"/><Relationship Id="rId75" Type="http://schemas.openxmlformats.org/officeDocument/2006/relationships/image" Target="media/image62.png"/><Relationship Id="rId76" Type="http://schemas.openxmlformats.org/officeDocument/2006/relationships/image" Target="media/image63.png"/><Relationship Id="rId77" Type="http://schemas.openxmlformats.org/officeDocument/2006/relationships/image" Target="media/image64.png"/><Relationship Id="rId78" Type="http://schemas.openxmlformats.org/officeDocument/2006/relationships/image" Target="media/image65.png"/><Relationship Id="rId79" Type="http://schemas.openxmlformats.org/officeDocument/2006/relationships/image" Target="media/image66.png"/><Relationship Id="rId80" Type="http://schemas.openxmlformats.org/officeDocument/2006/relationships/image" Target="media/image67.png"/><Relationship Id="rId81" Type="http://schemas.openxmlformats.org/officeDocument/2006/relationships/image" Target="media/image68.png"/><Relationship Id="rId82" Type="http://schemas.openxmlformats.org/officeDocument/2006/relationships/image" Target="media/image69.png"/><Relationship Id="rId83" Type="http://schemas.openxmlformats.org/officeDocument/2006/relationships/image" Target="media/image70.png"/><Relationship Id="rId84" Type="http://schemas.openxmlformats.org/officeDocument/2006/relationships/image" Target="media/image71.png"/><Relationship Id="rId85" Type="http://schemas.openxmlformats.org/officeDocument/2006/relationships/image" Target="media/image72.png"/><Relationship Id="rId86" Type="http://schemas.openxmlformats.org/officeDocument/2006/relationships/image" Target="media/image73.png"/><Relationship Id="rId87" Type="http://schemas.openxmlformats.org/officeDocument/2006/relationships/image" Target="media/image74.png"/><Relationship Id="rId88" Type="http://schemas.openxmlformats.org/officeDocument/2006/relationships/image" Target="media/image75.png"/><Relationship Id="rId89" Type="http://schemas.openxmlformats.org/officeDocument/2006/relationships/image" Target="media/image76.png"/><Relationship Id="rId90" Type="http://schemas.openxmlformats.org/officeDocument/2006/relationships/image" Target="media/image77.png"/><Relationship Id="rId91" Type="http://schemas.openxmlformats.org/officeDocument/2006/relationships/image" Target="media/image78.png"/><Relationship Id="rId92" Type="http://schemas.openxmlformats.org/officeDocument/2006/relationships/image" Target="media/image79.png"/><Relationship Id="rId93" Type="http://schemas.openxmlformats.org/officeDocument/2006/relationships/image" Target="media/image80.png"/><Relationship Id="rId94" Type="http://schemas.openxmlformats.org/officeDocument/2006/relationships/image" Target="media/image81.png"/><Relationship Id="rId95" Type="http://schemas.openxmlformats.org/officeDocument/2006/relationships/image" Target="media/image82.png"/><Relationship Id="rId96" Type="http://schemas.openxmlformats.org/officeDocument/2006/relationships/image" Target="media/image83.png"/><Relationship Id="rId97" Type="http://schemas.openxmlformats.org/officeDocument/2006/relationships/image" Target="media/image84.png"/><Relationship Id="rId98" Type="http://schemas.openxmlformats.org/officeDocument/2006/relationships/image" Target="media/image85.png"/><Relationship Id="rId99" Type="http://schemas.openxmlformats.org/officeDocument/2006/relationships/image" Target="media/image86.png"/><Relationship Id="rId100" Type="http://schemas.openxmlformats.org/officeDocument/2006/relationships/image" Target="media/image87.png"/><Relationship Id="rId101" Type="http://schemas.openxmlformats.org/officeDocument/2006/relationships/image" Target="media/image88.png"/><Relationship Id="rId102" Type="http://schemas.openxmlformats.org/officeDocument/2006/relationships/image" Target="media/image89.png"/><Relationship Id="rId103" Type="http://schemas.openxmlformats.org/officeDocument/2006/relationships/image" Target="media/image90.png"/><Relationship Id="rId104" Type="http://schemas.openxmlformats.org/officeDocument/2006/relationships/image" Target="media/image91.png"/><Relationship Id="rId59" Type="http://schemas.openxmlformats.org/officeDocument/2006/relationships/hyperlink" Target="http://www.sec.gov/Archives/edgar/data/1438423/000119312516737688/d271840dex31.htm" TargetMode="External"/><Relationship Id="rId60" Type="http://schemas.openxmlformats.org/officeDocument/2006/relationships/hyperlink" Target="http://www.sec.gov/Archives/edgar/data/1438423/000119312519154165/d752899dex31.htm" TargetMode="External"/><Relationship Id="rId61" Type="http://schemas.openxmlformats.org/officeDocument/2006/relationships/hyperlink" Target="https://www.sec.gov/Archives/edgar/data/1438423/000119312520153247/d936625dex31.htm" TargetMode="External"/><Relationship Id="rId62" Type="http://schemas.openxmlformats.org/officeDocument/2006/relationships/hyperlink" Target="https://www.sec.gov/Archives/edgar/data/1438423/000110465923064640/tm2316966d1_ex3-1.htm" TargetMode="External"/><Relationship Id="rId63" Type="http://schemas.openxmlformats.org/officeDocument/2006/relationships/hyperlink" Target="https://www.sec.gov/Archives/edgar/data/1438423/000119312519154165/d752899dex32.htm" TargetMode="External"/><Relationship Id="rId64" Type="http://schemas.openxmlformats.org/officeDocument/2006/relationships/hyperlink" Target="https://www.sec.gov/Archives/edgar/data/1438423/000110465924080830/tm2419751d1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2024-11-05T16:22:18Z</dcterms:created>
  <dcterms:modified xsi:type="dcterms:W3CDTF">2024-11-05T16:22:18Z</dcterms:modified>
</cp:coreProperties>
</file>