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May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Everspin Technologies, Inc.</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200" w:type="dxa"/>
            <w:vAlign w:val="bottom"/>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9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001-37900</w:t>
            </w:r>
          </w:p>
        </w:tc>
        <w:tc>
          <w:tcPr>
            <w:tcW w:w="3060" w:type="dxa"/>
            <w:vAlign w:val="bottom"/>
          </w:tcPr>
          <w:p>
            <w:pPr>
              <w:jc w:val="center"/>
              <w:ind w:right="608"/>
              <w:spacing w:after="0"/>
              <w:rPr>
                <w:sz w:val="20"/>
                <w:szCs w:val="20"/>
                <w:color w:val="auto"/>
              </w:rPr>
            </w:pPr>
            <w:r>
              <w:rPr>
                <w:rFonts w:ascii="Times New Roman" w:cs="Times New Roman" w:eastAsia="Times New Roman" w:hAnsi="Times New Roman"/>
                <w:sz w:val="14"/>
                <w:szCs w:val="14"/>
                <w:b w:val="1"/>
                <w:bCs w:val="1"/>
                <w:color w:val="auto"/>
              </w:rPr>
              <w:t>26-2640654</w:t>
            </w:r>
          </w:p>
        </w:tc>
      </w:tr>
      <w:tr>
        <w:trPr>
          <w:trHeight w:val="162"/>
        </w:trPr>
        <w:tc>
          <w:tcPr>
            <w:tcW w:w="3200" w:type="dxa"/>
            <w:vAlign w:val="bottom"/>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3060" w:type="dxa"/>
            <w:vAlign w:val="bottom"/>
          </w:tcPr>
          <w:p>
            <w:pPr>
              <w:jc w:val="center"/>
              <w:ind w:right="62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200" w:type="dxa"/>
            <w:vAlign w:val="bottom"/>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3060" w:type="dxa"/>
            <w:vAlign w:val="bottom"/>
          </w:tcPr>
          <w:p>
            <w:pPr>
              <w:jc w:val="center"/>
              <w:ind w:right="62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69"/>
        </w:trPr>
        <w:tc>
          <w:tcPr>
            <w:tcW w:w="3200" w:type="dxa"/>
            <w:vAlign w:val="bottom"/>
          </w:tcPr>
          <w:p>
            <w:pPr>
              <w:spacing w:after="0"/>
              <w:rPr>
                <w:sz w:val="23"/>
                <w:szCs w:val="23"/>
                <w:color w:val="auto"/>
              </w:rPr>
            </w:pPr>
          </w:p>
        </w:tc>
        <w:tc>
          <w:tcPr>
            <w:tcW w:w="49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5670 W. Chandler Blvd.</w:t>
            </w:r>
          </w:p>
        </w:tc>
        <w:tc>
          <w:tcPr>
            <w:tcW w:w="3060" w:type="dxa"/>
            <w:vAlign w:val="bottom"/>
          </w:tcPr>
          <w:p>
            <w:pPr>
              <w:spacing w:after="0"/>
              <w:rPr>
                <w:sz w:val="23"/>
                <w:szCs w:val="23"/>
                <w:color w:val="auto"/>
              </w:rPr>
            </w:pPr>
          </w:p>
        </w:tc>
      </w:tr>
      <w:tr>
        <w:trPr>
          <w:trHeight w:val="176"/>
        </w:trPr>
        <w:tc>
          <w:tcPr>
            <w:tcW w:w="3200" w:type="dxa"/>
            <w:vAlign w:val="bottom"/>
          </w:tcPr>
          <w:p>
            <w:pPr>
              <w:spacing w:after="0"/>
              <w:rPr>
                <w:sz w:val="15"/>
                <w:szCs w:val="15"/>
                <w:color w:val="auto"/>
              </w:rPr>
            </w:pPr>
          </w:p>
        </w:tc>
        <w:tc>
          <w:tcPr>
            <w:tcW w:w="49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Suite 130</w:t>
            </w:r>
          </w:p>
        </w:tc>
        <w:tc>
          <w:tcPr>
            <w:tcW w:w="3060" w:type="dxa"/>
            <w:vAlign w:val="bottom"/>
          </w:tcPr>
          <w:p>
            <w:pPr>
              <w:spacing w:after="0"/>
              <w:rPr>
                <w:sz w:val="15"/>
                <w:szCs w:val="15"/>
                <w:color w:val="auto"/>
              </w:rPr>
            </w:pPr>
          </w:p>
        </w:tc>
      </w:tr>
      <w:tr>
        <w:trPr>
          <w:trHeight w:val="175"/>
        </w:trPr>
        <w:tc>
          <w:tcPr>
            <w:tcW w:w="3200" w:type="dxa"/>
            <w:vAlign w:val="bottom"/>
          </w:tcPr>
          <w:p>
            <w:pPr>
              <w:spacing w:after="0"/>
              <w:rPr>
                <w:sz w:val="15"/>
                <w:szCs w:val="15"/>
                <w:color w:val="auto"/>
              </w:rPr>
            </w:pPr>
          </w:p>
        </w:tc>
        <w:tc>
          <w:tcPr>
            <w:tcW w:w="49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Chandler, Arizona 85226</w:t>
            </w:r>
          </w:p>
        </w:tc>
        <w:tc>
          <w:tcPr>
            <w:tcW w:w="3060" w:type="dxa"/>
            <w:vAlign w:val="bottom"/>
          </w:tcPr>
          <w:p>
            <w:pPr>
              <w:spacing w:after="0"/>
              <w:rPr>
                <w:sz w:val="15"/>
                <w:szCs w:val="15"/>
                <w:color w:val="auto"/>
              </w:rPr>
            </w:pPr>
          </w:p>
        </w:tc>
      </w:tr>
      <w:tr>
        <w:trPr>
          <w:trHeight w:val="190"/>
        </w:trPr>
        <w:tc>
          <w:tcPr>
            <w:tcW w:w="3200" w:type="dxa"/>
            <w:vAlign w:val="bottom"/>
          </w:tcPr>
          <w:p>
            <w:pPr>
              <w:spacing w:after="0"/>
              <w:rPr>
                <w:sz w:val="16"/>
                <w:szCs w:val="16"/>
                <w:color w:val="auto"/>
              </w:rPr>
            </w:pPr>
          </w:p>
        </w:tc>
        <w:tc>
          <w:tcPr>
            <w:tcW w:w="49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3060" w:type="dxa"/>
            <w:vAlign w:val="bottom"/>
          </w:tcPr>
          <w:p>
            <w:pPr>
              <w:spacing w:after="0"/>
              <w:rPr>
                <w:sz w:val="16"/>
                <w:szCs w:val="16"/>
                <w:color w:val="auto"/>
              </w:rPr>
            </w:pPr>
          </w:p>
        </w:tc>
      </w:tr>
      <w:tr>
        <w:trPr>
          <w:trHeight w:val="201"/>
        </w:trPr>
        <w:tc>
          <w:tcPr>
            <w:tcW w:w="3200" w:type="dxa"/>
            <w:vAlign w:val="bottom"/>
          </w:tcPr>
          <w:p>
            <w:pPr>
              <w:spacing w:after="0"/>
              <w:rPr>
                <w:sz w:val="17"/>
                <w:szCs w:val="17"/>
                <w:color w:val="auto"/>
              </w:rPr>
            </w:pPr>
          </w:p>
        </w:tc>
        <w:tc>
          <w:tcPr>
            <w:tcW w:w="49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(480) 347-1111</w:t>
            </w:r>
          </w:p>
        </w:tc>
        <w:tc>
          <w:tcPr>
            <w:tcW w:w="3060" w:type="dxa"/>
            <w:vAlign w:val="bottom"/>
          </w:tcPr>
          <w:p>
            <w:pPr>
              <w:spacing w:after="0"/>
              <w:rPr>
                <w:sz w:val="17"/>
                <w:szCs w:val="17"/>
                <w:color w:val="auto"/>
              </w:rPr>
            </w:pPr>
          </w:p>
        </w:tc>
      </w:tr>
      <w:tr>
        <w:trPr>
          <w:trHeight w:val="190"/>
        </w:trPr>
        <w:tc>
          <w:tcPr>
            <w:tcW w:w="3200" w:type="dxa"/>
            <w:vAlign w:val="bottom"/>
          </w:tcPr>
          <w:p>
            <w:pPr>
              <w:spacing w:after="0"/>
              <w:rPr>
                <w:sz w:val="16"/>
                <w:szCs w:val="16"/>
                <w:color w:val="auto"/>
              </w:rPr>
            </w:pPr>
          </w:p>
        </w:tc>
        <w:tc>
          <w:tcPr>
            <w:tcW w:w="49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060" w:type="dxa"/>
            <w:vAlign w:val="bottom"/>
          </w:tcPr>
          <w:p>
            <w:pPr>
              <w:spacing w:after="0"/>
              <w:rPr>
                <w:sz w:val="16"/>
                <w:szCs w:val="16"/>
                <w:color w:val="auto"/>
              </w:rPr>
            </w:pPr>
          </w:p>
        </w:tc>
      </w:tr>
      <w:tr>
        <w:trPr>
          <w:trHeight w:val="215"/>
        </w:trPr>
        <w:tc>
          <w:tcPr>
            <w:tcW w:w="3200" w:type="dxa"/>
            <w:vAlign w:val="bottom"/>
          </w:tcPr>
          <w:p>
            <w:pPr>
              <w:spacing w:after="0"/>
              <w:rPr>
                <w:sz w:val="18"/>
                <w:szCs w:val="18"/>
                <w:color w:val="auto"/>
              </w:rPr>
            </w:pPr>
          </w:p>
        </w:tc>
        <w:tc>
          <w:tcPr>
            <w:tcW w:w="49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3060" w:type="dxa"/>
            <w:vAlign w:val="bottom"/>
          </w:tcPr>
          <w:p>
            <w:pPr>
              <w:spacing w:after="0"/>
              <w:rPr>
                <w:sz w:val="18"/>
                <w:szCs w:val="18"/>
                <w:color w:val="auto"/>
              </w:rPr>
            </w:pPr>
          </w:p>
        </w:tc>
      </w:tr>
      <w:tr>
        <w:trPr>
          <w:trHeight w:val="190"/>
        </w:trPr>
        <w:tc>
          <w:tcPr>
            <w:tcW w:w="3200" w:type="dxa"/>
            <w:vAlign w:val="bottom"/>
          </w:tcPr>
          <w:p>
            <w:pPr>
              <w:spacing w:after="0"/>
              <w:rPr>
                <w:sz w:val="16"/>
                <w:szCs w:val="16"/>
                <w:color w:val="auto"/>
              </w:rPr>
            </w:pPr>
          </w:p>
        </w:tc>
        <w:tc>
          <w:tcPr>
            <w:tcW w:w="49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3060" w:type="dxa"/>
            <w:vAlign w:val="bottom"/>
          </w:tcPr>
          <w:p>
            <w:pPr>
              <w:spacing w:after="0"/>
              <w:rPr>
                <w:sz w:val="16"/>
                <w:szCs w:val="16"/>
                <w:color w:val="auto"/>
              </w:rPr>
            </w:pPr>
          </w:p>
        </w:tc>
      </w:tr>
      <w:tr>
        <w:trPr>
          <w:trHeight w:val="104"/>
        </w:trPr>
        <w:tc>
          <w:tcPr>
            <w:tcW w:w="3200" w:type="dxa"/>
            <w:vAlign w:val="bottom"/>
            <w:tcBorders>
              <w:bottom w:val="single" w:sz="8" w:color="auto"/>
            </w:tcBorders>
          </w:tcPr>
          <w:p>
            <w:pPr>
              <w:spacing w:after="0"/>
              <w:rPr>
                <w:sz w:val="9"/>
                <w:szCs w:val="9"/>
                <w:color w:val="auto"/>
              </w:rPr>
            </w:pPr>
          </w:p>
        </w:tc>
        <w:tc>
          <w:tcPr>
            <w:tcW w:w="498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tcPr>
          <w:p>
            <w:pPr>
              <w:spacing w:after="0"/>
              <w:rPr>
                <w:sz w:val="9"/>
                <w:szCs w:val="9"/>
                <w:color w:val="auto"/>
              </w:rPr>
            </w:pPr>
          </w:p>
        </w:tc>
      </w:tr>
    </w:tbl>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23"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76" w:lineRule="exact"/>
        <w:rPr>
          <w:rFonts w:ascii="MS PGothic" w:cs="MS PGothic" w:eastAsia="MS PGothic" w:hAnsi="MS PGothic"/>
          <w:sz w:val="14"/>
          <w:szCs w:val="14"/>
          <w:color w:val="auto"/>
        </w:rPr>
      </w:pPr>
    </w:p>
    <w:p>
      <w:pPr>
        <w:ind w:left="520" w:hanging="494"/>
        <w:spacing w:after="0"/>
        <w:tabs>
          <w:tab w:leader="none" w:pos="5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90" w:lineRule="exact"/>
        <w:rPr>
          <w:rFonts w:ascii="MS PGothic" w:cs="MS PGothic" w:eastAsia="MS PGothic" w:hAnsi="MS PGothic"/>
          <w:sz w:val="14"/>
          <w:szCs w:val="14"/>
          <w:color w:val="auto"/>
        </w:rPr>
      </w:pPr>
    </w:p>
    <w:p>
      <w:pPr>
        <w:ind w:left="520" w:hanging="494"/>
        <w:spacing w:after="0"/>
        <w:tabs>
          <w:tab w:leader="none" w:pos="5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90" w:lineRule="exact"/>
        <w:rPr>
          <w:rFonts w:ascii="MS PGothic" w:cs="MS PGothic" w:eastAsia="MS PGothic" w:hAnsi="MS PGothic"/>
          <w:sz w:val="14"/>
          <w:szCs w:val="14"/>
          <w:color w:val="auto"/>
        </w:rPr>
      </w:pPr>
    </w:p>
    <w:p>
      <w:pPr>
        <w:ind w:right="4280" w:firstLine="26"/>
        <w:spacing w:after="0" w:line="421" w:lineRule="auto"/>
        <w:tabs>
          <w:tab w:leader="none" w:pos="517"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75"/>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r>
      <w:tr>
        <w:trPr>
          <w:trHeight w:val="190"/>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r>
      <w:tr>
        <w:trPr>
          <w:trHeight w:val="37"/>
        </w:trPr>
        <w:tc>
          <w:tcPr>
            <w:tcW w:w="3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r>
      <w:tr>
        <w:trPr>
          <w:trHeight w:val="186"/>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 par value $0.0001</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MRAM</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109" w:lineRule="exact"/>
        <w:rPr>
          <w:sz w:val="24"/>
          <w:szCs w:val="24"/>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2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54" w:lineRule="exact"/>
        <w:rPr>
          <w:sz w:val="24"/>
          <w:szCs w:val="24"/>
          <w:color w:val="auto"/>
        </w:rPr>
      </w:pPr>
    </w:p>
    <w:p>
      <w:pPr>
        <w:jc w:val="both"/>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717550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9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5.02. Departure of Directors or Certain Officers; Election of Directors; Appointment of Certain Officers; Compensatory Arrangements of Certain Officers.</w:t>
      </w:r>
    </w:p>
    <w:p>
      <w:pPr>
        <w:spacing w:after="0" w:line="169"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6"/>
          <w:szCs w:val="16"/>
          <w:color w:val="auto"/>
        </w:rPr>
        <w:t>The Board of Directors (the “Board”) of Everspin Technologies, Inc. (“Everspin”) adopted an amendment and restatement of the Everspin Technologies, Inc. Amended and Restated 2016 Equity Incentive Plan (the “Amended 2016 Plan”), and submitted the Amended 2016 Plan for stockholder approval at Everspin’s 2026 Annual Meeting of Stockholders on May 21, 2026 (the “Annual Meeting”). The stockholders of Everspin approved the Amended 2016 Plan at the Annual Meeting.</w:t>
      </w:r>
    </w:p>
    <w:p>
      <w:pPr>
        <w:spacing w:after="0" w:line="76" w:lineRule="exact"/>
        <w:rPr>
          <w:sz w:val="20"/>
          <w:szCs w:val="20"/>
          <w:color w:val="auto"/>
        </w:rPr>
      </w:pPr>
    </w:p>
    <w:p>
      <w:pPr>
        <w:ind w:right="600"/>
        <w:spacing w:after="0" w:line="280" w:lineRule="auto"/>
        <w:rPr>
          <w:sz w:val="20"/>
          <w:szCs w:val="20"/>
          <w:color w:val="auto"/>
        </w:rPr>
      </w:pPr>
      <w:r>
        <w:rPr>
          <w:rFonts w:ascii="Times New Roman" w:cs="Times New Roman" w:eastAsia="Times New Roman" w:hAnsi="Times New Roman"/>
          <w:sz w:val="16"/>
          <w:szCs w:val="16"/>
          <w:color w:val="auto"/>
        </w:rPr>
        <w:t>The Amended 2016 Plan amended and restated the Everspin Technologies, Inc. 2016 Equity Incentive Plan (as amended and/or restated, the “2016 Plan”). The key differences between the terms of the 2016 Plan and the Amended 2016 Plan are as follows:</w:t>
      </w:r>
    </w:p>
    <w:p>
      <w:pPr>
        <w:spacing w:after="0" w:line="57"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Amended 2016 Plan provides that an additional 1,800,000 shares may be issued pursuant to stock awards granted under the Amended 2016 Plan.</w:t>
      </w:r>
    </w:p>
    <w:p>
      <w:pPr>
        <w:spacing w:after="0" w:line="126" w:lineRule="exact"/>
        <w:rPr>
          <w:rFonts w:ascii="Times New Roman" w:cs="Times New Roman" w:eastAsia="Times New Roman" w:hAnsi="Times New Roman"/>
          <w:sz w:val="16"/>
          <w:szCs w:val="16"/>
          <w:color w:val="auto"/>
        </w:rPr>
      </w:pPr>
    </w:p>
    <w:p>
      <w:pPr>
        <w:ind w:left="660" w:right="120" w:hanging="328"/>
        <w:spacing w:after="0" w:line="280" w:lineRule="auto"/>
        <w:tabs>
          <w:tab w:leader="none" w:pos="649"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Amended 2016 Plan provides that the aggregate maximum number of shares that may be issued pursuant to the exercise of incentive stock options under the Amended 2016 Plan is a number of shares equal to three multiplied by the aggregate number of shares reserved for issuance under the Amended 2016 Plan.</w:t>
      </w:r>
    </w:p>
    <w:p>
      <w:pPr>
        <w:spacing w:after="0" w:line="70" w:lineRule="exact"/>
        <w:rPr>
          <w:rFonts w:ascii="Times New Roman" w:cs="Times New Roman" w:eastAsia="Times New Roman" w:hAnsi="Times New Roman"/>
          <w:sz w:val="16"/>
          <w:szCs w:val="16"/>
          <w:color w:val="auto"/>
        </w:rPr>
      </w:pPr>
    </w:p>
    <w:p>
      <w:pPr>
        <w:ind w:left="660" w:right="120" w:hanging="328"/>
        <w:spacing w:after="0" w:line="263" w:lineRule="auto"/>
        <w:tabs>
          <w:tab w:leader="none" w:pos="649"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Amended 2016 Plan explicitly prohibits (i) the reduction of the exercise or strike price of outstanding stock options or stock appreciation rights and (ii) the cancellation of underwater stock options or stock appreciation rights in exchange for cash or other stock awards under the Amended 2016 Plan, without the prior approval of the stockholders.</w:t>
      </w:r>
    </w:p>
    <w:p>
      <w:pPr>
        <w:spacing w:after="0" w:line="8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The material terms of the Amended 2016 Plan are further described in Everspin’s definitive proxy statement filed with the U.S. Securities and Exchange Commission on April 7, 2026 (the “Proxy Statement”) under the caption “Proposal 4: Approval of Amendment and Restatement of Everspin Technologies, Inc. Amended and Restated 2016 Equity Incentive Plan,” which description is incorporated herein by reference.</w:t>
      </w:r>
    </w:p>
    <w:p>
      <w:pPr>
        <w:spacing w:after="0" w:line="84"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The descriptions of the Amended 2016 Plan contained herein and in the Proxy Statement do not purport to be complete and are qualified in their entirety by reference to the full text of the Amended 2016 Plan, which is attached hereto as Exhibit 10.1 to this Current Report on Form 8-K and is incorporated herein by reference in its entirety.</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5.07. Submission of Matters to a Vote of Security Holders.</w:t>
      </w:r>
    </w:p>
    <w:p>
      <w:pPr>
        <w:spacing w:after="0" w:line="169"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6"/>
          <w:szCs w:val="16"/>
          <w:color w:val="auto"/>
        </w:rPr>
        <w:t>On May 21, 2026, Everspin held the Annual Meeting. The following is a brief description of each matter voted upon at the Annual Meeting, as well as the final tally of the number of votes cast: (a) for or withheld with respect to the election of directors; (b) for, against or abstain for the ratification of the appointment of Ernst &amp; Young LLP as Everspin’s independent registered public accounting firm for the fiscal year ending December 31, 2026; (c) for, against or abstain for the approval, on an advisory basis, of the compensation of Everspin’s named executive officers, commonly known as a “say-on-pay” proposal; and (d) for, against or abstain for the approval of the amendment and restatement of the Everspin Technologies, Inc. Amended and Restated 2016 Equity Incentive Plan. Broker non-votes are also reported. A more complete description of each matter is set forth in Everspin’s definitive proxy statement filed with the Securities and Exchange Commission on April 7, 2026.</w:t>
      </w:r>
    </w:p>
    <w:p>
      <w:pPr>
        <w:spacing w:after="0" w:line="393" w:lineRule="exact"/>
        <w:rPr>
          <w:sz w:val="20"/>
          <w:szCs w:val="20"/>
          <w:color w:val="auto"/>
        </w:rPr>
      </w:pPr>
    </w:p>
    <w:p>
      <w:pPr>
        <w:ind w:left="20"/>
        <w:spacing w:after="0"/>
        <w:tabs>
          <w:tab w:leader="none" w:pos="1580" w:val="left"/>
        </w:tabs>
        <w:rPr>
          <w:sz w:val="20"/>
          <w:szCs w:val="20"/>
          <w:color w:val="auto"/>
        </w:rPr>
      </w:pPr>
      <w:r>
        <w:rPr>
          <w:rFonts w:ascii="Times New Roman" w:cs="Times New Roman" w:eastAsia="Times New Roman" w:hAnsi="Times New Roman"/>
          <w:sz w:val="16"/>
          <w:szCs w:val="16"/>
          <w:color w:val="auto"/>
        </w:rPr>
        <w:t>Proposal 1:</w:t>
      </w:r>
      <w:r>
        <w:rPr>
          <w:sz w:val="20"/>
          <w:szCs w:val="20"/>
          <w:color w:val="auto"/>
        </w:rPr>
        <w:tab/>
      </w:r>
      <w:r>
        <w:rPr>
          <w:rFonts w:ascii="Times New Roman" w:cs="Times New Roman" w:eastAsia="Times New Roman" w:hAnsi="Times New Roman"/>
          <w:sz w:val="16"/>
          <w:szCs w:val="16"/>
          <w:color w:val="auto"/>
        </w:rPr>
        <w:t>Each of the seven directors proposed by Everspin for election was elected by the following votes to serve until Everspin’s 2027 Annual Meeting of</w:t>
      </w:r>
    </w:p>
    <w:p>
      <w:pPr>
        <w:ind w:left="1600"/>
        <w:spacing w:after="0"/>
        <w:rPr>
          <w:sz w:val="20"/>
          <w:szCs w:val="20"/>
          <w:color w:val="auto"/>
        </w:rPr>
      </w:pPr>
      <w:r>
        <w:rPr>
          <w:rFonts w:ascii="Times New Roman" w:cs="Times New Roman" w:eastAsia="Times New Roman" w:hAnsi="Times New Roman"/>
          <w:sz w:val="16"/>
          <w:szCs w:val="16"/>
          <w:color w:val="auto"/>
        </w:rPr>
        <w:t>Stockholders and until his or her respective successor has been duly elected and qualified. The tabulation of votes on this matter was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4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For</w:t>
            </w:r>
          </w:p>
        </w:tc>
        <w:tc>
          <w:tcPr>
            <w:tcW w:w="128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Withheld</w:t>
            </w:r>
          </w:p>
        </w:tc>
        <w:tc>
          <w:tcPr>
            <w:tcW w:w="1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Broker</w:t>
            </w:r>
          </w:p>
        </w:tc>
        <w:tc>
          <w:tcPr>
            <w:tcW w:w="0" w:type="dxa"/>
            <w:vAlign w:val="bottom"/>
          </w:tcPr>
          <w:p>
            <w:pPr>
              <w:spacing w:after="0"/>
              <w:rPr>
                <w:sz w:val="1"/>
                <w:szCs w:val="1"/>
                <w:color w:val="auto"/>
              </w:rPr>
            </w:pPr>
          </w:p>
        </w:tc>
      </w:tr>
      <w:tr>
        <w:trPr>
          <w:trHeight w:val="213"/>
        </w:trPr>
        <w:tc>
          <w:tcPr>
            <w:tcW w:w="524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Non-Votes</w:t>
            </w:r>
          </w:p>
        </w:tc>
        <w:tc>
          <w:tcPr>
            <w:tcW w:w="0" w:type="dxa"/>
            <w:vAlign w:val="bottom"/>
          </w:tcPr>
          <w:p>
            <w:pPr>
              <w:spacing w:after="0"/>
              <w:rPr>
                <w:sz w:val="1"/>
                <w:szCs w:val="1"/>
                <w:color w:val="auto"/>
              </w:rPr>
            </w:pPr>
          </w:p>
        </w:tc>
      </w:tr>
      <w:tr>
        <w:trPr>
          <w:trHeight w:val="236"/>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Darin G. Billerbeck</w:t>
            </w: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7,326,985</w:t>
            </w:r>
          </w:p>
        </w:tc>
        <w:tc>
          <w:tcPr>
            <w:tcW w:w="16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3,402,394</w:t>
            </w:r>
          </w:p>
        </w:tc>
        <w:tc>
          <w:tcPr>
            <w:tcW w:w="16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4,376,160</w:t>
            </w:r>
          </w:p>
        </w:tc>
        <w:tc>
          <w:tcPr>
            <w:tcW w:w="0" w:type="dxa"/>
            <w:vAlign w:val="bottom"/>
          </w:tcPr>
          <w:p>
            <w:pPr>
              <w:spacing w:after="0"/>
              <w:rPr>
                <w:sz w:val="1"/>
                <w:szCs w:val="1"/>
                <w:color w:val="auto"/>
              </w:rPr>
            </w:pPr>
          </w:p>
        </w:tc>
      </w:tr>
      <w:tr>
        <w:trPr>
          <w:trHeight w:val="26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Geoffrey Ribar</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10,271,361</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458,018</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4,376,160</w:t>
            </w:r>
          </w:p>
        </w:tc>
        <w:tc>
          <w:tcPr>
            <w:tcW w:w="0" w:type="dxa"/>
            <w:vAlign w:val="bottom"/>
          </w:tcPr>
          <w:p>
            <w:pPr>
              <w:spacing w:after="0"/>
              <w:rPr>
                <w:sz w:val="1"/>
                <w:szCs w:val="1"/>
                <w:color w:val="auto"/>
              </w:rPr>
            </w:pPr>
          </w:p>
        </w:tc>
      </w:tr>
      <w:tr>
        <w:trPr>
          <w:trHeight w:val="254"/>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Lawrence G. Finch</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10,641,128</w:t>
            </w:r>
          </w:p>
        </w:tc>
        <w:tc>
          <w:tcPr>
            <w:tcW w:w="16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88,251</w:t>
            </w:r>
          </w:p>
        </w:tc>
        <w:tc>
          <w:tcPr>
            <w:tcW w:w="16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4,376,160</w:t>
            </w:r>
          </w:p>
        </w:tc>
        <w:tc>
          <w:tcPr>
            <w:tcW w:w="0" w:type="dxa"/>
            <w:vAlign w:val="bottom"/>
          </w:tcPr>
          <w:p>
            <w:pPr>
              <w:spacing w:after="0"/>
              <w:rPr>
                <w:sz w:val="1"/>
                <w:szCs w:val="1"/>
                <w:color w:val="auto"/>
              </w:rPr>
            </w:pPr>
          </w:p>
        </w:tc>
      </w:tr>
      <w:tr>
        <w:trPr>
          <w:trHeight w:val="25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Sanjeev Aggarwal, Ph.D.</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10,662,382</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66,997</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4,376,160</w:t>
            </w:r>
          </w:p>
        </w:tc>
        <w:tc>
          <w:tcPr>
            <w:tcW w:w="0" w:type="dxa"/>
            <w:vAlign w:val="bottom"/>
          </w:tcPr>
          <w:p>
            <w:pPr>
              <w:spacing w:after="0"/>
              <w:rPr>
                <w:sz w:val="1"/>
                <w:szCs w:val="1"/>
                <w:color w:val="auto"/>
              </w:rPr>
            </w:pPr>
          </w:p>
        </w:tc>
      </w:tr>
      <w:tr>
        <w:trPr>
          <w:trHeight w:val="25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Tara Long</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10,694,471</w:t>
            </w:r>
          </w:p>
        </w:tc>
        <w:tc>
          <w:tcPr>
            <w:tcW w:w="16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34,908</w:t>
            </w:r>
          </w:p>
        </w:tc>
        <w:tc>
          <w:tcPr>
            <w:tcW w:w="16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4,376,160</w:t>
            </w:r>
          </w:p>
        </w:tc>
        <w:tc>
          <w:tcPr>
            <w:tcW w:w="0" w:type="dxa"/>
            <w:vAlign w:val="bottom"/>
          </w:tcPr>
          <w:p>
            <w:pPr>
              <w:spacing w:after="0"/>
              <w:rPr>
                <w:sz w:val="1"/>
                <w:szCs w:val="1"/>
                <w:color w:val="auto"/>
              </w:rPr>
            </w:pPr>
          </w:p>
        </w:tc>
      </w:tr>
      <w:tr>
        <w:trPr>
          <w:trHeight w:val="26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Glen Hawk</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10,601,510</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127,869</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4,376,160</w:t>
            </w:r>
          </w:p>
        </w:tc>
        <w:tc>
          <w:tcPr>
            <w:tcW w:w="0" w:type="dxa"/>
            <w:vAlign w:val="bottom"/>
          </w:tcPr>
          <w:p>
            <w:pPr>
              <w:spacing w:after="0"/>
              <w:rPr>
                <w:sz w:val="1"/>
                <w:szCs w:val="1"/>
                <w:color w:val="auto"/>
              </w:rPr>
            </w:pPr>
          </w:p>
        </w:tc>
      </w:tr>
      <w:tr>
        <w:trPr>
          <w:trHeight w:val="250"/>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Douglas Mitchell</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7,695,263</w:t>
            </w:r>
          </w:p>
        </w:tc>
        <w:tc>
          <w:tcPr>
            <w:tcW w:w="1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3,034,116</w:t>
            </w:r>
          </w:p>
        </w:tc>
        <w:tc>
          <w:tcPr>
            <w:tcW w:w="1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4,376,160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600" w:right="80" w:hanging="1578"/>
        <w:spacing w:after="0" w:line="245" w:lineRule="auto"/>
        <w:tabs>
          <w:tab w:leader="none" w:pos="1580" w:val="left"/>
        </w:tabs>
        <w:rPr>
          <w:sz w:val="20"/>
          <w:szCs w:val="20"/>
          <w:color w:val="auto"/>
        </w:rPr>
      </w:pPr>
      <w:r>
        <w:rPr>
          <w:rFonts w:ascii="Times New Roman" w:cs="Times New Roman" w:eastAsia="Times New Roman" w:hAnsi="Times New Roman"/>
          <w:sz w:val="16"/>
          <w:szCs w:val="16"/>
          <w:color w:val="auto"/>
        </w:rPr>
        <w:t>Proposal 2:</w:t>
      </w:r>
      <w:r>
        <w:rPr>
          <w:sz w:val="20"/>
          <w:szCs w:val="20"/>
          <w:color w:val="auto"/>
        </w:rPr>
        <w:tab/>
      </w:r>
      <w:r>
        <w:rPr>
          <w:rFonts w:ascii="Times New Roman" w:cs="Times New Roman" w:eastAsia="Times New Roman" w:hAnsi="Times New Roman"/>
          <w:sz w:val="16"/>
          <w:szCs w:val="16"/>
          <w:color w:val="auto"/>
        </w:rPr>
        <w:t>The appointment of Ernst &amp; Young LLP as Everspin’s independent registered public accounting firm for the fiscal year ending December 31, 2026 was ratified. The tabulation of votes on this matter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2"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3160" w:type="dxa"/>
            <w:vAlign w:val="bottom"/>
            <w:gridSpan w:val="2"/>
          </w:tcPr>
          <w:p>
            <w:pPr>
              <w:jc w:val="center"/>
              <w:ind w:right="1560"/>
              <w:spacing w:after="0"/>
              <w:rPr>
                <w:sz w:val="20"/>
                <w:szCs w:val="20"/>
                <w:color w:val="auto"/>
              </w:rPr>
            </w:pPr>
            <w:r>
              <w:rPr>
                <w:rFonts w:ascii="Times New Roman" w:cs="Times New Roman" w:eastAsia="Times New Roman" w:hAnsi="Times New Roman"/>
                <w:sz w:val="14"/>
                <w:szCs w:val="14"/>
                <w:color w:val="auto"/>
              </w:rPr>
              <w:t>For</w:t>
            </w:r>
          </w:p>
        </w:tc>
        <w:tc>
          <w:tcPr>
            <w:tcW w:w="31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Against</w:t>
            </w:r>
          </w:p>
        </w:tc>
        <w:tc>
          <w:tcPr>
            <w:tcW w:w="31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Abstain</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Broker</w:t>
            </w:r>
          </w:p>
        </w:tc>
      </w:tr>
      <w:tr>
        <w:trPr>
          <w:trHeight w:val="193"/>
        </w:trPr>
        <w:tc>
          <w:tcPr>
            <w:tcW w:w="1580" w:type="dxa"/>
            <w:vAlign w:val="bottom"/>
            <w:tcBorders>
              <w:bottom w:val="single" w:sz="8" w:color="auto"/>
            </w:tcBorders>
          </w:tcPr>
          <w:p>
            <w:pPr>
              <w:spacing w:after="0"/>
              <w:rPr>
                <w:sz w:val="16"/>
                <w:szCs w:val="16"/>
                <w:color w:val="auto"/>
              </w:rPr>
            </w:pPr>
          </w:p>
        </w:tc>
        <w:tc>
          <w:tcPr>
            <w:tcW w:w="15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5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58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Non-Votes</w:t>
            </w:r>
          </w:p>
        </w:tc>
      </w:tr>
      <w:tr>
        <w:trPr>
          <w:trHeight w:val="215"/>
        </w:trPr>
        <w:tc>
          <w:tcPr>
            <w:tcW w:w="1580" w:type="dxa"/>
            <w:vAlign w:val="bottom"/>
            <w:shd w:val="clear" w:color="auto" w:fill="CCEEFF"/>
          </w:tcPr>
          <w:p>
            <w:pPr>
              <w:jc w:val="right"/>
              <w:ind w:right="344"/>
              <w:spacing w:after="0"/>
              <w:rPr>
                <w:sz w:val="20"/>
                <w:szCs w:val="20"/>
                <w:color w:val="auto"/>
              </w:rPr>
            </w:pPr>
            <w:r>
              <w:rPr>
                <w:rFonts w:ascii="Times New Roman" w:cs="Times New Roman" w:eastAsia="Times New Roman" w:hAnsi="Times New Roman"/>
                <w:sz w:val="16"/>
                <w:szCs w:val="16"/>
                <w:color w:val="auto"/>
              </w:rPr>
              <w:t>15,056,251</w:t>
            </w:r>
          </w:p>
        </w:tc>
        <w:tc>
          <w:tcPr>
            <w:tcW w:w="1580" w:type="dxa"/>
            <w:vAlign w:val="bottom"/>
            <w:shd w:val="clear" w:color="auto" w:fill="CCEEFF"/>
          </w:tcPr>
          <w:p>
            <w:pPr>
              <w:spacing w:after="0"/>
              <w:rPr>
                <w:sz w:val="18"/>
                <w:szCs w:val="18"/>
                <w:color w:val="auto"/>
              </w:rPr>
            </w:pPr>
          </w:p>
        </w:tc>
        <w:tc>
          <w:tcPr>
            <w:tcW w:w="15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35,168</w:t>
            </w:r>
          </w:p>
        </w:tc>
        <w:tc>
          <w:tcPr>
            <w:tcW w:w="1580" w:type="dxa"/>
            <w:vAlign w:val="bottom"/>
            <w:shd w:val="clear" w:color="auto" w:fill="CCEEFF"/>
          </w:tcPr>
          <w:p>
            <w:pPr>
              <w:spacing w:after="0"/>
              <w:rPr>
                <w:sz w:val="18"/>
                <w:szCs w:val="18"/>
                <w:color w:val="auto"/>
              </w:rPr>
            </w:pPr>
          </w:p>
        </w:tc>
        <w:tc>
          <w:tcPr>
            <w:tcW w:w="15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14,120</w:t>
            </w:r>
          </w:p>
        </w:tc>
        <w:tc>
          <w:tcPr>
            <w:tcW w:w="15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00" w:right="260" w:hanging="1578"/>
        <w:spacing w:after="0" w:line="245" w:lineRule="auto"/>
        <w:tabs>
          <w:tab w:leader="none" w:pos="1580" w:val="left"/>
        </w:tabs>
        <w:rPr>
          <w:sz w:val="20"/>
          <w:szCs w:val="20"/>
          <w:color w:val="auto"/>
        </w:rPr>
      </w:pPr>
      <w:r>
        <w:rPr>
          <w:rFonts w:ascii="Times New Roman" w:cs="Times New Roman" w:eastAsia="Times New Roman" w:hAnsi="Times New Roman"/>
          <w:sz w:val="16"/>
          <w:szCs w:val="16"/>
          <w:color w:val="auto"/>
        </w:rPr>
        <w:t>Proposal 3:</w:t>
      </w:r>
      <w:r>
        <w:rPr>
          <w:sz w:val="20"/>
          <w:szCs w:val="20"/>
          <w:color w:val="auto"/>
        </w:rPr>
        <w:tab/>
      </w:r>
      <w:r>
        <w:rPr>
          <w:rFonts w:ascii="Times New Roman" w:cs="Times New Roman" w:eastAsia="Times New Roman" w:hAnsi="Times New Roman"/>
          <w:sz w:val="16"/>
          <w:szCs w:val="16"/>
          <w:color w:val="auto"/>
        </w:rPr>
        <w:t>The advisory vote to approve the compensation of Everspin’s named executive officers was approved. The tabulation of votes on this matter was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gridSpan w:val="2"/>
          </w:tcPr>
          <w:p>
            <w:pPr>
              <w:jc w:val="center"/>
              <w:ind w:right="1560"/>
              <w:spacing w:after="0"/>
              <w:rPr>
                <w:sz w:val="20"/>
                <w:szCs w:val="20"/>
                <w:color w:val="auto"/>
              </w:rPr>
            </w:pPr>
            <w:r>
              <w:rPr>
                <w:rFonts w:ascii="Times New Roman" w:cs="Times New Roman" w:eastAsia="Times New Roman" w:hAnsi="Times New Roman"/>
                <w:sz w:val="14"/>
                <w:szCs w:val="14"/>
                <w:color w:val="auto"/>
              </w:rPr>
              <w:t>For</w:t>
            </w:r>
          </w:p>
        </w:tc>
        <w:tc>
          <w:tcPr>
            <w:tcW w:w="3160" w:type="dxa"/>
            <w:vAlign w:val="bottom"/>
            <w:gridSpan w:val="2"/>
          </w:tcPr>
          <w:p>
            <w:pPr>
              <w:jc w:val="center"/>
              <w:ind w:right="1600"/>
              <w:spacing w:after="0"/>
              <w:rPr>
                <w:sz w:val="20"/>
                <w:szCs w:val="20"/>
                <w:color w:val="auto"/>
              </w:rPr>
            </w:pPr>
            <w:r>
              <w:rPr>
                <w:rFonts w:ascii="Times New Roman" w:cs="Times New Roman" w:eastAsia="Times New Roman" w:hAnsi="Times New Roman"/>
                <w:sz w:val="14"/>
                <w:szCs w:val="14"/>
                <w:color w:val="auto"/>
              </w:rPr>
              <w:t>Against</w:t>
            </w:r>
          </w:p>
        </w:tc>
        <w:tc>
          <w:tcPr>
            <w:tcW w:w="3160" w:type="dxa"/>
            <w:vAlign w:val="bottom"/>
            <w:gridSpan w:val="2"/>
          </w:tcPr>
          <w:p>
            <w:pPr>
              <w:jc w:val="center"/>
              <w:ind w:right="1580"/>
              <w:spacing w:after="0"/>
              <w:rPr>
                <w:sz w:val="20"/>
                <w:szCs w:val="20"/>
                <w:color w:val="auto"/>
              </w:rPr>
            </w:pPr>
            <w:r>
              <w:rPr>
                <w:rFonts w:ascii="Times New Roman" w:cs="Times New Roman" w:eastAsia="Times New Roman" w:hAnsi="Times New Roman"/>
                <w:sz w:val="14"/>
                <w:szCs w:val="14"/>
                <w:color w:val="auto"/>
              </w:rPr>
              <w:t>Abstain</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Broker</w:t>
            </w:r>
          </w:p>
        </w:tc>
      </w:tr>
      <w:tr>
        <w:trPr>
          <w:trHeight w:val="193"/>
        </w:trPr>
        <w:tc>
          <w:tcPr>
            <w:tcW w:w="1580" w:type="dxa"/>
            <w:vAlign w:val="bottom"/>
            <w:tcBorders>
              <w:bottom w:val="single" w:sz="8" w:color="auto"/>
            </w:tcBorders>
          </w:tcPr>
          <w:p>
            <w:pPr>
              <w:spacing w:after="0"/>
              <w:rPr>
                <w:sz w:val="16"/>
                <w:szCs w:val="16"/>
                <w:color w:val="auto"/>
              </w:rPr>
            </w:pPr>
          </w:p>
        </w:tc>
        <w:tc>
          <w:tcPr>
            <w:tcW w:w="15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5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58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Non-Votes</w:t>
            </w:r>
          </w:p>
        </w:tc>
      </w:tr>
      <w:tr>
        <w:trPr>
          <w:trHeight w:val="214"/>
        </w:trPr>
        <w:tc>
          <w:tcPr>
            <w:tcW w:w="1580" w:type="dxa"/>
            <w:vAlign w:val="bottom"/>
            <w:shd w:val="clear" w:color="auto" w:fill="CCEEFF"/>
          </w:tcPr>
          <w:p>
            <w:pPr>
              <w:jc w:val="right"/>
              <w:ind w:right="344"/>
              <w:spacing w:after="0"/>
              <w:rPr>
                <w:sz w:val="20"/>
                <w:szCs w:val="20"/>
                <w:color w:val="auto"/>
              </w:rPr>
            </w:pPr>
            <w:r>
              <w:rPr>
                <w:rFonts w:ascii="Times New Roman" w:cs="Times New Roman" w:eastAsia="Times New Roman" w:hAnsi="Times New Roman"/>
                <w:sz w:val="16"/>
                <w:szCs w:val="16"/>
                <w:color w:val="auto"/>
              </w:rPr>
              <w:t>10,374,156</w:t>
            </w:r>
          </w:p>
        </w:tc>
        <w:tc>
          <w:tcPr>
            <w:tcW w:w="15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464"/>
              <w:spacing w:after="0"/>
              <w:rPr>
                <w:sz w:val="20"/>
                <w:szCs w:val="20"/>
                <w:color w:val="auto"/>
              </w:rPr>
            </w:pPr>
            <w:r>
              <w:rPr>
                <w:rFonts w:ascii="Times New Roman" w:cs="Times New Roman" w:eastAsia="Times New Roman" w:hAnsi="Times New Roman"/>
                <w:sz w:val="16"/>
                <w:szCs w:val="16"/>
                <w:color w:val="auto"/>
              </w:rPr>
              <w:t>215,571</w:t>
            </w:r>
          </w:p>
        </w:tc>
        <w:tc>
          <w:tcPr>
            <w:tcW w:w="15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444"/>
              <w:spacing w:after="0"/>
              <w:rPr>
                <w:sz w:val="20"/>
                <w:szCs w:val="20"/>
                <w:color w:val="auto"/>
              </w:rPr>
            </w:pPr>
            <w:r>
              <w:rPr>
                <w:rFonts w:ascii="Times New Roman" w:cs="Times New Roman" w:eastAsia="Times New Roman" w:hAnsi="Times New Roman"/>
                <w:sz w:val="16"/>
                <w:szCs w:val="16"/>
                <w:color w:val="auto"/>
              </w:rPr>
              <w:t>139,652</w:t>
            </w:r>
          </w:p>
        </w:tc>
        <w:tc>
          <w:tcPr>
            <w:tcW w:w="15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4,376,160</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600" w:right="340" w:hanging="1578"/>
        <w:spacing w:after="0" w:line="245" w:lineRule="auto"/>
        <w:tabs>
          <w:tab w:leader="none" w:pos="1580" w:val="left"/>
        </w:tabs>
        <w:rPr>
          <w:sz w:val="20"/>
          <w:szCs w:val="20"/>
          <w:color w:val="auto"/>
        </w:rPr>
      </w:pPr>
      <w:r>
        <w:rPr>
          <w:rFonts w:ascii="Times New Roman" w:cs="Times New Roman" w:eastAsia="Times New Roman" w:hAnsi="Times New Roman"/>
          <w:sz w:val="16"/>
          <w:szCs w:val="16"/>
          <w:color w:val="auto"/>
        </w:rPr>
        <w:t>Proposal 4:</w:t>
      </w:r>
      <w:r>
        <w:rPr>
          <w:sz w:val="20"/>
          <w:szCs w:val="20"/>
          <w:color w:val="auto"/>
        </w:rPr>
        <w:tab/>
      </w:r>
      <w:r>
        <w:rPr>
          <w:rFonts w:ascii="Times New Roman" w:cs="Times New Roman" w:eastAsia="Times New Roman" w:hAnsi="Times New Roman"/>
          <w:sz w:val="16"/>
          <w:szCs w:val="16"/>
          <w:color w:val="auto"/>
        </w:rPr>
        <w:t>The vote to approve the amendment and restatement of the Everspin Technologies, Inc. Amended and Restated 2016 Equity Incentive Plan was approved. The tabulation of votes on this matter was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gridSpan w:val="2"/>
          </w:tcPr>
          <w:p>
            <w:pPr>
              <w:jc w:val="center"/>
              <w:ind w:right="1560"/>
              <w:spacing w:after="0"/>
              <w:rPr>
                <w:sz w:val="20"/>
                <w:szCs w:val="20"/>
                <w:color w:val="auto"/>
              </w:rPr>
            </w:pPr>
            <w:r>
              <w:rPr>
                <w:rFonts w:ascii="Times New Roman" w:cs="Times New Roman" w:eastAsia="Times New Roman" w:hAnsi="Times New Roman"/>
                <w:sz w:val="14"/>
                <w:szCs w:val="14"/>
                <w:color w:val="auto"/>
              </w:rPr>
              <w:t>For</w:t>
            </w:r>
          </w:p>
        </w:tc>
        <w:tc>
          <w:tcPr>
            <w:tcW w:w="3160" w:type="dxa"/>
            <w:vAlign w:val="bottom"/>
            <w:gridSpan w:val="2"/>
          </w:tcPr>
          <w:p>
            <w:pPr>
              <w:jc w:val="center"/>
              <w:ind w:right="1600"/>
              <w:spacing w:after="0"/>
              <w:rPr>
                <w:sz w:val="20"/>
                <w:szCs w:val="20"/>
                <w:color w:val="auto"/>
              </w:rPr>
            </w:pPr>
            <w:r>
              <w:rPr>
                <w:rFonts w:ascii="Times New Roman" w:cs="Times New Roman" w:eastAsia="Times New Roman" w:hAnsi="Times New Roman"/>
                <w:sz w:val="14"/>
                <w:szCs w:val="14"/>
                <w:color w:val="auto"/>
              </w:rPr>
              <w:t>Against</w:t>
            </w:r>
          </w:p>
        </w:tc>
        <w:tc>
          <w:tcPr>
            <w:tcW w:w="31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Abstain</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Broker</w:t>
            </w:r>
          </w:p>
        </w:tc>
      </w:tr>
      <w:tr>
        <w:trPr>
          <w:trHeight w:val="196"/>
        </w:trPr>
        <w:tc>
          <w:tcPr>
            <w:tcW w:w="1580" w:type="dxa"/>
            <w:vAlign w:val="bottom"/>
            <w:tcBorders>
              <w:bottom w:val="single" w:sz="8" w:color="auto"/>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Non-Votes</w:t>
            </w:r>
          </w:p>
        </w:tc>
      </w:tr>
      <w:tr>
        <w:trPr>
          <w:trHeight w:val="216"/>
        </w:trPr>
        <w:tc>
          <w:tcPr>
            <w:tcW w:w="1580" w:type="dxa"/>
            <w:vAlign w:val="bottom"/>
            <w:shd w:val="clear" w:color="auto" w:fill="CCEEFF"/>
          </w:tcPr>
          <w:p>
            <w:pPr>
              <w:jc w:val="right"/>
              <w:ind w:right="384"/>
              <w:spacing w:after="0"/>
              <w:rPr>
                <w:sz w:val="20"/>
                <w:szCs w:val="20"/>
                <w:color w:val="auto"/>
              </w:rPr>
            </w:pPr>
            <w:r>
              <w:rPr>
                <w:rFonts w:ascii="Times New Roman" w:cs="Times New Roman" w:eastAsia="Times New Roman" w:hAnsi="Times New Roman"/>
                <w:sz w:val="16"/>
                <w:szCs w:val="16"/>
                <w:color w:val="auto"/>
              </w:rPr>
              <w:t>7,462,346</w:t>
            </w:r>
          </w:p>
        </w:tc>
        <w:tc>
          <w:tcPr>
            <w:tcW w:w="15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6"/>
                <w:szCs w:val="16"/>
                <w:color w:val="auto"/>
              </w:rPr>
              <w:t>3,216,931</w:t>
            </w:r>
          </w:p>
        </w:tc>
        <w:tc>
          <w:tcPr>
            <w:tcW w:w="1580" w:type="dxa"/>
            <w:vAlign w:val="bottom"/>
            <w:shd w:val="clear" w:color="auto" w:fill="CCEEFF"/>
          </w:tcPr>
          <w:p>
            <w:pPr>
              <w:spacing w:after="0"/>
              <w:rPr>
                <w:sz w:val="18"/>
                <w:szCs w:val="18"/>
                <w:color w:val="auto"/>
              </w:rPr>
            </w:pPr>
          </w:p>
        </w:tc>
        <w:tc>
          <w:tcPr>
            <w:tcW w:w="15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50,102</w:t>
            </w:r>
          </w:p>
        </w:tc>
        <w:tc>
          <w:tcPr>
            <w:tcW w:w="158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4,376,160</w:t>
            </w:r>
          </w:p>
        </w:tc>
      </w:tr>
    </w:tbl>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Effective immediately following the Annual Meeting, the composition of the committees of Everspin’s board of directors shall be as follows: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Audit Committee: Geoffrey Ribar (Chair)</w:t>
      </w:r>
    </w:p>
    <w:p>
      <w:pPr>
        <w:spacing w:after="0" w:line="1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color w:val="auto"/>
        </w:rPr>
        <w:t>Darin Billerbeck</w:t>
      </w:r>
    </w:p>
    <w:p>
      <w:pPr>
        <w:ind w:left="2600"/>
        <w:spacing w:after="0" w:line="228" w:lineRule="auto"/>
        <w:rPr>
          <w:sz w:val="20"/>
          <w:szCs w:val="20"/>
          <w:color w:val="auto"/>
        </w:rPr>
      </w:pPr>
      <w:r>
        <w:rPr>
          <w:rFonts w:ascii="Times New Roman" w:cs="Times New Roman" w:eastAsia="Times New Roman" w:hAnsi="Times New Roman"/>
          <w:sz w:val="16"/>
          <w:szCs w:val="16"/>
          <w:color w:val="auto"/>
        </w:rPr>
        <w:t>Lawrence G. Finch</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color w:val="050505"/>
        </w:rPr>
        <w:t>Tara Long</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Compensation Committee: Glen Hawk (Chair)</w:t>
      </w:r>
    </w:p>
    <w:p>
      <w:pPr>
        <w:spacing w:after="0" w:line="1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color w:val="auto"/>
        </w:rPr>
        <w:t>Darin Billerbeck</w:t>
      </w:r>
    </w:p>
    <w:p>
      <w:pPr>
        <w:spacing w:after="0" w:line="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color w:val="050505"/>
        </w:rPr>
        <w:t>Douglas Mitchell</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Nominating and Corporate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Governance Committee: Douglas Mitchell (Chair)</w:t>
      </w:r>
    </w:p>
    <w:p>
      <w:pPr>
        <w:ind w:left="2600"/>
        <w:spacing w:after="0" w:line="228" w:lineRule="auto"/>
        <w:rPr>
          <w:sz w:val="20"/>
          <w:szCs w:val="20"/>
          <w:color w:val="auto"/>
        </w:rPr>
      </w:pPr>
      <w:r>
        <w:rPr>
          <w:rFonts w:ascii="Times New Roman" w:cs="Times New Roman" w:eastAsia="Times New Roman" w:hAnsi="Times New Roman"/>
          <w:sz w:val="16"/>
          <w:szCs w:val="16"/>
          <w:color w:val="auto"/>
        </w:rPr>
        <w:t>Glen Hawk</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color w:val="auto"/>
        </w:rPr>
        <w:t>Geoffrey Ribar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99"/>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3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rPr>
              <w:t>Amended and Restated 2016 Equity Incentive Plan.</w:t>
            </w:r>
          </w:p>
        </w:tc>
        <w:tc>
          <w:tcPr>
            <w:tcW w:w="6320" w:type="dxa"/>
            <w:vAlign w:val="bottom"/>
          </w:tcPr>
          <w:p>
            <w:pPr>
              <w:spacing w:after="0"/>
              <w:rPr>
                <w:sz w:val="17"/>
                <w:szCs w:val="17"/>
                <w:color w:val="auto"/>
              </w:rPr>
            </w:pPr>
          </w:p>
        </w:tc>
      </w:tr>
      <w:tr>
        <w:trPr>
          <w:trHeight w:val="230"/>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9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w:t>
            </w:r>
          </w:p>
        </w:tc>
      </w:tr>
      <w:tr>
        <w:trPr>
          <w:trHeight w:val="1755"/>
        </w:trPr>
        <w:tc>
          <w:tcPr>
            <w:tcW w:w="156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6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3" w:right="339" w:bottom="1440" w:gutter="0" w:footer="0" w:header="0"/>
        </w:sectPr>
      </w:pPr>
    </w:p>
    <w:bookmarkStart w:id="3" w:name="page4"/>
    <w:bookmarkEnd w:id="3"/>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ind w:firstLine="648"/>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9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b w:val="1"/>
          <w:bCs w:val="1"/>
          <w:color w:val="auto"/>
        </w:rPr>
        <w:t>Everspin Technologies, Inc.</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Dated: May 22, 2026</w:t>
      </w:r>
    </w:p>
    <w:p>
      <w:pPr>
        <w:spacing w:after="0" w:line="208" w:lineRule="exact"/>
        <w:rPr>
          <w:sz w:val="20"/>
          <w:szCs w:val="20"/>
          <w:color w:val="auto"/>
        </w:rPr>
      </w:pPr>
    </w:p>
    <w:p>
      <w:pPr>
        <w:ind w:left="5800"/>
        <w:spacing w:after="0"/>
        <w:tabs>
          <w:tab w:leader="none" w:pos="6240" w:val="left"/>
        </w:tabs>
        <w:rPr>
          <w:sz w:val="20"/>
          <w:szCs w:val="20"/>
          <w:color w:val="auto"/>
        </w:rPr>
      </w:pPr>
      <w:r>
        <w:rPr>
          <w:rFonts w:ascii="Times New Roman" w:cs="Times New Roman" w:eastAsia="Times New Roman" w:hAnsi="Times New Roman"/>
          <w:sz w:val="16"/>
          <w:szCs w:val="16"/>
          <w:color w:val="auto"/>
        </w:rPr>
        <w:t>By:</w:t>
        <w:tab/>
        <w:t>/s/ William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29210</wp:posOffset>
            </wp:positionV>
            <wp:extent cx="31718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53"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6"/>
          <w:szCs w:val="16"/>
          <w:color w:val="auto"/>
        </w:rPr>
        <w:t>William Cooper</w:t>
      </w:r>
    </w:p>
    <w:p>
      <w:pPr>
        <w:spacing w:after="0" w:line="5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6"/>
          <w:szCs w:val="16"/>
          <w:color w:val="auto"/>
        </w:rPr>
        <w:t>Chief Financial Officer</w:t>
      </w:r>
    </w:p>
    <w:p>
      <w:pPr>
        <w:sectPr>
          <w:pgSz w:w="11900" w:h="16838" w:orient="portrait"/>
          <w:cols w:equalWidth="0" w:num="1">
            <w:col w:w="10740"/>
          </w:cols>
          <w:pgMar w:left="320" w:top="1042" w:right="8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2016 EQUITY INCENTIVE PLAN</w:t>
      </w:r>
    </w:p>
    <w:p>
      <w:pPr>
        <w:spacing w:after="0" w:line="26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ADOPTED BY THE BOARD OF DIRECTORS: APRIL 25, 2016</w:t>
      </w:r>
    </w:p>
    <w:p>
      <w:pPr>
        <w:spacing w:after="0" w:line="3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APPROVED BY THE STOCKHOLDERS: SEPTEMBER 20, 2016</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IPO DATE: OCTOBER 7, 2016</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 THE BOARD OF DIRECTORS: APRIL 6, 2018</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APPROVED BY THE STOCKHOLDERS: MAY 21, 2018</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BY THE BOARD OF DIRECTORS: MARCH 26, 2021</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APPROVED BY THE STOCKHOLDERS: MAY 20, 2021</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 THE BOARD OF DIRECTORS: MARCH 3, 2026</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APPROVED BY THE STOCKHOLDERS: MAY 21, 2026</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50" w:lineRule="exact"/>
        <w:rPr>
          <w:sz w:val="20"/>
          <w:szCs w:val="20"/>
          <w:color w:val="auto"/>
        </w:rPr>
      </w:pPr>
    </w:p>
    <w:p>
      <w:pPr>
        <w:ind w:right="100" w:firstLine="8"/>
        <w:spacing w:after="0" w:line="307" w:lineRule="auto"/>
        <w:tabs>
          <w:tab w:leader="none" w:pos="2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Purpose. </w:t>
      </w:r>
      <w:r>
        <w:rPr>
          <w:rFonts w:ascii="Times New Roman" w:cs="Times New Roman" w:eastAsia="Times New Roman" w:hAnsi="Times New Roman"/>
          <w:sz w:val="18"/>
          <w:szCs w:val="18"/>
          <w:color w:val="auto"/>
        </w:rPr>
        <w:t>The Plan, through the grant of Stock Awards, is intended to help the Company secure and retain the services of eligible award recipients,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incentives for such persons to exert maximum efforts for the success of the Company and any Affiliate, and provide a means by which the eligible recipients may benefit from increases in value of the Common Stock.</w:t>
      </w:r>
    </w:p>
    <w:p>
      <w:pPr>
        <w:spacing w:after="0" w:line="177"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Eligible Stock Award Recipients. </w:t>
      </w:r>
      <w:r>
        <w:rPr>
          <w:rFonts w:ascii="Times New Roman" w:cs="Times New Roman" w:eastAsia="Times New Roman" w:hAnsi="Times New Roman"/>
          <w:sz w:val="18"/>
          <w:szCs w:val="18"/>
          <w:color w:val="auto"/>
        </w:rPr>
        <w:t>Employees, Directors and Consultants are eligible to receive Stock Awards.</w:t>
      </w:r>
    </w:p>
    <w:p>
      <w:pPr>
        <w:spacing w:after="0" w:line="252"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Available Stock Awards. </w:t>
      </w:r>
      <w:r>
        <w:rPr>
          <w:rFonts w:ascii="Times New Roman" w:cs="Times New Roman" w:eastAsia="Times New Roman" w:hAnsi="Times New Roman"/>
          <w:sz w:val="18"/>
          <w:szCs w:val="18"/>
          <w:color w:val="auto"/>
        </w:rPr>
        <w:t>The Plan provides for the grant of the following Stock Awards: (i) Incentive Stock Options, (ii) Nonstatutory Stock Options,</w:t>
      </w:r>
    </w:p>
    <w:p>
      <w:pPr>
        <w:spacing w:after="0" w:line="53" w:lineRule="exact"/>
        <w:rPr>
          <w:rFonts w:ascii="Times New Roman" w:cs="Times New Roman" w:eastAsia="Times New Roman" w:hAnsi="Times New Roman"/>
          <w:sz w:val="18"/>
          <w:szCs w:val="18"/>
          <w:b w:val="1"/>
          <w:bCs w:val="1"/>
          <w:color w:val="auto"/>
        </w:rPr>
      </w:pPr>
    </w:p>
    <w:p>
      <w:pPr>
        <w:ind w:right="440" w:firstLine="8"/>
        <w:spacing w:after="0" w:line="313"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 (iv) Restricted Stock Awards, (v) Restricted Stock Unit Awards, (vi) Performance Stock Awards, and (vii) Other Stock Awards.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ADMINISTRATION.</w:t>
      </w:r>
    </w:p>
    <w:p>
      <w:pPr>
        <w:spacing w:after="0" w:line="252" w:lineRule="exact"/>
        <w:rPr>
          <w:sz w:val="20"/>
          <w:szCs w:val="20"/>
          <w:color w:val="auto"/>
        </w:rPr>
      </w:pPr>
    </w:p>
    <w:p>
      <w:pPr>
        <w:ind w:right="160" w:firstLine="8"/>
        <w:spacing w:after="0" w:line="333" w:lineRule="auto"/>
        <w:tabs>
          <w:tab w:leader="none" w:pos="25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by Board. </w:t>
      </w:r>
      <w:r>
        <w:rPr>
          <w:rFonts w:ascii="Times New Roman" w:cs="Times New Roman" w:eastAsia="Times New Roman" w:hAnsi="Times New Roman"/>
          <w:sz w:val="18"/>
          <w:szCs w:val="18"/>
          <w:color w:val="auto"/>
        </w:rPr>
        <w:t>The Board will administer the Plan. The Board may delegate administration of the Plan to a Committee or Committees,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Section 2(c).</w:t>
      </w:r>
    </w:p>
    <w:p>
      <w:pPr>
        <w:spacing w:after="0" w:line="141"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Powers of Board. </w:t>
      </w: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270" w:lineRule="exact"/>
        <w:rPr>
          <w:sz w:val="20"/>
          <w:szCs w:val="20"/>
          <w:color w:val="auto"/>
        </w:rPr>
      </w:pPr>
    </w:p>
    <w:p>
      <w:pPr>
        <w:ind w:right="160" w:firstLine="8"/>
        <w:spacing w:after="0" w:line="306" w:lineRule="auto"/>
        <w:tabs>
          <w:tab w:leader="none" w:pos="215"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determine: (A) who will be granted Stock Awards; (B) when and how each Stock Award will be granted; (C) what type of Stock Award will be granted; (D) the provisions of each Stock Award (which need not be identical), including when a person will be permitted to exercise or otherwise receive</w:t>
      </w:r>
    </w:p>
    <w:p>
      <w:pPr>
        <w:spacing w:after="0" w:line="1" w:lineRule="exact"/>
        <w:rPr>
          <w:rFonts w:ascii="Times New Roman" w:cs="Times New Roman" w:eastAsia="Times New Roman" w:hAnsi="Times New Roman"/>
          <w:sz w:val="17"/>
          <w:szCs w:val="17"/>
          <w:b w:val="1"/>
          <w:bCs w:val="1"/>
          <w:color w:val="auto"/>
        </w:rPr>
      </w:pPr>
    </w:p>
    <w:p>
      <w:pPr>
        <w:ind w:right="20"/>
        <w:spacing w:after="0" w:line="31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cash or Common Stock under the Stock Award; (E) the number of shares of Common Stock subject to, or the cash value of, a Stock Award; and (F) the Fair Market Value applicable to a Stock Award.</w:t>
      </w:r>
    </w:p>
    <w:p>
      <w:pPr>
        <w:spacing w:after="0" w:line="175" w:lineRule="exact"/>
        <w:rPr>
          <w:rFonts w:ascii="Times New Roman" w:cs="Times New Roman" w:eastAsia="Times New Roman" w:hAnsi="Times New Roman"/>
          <w:sz w:val="17"/>
          <w:szCs w:val="17"/>
          <w:b w:val="1"/>
          <w:bCs w:val="1"/>
          <w:color w:val="auto"/>
        </w:rPr>
      </w:pPr>
    </w:p>
    <w:p>
      <w:pPr>
        <w:ind w:right="40" w:firstLine="8"/>
        <w:spacing w:after="0" w:line="305" w:lineRule="auto"/>
        <w:tabs>
          <w:tab w:leader="none" w:pos="26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construe and interpret the Plan and Stock Awards granted under it, and to establish, amend and revoke rules and regulations for administration of the Plan and Stock Awards. The Board, in the exercise of these powers, may correct any defect, omission or inconsistency in the Plan or in any Stock Award Agreement, in a manner and to the extent it will deem necessary or expedient to make the Plan or Stock Award fully effective.</w:t>
      </w:r>
    </w:p>
    <w:p>
      <w:pPr>
        <w:spacing w:after="0" w:line="169"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settle all controversies regarding the Plan and Stock Awards granted under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41" w:right="339" w:bottom="1440" w:gutter="0" w:footer="0" w:header="0"/>
        </w:sectPr>
      </w:pPr>
    </w:p>
    <w:bookmarkStart w:id="5" w:name="page6"/>
    <w:bookmarkEnd w:id="5"/>
    <w:p>
      <w:pPr>
        <w:ind w:right="340" w:firstLine="8"/>
        <w:spacing w:after="0" w:line="329" w:lineRule="auto"/>
        <w:tabs>
          <w:tab w:leader="none" w:pos="30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accelerate, in whole or in part, the time at which a Stock Award may be exercised or vest (or the time at which cash or shares of Common Stock may be issued in settlement thereof).</w:t>
      </w:r>
    </w:p>
    <w:p>
      <w:pPr>
        <w:spacing w:after="0" w:line="161" w:lineRule="exact"/>
        <w:rPr>
          <w:rFonts w:ascii="Times New Roman" w:cs="Times New Roman" w:eastAsia="Times New Roman" w:hAnsi="Times New Roman"/>
          <w:sz w:val="18"/>
          <w:szCs w:val="18"/>
          <w:b w:val="1"/>
          <w:bCs w:val="1"/>
          <w:color w:val="auto"/>
        </w:rPr>
      </w:pPr>
    </w:p>
    <w:p>
      <w:pPr>
        <w:ind w:right="100" w:firstLine="8"/>
        <w:spacing w:after="0" w:line="305" w:lineRule="auto"/>
        <w:tabs>
          <w:tab w:leader="none" w:pos="25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suspend or terminate the Plan at any time. Except as otherwise provided in the Plan or a Stock Award Agreement, suspension or termination of the Plan will not materially impair a Participant’s rights under the Participant’s then-outstanding Stock Award without the Participant’s written consent, except as provided in subsection (viii) below.</w:t>
      </w:r>
    </w:p>
    <w:p>
      <w:pPr>
        <w:spacing w:after="0" w:line="169"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amend the Plan in any respect the Board deems necessary or advisable, including, without limitation, by adopting amendments relating to Incentive</w:t>
      </w:r>
    </w:p>
    <w:p>
      <w:pPr>
        <w:spacing w:after="0" w:line="49" w:lineRule="exact"/>
        <w:rPr>
          <w:rFonts w:ascii="Times New Roman" w:cs="Times New Roman" w:eastAsia="Times New Roman" w:hAnsi="Times New Roman"/>
          <w:sz w:val="18"/>
          <w:szCs w:val="18"/>
          <w:b w:val="1"/>
          <w:bCs w:val="1"/>
          <w:color w:val="auto"/>
        </w:rPr>
      </w:pPr>
    </w:p>
    <w:p>
      <w:pPr>
        <w:ind w:right="2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Stock Options and certain nonqualified deferred compensation under Section 409A of the Code and/or bringing the Plan or Stock Awards granted under the Plan into compliance with the requirements for Incentive Stock Options or ensuring that they are exempt from, or compliant with, the requirements for</w:t>
      </w:r>
    </w:p>
    <w:p>
      <w:pPr>
        <w:spacing w:after="0" w:line="1" w:lineRule="exact"/>
        <w:rPr>
          <w:rFonts w:ascii="Times New Roman" w:cs="Times New Roman" w:eastAsia="Times New Roman" w:hAnsi="Times New Roman"/>
          <w:sz w:val="18"/>
          <w:szCs w:val="18"/>
          <w:b w:val="1"/>
          <w:bCs w:val="1"/>
          <w:color w:val="auto"/>
        </w:rPr>
      </w:pPr>
    </w:p>
    <w:p>
      <w:pPr>
        <w:ind w:right="220"/>
        <w:spacing w:after="0" w:line="30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nonqualified deferred compensation under Section 409A of the Code, subject to the limitations, if any, of applicable law. If required by applicable law or listing requirements, and except as provided in Section 9(a) relating to Capitalization Adjustments, the Company will seek stockholder approval of any</w:t>
      </w:r>
    </w:p>
    <w:p>
      <w:pPr>
        <w:spacing w:after="0" w:line="1" w:lineRule="exact"/>
        <w:rPr>
          <w:rFonts w:ascii="Times New Roman" w:cs="Times New Roman" w:eastAsia="Times New Roman" w:hAnsi="Times New Roman"/>
          <w:sz w:val="18"/>
          <w:szCs w:val="18"/>
          <w:b w:val="1"/>
          <w:bCs w:val="1"/>
          <w:color w:val="auto"/>
        </w:rPr>
      </w:pPr>
    </w:p>
    <w:p>
      <w:pPr>
        <w:ind w:right="14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amendment of the Plan that (A) materially increases the number of shares of Common Stock available for issuance under the Plan, (B) materially expands the class of individuals eligible to receive Stock Awards under the Plan, (C) materially increases the benefits accruing to Participants under the Plan, (D)</w:t>
      </w:r>
    </w:p>
    <w:p>
      <w:pPr>
        <w:spacing w:after="0" w:line="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materially reduces the price at which shares of Common Stock may be issued or purchased under the Plan, (E) materially extends the term of the Plan, or</w:t>
      </w:r>
    </w:p>
    <w:p>
      <w:pPr>
        <w:spacing w:after="0" w:line="36"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 materially expands the types of Stock Awards available for issuance under the Plan. Except as otherwise provided in the Plan or a Stock Award</w:t>
      </w:r>
    </w:p>
    <w:p>
      <w:pPr>
        <w:spacing w:after="0" w:line="49" w:lineRule="exact"/>
        <w:rPr>
          <w:rFonts w:ascii="Times New Roman" w:cs="Times New Roman" w:eastAsia="Times New Roman" w:hAnsi="Times New Roman"/>
          <w:sz w:val="18"/>
          <w:szCs w:val="18"/>
          <w:b w:val="1"/>
          <w:bCs w:val="1"/>
          <w:color w:val="auto"/>
        </w:rPr>
      </w:pPr>
    </w:p>
    <w:p>
      <w:pPr>
        <w:ind w:right="44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Agreement, no amendment of the Plan will materially impair a Participant’s rights under an outstanding Stock Award without the Participant’s written consent.</w:t>
      </w:r>
    </w:p>
    <w:p>
      <w:pPr>
        <w:spacing w:after="0" w:line="175" w:lineRule="exact"/>
        <w:rPr>
          <w:rFonts w:ascii="Times New Roman" w:cs="Times New Roman" w:eastAsia="Times New Roman" w:hAnsi="Times New Roman"/>
          <w:sz w:val="18"/>
          <w:szCs w:val="18"/>
          <w:b w:val="1"/>
          <w:bCs w:val="1"/>
          <w:color w:val="auto"/>
        </w:rPr>
      </w:pPr>
    </w:p>
    <w:p>
      <w:pPr>
        <w:ind w:right="800" w:firstLine="8"/>
        <w:spacing w:after="0" w:line="329" w:lineRule="auto"/>
        <w:tabs>
          <w:tab w:leader="none" w:pos="35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submit any amendment to the Plan for stockholder approval, including, but not limited to, amendments to the Plan intended to satisfy the requirements of (A) Section 422 of the Code regarding “incentive stock options” or (B) Rule 16b-3.</w:t>
      </w:r>
    </w:p>
    <w:p>
      <w:pPr>
        <w:spacing w:after="0" w:line="148" w:lineRule="exact"/>
        <w:rPr>
          <w:rFonts w:ascii="Times New Roman" w:cs="Times New Roman" w:eastAsia="Times New Roman" w:hAnsi="Times New Roman"/>
          <w:sz w:val="18"/>
          <w:szCs w:val="18"/>
          <w:b w:val="1"/>
          <w:bCs w:val="1"/>
          <w:color w:val="auto"/>
        </w:rPr>
      </w:pPr>
    </w:p>
    <w:p>
      <w:pPr>
        <w:ind w:left="420" w:hanging="412"/>
        <w:spacing w:after="0"/>
        <w:tabs>
          <w:tab w:leader="none" w:pos="4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forms of Stock Award Agreements for use under the Plan and to amend the terms of any one or more Stock Awards, including, but not</w:t>
      </w:r>
    </w:p>
    <w:p>
      <w:pPr>
        <w:spacing w:after="0" w:line="49" w:lineRule="exact"/>
        <w:rPr>
          <w:rFonts w:ascii="Times New Roman" w:cs="Times New Roman" w:eastAsia="Times New Roman" w:hAnsi="Times New Roman"/>
          <w:sz w:val="18"/>
          <w:szCs w:val="18"/>
          <w:b w:val="1"/>
          <w:bCs w:val="1"/>
          <w:color w:val="auto"/>
        </w:rPr>
      </w:pPr>
    </w:p>
    <w:p>
      <w:pPr>
        <w:spacing w:after="0" w:line="30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limited to, amendments to provide terms more favorable to the Participant than previously provided in the Stock Award Agreement, subject to any specified limits in the Plan that are not subject to Board discretion; provided, however, that a Participant’s rights under any Stock Award will not be impaired by any</w:t>
      </w:r>
    </w:p>
    <w:p>
      <w:pPr>
        <w:spacing w:after="0" w:line="1" w:lineRule="exact"/>
        <w:rPr>
          <w:rFonts w:ascii="Times New Roman" w:cs="Times New Roman" w:eastAsia="Times New Roman" w:hAnsi="Times New Roman"/>
          <w:sz w:val="18"/>
          <w:szCs w:val="18"/>
          <w:b w:val="1"/>
          <w:bCs w:val="1"/>
          <w:color w:val="auto"/>
        </w:rPr>
      </w:pPr>
    </w:p>
    <w:p>
      <w:pPr>
        <w:ind w:right="20"/>
        <w:spacing w:after="0" w:line="30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w:t>
      </w:r>
    </w:p>
    <w:p>
      <w:pPr>
        <w:spacing w:after="0" w:line="1" w:lineRule="exact"/>
        <w:rPr>
          <w:rFonts w:ascii="Times New Roman" w:cs="Times New Roman" w:eastAsia="Times New Roman" w:hAnsi="Times New Roman"/>
          <w:sz w:val="18"/>
          <w:szCs w:val="18"/>
          <w:b w:val="1"/>
          <w:bCs w:val="1"/>
          <w:color w:val="auto"/>
        </w:rPr>
      </w:pPr>
    </w:p>
    <w:p>
      <w:pPr>
        <w:ind w:right="20"/>
        <w:spacing w:after="0" w:line="30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amendment, taken as a whole, does not materially impair the Participant’s rights, and (2) subject to the limitations of applicable law, if any, the Board may amend the terms of any one or more Stock Awards without the affected Participant’s consent (A) to maintain the qualified status of the Stock Award as</w:t>
      </w:r>
    </w:p>
    <w:p>
      <w:pPr>
        <w:spacing w:after="0" w:line="1" w:lineRule="exact"/>
        <w:rPr>
          <w:rFonts w:ascii="Times New Roman" w:cs="Times New Roman" w:eastAsia="Times New Roman" w:hAnsi="Times New Roman"/>
          <w:sz w:val="18"/>
          <w:szCs w:val="18"/>
          <w:b w:val="1"/>
          <w:bCs w:val="1"/>
          <w:color w:val="auto"/>
        </w:rPr>
      </w:pPr>
    </w:p>
    <w:p>
      <w:pPr>
        <w:ind w:right="4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Incentive Stock Option under Section 422 of the Code; (B) to change the terms of an Incentive Stock Option, if such change results in impairment of the Stock Award solely because it impairs the qualified status of the Stock Award as an Incentive Stock Option under Section 422 of the Code; (C) to clarify</w:t>
      </w:r>
    </w:p>
    <w:p>
      <w:pPr>
        <w:spacing w:after="0" w:line="1" w:lineRule="exact"/>
        <w:rPr>
          <w:rFonts w:ascii="Times New Roman" w:cs="Times New Roman" w:eastAsia="Times New Roman" w:hAnsi="Times New Roman"/>
          <w:sz w:val="18"/>
          <w:szCs w:val="18"/>
          <w:b w:val="1"/>
          <w:bCs w:val="1"/>
          <w:color w:val="auto"/>
        </w:rPr>
      </w:pPr>
    </w:p>
    <w:p>
      <w:pPr>
        <w:ind w:right="18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manner of exemption from, or to bring the Stock Award into compliance with, Section 409A of the Code; or (D) to comply with other applicable laws or listing requirements.</w:t>
      </w:r>
    </w:p>
    <w:p>
      <w:pPr>
        <w:spacing w:after="0" w:line="175" w:lineRule="exact"/>
        <w:rPr>
          <w:rFonts w:ascii="Times New Roman" w:cs="Times New Roman" w:eastAsia="Times New Roman" w:hAnsi="Times New Roman"/>
          <w:sz w:val="18"/>
          <w:szCs w:val="18"/>
          <w:b w:val="1"/>
          <w:bCs w:val="1"/>
          <w:color w:val="auto"/>
        </w:rPr>
      </w:pPr>
    </w:p>
    <w:p>
      <w:pPr>
        <w:ind w:right="200" w:firstLine="8"/>
        <w:spacing w:after="0" w:line="313" w:lineRule="auto"/>
        <w:tabs>
          <w:tab w:leader="none" w:pos="30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to exercise such powers and to perform such acts as the Board deems necessary or expedient to promote the best interests of the Company and that are not in conflict with the provisions of the Plan or Stock Awards.</w:t>
      </w:r>
    </w:p>
    <w:p>
      <w:pPr>
        <w:spacing w:after="0" w:line="175" w:lineRule="exact"/>
        <w:rPr>
          <w:rFonts w:ascii="Times New Roman" w:cs="Times New Roman" w:eastAsia="Times New Roman" w:hAnsi="Times New Roman"/>
          <w:sz w:val="18"/>
          <w:szCs w:val="18"/>
          <w:b w:val="1"/>
          <w:bCs w:val="1"/>
          <w:color w:val="auto"/>
        </w:rPr>
      </w:pPr>
    </w:p>
    <w:p>
      <w:pPr>
        <w:ind w:right="80" w:firstLine="8"/>
        <w:spacing w:after="0" w:line="302" w:lineRule="auto"/>
        <w:tabs>
          <w:tab w:leader="none" w:pos="25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such rules, procedures and sub-plans related to the operation and administration of the Plan as are necessary or appropriate under local laws and regulations to permit participation in the Plan by Employees, Directors or Consultants who are foreign nationals or employed outside the United States (provided that Board approval will not be necessary for immaterial modifications to the Plan or any Stock Award Agreement that are made to ensure or facilitate compliance with the laws or regulations of the relevant foreign jurisdiction).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Delegation to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945" w:right="339" w:bottom="1440" w:gutter="0" w:footer="0" w:header="0"/>
        </w:sectPr>
      </w:pPr>
    </w:p>
    <w:bookmarkStart w:id="6" w:name="page7"/>
    <w:bookmarkEnd w:id="6"/>
    <w:p>
      <w:pPr>
        <w:ind w:right="20" w:firstLine="8"/>
        <w:spacing w:after="0" w:line="299" w:lineRule="auto"/>
        <w:tabs>
          <w:tab w:leader="none" w:pos="21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The Board may delegate some or all of the administration of the Plan to a Committee or Committees. If administration of the Plan is delegated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 Committee, the Committee will have, in connection with the administration of the Plan, the powers theretofore possessed by the Board that have been</w:t>
      </w:r>
    </w:p>
    <w:p>
      <w:pPr>
        <w:spacing w:after="0" w:line="1" w:lineRule="exact"/>
        <w:rPr>
          <w:rFonts w:ascii="Times New Roman" w:cs="Times New Roman" w:eastAsia="Times New Roman" w:hAnsi="Times New Roman"/>
          <w:sz w:val="18"/>
          <w:szCs w:val="18"/>
          <w:b w:val="1"/>
          <w:bCs w:val="1"/>
          <w:color w:val="auto"/>
        </w:rPr>
      </w:pPr>
    </w:p>
    <w:p>
      <w:pPr>
        <w:ind w:right="40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delegated to the Committee, including the power to delegate to a subcommittee of the Committee any of the administrative powers the Committee is authorized to exercise (and references in this Plan to the Board will thereafter be to the Committee or subcommittee, as applicable). Any delegation of</w:t>
      </w:r>
    </w:p>
    <w:p>
      <w:pPr>
        <w:spacing w:after="0" w:line="1" w:lineRule="exact"/>
        <w:rPr>
          <w:rFonts w:ascii="Times New Roman" w:cs="Times New Roman" w:eastAsia="Times New Roman" w:hAnsi="Times New Roman"/>
          <w:sz w:val="18"/>
          <w:szCs w:val="18"/>
          <w:b w:val="1"/>
          <w:bCs w:val="1"/>
          <w:color w:val="auto"/>
        </w:rPr>
      </w:pPr>
    </w:p>
    <w:p>
      <w:pPr>
        <w:ind w:right="140"/>
        <w:spacing w:after="0" w:line="3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administrative powers will be reflected in resolutions, not inconsistent with the provisions of the Plan, adopted from time to time by the Board or Committee (as applicable). The Board may retain the authority to concurrently administer the Plan with the Committee and may, at any time, revest in the Board some or all of the powers previously delegated.</w:t>
      </w:r>
    </w:p>
    <w:p>
      <w:pPr>
        <w:spacing w:after="0" w:line="165"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Rule 16b-3 Compliance. </w:t>
      </w:r>
      <w:r>
        <w:rPr>
          <w:rFonts w:ascii="Times New Roman" w:cs="Times New Roman" w:eastAsia="Times New Roman" w:hAnsi="Times New Roman"/>
          <w:sz w:val="18"/>
          <w:szCs w:val="18"/>
          <w:color w:val="auto"/>
        </w:rPr>
        <w:t>The Committee may consist solely of two or more Non-Employee Directors, in accordance with Rule 16b-3.</w:t>
      </w:r>
    </w:p>
    <w:p>
      <w:pPr>
        <w:spacing w:after="0" w:line="265" w:lineRule="exact"/>
        <w:rPr>
          <w:rFonts w:ascii="Times New Roman" w:cs="Times New Roman" w:eastAsia="Times New Roman" w:hAnsi="Times New Roman"/>
          <w:sz w:val="18"/>
          <w:szCs w:val="18"/>
          <w:b w:val="1"/>
          <w:bCs w:val="1"/>
          <w:color w:val="auto"/>
        </w:rPr>
      </w:pPr>
    </w:p>
    <w:p>
      <w:pPr>
        <w:jc w:val="both"/>
        <w:ind w:firstLine="8"/>
        <w:spacing w:after="0" w:line="309" w:lineRule="auto"/>
        <w:tabs>
          <w:tab w:leader="none" w:pos="315"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Delegation to an Officer. </w:t>
      </w:r>
      <w:r>
        <w:rPr>
          <w:rFonts w:ascii="Times New Roman" w:cs="Times New Roman" w:eastAsia="Times New Roman" w:hAnsi="Times New Roman"/>
          <w:sz w:val="17"/>
          <w:szCs w:val="17"/>
          <w:color w:val="auto"/>
        </w:rPr>
        <w:t>The Board may delegate to one (1) or more Officers the authority to do one or both of the following (i) designate Employees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who are not Officers to be recipients of Options and SARs (and, to the extent permitted by applicable law, other Stock Awards) and, to the extent permitted</w:t>
      </w:r>
    </w:p>
    <w:p>
      <w:pPr>
        <w:ind w:right="80"/>
        <w:spacing w:after="0" w:line="28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by applicable law, the terms of such Stock Awards, and (ii) determine the number of shares of Common Stock to be subject to such Stock Awards granted to such Employees; provided, however, that the Board resolutions regarding such delegation will specify the total number of shares of Common Stock that</w:t>
      </w:r>
    </w:p>
    <w:p>
      <w:pPr>
        <w:spacing w:after="0" w:line="1" w:lineRule="exact"/>
        <w:rPr>
          <w:rFonts w:ascii="Times New Roman" w:cs="Times New Roman" w:eastAsia="Times New Roman" w:hAnsi="Times New Roman"/>
          <w:sz w:val="17"/>
          <w:szCs w:val="17"/>
          <w:b w:val="1"/>
          <w:bCs w:val="1"/>
          <w:color w:val="auto"/>
        </w:rPr>
      </w:pPr>
    </w:p>
    <w:p>
      <w:pPr>
        <w:ind w:right="120"/>
        <w:spacing w:after="0" w:line="30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may be subject to the Stock Awards granted by such Officer and that such Officer may not grant a Stock Award to himself or herself. Any such Stock Awards will be granted on the form of Stock Award Agreement most recently approved for use by the Committee or the Board, unless otherwise provided</w:t>
      </w:r>
    </w:p>
    <w:p>
      <w:pPr>
        <w:spacing w:after="0" w:line="1" w:lineRule="exact"/>
        <w:rPr>
          <w:rFonts w:ascii="Times New Roman" w:cs="Times New Roman" w:eastAsia="Times New Roman" w:hAnsi="Times New Roman"/>
          <w:sz w:val="17"/>
          <w:szCs w:val="17"/>
          <w:b w:val="1"/>
          <w:bCs w:val="1"/>
          <w:color w:val="auto"/>
        </w:rPr>
      </w:pPr>
    </w:p>
    <w:p>
      <w:pPr>
        <w:ind w:right="120"/>
        <w:spacing w:after="0" w:line="31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 the resolutions approving the delegation authority. The Board may not delegate authority to an Officer who is acting solely in the capacity of an Officer (and not also as a Director) to determine the Fair Market Value pursuant to Section 13(t)(iii) below.</w:t>
      </w:r>
    </w:p>
    <w:p>
      <w:pPr>
        <w:spacing w:after="0" w:line="171" w:lineRule="exact"/>
        <w:rPr>
          <w:rFonts w:ascii="Times New Roman" w:cs="Times New Roman" w:eastAsia="Times New Roman" w:hAnsi="Times New Roman"/>
          <w:sz w:val="17"/>
          <w:szCs w:val="17"/>
          <w:b w:val="1"/>
          <w:bCs w:val="1"/>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Repricing of Stock Awards. </w:t>
      </w:r>
      <w:r>
        <w:rPr>
          <w:rFonts w:ascii="Times New Roman" w:cs="Times New Roman" w:eastAsia="Times New Roman" w:hAnsi="Times New Roman"/>
          <w:sz w:val="18"/>
          <w:szCs w:val="18"/>
          <w:color w:val="auto"/>
        </w:rPr>
        <w:t>Neither the Board nor any Committee will have the authority to (i) reduce the exercise or strike price of any</w:t>
      </w:r>
    </w:p>
    <w:p>
      <w:pPr>
        <w:spacing w:after="0" w:line="53" w:lineRule="exact"/>
        <w:rPr>
          <w:rFonts w:ascii="Times New Roman" w:cs="Times New Roman" w:eastAsia="Times New Roman" w:hAnsi="Times New Roman"/>
          <w:sz w:val="18"/>
          <w:szCs w:val="18"/>
          <w:b w:val="1"/>
          <w:bCs w:val="1"/>
          <w:color w:val="auto"/>
        </w:rPr>
      </w:pPr>
    </w:p>
    <w:p>
      <w:pPr>
        <w:ind w:right="100"/>
        <w:spacing w:after="0" w:line="3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outstanding Option or SAR or (ii) cancel any outstanding Option or SAR that has an exercise or strike price (per share) greater than the then-current Fair Market Value in exchange for cash or other Stock Awards under the Plan, unless the stockholders of the Company have approved such an action within 12 months prior to such an event.</w:t>
      </w:r>
    </w:p>
    <w:p>
      <w:pPr>
        <w:spacing w:after="0" w:line="165" w:lineRule="exact"/>
        <w:rPr>
          <w:rFonts w:ascii="Times New Roman" w:cs="Times New Roman" w:eastAsia="Times New Roman" w:hAnsi="Times New Roman"/>
          <w:sz w:val="18"/>
          <w:szCs w:val="18"/>
          <w:b w:val="1"/>
          <w:bCs w:val="1"/>
          <w:color w:val="auto"/>
        </w:rPr>
      </w:pPr>
    </w:p>
    <w:p>
      <w:pPr>
        <w:ind w:right="100" w:firstLine="8"/>
        <w:spacing w:after="0" w:line="333" w:lineRule="auto"/>
        <w:tabs>
          <w:tab w:leader="none" w:pos="25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of Board’s Decision</w:t>
      </w:r>
      <w:r>
        <w:rPr>
          <w:rFonts w:ascii="Times New Roman" w:cs="Times New Roman" w:eastAsia="Times New Roman" w:hAnsi="Times New Roman"/>
          <w:sz w:val="18"/>
          <w:szCs w:val="18"/>
          <w:color w:val="auto"/>
        </w:rPr>
        <w:t>. All determinations, interpretations and constructions made by the Board in good faith will not be subject to review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and will be final, binding and conclusive on all persons.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SHARES SUBJECT TO THE PLAN.</w:t>
      </w:r>
    </w:p>
    <w:p>
      <w:pPr>
        <w:spacing w:after="0" w:line="266" w:lineRule="exact"/>
        <w:rPr>
          <w:sz w:val="20"/>
          <w:szCs w:val="20"/>
          <w:color w:val="auto"/>
        </w:rPr>
      </w:pPr>
    </w:p>
    <w:p>
      <w:pPr>
        <w:ind w:right="260" w:firstLine="8"/>
        <w:spacing w:after="0" w:line="309" w:lineRule="auto"/>
        <w:tabs>
          <w:tab w:leader="none" w:pos="255"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 Reserve. </w:t>
      </w:r>
      <w:r>
        <w:rPr>
          <w:rFonts w:ascii="Times New Roman" w:cs="Times New Roman" w:eastAsia="Times New Roman" w:hAnsi="Times New Roman"/>
          <w:sz w:val="17"/>
          <w:szCs w:val="17"/>
          <w:color w:val="auto"/>
        </w:rPr>
        <w:t>Subject to Section 9(a) relating to Capitalization Adjustments, the aggregate number of shares of Common Stock that may be issued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pursuant to Stock Awards will not exceed 9,126,240 shares, which is the sum of: (i) 500,000 shares originally approved as of the Adoption Date, (ii)</w:t>
      </w:r>
    </w:p>
    <w:p>
      <w:pPr>
        <w:ind w:right="240"/>
        <w:spacing w:after="0" w:line="30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5,576,240 shares added pursuant to an annual “evergreen” provision that occurred on January 1 of each year, beginning January 1, 2017 and ending on January 1, 2026, (iii) 700,000 shares added in 2018, (iv) 550,000 shares added in 2021, and (v) 1,800,000 shares added in 2026 (collectively, the “</w:t>
      </w:r>
      <w:r>
        <w:rPr>
          <w:rFonts w:ascii="Times New Roman" w:cs="Times New Roman" w:eastAsia="Times New Roman" w:hAnsi="Times New Roman"/>
          <w:sz w:val="18"/>
          <w:szCs w:val="18"/>
          <w:b w:val="1"/>
          <w:bCs w:val="1"/>
          <w:i w:val="1"/>
          <w:iCs w:val="1"/>
          <w:color w:val="auto"/>
        </w:rPr>
        <w:t>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Reserve</w:t>
      </w:r>
      <w:r>
        <w:rPr>
          <w:rFonts w:ascii="Times New Roman" w:cs="Times New Roman" w:eastAsia="Times New Roman" w:hAnsi="Times New Roman"/>
          <w:sz w:val="18"/>
          <w:szCs w:val="18"/>
          <w:color w:val="auto"/>
        </w:rPr>
        <w:t>”).</w:t>
      </w:r>
    </w:p>
    <w:p>
      <w:pPr>
        <w:spacing w:after="0" w:line="165" w:lineRule="exact"/>
        <w:rPr>
          <w:rFonts w:ascii="Times New Roman" w:cs="Times New Roman" w:eastAsia="Times New Roman" w:hAnsi="Times New Roman"/>
          <w:sz w:val="17"/>
          <w:szCs w:val="17"/>
          <w:b w:val="1"/>
          <w:bCs w:val="1"/>
          <w:color w:val="auto"/>
        </w:rPr>
      </w:pPr>
    </w:p>
    <w:p>
      <w:pPr>
        <w:ind w:left="280" w:hanging="272"/>
        <w:spacing w:after="0"/>
        <w:tabs>
          <w:tab w:leader="none" w:pos="2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Reversion of Shares to the Share Reserve. </w:t>
      </w:r>
      <w:r>
        <w:rPr>
          <w:rFonts w:ascii="Times New Roman" w:cs="Times New Roman" w:eastAsia="Times New Roman" w:hAnsi="Times New Roman"/>
          <w:sz w:val="18"/>
          <w:szCs w:val="18"/>
          <w:color w:val="auto"/>
        </w:rPr>
        <w:t>If a Stock Award or any portion thereof (i) expires or otherwise terminates without all of the shares</w:t>
      </w:r>
    </w:p>
    <w:p>
      <w:pPr>
        <w:spacing w:after="0" w:line="53" w:lineRule="exact"/>
        <w:rPr>
          <w:rFonts w:ascii="Times New Roman" w:cs="Times New Roman" w:eastAsia="Times New Roman" w:hAnsi="Times New Roman"/>
          <w:sz w:val="18"/>
          <w:szCs w:val="18"/>
          <w:b w:val="1"/>
          <w:bCs w:val="1"/>
          <w:color w:val="auto"/>
        </w:rPr>
      </w:pPr>
    </w:p>
    <w:p>
      <w:pPr>
        <w:jc w:val="both"/>
        <w:ind w:right="100"/>
        <w:spacing w:after="0" w:line="30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covered by such Stock Award having been issued or (ii) is settled in cash (i.e., the Participant receives cash rather than stock), such expiration, termination or settlement will not reduce (or otherwise offset) the number of shares of Common Stock that may be available for issuance under the Plan. If any shares</w:t>
      </w:r>
    </w:p>
    <w:p>
      <w:pPr>
        <w:spacing w:after="0" w:line="1" w:lineRule="exact"/>
        <w:rPr>
          <w:rFonts w:ascii="Times New Roman" w:cs="Times New Roman" w:eastAsia="Times New Roman" w:hAnsi="Times New Roman"/>
          <w:sz w:val="18"/>
          <w:szCs w:val="18"/>
          <w:b w:val="1"/>
          <w:bCs w:val="1"/>
          <w:color w:val="auto"/>
        </w:rPr>
      </w:pPr>
    </w:p>
    <w:p>
      <w:pPr>
        <w:ind w:right="200"/>
        <w:spacing w:after="0" w:line="3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of Common Stock issued pursuant to a Stock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 Any shares reacquired by the Company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941" w:right="359" w:bottom="1440" w:gutter="0" w:footer="0" w:header="0"/>
        </w:sectPr>
      </w:pPr>
    </w:p>
    <w:bookmarkStart w:id="7" w:name="page8"/>
    <w:bookmarkEnd w:id="7"/>
    <w:p>
      <w:pPr>
        <w:ind w:right="360"/>
        <w:spacing w:after="0" w:line="329" w:lineRule="auto"/>
        <w:rPr>
          <w:sz w:val="20"/>
          <w:szCs w:val="20"/>
          <w:color w:val="auto"/>
        </w:rPr>
      </w:pPr>
      <w:r>
        <w:rPr>
          <w:rFonts w:ascii="Times New Roman" w:cs="Times New Roman" w:eastAsia="Times New Roman" w:hAnsi="Times New Roman"/>
          <w:sz w:val="18"/>
          <w:szCs w:val="18"/>
          <w:color w:val="auto"/>
        </w:rPr>
        <w:t>satisfaction of tax withholding obligations on a Stock Award or as consideration for the exercise or purchase price of a Stock Award will again become available for issuance under the Plan.</w:t>
      </w:r>
    </w:p>
    <w:p>
      <w:pPr>
        <w:spacing w:after="0" w:line="158" w:lineRule="exact"/>
        <w:rPr>
          <w:sz w:val="20"/>
          <w:szCs w:val="20"/>
          <w:color w:val="auto"/>
        </w:rPr>
      </w:pPr>
    </w:p>
    <w:p>
      <w:pPr>
        <w:jc w:val="both"/>
        <w:ind w:right="320" w:firstLine="8"/>
        <w:spacing w:after="0" w:line="307" w:lineRule="auto"/>
        <w:tabs>
          <w:tab w:leader="none" w:pos="24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Incentive Stock Option Limit. </w:t>
      </w:r>
      <w:r>
        <w:rPr>
          <w:rFonts w:ascii="Times New Roman" w:cs="Times New Roman" w:eastAsia="Times New Roman" w:hAnsi="Times New Roman"/>
          <w:sz w:val="18"/>
          <w:szCs w:val="18"/>
          <w:color w:val="auto"/>
        </w:rPr>
        <w:t>Subject to the provisions of Section 9(a) relating to Capitalization Adjustments, the aggregate maximum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that may be issued pursuant to the exercise of Incentive Stock Options will be a number of shares of Common Stock equal to three (3) multiplied by the Share Reserve.</w:t>
      </w:r>
    </w:p>
    <w:p>
      <w:pPr>
        <w:spacing w:after="0" w:line="164"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 on Grants to Non-Employee Directors. </w:t>
      </w:r>
      <w:r>
        <w:rPr>
          <w:rFonts w:ascii="Times New Roman" w:cs="Times New Roman" w:eastAsia="Times New Roman" w:hAnsi="Times New Roman"/>
          <w:sz w:val="18"/>
          <w:szCs w:val="18"/>
          <w:color w:val="auto"/>
        </w:rPr>
        <w:t>The maximum number of shares of Common Stock subject to Stock Awards granted under the</w:t>
      </w:r>
    </w:p>
    <w:p>
      <w:pPr>
        <w:spacing w:after="0" w:line="53" w:lineRule="exact"/>
        <w:rPr>
          <w:rFonts w:ascii="Times New Roman" w:cs="Times New Roman" w:eastAsia="Times New Roman" w:hAnsi="Times New Roman"/>
          <w:sz w:val="18"/>
          <w:szCs w:val="18"/>
          <w:b w:val="1"/>
          <w:bCs w:val="1"/>
          <w:color w:val="auto"/>
        </w:rPr>
      </w:pPr>
    </w:p>
    <w:p>
      <w:pPr>
        <w:ind w:right="20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Plan or otherwise during any one calendar year to any Non-Employee Director, taken together with any cash fees paid by the Company to such Non-Employee Director during such calendar year for service on the Board, will not exceed $3,000,000 in total value (calculating the value of any such Stock</w:t>
      </w:r>
    </w:p>
    <w:p>
      <w:pPr>
        <w:spacing w:after="0" w:line="1" w:lineRule="exact"/>
        <w:rPr>
          <w:rFonts w:ascii="Times New Roman" w:cs="Times New Roman" w:eastAsia="Times New Roman" w:hAnsi="Times New Roman"/>
          <w:sz w:val="18"/>
          <w:szCs w:val="18"/>
          <w:b w:val="1"/>
          <w:bCs w:val="1"/>
          <w:color w:val="auto"/>
        </w:rPr>
      </w:pPr>
    </w:p>
    <w:p>
      <w:pPr>
        <w:ind w:right="26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Awards based on the grant date fair value of such Stock Awards for financial reporting purposes), or, with respect to the calendar year in which a Non-Employee Director is first appointed or elected to the Board, $5,000,000. The Board may make exceptions to the applicable limit in this Section 3(e) for</w:t>
      </w:r>
    </w:p>
    <w:p>
      <w:pPr>
        <w:spacing w:after="0" w:line="1" w:lineRule="exact"/>
        <w:rPr>
          <w:rFonts w:ascii="Times New Roman" w:cs="Times New Roman" w:eastAsia="Times New Roman" w:hAnsi="Times New Roman"/>
          <w:sz w:val="18"/>
          <w:szCs w:val="18"/>
          <w:b w:val="1"/>
          <w:bCs w:val="1"/>
          <w:color w:val="auto"/>
        </w:rPr>
      </w:pPr>
    </w:p>
    <w:p>
      <w:pPr>
        <w:ind w:right="120"/>
        <w:spacing w:after="0" w:line="3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individual Non-Employee Directors in extraordinary circumstances (for example, to compensate such individual for interim service in the capacity of an officer of the Company), as Board may determine in its discretion, provided that the Non-Employee Director receiving such additional compensation may not participate in the decision to award such compensation.</w:t>
      </w:r>
    </w:p>
    <w:p>
      <w:pPr>
        <w:spacing w:after="0" w:line="165" w:lineRule="exact"/>
        <w:rPr>
          <w:rFonts w:ascii="Times New Roman" w:cs="Times New Roman" w:eastAsia="Times New Roman" w:hAnsi="Times New Roman"/>
          <w:sz w:val="18"/>
          <w:szCs w:val="18"/>
          <w:b w:val="1"/>
          <w:bCs w:val="1"/>
          <w:color w:val="auto"/>
        </w:rPr>
      </w:pPr>
    </w:p>
    <w:p>
      <w:pPr>
        <w:ind w:right="760" w:firstLine="8"/>
        <w:spacing w:after="0" w:line="333" w:lineRule="auto"/>
        <w:tabs>
          <w:tab w:leader="none" w:pos="24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Shares. </w:t>
      </w:r>
      <w:r>
        <w:rPr>
          <w:rFonts w:ascii="Times New Roman" w:cs="Times New Roman" w:eastAsia="Times New Roman" w:hAnsi="Times New Roman"/>
          <w:sz w:val="18"/>
          <w:szCs w:val="18"/>
          <w:color w:val="auto"/>
        </w:rPr>
        <w:t>The stock issuable under the Plan will be shares of authorized but unissued or reacquired Common Stock, including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repurchased by the Company on the open market or otherwise.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ELIGIBILITY.</w:t>
      </w:r>
    </w:p>
    <w:p>
      <w:pPr>
        <w:spacing w:after="0" w:line="266"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Eligibility for Specific Stock Awards. </w:t>
      </w:r>
      <w:r>
        <w:rPr>
          <w:rFonts w:ascii="Times New Roman" w:cs="Times New Roman" w:eastAsia="Times New Roman" w:hAnsi="Times New Roman"/>
          <w:sz w:val="18"/>
          <w:szCs w:val="18"/>
          <w:color w:val="auto"/>
        </w:rPr>
        <w:t>Incentive Stock Options may be granted only to employees of the Company or a “parent corporation” or a</w:t>
      </w:r>
    </w:p>
    <w:p>
      <w:pPr>
        <w:spacing w:after="0" w:line="53" w:lineRule="exact"/>
        <w:rPr>
          <w:rFonts w:ascii="Times New Roman" w:cs="Times New Roman" w:eastAsia="Times New Roman" w:hAnsi="Times New Roman"/>
          <w:sz w:val="18"/>
          <w:szCs w:val="18"/>
          <w:b w:val="1"/>
          <w:bCs w:val="1"/>
          <w:color w:val="auto"/>
        </w:rPr>
      </w:pPr>
    </w:p>
    <w:p>
      <w:pPr>
        <w:ind w:right="160"/>
        <w:spacing w:after="0" w:line="30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“subsidiary corporation” thereof (as such terms are defined in Sections 424(e) and 424(f) of the Code). Stock Awards other than Incentive Stock Options may be granted to Employees, Directors and Consultants; provided, however, that Stock Awards may not be granted to Employees, Directors and Consultants who are providing Continuous Service only to any “parent” of the Company, as such term is defined in Rule 405 of the Securities Act, unless</w:t>
      </w:r>
    </w:p>
    <w:p>
      <w:pPr>
        <w:spacing w:after="0" w:line="2" w:lineRule="exact"/>
        <w:rPr>
          <w:rFonts w:ascii="Times New Roman" w:cs="Times New Roman" w:eastAsia="Times New Roman" w:hAnsi="Times New Roman"/>
          <w:sz w:val="18"/>
          <w:szCs w:val="18"/>
          <w:b w:val="1"/>
          <w:bCs w:val="1"/>
          <w:color w:val="auto"/>
        </w:rPr>
      </w:pPr>
    </w:p>
    <w:p>
      <w:pPr>
        <w:ind w:left="220" w:hanging="212"/>
        <w:spacing w:after="0"/>
        <w:tabs>
          <w:tab w:leader="none" w:pos="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underlying such Stock Awards is treated as “service recipient stock” under Section 409A of the Code (for example, because the Stock Awards</w:t>
      </w:r>
    </w:p>
    <w:p>
      <w:pPr>
        <w:spacing w:after="0" w:line="49" w:lineRule="exact"/>
        <w:rPr>
          <w:rFonts w:ascii="Times New Roman" w:cs="Times New Roman" w:eastAsia="Times New Roman" w:hAnsi="Times New Roman"/>
          <w:sz w:val="18"/>
          <w:szCs w:val="18"/>
          <w:color w:val="auto"/>
        </w:rPr>
      </w:pPr>
    </w:p>
    <w:p>
      <w:pPr>
        <w:jc w:val="both"/>
        <w:ind w:right="16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granted pursuant to a corporate transaction such as a spin off transaction), (ii) the Company, in consultation with its legal counsel, has determined that such Stock Awards are otherwise exempt from Section 409A of the Code, or (iii) the Company, in consultation with its legal counsel, has determined that such Stock Awards comply with the distribution requirements of Section 409A of the Code.</w:t>
      </w:r>
    </w:p>
    <w:p>
      <w:pPr>
        <w:spacing w:after="0" w:line="165" w:lineRule="exact"/>
        <w:rPr>
          <w:rFonts w:ascii="Times New Roman" w:cs="Times New Roman" w:eastAsia="Times New Roman" w:hAnsi="Times New Roman"/>
          <w:sz w:val="18"/>
          <w:szCs w:val="18"/>
          <w:color w:val="auto"/>
        </w:rPr>
      </w:pPr>
    </w:p>
    <w:p>
      <w:pPr>
        <w:ind w:firstLine="8"/>
        <w:spacing w:after="0" w:line="333" w:lineRule="auto"/>
        <w:tabs>
          <w:tab w:leader="none" w:pos="26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Ten Percent Stockholders. </w:t>
      </w:r>
      <w:r>
        <w:rPr>
          <w:rFonts w:ascii="Times New Roman" w:cs="Times New Roman" w:eastAsia="Times New Roman" w:hAnsi="Times New Roman"/>
          <w:sz w:val="18"/>
          <w:szCs w:val="18"/>
          <w:color w:val="auto"/>
        </w:rPr>
        <w:t>A Ten Percent Stockholder will not be granted an Incentive Stock Option unless the exercise price of such Option is at least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110% of the Fair Market Value on the date of grant and the Option is not exercisable after the expiration of five years from the date of grant.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PROVISIONS RELATING TO OPTIONS AND STOCK APPRECIATION RIGHTS.</w:t>
      </w:r>
    </w:p>
    <w:p>
      <w:pPr>
        <w:spacing w:after="0" w:line="270"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8"/>
          <w:szCs w:val="18"/>
          <w:color w:val="auto"/>
        </w:rPr>
        <w:t>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provided, however, that each Stock Award Agreement will conform to (through incorporation of provisions hereof by reference in the applicable Stock Award Agreement or otherwise) the substance of each of the following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945" w:right="359" w:bottom="1440" w:gutter="0" w:footer="0" w:header="0"/>
        </w:sectPr>
      </w:pPr>
    </w:p>
    <w:bookmarkStart w:id="8" w:name="page9"/>
    <w:bookmarkEnd w:id="8"/>
    <w:p>
      <w:pPr>
        <w:ind w:right="280" w:firstLine="8"/>
        <w:spacing w:after="0" w:line="333" w:lineRule="auto"/>
        <w:tabs>
          <w:tab w:leader="none" w:pos="255"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Subject to the provisions of Section 4(b) regarding Ten Percent Stockholders, no Option or SAR will be exercisable after the expiration of 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from the date of its grant or such shorter period specified in the Stock Award Agreement.</w:t>
      </w:r>
    </w:p>
    <w:p>
      <w:pPr>
        <w:spacing w:after="0" w:line="154" w:lineRule="exact"/>
        <w:rPr>
          <w:rFonts w:ascii="Times New Roman" w:cs="Times New Roman" w:eastAsia="Times New Roman" w:hAnsi="Times New Roman"/>
          <w:sz w:val="18"/>
          <w:szCs w:val="18"/>
          <w:b w:val="1"/>
          <w:bCs w:val="1"/>
          <w:color w:val="auto"/>
        </w:rPr>
      </w:pPr>
    </w:p>
    <w:p>
      <w:pPr>
        <w:ind w:right="40" w:firstLine="8"/>
        <w:spacing w:after="0" w:line="309" w:lineRule="auto"/>
        <w:tabs>
          <w:tab w:leader="none" w:pos="265"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Exercise Price. </w:t>
      </w:r>
      <w:r>
        <w:rPr>
          <w:rFonts w:ascii="Times New Roman" w:cs="Times New Roman" w:eastAsia="Times New Roman" w:hAnsi="Times New Roman"/>
          <w:sz w:val="17"/>
          <w:szCs w:val="17"/>
          <w:color w:val="auto"/>
        </w:rPr>
        <w:t>Subject to the provisions of Section 4(b) regarding Ten Percent Stockholders, the exercise or strike price of each Option or SAR will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 less than 100% of the Fair Market Value of the Common Stock subject to the Option or SAR on the date the Stock Award is granted. Notwithstanding</w:t>
      </w:r>
    </w:p>
    <w:p>
      <w:pPr>
        <w:spacing w:after="0" w:line="28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foregoing, an Option or SAR may be granted with an exercise or strike price lower than 100% of the Fair Market Value of the Common Stock subject to the Stock Award if such Stock Award is granted pursuant to an assumption of or substitution for another option or stock appreciation right pursuant to a</w:t>
      </w:r>
    </w:p>
    <w:p>
      <w:pPr>
        <w:spacing w:after="0" w:line="1" w:lineRule="exact"/>
        <w:rPr>
          <w:rFonts w:ascii="Times New Roman" w:cs="Times New Roman" w:eastAsia="Times New Roman" w:hAnsi="Times New Roman"/>
          <w:sz w:val="17"/>
          <w:szCs w:val="17"/>
          <w:b w:val="1"/>
          <w:bCs w:val="1"/>
          <w:color w:val="auto"/>
        </w:rPr>
      </w:pPr>
    </w:p>
    <w:p>
      <w:pPr>
        <w:ind w:right="320"/>
        <w:spacing w:after="0" w:line="31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Corporate Transaction and in a manner consistent with the provisions of Section 409A and, if applicable, Section 424(a) of the Code. Each SAR will be denominated in shares of Common Stock equivalents.</w:t>
      </w:r>
    </w:p>
    <w:p>
      <w:pPr>
        <w:spacing w:after="0" w:line="171" w:lineRule="exact"/>
        <w:rPr>
          <w:rFonts w:ascii="Times New Roman" w:cs="Times New Roman" w:eastAsia="Times New Roman" w:hAnsi="Times New Roman"/>
          <w:sz w:val="17"/>
          <w:szCs w:val="17"/>
          <w:b w:val="1"/>
          <w:bCs w:val="1"/>
          <w:color w:val="auto"/>
        </w:rPr>
      </w:pPr>
    </w:p>
    <w:p>
      <w:pPr>
        <w:ind w:right="80" w:firstLine="8"/>
        <w:spacing w:after="0" w:line="309" w:lineRule="auto"/>
        <w:tabs>
          <w:tab w:leader="none" w:pos="245"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Purchase Price for Options. </w:t>
      </w:r>
      <w:r>
        <w:rPr>
          <w:rFonts w:ascii="Times New Roman" w:cs="Times New Roman" w:eastAsia="Times New Roman" w:hAnsi="Times New Roman"/>
          <w:sz w:val="17"/>
          <w:szCs w:val="17"/>
          <w:color w:val="auto"/>
        </w:rPr>
        <w:t>The purchase price of Common Stock acquired pursuant to the exercise of an Option may be paid, to the extent permitted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applicable law and as determined by the Board in its sole discretion, by any combination of the methods of payment set forth below. The Board will</w:t>
      </w:r>
    </w:p>
    <w:p>
      <w:pPr>
        <w:ind w:right="100"/>
        <w:spacing w:after="0" w:line="31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have the authority to grant Options that do not permit all of the following methods of payment (or otherwise restrict the ability to use certain methods) and to grant Options that require the consent of the Company to use a particular method of payment. The permitted methods of payment are as follows:</w:t>
      </w:r>
    </w:p>
    <w:p>
      <w:pPr>
        <w:spacing w:after="0" w:line="176" w:lineRule="exact"/>
        <w:rPr>
          <w:sz w:val="20"/>
          <w:szCs w:val="20"/>
          <w:color w:val="auto"/>
        </w:rPr>
      </w:pPr>
    </w:p>
    <w:p>
      <w:pPr>
        <w:ind w:left="220" w:hanging="212"/>
        <w:spacing w:after="0"/>
        <w:tabs>
          <w:tab w:leader="none" w:pos="2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cash, check, bank draft or money order payable to the Company;</w:t>
      </w:r>
    </w:p>
    <w:p>
      <w:pPr>
        <w:spacing w:after="0" w:line="252"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a program developed under Regulation T as promulgated by the Federal Reserve Board that, prior to the issuance of the stock subject to the</w:t>
      </w:r>
    </w:p>
    <w:p>
      <w:pPr>
        <w:spacing w:after="0" w:line="49" w:lineRule="exact"/>
        <w:rPr>
          <w:rFonts w:ascii="Times New Roman" w:cs="Times New Roman" w:eastAsia="Times New Roman" w:hAnsi="Times New Roman"/>
          <w:sz w:val="18"/>
          <w:szCs w:val="18"/>
          <w:b w:val="1"/>
          <w:bCs w:val="1"/>
          <w:color w:val="auto"/>
        </w:rPr>
      </w:pPr>
    </w:p>
    <w:p>
      <w:pPr>
        <w:ind w:right="24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Option, results in either the receipt of cash (or check) by the Company or the receipt of irrevocable instructions to pay the aggregate exercise price to the Company from the sales proceeds;</w:t>
      </w:r>
    </w:p>
    <w:p>
      <w:pPr>
        <w:spacing w:after="0" w:line="175"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delivery to the Company (either by actual delivery or attestation) of shares of Common Stock;</w:t>
      </w:r>
    </w:p>
    <w:p>
      <w:pPr>
        <w:spacing w:after="0" w:line="265" w:lineRule="exact"/>
        <w:rPr>
          <w:rFonts w:ascii="Times New Roman" w:cs="Times New Roman" w:eastAsia="Times New Roman" w:hAnsi="Times New Roman"/>
          <w:sz w:val="18"/>
          <w:szCs w:val="18"/>
          <w:b w:val="1"/>
          <w:bCs w:val="1"/>
          <w:color w:val="auto"/>
        </w:rPr>
      </w:pPr>
    </w:p>
    <w:p>
      <w:pPr>
        <w:ind w:right="220" w:firstLine="8"/>
        <w:spacing w:after="0" w:line="306" w:lineRule="auto"/>
        <w:tabs>
          <w:tab w:leader="none" w:pos="305"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an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w:t>
      </w:r>
    </w:p>
    <w:p>
      <w:pPr>
        <w:spacing w:after="0" w:line="1" w:lineRule="exact"/>
        <w:rPr>
          <w:rFonts w:ascii="Times New Roman" w:cs="Times New Roman" w:eastAsia="Times New Roman" w:hAnsi="Times New Roman"/>
          <w:sz w:val="17"/>
          <w:szCs w:val="17"/>
          <w:b w:val="1"/>
          <w:bCs w:val="1"/>
          <w:color w:val="auto"/>
        </w:rPr>
      </w:pPr>
    </w:p>
    <w:p>
      <w:pPr>
        <w:ind w:right="180"/>
        <w:spacing w:after="0" w:line="28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provided, however,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w:t>
      </w:r>
    </w:p>
    <w:p>
      <w:pPr>
        <w:spacing w:after="0" w:line="1"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and will not be exercisable thereafter to the extent that (A) shares issuable upon exercise are used to pay the exercise price pursuant to the “net exercise,”</w:t>
      </w:r>
    </w:p>
    <w:p>
      <w:pPr>
        <w:spacing w:after="0" w:line="36"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(B) shares are delivered to the Participant as a result of such exercise, and (C) shares are withheld to satisfy tax withholding obligations; or</w:t>
      </w:r>
    </w:p>
    <w:p>
      <w:pPr>
        <w:spacing w:after="0" w:line="265" w:lineRule="exact"/>
        <w:rPr>
          <w:rFonts w:ascii="Times New Roman" w:cs="Times New Roman" w:eastAsia="Times New Roman" w:hAnsi="Times New Roman"/>
          <w:sz w:val="17"/>
          <w:szCs w:val="17"/>
          <w:b w:val="1"/>
          <w:bCs w:val="1"/>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any other form of legal consideration that may be acceptable to the Board and specified in the applicable Stock Award Agreement.</w:t>
      </w:r>
    </w:p>
    <w:p>
      <w:pPr>
        <w:spacing w:after="0" w:line="248" w:lineRule="exact"/>
        <w:rPr>
          <w:sz w:val="20"/>
          <w:szCs w:val="20"/>
          <w:color w:val="auto"/>
        </w:rPr>
      </w:pPr>
    </w:p>
    <w:p>
      <w:pPr>
        <w:ind w:left="280" w:hanging="272"/>
        <w:spacing w:after="0"/>
        <w:tabs>
          <w:tab w:leader="none" w:pos="2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and Payment of a SAR. </w:t>
      </w:r>
      <w:r>
        <w:rPr>
          <w:rFonts w:ascii="Times New Roman" w:cs="Times New Roman" w:eastAsia="Times New Roman" w:hAnsi="Times New Roman"/>
          <w:sz w:val="18"/>
          <w:szCs w:val="18"/>
          <w:color w:val="auto"/>
        </w:rPr>
        <w:t>To exercise any outstanding SAR, the Participant must provide written notice of exercise to the Company in</w:t>
      </w:r>
    </w:p>
    <w:p>
      <w:pPr>
        <w:spacing w:after="0" w:line="53" w:lineRule="exact"/>
        <w:rPr>
          <w:rFonts w:ascii="Times New Roman" w:cs="Times New Roman" w:eastAsia="Times New Roman" w:hAnsi="Times New Roman"/>
          <w:sz w:val="18"/>
          <w:szCs w:val="18"/>
          <w:b w:val="1"/>
          <w:bCs w:val="1"/>
          <w:color w:val="auto"/>
        </w:rPr>
      </w:pPr>
    </w:p>
    <w:p>
      <w:pPr>
        <w:ind w:right="8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compliance with the provisions of the Stock Appreciation Right Agreement evidencing such SAR. The appreciation distribution payable on the exercise of a SAR will be not greater than an amount equal to the excess of (A) the aggregate Fair Market Value (on the date of the exercise of the SAR) of a number</w:t>
      </w:r>
    </w:p>
    <w:p>
      <w:pPr>
        <w:spacing w:after="0" w:line="1" w:lineRule="exact"/>
        <w:rPr>
          <w:rFonts w:ascii="Times New Roman" w:cs="Times New Roman" w:eastAsia="Times New Roman" w:hAnsi="Times New Roman"/>
          <w:sz w:val="18"/>
          <w:szCs w:val="18"/>
          <w:b w:val="1"/>
          <w:bCs w:val="1"/>
          <w:color w:val="auto"/>
        </w:rPr>
      </w:pPr>
    </w:p>
    <w:p>
      <w:pPr>
        <w:ind w:right="20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w:t>
      </w:r>
    </w:p>
    <w:p>
      <w:pPr>
        <w:spacing w:after="0" w:line="1" w:lineRule="exact"/>
        <w:rPr>
          <w:rFonts w:ascii="Times New Roman" w:cs="Times New Roman" w:eastAsia="Times New Roman" w:hAnsi="Times New Roman"/>
          <w:sz w:val="18"/>
          <w:szCs w:val="18"/>
          <w:b w:val="1"/>
          <w:bCs w:val="1"/>
          <w:color w:val="auto"/>
        </w:rPr>
      </w:pPr>
    </w:p>
    <w:p>
      <w:pPr>
        <w:ind w:right="16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which the Participant is exercising the SAR on such date. The appreciation distribution may be paid in Common Stock, in cash, in any combination of the two or in any other form of consideration, as determined by the Board and contained in the Stock Award Agreement evidencing such SAR.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941" w:right="339" w:bottom="1440" w:gutter="0" w:footer="0" w:header="0"/>
        </w:sectPr>
      </w:pPr>
    </w:p>
    <w:bookmarkStart w:id="9" w:name="page10"/>
    <w:bookmarkEnd w:id="9"/>
    <w:p>
      <w:pPr>
        <w:ind w:right="60" w:firstLine="8"/>
        <w:spacing w:after="0" w:line="315" w:lineRule="auto"/>
        <w:tabs>
          <w:tab w:leader="none" w:pos="245"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of Options and SARs. </w:t>
      </w:r>
      <w:r>
        <w:rPr>
          <w:rFonts w:ascii="Times New Roman" w:cs="Times New Roman" w:eastAsia="Times New Roman" w:hAnsi="Times New Roman"/>
          <w:sz w:val="18"/>
          <w:szCs w:val="18"/>
          <w:color w:val="auto"/>
        </w:rPr>
        <w:t>The Board may, in its sole discretion, impose such limitations on the transferability of Options and SARs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will determine. In the absence of such a determination by the Board to the contrary, the following restrictions on the transferability of Options and SARs will apply:</w:t>
      </w:r>
    </w:p>
    <w:p>
      <w:pPr>
        <w:spacing w:after="0" w:line="157" w:lineRule="exact"/>
        <w:rPr>
          <w:sz w:val="20"/>
          <w:szCs w:val="20"/>
          <w:color w:val="auto"/>
        </w:rPr>
      </w:pPr>
    </w:p>
    <w:p>
      <w:pPr>
        <w:ind w:left="220" w:hanging="212"/>
        <w:spacing w:after="0"/>
        <w:tabs>
          <w:tab w:leader="none" w:pos="2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Transfer. </w:t>
      </w:r>
      <w:r>
        <w:rPr>
          <w:rFonts w:ascii="Times New Roman" w:cs="Times New Roman" w:eastAsia="Times New Roman" w:hAnsi="Times New Roman"/>
          <w:sz w:val="18"/>
          <w:szCs w:val="18"/>
          <w:color w:val="auto"/>
        </w:rPr>
        <w:t>An Option or SAR will not be transferable except by will or by the laws of descent and distribution (or pursuant to</w:t>
      </w:r>
    </w:p>
    <w:p>
      <w:pPr>
        <w:spacing w:after="0" w:line="53" w:lineRule="exact"/>
        <w:rPr>
          <w:rFonts w:ascii="Times New Roman" w:cs="Times New Roman" w:eastAsia="Times New Roman" w:hAnsi="Times New Roman"/>
          <w:sz w:val="18"/>
          <w:szCs w:val="18"/>
          <w:b w:val="1"/>
          <w:bCs w:val="1"/>
          <w:color w:val="auto"/>
        </w:rPr>
      </w:pPr>
    </w:p>
    <w:p>
      <w:pPr>
        <w:ind w:right="100"/>
        <w:spacing w:after="0" w:line="3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subsections (ii) and (iii) below), and will be exercisable during the lifetime of the Participant only by the Participant. The Board may permit transfer of the Option or SAR in a manner that is not prohibited by applicable tax and securities laws. Except as explicitly provided in the Plan, neither an Option nor a SAR may be transferred for consideration.</w:t>
      </w:r>
    </w:p>
    <w:p>
      <w:pPr>
        <w:spacing w:after="0" w:line="165"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Domestic Relations Orders. </w:t>
      </w:r>
      <w:r>
        <w:rPr>
          <w:rFonts w:ascii="Times New Roman" w:cs="Times New Roman" w:eastAsia="Times New Roman" w:hAnsi="Times New Roman"/>
          <w:sz w:val="18"/>
          <w:szCs w:val="18"/>
          <w:color w:val="auto"/>
        </w:rPr>
        <w:t>Subject to the approval of the Board or a duly authorized Officer, an Option or SAR may be transferred pursuant to the</w:t>
      </w:r>
    </w:p>
    <w:p>
      <w:pPr>
        <w:spacing w:after="0" w:line="53" w:lineRule="exact"/>
        <w:rPr>
          <w:rFonts w:ascii="Times New Roman" w:cs="Times New Roman" w:eastAsia="Times New Roman" w:hAnsi="Times New Roman"/>
          <w:sz w:val="18"/>
          <w:szCs w:val="18"/>
          <w:b w:val="1"/>
          <w:bCs w:val="1"/>
          <w:color w:val="auto"/>
        </w:rPr>
      </w:pPr>
    </w:p>
    <w:p>
      <w:pPr>
        <w:spacing w:after="0" w:line="3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terms of a domestic relations order, official marital settlement agreement or other divorce or separation instrument as permitted by Treasury Regulations Section 1.421-1(b)(2) or comparable local law. If an Option is an Incentive Stock Option, such Option may be deemed to be a Nonstatutory Stock Option as a result of such transfer.</w:t>
      </w:r>
    </w:p>
    <w:p>
      <w:pPr>
        <w:spacing w:after="0" w:line="165"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Beneficiary Designation. </w:t>
      </w:r>
      <w:r>
        <w:rPr>
          <w:rFonts w:ascii="Times New Roman" w:cs="Times New Roman" w:eastAsia="Times New Roman" w:hAnsi="Times New Roman"/>
          <w:sz w:val="18"/>
          <w:szCs w:val="18"/>
          <w:color w:val="auto"/>
        </w:rPr>
        <w:t>Subject to the approval of the Board or a duly authorized Officer, a Participant may, by delivering written notice to the</w:t>
      </w:r>
    </w:p>
    <w:p>
      <w:pPr>
        <w:spacing w:after="0" w:line="53" w:lineRule="exact"/>
        <w:rPr>
          <w:rFonts w:ascii="Times New Roman" w:cs="Times New Roman" w:eastAsia="Times New Roman" w:hAnsi="Times New Roman"/>
          <w:sz w:val="18"/>
          <w:szCs w:val="18"/>
          <w:b w:val="1"/>
          <w:bCs w:val="1"/>
          <w:color w:val="auto"/>
        </w:rPr>
      </w:pPr>
    </w:p>
    <w:p>
      <w:pPr>
        <w:jc w:val="both"/>
        <w:ind w:right="40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Company (or a third party designated by the Company, each a “Company Designee”), in a form approved by the Company (or a Company Designee), designate a third party who, on the death of the Participant, will thereafter be entitled to exercise the Option or SAR and receive the Common Stock or</w:t>
      </w:r>
    </w:p>
    <w:p>
      <w:pPr>
        <w:spacing w:after="0" w:line="1" w:lineRule="exact"/>
        <w:rPr>
          <w:rFonts w:ascii="Times New Roman" w:cs="Times New Roman" w:eastAsia="Times New Roman" w:hAnsi="Times New Roman"/>
          <w:sz w:val="18"/>
          <w:szCs w:val="18"/>
          <w:b w:val="1"/>
          <w:bCs w:val="1"/>
          <w:color w:val="auto"/>
        </w:rPr>
      </w:pPr>
    </w:p>
    <w:p>
      <w:pPr>
        <w:ind w:right="20"/>
        <w:spacing w:after="0" w:line="30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consideration resulting from such exercise. In the absence of such a designation, upon the death of the Participant, the executor or administrator of the Participant’s estate or the Participant’s legal heirs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169" w:lineRule="exact"/>
        <w:rPr>
          <w:sz w:val="20"/>
          <w:szCs w:val="20"/>
          <w:color w:val="auto"/>
        </w:rPr>
      </w:pPr>
    </w:p>
    <w:p>
      <w:pPr>
        <w:ind w:left="240" w:hanging="232"/>
        <w:spacing w:after="0"/>
        <w:tabs>
          <w:tab w:leader="none" w:pos="2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Generally. </w:t>
      </w:r>
      <w:r>
        <w:rPr>
          <w:rFonts w:ascii="Times New Roman" w:cs="Times New Roman" w:eastAsia="Times New Roman" w:hAnsi="Times New Roman"/>
          <w:sz w:val="18"/>
          <w:szCs w:val="18"/>
          <w:color w:val="auto"/>
        </w:rPr>
        <w:t>The total number of shares of Common Stock subject to an Option or SAR may vest and become exercisable in periodic</w:t>
      </w:r>
    </w:p>
    <w:p>
      <w:pPr>
        <w:spacing w:after="0" w:line="53" w:lineRule="exact"/>
        <w:rPr>
          <w:rFonts w:ascii="Times New Roman" w:cs="Times New Roman" w:eastAsia="Times New Roman" w:hAnsi="Times New Roman"/>
          <w:sz w:val="18"/>
          <w:szCs w:val="18"/>
          <w:b w:val="1"/>
          <w:bCs w:val="1"/>
          <w:color w:val="auto"/>
        </w:rPr>
      </w:pPr>
    </w:p>
    <w:p>
      <w:pPr>
        <w:ind w:right="10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w:t>
      </w:r>
    </w:p>
    <w:p>
      <w:pPr>
        <w:spacing w:after="0" w:line="1" w:lineRule="exact"/>
        <w:rPr>
          <w:rFonts w:ascii="Times New Roman" w:cs="Times New Roman" w:eastAsia="Times New Roman" w:hAnsi="Times New Roman"/>
          <w:sz w:val="18"/>
          <w:szCs w:val="18"/>
          <w:b w:val="1"/>
          <w:bCs w:val="1"/>
          <w:color w:val="auto"/>
        </w:rPr>
      </w:pPr>
    </w:p>
    <w:p>
      <w:pPr>
        <w:ind w:right="68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provisions of individual Options or SARs may vary. The provisions of this Section 5(f) are subject to any Option or SAR provisions governing the minimum number of shares of Common Stock as to which an Option or SAR may be exercised.</w:t>
      </w:r>
    </w:p>
    <w:p>
      <w:pPr>
        <w:spacing w:after="0" w:line="171" w:lineRule="exact"/>
        <w:rPr>
          <w:rFonts w:ascii="Times New Roman" w:cs="Times New Roman" w:eastAsia="Times New Roman" w:hAnsi="Times New Roman"/>
          <w:sz w:val="18"/>
          <w:szCs w:val="18"/>
          <w:b w:val="1"/>
          <w:bCs w:val="1"/>
          <w:color w:val="auto"/>
        </w:rPr>
      </w:pPr>
    </w:p>
    <w:p>
      <w:pPr>
        <w:jc w:val="both"/>
        <w:ind w:right="720" w:firstLine="8"/>
        <w:spacing w:after="0" w:line="309" w:lineRule="auto"/>
        <w:tabs>
          <w:tab w:leader="none" w:pos="255"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Termination of Continuous Service. </w:t>
      </w:r>
      <w:r>
        <w:rPr>
          <w:rFonts w:ascii="Times New Roman" w:cs="Times New Roman" w:eastAsia="Times New Roman" w:hAnsi="Times New Roman"/>
          <w:sz w:val="17"/>
          <w:szCs w:val="17"/>
          <w:color w:val="auto"/>
        </w:rPr>
        <w:t>Except as otherwise provided in the applicable Stock Award Agreement or other agreement between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Participant and the Company, if a Participant’s Continuous Service terminates (other than for Cause and other than upon the Participant’s death or</w:t>
      </w:r>
    </w:p>
    <w:p>
      <w:pPr>
        <w:spacing w:after="0" w:line="30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Disability), the Participant may exercise his or her Option or SAR (to the extent that the Participant was entitled to exercise such Stock Award as of the date of termination of Continuous Service) within the period of time ending on the earlier of (i) the date 3 months following the termination of the Participant’s</w:t>
      </w:r>
    </w:p>
    <w:p>
      <w:pPr>
        <w:spacing w:after="0" w:line="1" w:lineRule="exact"/>
        <w:rPr>
          <w:rFonts w:ascii="Times New Roman" w:cs="Times New Roman" w:eastAsia="Times New Roman" w:hAnsi="Times New Roman"/>
          <w:sz w:val="17"/>
          <w:szCs w:val="17"/>
          <w:b w:val="1"/>
          <w:bCs w:val="1"/>
          <w:color w:val="auto"/>
        </w:rPr>
      </w:pPr>
    </w:p>
    <w:p>
      <w:pPr>
        <w:jc w:val="both"/>
        <w:ind w:right="140"/>
        <w:spacing w:after="0" w:line="30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Continuous Service (or such longer or shorter period specified in the applicable Stock Award Agreement), and (ii) the expiration of the term of the Option or SAR as set forth in the Stock Award Agreement. If, after termination of Continuous Service, the Participant does not exercise his or her Option or SAR (as applicable) within the applicable time frame, the Option or SAR will terminate.</w:t>
      </w:r>
    </w:p>
    <w:p>
      <w:pPr>
        <w:spacing w:after="0" w:line="165" w:lineRule="exact"/>
        <w:rPr>
          <w:rFonts w:ascii="Times New Roman" w:cs="Times New Roman" w:eastAsia="Times New Roman" w:hAnsi="Times New Roman"/>
          <w:sz w:val="17"/>
          <w:szCs w:val="17"/>
          <w:b w:val="1"/>
          <w:bCs w:val="1"/>
          <w:color w:val="auto"/>
        </w:rPr>
      </w:pPr>
    </w:p>
    <w:p>
      <w:pPr>
        <w:ind w:left="280" w:hanging="272"/>
        <w:spacing w:after="0"/>
        <w:tabs>
          <w:tab w:leader="none" w:pos="2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Extension of Termination Date. </w:t>
      </w:r>
      <w:r>
        <w:rPr>
          <w:rFonts w:ascii="Times New Roman" w:cs="Times New Roman" w:eastAsia="Times New Roman" w:hAnsi="Times New Roman"/>
          <w:sz w:val="18"/>
          <w:szCs w:val="18"/>
          <w:color w:val="auto"/>
        </w:rPr>
        <w:t>If the exercise of an Option or SAR following the termination of the Participant’s Continuous Service (other than for</w:t>
      </w:r>
    </w:p>
    <w:p>
      <w:pPr>
        <w:spacing w:after="0" w:line="53" w:lineRule="exact"/>
        <w:rPr>
          <w:rFonts w:ascii="Times New Roman" w:cs="Times New Roman" w:eastAsia="Times New Roman" w:hAnsi="Times New Roman"/>
          <w:sz w:val="18"/>
          <w:szCs w:val="18"/>
          <w:b w:val="1"/>
          <w:bCs w:val="1"/>
          <w:color w:val="auto"/>
        </w:rPr>
      </w:pPr>
    </w:p>
    <w:p>
      <w:pPr>
        <w:ind w:right="180"/>
        <w:spacing w:after="0" w:line="29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 termination exercise period after the termination of the Participant’s Continuous</w:t>
      </w:r>
    </w:p>
    <w:p>
      <w:pPr>
        <w:ind w:right="40"/>
        <w:spacing w:after="0" w:line="3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Service during which the exercise of the Option or SAR would not be in violation of such registration requirements, and (ii) the expiration of the term of the Option or SAR as set forth in the applicable Stock Award Agreement. In addition, unless otherwise provided in a Participant’s Stock Award Agreement, if the sale of any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941" w:right="339" w:bottom="1440" w:gutter="0" w:footer="0" w:header="0"/>
        </w:sectPr>
      </w:pPr>
    </w:p>
    <w:bookmarkStart w:id="10" w:name="page11"/>
    <w:bookmarkEnd w:id="10"/>
    <w:p>
      <w:pPr>
        <w:spacing w:after="0" w:line="301" w:lineRule="auto"/>
        <w:rPr>
          <w:sz w:val="20"/>
          <w:szCs w:val="20"/>
          <w:color w:val="auto"/>
        </w:rPr>
      </w:pPr>
      <w:r>
        <w:rPr>
          <w:rFonts w:ascii="Times New Roman" w:cs="Times New Roman" w:eastAsia="Times New Roman" w:hAnsi="Times New Roman"/>
          <w:sz w:val="18"/>
          <w:szCs w:val="18"/>
          <w:color w:val="auto"/>
        </w:rPr>
        <w:t>Stock received on exercise of an Option or SAR following the termination of the Participant’s Continuous Service (other than for Cause) would violate the Company’s insider trading policy, then the Option or SAR will terminate on the earlier of (i) the expiration of a period of months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Stock Award Agreement.</w:t>
      </w:r>
    </w:p>
    <w:p>
      <w:pPr>
        <w:spacing w:after="0" w:line="170" w:lineRule="exact"/>
        <w:rPr>
          <w:sz w:val="20"/>
          <w:szCs w:val="20"/>
          <w:color w:val="auto"/>
        </w:rPr>
      </w:pPr>
    </w:p>
    <w:p>
      <w:pPr>
        <w:ind w:left="220" w:hanging="212"/>
        <w:spacing w:after="0"/>
        <w:tabs>
          <w:tab w:leader="none" w:pos="2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Disability of Participant. </w:t>
      </w:r>
      <w:r>
        <w:rPr>
          <w:rFonts w:ascii="Times New Roman" w:cs="Times New Roman" w:eastAsia="Times New Roman" w:hAnsi="Times New Roman"/>
          <w:sz w:val="18"/>
          <w:szCs w:val="18"/>
          <w:color w:val="auto"/>
        </w:rPr>
        <w:t>Except as otherwise provided in the applicable Stock Award Agreement or other agreement between the Participant and the</w:t>
      </w:r>
    </w:p>
    <w:p>
      <w:pPr>
        <w:spacing w:after="0" w:line="53" w:lineRule="exact"/>
        <w:rPr>
          <w:rFonts w:ascii="Times New Roman" w:cs="Times New Roman" w:eastAsia="Times New Roman" w:hAnsi="Times New Roman"/>
          <w:sz w:val="18"/>
          <w:szCs w:val="18"/>
          <w:b w:val="1"/>
          <w:bCs w:val="1"/>
          <w:color w:val="auto"/>
        </w:rPr>
      </w:pPr>
    </w:p>
    <w:p>
      <w:pPr>
        <w:ind w:right="60"/>
        <w:spacing w:after="0" w:line="30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w:t>
      </w:r>
    </w:p>
    <w:p>
      <w:pPr>
        <w:spacing w:after="0" w:line="1" w:lineRule="exact"/>
        <w:rPr>
          <w:rFonts w:ascii="Times New Roman" w:cs="Times New Roman" w:eastAsia="Times New Roman" w:hAnsi="Times New Roman"/>
          <w:sz w:val="18"/>
          <w:szCs w:val="18"/>
          <w:b w:val="1"/>
          <w:bCs w:val="1"/>
          <w:color w:val="auto"/>
        </w:rPr>
      </w:pPr>
    </w:p>
    <w:p>
      <w:pPr>
        <w:spacing w:after="0" w:line="30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period of time ending on the earlier of (i) the date 12 months following such termination of Continuous Service (or such longer or shorter period specified in the Stock Award Agreement), and (ii) the expiration of the term of the Option or SAR as set forth in the Stock Award Agreement. If, after termination of</w:t>
      </w:r>
    </w:p>
    <w:p>
      <w:pPr>
        <w:spacing w:after="0" w:line="1" w:lineRule="exact"/>
        <w:rPr>
          <w:rFonts w:ascii="Times New Roman" w:cs="Times New Roman" w:eastAsia="Times New Roman" w:hAnsi="Times New Roman"/>
          <w:sz w:val="18"/>
          <w:szCs w:val="18"/>
          <w:b w:val="1"/>
          <w:bCs w:val="1"/>
          <w:color w:val="auto"/>
        </w:rPr>
      </w:pPr>
    </w:p>
    <w:p>
      <w:pPr>
        <w:ind w:right="22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Continuous Service, the Participant does not exercise his or her Option or SAR within the applicable time frame, the Option or SAR (as applicable) will terminate.</w:t>
      </w:r>
    </w:p>
    <w:p>
      <w:pPr>
        <w:spacing w:after="0" w:line="171" w:lineRule="exact"/>
        <w:rPr>
          <w:rFonts w:ascii="Times New Roman" w:cs="Times New Roman" w:eastAsia="Times New Roman" w:hAnsi="Times New Roman"/>
          <w:sz w:val="18"/>
          <w:szCs w:val="18"/>
          <w:b w:val="1"/>
          <w:bCs w:val="1"/>
          <w:color w:val="auto"/>
        </w:rPr>
      </w:pPr>
    </w:p>
    <w:p>
      <w:pPr>
        <w:jc w:val="both"/>
        <w:ind w:right="360" w:firstLine="8"/>
        <w:spacing w:after="0" w:line="309" w:lineRule="auto"/>
        <w:tabs>
          <w:tab w:leader="none" w:pos="225"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Death of Participant. </w:t>
      </w:r>
      <w:r>
        <w:rPr>
          <w:rFonts w:ascii="Times New Roman" w:cs="Times New Roman" w:eastAsia="Times New Roman" w:hAnsi="Times New Roman"/>
          <w:sz w:val="17"/>
          <w:szCs w:val="17"/>
          <w:color w:val="auto"/>
        </w:rPr>
        <w:t>Except as otherwise provided in the applicable Stock Award Agreement or other agreement between the Participant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if (i) a Participant’s Continuous Service terminates as a result of the Participant’s death, or (ii) the Participant dies within the period (if any)</w:t>
      </w:r>
    </w:p>
    <w:p>
      <w:pPr>
        <w:ind w:right="100"/>
        <w:spacing w:after="0" w:line="29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specified in the Stock Award Agreement for exercisability after the termination of the Participant’s Continuous Service for a reason other than death, then the Option or SAR may be exercised (x) in its entirety including shares that the Participant was not otherwise entitled to exercise as of the date of termination of Continuous Service in the event of a termination under (i) above, or (y) to the extent the Participant was entitled to exercise such Option or</w:t>
      </w:r>
    </w:p>
    <w:p>
      <w:pPr>
        <w:ind w:right="120"/>
        <w:spacing w:after="0" w:line="30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SAR as of the date of death in the event of a termination under (ii) above by the Participant’s estate, by a person who acquired the right to exercise the Option or SAR by bequest or inheritance or by a person designated to exercise the Option or SAR upon the Participant’s death, but only within the period ending on the earlier of (i) the date 18 months following the date of death (or such longer or shorter period specified in the Stock Award Agreement), and</w:t>
      </w:r>
    </w:p>
    <w:p>
      <w:pPr>
        <w:spacing w:after="0" w:line="2" w:lineRule="exact"/>
        <w:rPr>
          <w:rFonts w:ascii="Times New Roman" w:cs="Times New Roman" w:eastAsia="Times New Roman" w:hAnsi="Times New Roman"/>
          <w:sz w:val="17"/>
          <w:szCs w:val="17"/>
          <w:b w:val="1"/>
          <w:bCs w:val="1"/>
          <w:color w:val="auto"/>
        </w:rPr>
      </w:pPr>
    </w:p>
    <w:p>
      <w:pPr>
        <w:ind w:right="120" w:firstLine="8"/>
        <w:spacing w:after="0" w:line="329" w:lineRule="auto"/>
        <w:tabs>
          <w:tab w:leader="none" w:pos="2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term of such Option or SAR as set forth in the Stock Award Agreement. If, after the Participant’s death, the Option or SAR is not exercised within the applicable time frame, the Option or SAR (as applicable) will terminate.</w:t>
      </w:r>
    </w:p>
    <w:p>
      <w:pPr>
        <w:spacing w:after="0" w:line="144"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Termination for Cause. </w:t>
      </w:r>
      <w:r>
        <w:rPr>
          <w:rFonts w:ascii="Times New Roman" w:cs="Times New Roman" w:eastAsia="Times New Roman" w:hAnsi="Times New Roman"/>
          <w:sz w:val="17"/>
          <w:szCs w:val="17"/>
          <w:color w:val="auto"/>
        </w:rPr>
        <w:t>Except as explicitly provided otherwise in the applicable Stock Award Agreement or other agreement between the Participant</w:t>
      </w:r>
    </w:p>
    <w:p>
      <w:pPr>
        <w:spacing w:after="0" w:line="65" w:lineRule="exact"/>
        <w:rPr>
          <w:rFonts w:ascii="Times New Roman" w:cs="Times New Roman" w:eastAsia="Times New Roman" w:hAnsi="Times New Roman"/>
          <w:sz w:val="17"/>
          <w:szCs w:val="17"/>
          <w:b w:val="1"/>
          <w:bCs w:val="1"/>
          <w:color w:val="auto"/>
        </w:rPr>
      </w:pPr>
    </w:p>
    <w:p>
      <w:pPr>
        <w:ind w:right="300"/>
        <w:spacing w:after="0" w:line="30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and the Company, if a Participant’s Continuous Service is terminated for Cause, the Option or SAR will terminate immediately upon such Participant’s termination of Continuous Service, and the Participant will be prohibited from exercising his or her Option or SAR from and after the date of such termination of Continuous Service.</w:t>
      </w:r>
    </w:p>
    <w:p>
      <w:pPr>
        <w:spacing w:after="0" w:line="165" w:lineRule="exact"/>
        <w:rPr>
          <w:rFonts w:ascii="Times New Roman" w:cs="Times New Roman" w:eastAsia="Times New Roman" w:hAnsi="Times New Roman"/>
          <w:sz w:val="17"/>
          <w:szCs w:val="17"/>
          <w:b w:val="1"/>
          <w:bCs w:val="1"/>
          <w:color w:val="auto"/>
        </w:rPr>
      </w:pPr>
    </w:p>
    <w:p>
      <w:pPr>
        <w:ind w:left="220" w:hanging="212"/>
        <w:spacing w:after="0"/>
        <w:tabs>
          <w:tab w:leader="none" w:pos="220"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Non-Exempt Employees. </w:t>
      </w:r>
      <w:r>
        <w:rPr>
          <w:rFonts w:ascii="Times New Roman" w:cs="Times New Roman" w:eastAsia="Times New Roman" w:hAnsi="Times New Roman"/>
          <w:sz w:val="17"/>
          <w:szCs w:val="17"/>
          <w:color w:val="auto"/>
        </w:rPr>
        <w:t>If an Option or SAR is granted to an Employee who is a non-exempt employee for purposes of the U.S. Fair Labor Standards</w:t>
      </w:r>
    </w:p>
    <w:p>
      <w:pPr>
        <w:spacing w:after="0" w:line="65" w:lineRule="exact"/>
        <w:rPr>
          <w:rFonts w:ascii="Times New Roman" w:cs="Times New Roman" w:eastAsia="Times New Roman" w:hAnsi="Times New Roman"/>
          <w:sz w:val="17"/>
          <w:szCs w:val="17"/>
          <w:b w:val="1"/>
          <w:bCs w:val="1"/>
          <w:color w:val="auto"/>
        </w:rPr>
      </w:pPr>
    </w:p>
    <w:p>
      <w:pPr>
        <w:ind w:right="200"/>
        <w:spacing w:after="0" w:line="28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Act of 1938, as amended, the Option or SAR will not be first exercisable for any shares of Common Stock until at least six months following the date of grant of the Option or SAR (although the Stock Award may vest prior to such date). Consistent with the provisions of the U.S. Worker Economic</w:t>
      </w:r>
    </w:p>
    <w:p>
      <w:pPr>
        <w:spacing w:after="0" w:line="1" w:lineRule="exact"/>
        <w:rPr>
          <w:rFonts w:ascii="Times New Roman" w:cs="Times New Roman" w:eastAsia="Times New Roman" w:hAnsi="Times New Roman"/>
          <w:sz w:val="17"/>
          <w:szCs w:val="17"/>
          <w:b w:val="1"/>
          <w:bCs w:val="1"/>
          <w:color w:val="auto"/>
        </w:rPr>
      </w:pPr>
    </w:p>
    <w:p>
      <w:pPr>
        <w:ind w:right="480"/>
        <w:spacing w:after="0" w:line="28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Opportunity Act, (i) if such non-exempt Employee dies or suffers a Disability, (ii) upon a Corporate Transaction in which such Option or SAR is not assumed, continued, or substituted, (iii) upon a Change in Control, or (iv) upon the Participant’s retirement (as such term may be defined in the</w:t>
      </w:r>
    </w:p>
    <w:p>
      <w:pPr>
        <w:spacing w:after="0" w:line="1" w:lineRule="exact"/>
        <w:rPr>
          <w:rFonts w:ascii="Times New Roman" w:cs="Times New Roman" w:eastAsia="Times New Roman" w:hAnsi="Times New Roman"/>
          <w:sz w:val="17"/>
          <w:szCs w:val="17"/>
          <w:b w:val="1"/>
          <w:bCs w:val="1"/>
          <w:color w:val="auto"/>
        </w:rPr>
      </w:pPr>
    </w:p>
    <w:p>
      <w:pPr>
        <w:ind w:right="200"/>
        <w:spacing w:after="0" w:line="30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Participant’s Stock Award Agreement in another agreement between the Participant and the Company, or, if no such definition, in accordance with the Company’s then current employment policies and guidelines), the vested portion of any Options and SARs may be exercised earlier than six months following the date of grant. The foregoing provision is intended to operate so that any income derived by a non-exempt employee in connection with the</w:t>
      </w:r>
    </w:p>
    <w:p>
      <w:pPr>
        <w:jc w:val="both"/>
        <w:ind w:right="20"/>
        <w:spacing w:after="0" w:line="30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exercise or vesting of an Option or SAR will be exempt from his or her regular rate of pay. To the extent permitted and/or required for compliance with the U.S. Worker Economic Opportunity Act to ensure that any income derived by a non-exempt employee in connection with the exercise, vesting or issuance of any shares under any other Stock Award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80"/>
          </w:cols>
          <w:pgMar w:left="320" w:top="945" w:right="399" w:bottom="1440" w:gutter="0" w:footer="0" w:header="0"/>
        </w:sectPr>
      </w:pPr>
    </w:p>
    <w:bookmarkStart w:id="11" w:name="page12"/>
    <w:bookmarkEnd w:id="11"/>
    <w:p>
      <w:pPr>
        <w:ind w:right="80"/>
        <w:spacing w:after="0" w:line="329" w:lineRule="auto"/>
        <w:rPr>
          <w:sz w:val="20"/>
          <w:szCs w:val="20"/>
          <w:color w:val="auto"/>
        </w:rPr>
      </w:pPr>
      <w:r>
        <w:rPr>
          <w:rFonts w:ascii="Times New Roman" w:cs="Times New Roman" w:eastAsia="Times New Roman" w:hAnsi="Times New Roman"/>
          <w:sz w:val="18"/>
          <w:szCs w:val="18"/>
          <w:color w:val="auto"/>
        </w:rPr>
        <w:t>exempt from the employee’s regular rate of pay, the provisions of this Section 5(l) will apply to all Stock Awards and are hereby incorporated by reference into such Stock Award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PROVISIONS OF STOCK AWARDS OTHER THAN OPTIONS AND SARS.</w:t>
      </w:r>
    </w:p>
    <w:p>
      <w:pPr>
        <w:spacing w:after="0" w:line="252" w:lineRule="exact"/>
        <w:rPr>
          <w:sz w:val="20"/>
          <w:szCs w:val="20"/>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Restricted Stock Awards. </w:t>
      </w:r>
      <w:r>
        <w:rPr>
          <w:rFonts w:ascii="Times New Roman" w:cs="Times New Roman" w:eastAsia="Times New Roman" w:hAnsi="Times New Roman"/>
          <w:sz w:val="18"/>
          <w:szCs w:val="18"/>
          <w:color w:val="auto"/>
        </w:rPr>
        <w:t>Each Restricted Stock Award Agreement will be in such form and will contain such terms and conditions as the Board will</w:t>
      </w:r>
    </w:p>
    <w:p>
      <w:pPr>
        <w:spacing w:after="0" w:line="53" w:lineRule="exact"/>
        <w:rPr>
          <w:rFonts w:ascii="Times New Roman" w:cs="Times New Roman" w:eastAsia="Times New Roman" w:hAnsi="Times New Roman"/>
          <w:sz w:val="18"/>
          <w:szCs w:val="18"/>
          <w:b w:val="1"/>
          <w:bCs w:val="1"/>
          <w:color w:val="auto"/>
        </w:rPr>
      </w:pPr>
    </w:p>
    <w:p>
      <w:pPr>
        <w:ind w:right="320"/>
        <w:spacing w:after="0" w:line="30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deem appropriate. To the extent consistent with the Company’s bylaws, at the Board’s election, shares of Common Stock may be (x) held in book entry form subject to the Company’s instructions until any restrictions relating to the Restricted Stock Award lapse; or (y) evidenced by a certificate, which</w:t>
      </w:r>
    </w:p>
    <w:p>
      <w:pPr>
        <w:spacing w:after="0" w:line="1" w:lineRule="exact"/>
        <w:rPr>
          <w:rFonts w:ascii="Times New Roman" w:cs="Times New Roman" w:eastAsia="Times New Roman" w:hAnsi="Times New Roman"/>
          <w:sz w:val="18"/>
          <w:szCs w:val="18"/>
          <w:b w:val="1"/>
          <w:bCs w:val="1"/>
          <w:color w:val="auto"/>
        </w:rPr>
      </w:pPr>
    </w:p>
    <w:p>
      <w:pPr>
        <w:ind w:right="60"/>
        <w:spacing w:after="0" w:line="30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w:t>
      </w:r>
    </w:p>
    <w:p>
      <w:pPr>
        <w:spacing w:after="0" w:line="1" w:lineRule="exact"/>
        <w:rPr>
          <w:rFonts w:ascii="Times New Roman" w:cs="Times New Roman" w:eastAsia="Times New Roman" w:hAnsi="Times New Roman"/>
          <w:sz w:val="18"/>
          <w:szCs w:val="18"/>
          <w:b w:val="1"/>
          <w:bCs w:val="1"/>
          <w:color w:val="auto"/>
        </w:rPr>
      </w:pPr>
    </w:p>
    <w:p>
      <w:pPr>
        <w:ind w:right="58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Agreement will conform to (through incorporation of the provisions hereof by reference in the agreement or otherwise) the substance of each of the following provisions:</w:t>
      </w:r>
    </w:p>
    <w:p>
      <w:pPr>
        <w:spacing w:after="0" w:line="172" w:lineRule="exact"/>
        <w:rPr>
          <w:sz w:val="20"/>
          <w:szCs w:val="20"/>
          <w:color w:val="auto"/>
        </w:rPr>
      </w:pPr>
    </w:p>
    <w:p>
      <w:pPr>
        <w:ind w:firstLine="8"/>
        <w:spacing w:after="0" w:line="307" w:lineRule="auto"/>
        <w:tabs>
          <w:tab w:leader="none" w:pos="21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Consideration. </w:t>
      </w:r>
      <w:r>
        <w:rPr>
          <w:rFonts w:ascii="Times New Roman" w:cs="Times New Roman" w:eastAsia="Times New Roman" w:hAnsi="Times New Roman"/>
          <w:sz w:val="18"/>
          <w:szCs w:val="18"/>
          <w:color w:val="auto"/>
        </w:rPr>
        <w:t>A Restricted Stock Award may be awarded in consideration for (A) cash, check, bank draft or money order payable to the Company,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past services to the Company or an Affiliate, or (C) any other form of legal consideration that may be acceptable to the Board, in its sole discretion, and permissible under applicable law.</w:t>
      </w:r>
    </w:p>
    <w:p>
      <w:pPr>
        <w:spacing w:after="0" w:line="164" w:lineRule="exact"/>
        <w:rPr>
          <w:rFonts w:ascii="Times New Roman" w:cs="Times New Roman" w:eastAsia="Times New Roman" w:hAnsi="Times New Roman"/>
          <w:sz w:val="18"/>
          <w:szCs w:val="18"/>
          <w:b w:val="1"/>
          <w:bCs w:val="1"/>
          <w:color w:val="auto"/>
        </w:rPr>
      </w:pPr>
    </w:p>
    <w:p>
      <w:pPr>
        <w:ind w:right="220" w:firstLine="8"/>
        <w:spacing w:after="0" w:line="333" w:lineRule="auto"/>
        <w:tabs>
          <w:tab w:leader="none" w:pos="26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Shares of Common Stock awarded under the Restricted Stock Award Agreement may be subject to forfeiture to the Company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 vesting schedule to be determined by the Board.</w:t>
      </w:r>
    </w:p>
    <w:p>
      <w:pPr>
        <w:spacing w:after="0" w:line="141" w:lineRule="exact"/>
        <w:rPr>
          <w:rFonts w:ascii="Times New Roman" w:cs="Times New Roman" w:eastAsia="Times New Roman" w:hAnsi="Times New Roman"/>
          <w:sz w:val="18"/>
          <w:szCs w:val="18"/>
          <w:b w:val="1"/>
          <w:bCs w:val="1"/>
          <w:color w:val="auto"/>
        </w:rPr>
      </w:pPr>
    </w:p>
    <w:p>
      <w:pPr>
        <w:ind w:right="220" w:firstLine="8"/>
        <w:spacing w:after="0" w:line="315" w:lineRule="auto"/>
        <w:tabs>
          <w:tab w:leader="none" w:pos="31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Participant’s Continuous Service. </w:t>
      </w:r>
      <w:r>
        <w:rPr>
          <w:rFonts w:ascii="Times New Roman" w:cs="Times New Roman" w:eastAsia="Times New Roman" w:hAnsi="Times New Roman"/>
          <w:sz w:val="18"/>
          <w:szCs w:val="18"/>
          <w:color w:val="auto"/>
        </w:rPr>
        <w:t>If a Participant’s Continuous Service terminates, the Company may receive through a forfeiture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 or a repurchase right any or all of the shares of Common Stock held by the Participant that have not vested as of the date of termination of Continuous Service under the terms of the Restricted Stock Award Agreement.</w:t>
      </w:r>
    </w:p>
    <w:p>
      <w:pPr>
        <w:spacing w:after="0" w:line="156"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w:t>
      </w:r>
      <w:r>
        <w:rPr>
          <w:rFonts w:ascii="Times New Roman" w:cs="Times New Roman" w:eastAsia="Times New Roman" w:hAnsi="Times New Roman"/>
          <w:sz w:val="18"/>
          <w:szCs w:val="18"/>
          <w:color w:val="auto"/>
        </w:rPr>
        <w:t>Rights to acquire shares of Common Stock under the Restricted Stock Award Agreement will be transferable by the Participant only</w:t>
      </w:r>
    </w:p>
    <w:p>
      <w:pPr>
        <w:spacing w:after="0" w:line="53" w:lineRule="exact"/>
        <w:rPr>
          <w:rFonts w:ascii="Times New Roman" w:cs="Times New Roman" w:eastAsia="Times New Roman" w:hAnsi="Times New Roman"/>
          <w:sz w:val="18"/>
          <w:szCs w:val="18"/>
          <w:b w:val="1"/>
          <w:bCs w:val="1"/>
          <w:color w:val="auto"/>
        </w:rPr>
      </w:pPr>
    </w:p>
    <w:p>
      <w:pPr>
        <w:ind w:right="42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w:t>
      </w:r>
    </w:p>
    <w:p>
      <w:pPr>
        <w:spacing w:after="0" w:line="171" w:lineRule="exact"/>
        <w:rPr>
          <w:rFonts w:ascii="Times New Roman" w:cs="Times New Roman" w:eastAsia="Times New Roman" w:hAnsi="Times New Roman"/>
          <w:sz w:val="18"/>
          <w:szCs w:val="18"/>
          <w:b w:val="1"/>
          <w:bCs w:val="1"/>
          <w:color w:val="auto"/>
        </w:rPr>
      </w:pPr>
    </w:p>
    <w:p>
      <w:pPr>
        <w:ind w:right="420" w:firstLine="8"/>
        <w:spacing w:after="0" w:line="318" w:lineRule="auto"/>
        <w:tabs>
          <w:tab w:leader="none" w:pos="25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A Restricted Stock Award Agreement may provide that any dividends paid on Restricted Stock will be subject to the same vesting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forfeiture restrictions as apply to the shares subject to the Restricted Stock Award to which they relate.</w:t>
      </w:r>
    </w:p>
    <w:p>
      <w:pPr>
        <w:spacing w:after="0" w:line="167" w:lineRule="exact"/>
        <w:rPr>
          <w:sz w:val="20"/>
          <w:szCs w:val="20"/>
          <w:color w:val="auto"/>
        </w:rPr>
      </w:pPr>
    </w:p>
    <w:p>
      <w:pPr>
        <w:ind w:right="180" w:firstLine="8"/>
        <w:spacing w:after="0" w:line="309" w:lineRule="auto"/>
        <w:tabs>
          <w:tab w:leader="none" w:pos="265"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Restricted Stock Unit Awards. </w:t>
      </w:r>
      <w:r>
        <w:rPr>
          <w:rFonts w:ascii="Times New Roman" w:cs="Times New Roman" w:eastAsia="Times New Roman" w:hAnsi="Times New Roman"/>
          <w:sz w:val="17"/>
          <w:szCs w:val="17"/>
          <w:color w:val="auto"/>
        </w:rPr>
        <w:t>Each Restricted Stock Unit Award Agreement will be in such form and will contain such terms and conditions as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Board will deem appropriate. The terms and conditions of Restricted Stock Unit Award Agreements may change from time to time, and the terms and</w:t>
      </w:r>
    </w:p>
    <w:p>
      <w:pPr>
        <w:ind w:right="500"/>
        <w:spacing w:after="0" w:line="31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w:t>
      </w:r>
    </w:p>
    <w:p>
      <w:pPr>
        <w:spacing w:after="0" w:line="172" w:lineRule="exact"/>
        <w:rPr>
          <w:sz w:val="20"/>
          <w:szCs w:val="20"/>
          <w:color w:val="auto"/>
        </w:rPr>
      </w:pPr>
    </w:p>
    <w:p>
      <w:pPr>
        <w:ind w:right="80" w:firstLine="8"/>
        <w:spacing w:after="0" w:line="309" w:lineRule="auto"/>
        <w:tabs>
          <w:tab w:leader="none" w:pos="215"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Consideration. </w:t>
      </w:r>
      <w:r>
        <w:rPr>
          <w:rFonts w:ascii="Times New Roman" w:cs="Times New Roman" w:eastAsia="Times New Roman" w:hAnsi="Times New Roman"/>
          <w:sz w:val="17"/>
          <w:szCs w:val="17"/>
          <w:color w:val="auto"/>
        </w:rPr>
        <w:t>At the time of grant of a Restricted Stock Unit Award, the Board will determine the consideration, if any, to be paid by the Participant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upon delivery of each share of Common Stock subject to the Restricted Stock Unit Award. The consideration to be paid (if any) by the Participant for each</w:t>
      </w:r>
    </w:p>
    <w:p>
      <w:pPr>
        <w:ind w:right="20"/>
        <w:spacing w:after="0" w:line="31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share of Common Stock subject to a Restricted Stock Unit Award may be paid in any form of legal consideration that may be acceptable to the Board, in its sole discretion, and permissible under applicable law.</w:t>
      </w:r>
    </w:p>
    <w:p>
      <w:pPr>
        <w:spacing w:after="0" w:line="171" w:lineRule="exact"/>
        <w:rPr>
          <w:rFonts w:ascii="Times New Roman" w:cs="Times New Roman" w:eastAsia="Times New Roman" w:hAnsi="Times New Roman"/>
          <w:sz w:val="17"/>
          <w:szCs w:val="17"/>
          <w:b w:val="1"/>
          <w:bCs w:val="1"/>
          <w:color w:val="auto"/>
        </w:rPr>
      </w:pPr>
    </w:p>
    <w:p>
      <w:pPr>
        <w:ind w:right="560" w:firstLine="8"/>
        <w:spacing w:after="0" w:line="318" w:lineRule="auto"/>
        <w:tabs>
          <w:tab w:leader="none" w:pos="265"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At the time of the grant of a Restricted Stock Unit Award, the Board may impose such restrictions on or conditions to the vesting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Unit Award as it, in its sole discretion, deems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320" w:top="945" w:right="359" w:bottom="1440" w:gutter="0" w:footer="0" w:header="0"/>
        </w:sectPr>
      </w:pPr>
    </w:p>
    <w:bookmarkStart w:id="12" w:name="page13"/>
    <w:bookmarkEnd w:id="12"/>
    <w:p>
      <w:pPr>
        <w:ind w:firstLine="8"/>
        <w:spacing w:after="0" w:line="333" w:lineRule="auto"/>
        <w:tabs>
          <w:tab w:leader="none" w:pos="315"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Payment. </w:t>
      </w:r>
      <w:r>
        <w:rPr>
          <w:rFonts w:ascii="Times New Roman" w:cs="Times New Roman" w:eastAsia="Times New Roman" w:hAnsi="Times New Roman"/>
          <w:sz w:val="18"/>
          <w:szCs w:val="18"/>
          <w:color w:val="auto"/>
        </w:rPr>
        <w:t>A Restricted Stock Unit Award may be settled by the delivery of shares of Common Stock, their cash equivalent, any combination thereof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any other form of consideration, as determined by the Board and contained in the Restricted Stock Unit Award Agreement.</w:t>
      </w:r>
    </w:p>
    <w:p>
      <w:pPr>
        <w:spacing w:after="0" w:line="154" w:lineRule="exact"/>
        <w:rPr>
          <w:rFonts w:ascii="Times New Roman" w:cs="Times New Roman" w:eastAsia="Times New Roman" w:hAnsi="Times New Roman"/>
          <w:sz w:val="18"/>
          <w:szCs w:val="18"/>
          <w:b w:val="1"/>
          <w:bCs w:val="1"/>
          <w:color w:val="auto"/>
        </w:rPr>
      </w:pPr>
    </w:p>
    <w:p>
      <w:pPr>
        <w:ind w:firstLine="8"/>
        <w:spacing w:after="0" w:line="307" w:lineRule="auto"/>
        <w:tabs>
          <w:tab w:leader="none" w:pos="305"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Additional Restrictions. </w:t>
      </w:r>
      <w:r>
        <w:rPr>
          <w:rFonts w:ascii="Times New Roman" w:cs="Times New Roman" w:eastAsia="Times New Roman" w:hAnsi="Times New Roman"/>
          <w:sz w:val="18"/>
          <w:szCs w:val="18"/>
          <w:color w:val="auto"/>
        </w:rPr>
        <w:t>At the time of the grant of a Restricted Stock Unit Award, the Board, as it deems appropriate, may impose such restrictions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that delay the delivery of the shares of Common Stock (or their cash equivalent) subject to a Restricted Stock Unit Award to a time after the vesting of such Restricted Stock Unit Award.</w:t>
      </w:r>
    </w:p>
    <w:p>
      <w:pPr>
        <w:spacing w:after="0" w:line="164"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 Equivalents. </w:t>
      </w:r>
      <w:r>
        <w:rPr>
          <w:rFonts w:ascii="Times New Roman" w:cs="Times New Roman" w:eastAsia="Times New Roman" w:hAnsi="Times New Roman"/>
          <w:sz w:val="18"/>
          <w:szCs w:val="18"/>
          <w:color w:val="auto"/>
        </w:rPr>
        <w:t>Dividend equivalents may be credited in respect of shares of Common Stock covered by a Restricted Stock Unit Award, as</w:t>
      </w:r>
    </w:p>
    <w:p>
      <w:pPr>
        <w:spacing w:after="0" w:line="53" w:lineRule="exact"/>
        <w:rPr>
          <w:rFonts w:ascii="Times New Roman" w:cs="Times New Roman" w:eastAsia="Times New Roman" w:hAnsi="Times New Roman"/>
          <w:sz w:val="18"/>
          <w:szCs w:val="18"/>
          <w:b w:val="1"/>
          <w:bCs w:val="1"/>
          <w:color w:val="auto"/>
        </w:rPr>
      </w:pPr>
    </w:p>
    <w:p>
      <w:pPr>
        <w:ind w:right="10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w:t>
      </w:r>
    </w:p>
    <w:p>
      <w:pPr>
        <w:spacing w:after="0" w:line="1" w:lineRule="exact"/>
        <w:rPr>
          <w:rFonts w:ascii="Times New Roman" w:cs="Times New Roman" w:eastAsia="Times New Roman" w:hAnsi="Times New Roman"/>
          <w:sz w:val="18"/>
          <w:szCs w:val="18"/>
          <w:b w:val="1"/>
          <w:bCs w:val="1"/>
          <w:color w:val="auto"/>
        </w:rPr>
      </w:pPr>
    </w:p>
    <w:p>
      <w:pPr>
        <w:ind w:right="18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 shares covered by the Restricted Stock Unit Award credited by reason of such dividend equivalents will be subject to all of the same terms and conditions of the underlying Restricted Stock Unit Award Agreement to which they relate.</w:t>
      </w:r>
    </w:p>
    <w:p>
      <w:pPr>
        <w:spacing w:after="0" w:line="171" w:lineRule="exact"/>
        <w:rPr>
          <w:rFonts w:ascii="Times New Roman" w:cs="Times New Roman" w:eastAsia="Times New Roman" w:hAnsi="Times New Roman"/>
          <w:sz w:val="18"/>
          <w:szCs w:val="18"/>
          <w:b w:val="1"/>
          <w:bCs w:val="1"/>
          <w:color w:val="auto"/>
        </w:rPr>
      </w:pPr>
    </w:p>
    <w:p>
      <w:pPr>
        <w:ind w:right="360" w:firstLine="8"/>
        <w:spacing w:after="0" w:line="318" w:lineRule="auto"/>
        <w:tabs>
          <w:tab w:leader="none" w:pos="305"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Participant’s Continuous Service. </w:t>
      </w:r>
      <w:r>
        <w:rPr>
          <w:rFonts w:ascii="Times New Roman" w:cs="Times New Roman" w:eastAsia="Times New Roman" w:hAnsi="Times New Roman"/>
          <w:sz w:val="18"/>
          <w:szCs w:val="18"/>
          <w:color w:val="auto"/>
        </w:rPr>
        <w:t>Except as otherwise provided in the applicable Restricted Stock Unit Award Agreement,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portion of the Restricted Stock Unit Award that has not vested will be forfeited upon the Participant’s termination of Continuous Service.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Performance Awards.</w:t>
      </w:r>
    </w:p>
    <w:p>
      <w:pPr>
        <w:spacing w:after="0" w:line="252" w:lineRule="exact"/>
        <w:rPr>
          <w:sz w:val="20"/>
          <w:szCs w:val="20"/>
          <w:color w:val="auto"/>
        </w:rPr>
      </w:pPr>
    </w:p>
    <w:p>
      <w:pPr>
        <w:ind w:left="220" w:hanging="212"/>
        <w:spacing w:after="0"/>
        <w:tabs>
          <w:tab w:leader="none" w:pos="2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Performance Stock Awards. </w:t>
      </w:r>
      <w:r>
        <w:rPr>
          <w:rFonts w:ascii="Times New Roman" w:cs="Times New Roman" w:eastAsia="Times New Roman" w:hAnsi="Times New Roman"/>
          <w:sz w:val="18"/>
          <w:szCs w:val="18"/>
          <w:color w:val="auto"/>
        </w:rPr>
        <w:t>A Performance Stock Award is a Stock Award that is payable (including that may be granted, may vest or may be</w:t>
      </w:r>
    </w:p>
    <w:p>
      <w:pPr>
        <w:spacing w:after="0" w:line="53" w:lineRule="exact"/>
        <w:rPr>
          <w:rFonts w:ascii="Times New Roman" w:cs="Times New Roman" w:eastAsia="Times New Roman" w:hAnsi="Times New Roman"/>
          <w:sz w:val="18"/>
          <w:szCs w:val="18"/>
          <w:b w:val="1"/>
          <w:bCs w:val="1"/>
          <w:color w:val="auto"/>
        </w:rPr>
      </w:pPr>
    </w:p>
    <w:p>
      <w:pPr>
        <w:ind w:right="140"/>
        <w:spacing w:after="0" w:line="29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exercised) contingent upon the attainment during a Performance Period of certain Performance Goals. A Performance Stock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w:t>
      </w:r>
    </w:p>
    <w:p>
      <w:pPr>
        <w:ind w:right="2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determined by the Board, in its sole discretion. In addition, to the extent permitted by applicable law and the applicable Stock Award Agreement, the Board may determine that cash may be used in payment of Performance Stock Awards.</w:t>
      </w:r>
    </w:p>
    <w:p>
      <w:pPr>
        <w:spacing w:after="0" w:line="171" w:lineRule="exact"/>
        <w:rPr>
          <w:rFonts w:ascii="Times New Roman" w:cs="Times New Roman" w:eastAsia="Times New Roman" w:hAnsi="Times New Roman"/>
          <w:sz w:val="18"/>
          <w:szCs w:val="18"/>
          <w:b w:val="1"/>
          <w:bCs w:val="1"/>
          <w:color w:val="auto"/>
        </w:rPr>
      </w:pPr>
    </w:p>
    <w:p>
      <w:pPr>
        <w:ind w:right="160" w:firstLine="8"/>
        <w:spacing w:after="0" w:line="307" w:lineRule="auto"/>
        <w:tabs>
          <w:tab w:leader="none" w:pos="26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Board Discretion. </w:t>
      </w:r>
      <w:r>
        <w:rPr>
          <w:rFonts w:ascii="Times New Roman" w:cs="Times New Roman" w:eastAsia="Times New Roman" w:hAnsi="Times New Roman"/>
          <w:sz w:val="18"/>
          <w:szCs w:val="18"/>
          <w:color w:val="auto"/>
        </w:rPr>
        <w:t>The Board retains the discretion to reduce or eliminate the compensation or economic benefit due upon attainment of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Goals and to define the manner of calculating the Performance Criteria it selects to use for a Performance Period. Partial achievement of the specified criteria may result in the payment or vesting corresponding to the degree of achievement as specified in the Stock Award Agreement.</w:t>
      </w:r>
    </w:p>
    <w:p>
      <w:pPr>
        <w:spacing w:after="0" w:line="164" w:lineRule="exact"/>
        <w:rPr>
          <w:sz w:val="20"/>
          <w:szCs w:val="20"/>
          <w:color w:val="auto"/>
        </w:rPr>
      </w:pPr>
    </w:p>
    <w:p>
      <w:pPr>
        <w:ind w:left="280" w:hanging="272"/>
        <w:spacing w:after="0"/>
        <w:tabs>
          <w:tab w:leader="none" w:pos="2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Stock Awards. </w:t>
      </w:r>
      <w:r>
        <w:rPr>
          <w:rFonts w:ascii="Times New Roman" w:cs="Times New Roman" w:eastAsia="Times New Roman" w:hAnsi="Times New Roman"/>
          <w:sz w:val="18"/>
          <w:szCs w:val="18"/>
          <w:color w:val="auto"/>
        </w:rPr>
        <w:t>Other forms of Stock Awards valued in whole or in part by reference to, or otherwise based on, Common Stock, including the</w:t>
      </w:r>
    </w:p>
    <w:p>
      <w:pPr>
        <w:spacing w:after="0" w:line="53" w:lineRule="exact"/>
        <w:rPr>
          <w:rFonts w:ascii="Times New Roman" w:cs="Times New Roman" w:eastAsia="Times New Roman" w:hAnsi="Times New Roman"/>
          <w:sz w:val="18"/>
          <w:szCs w:val="18"/>
          <w:b w:val="1"/>
          <w:bCs w:val="1"/>
          <w:color w:val="auto"/>
        </w:rPr>
      </w:pPr>
    </w:p>
    <w:p>
      <w:pPr>
        <w:jc w:val="both"/>
        <w:ind w:right="300"/>
        <w:spacing w:after="0" w:line="30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appreciation in value thereof (e.g., options or stock rights with an exercise price or strike price less than 100% of the Fair Market Value of the Common Stock at the time of grant) may be granted either alone or in addition to Stock Awards provided for under Section 5 and the preceding provisions of this</w:t>
      </w:r>
    </w:p>
    <w:p>
      <w:pPr>
        <w:spacing w:after="0" w:line="1" w:lineRule="exact"/>
        <w:rPr>
          <w:rFonts w:ascii="Times New Roman" w:cs="Times New Roman" w:eastAsia="Times New Roman" w:hAnsi="Times New Roman"/>
          <w:sz w:val="18"/>
          <w:szCs w:val="18"/>
          <w:b w:val="1"/>
          <w:bCs w:val="1"/>
          <w:color w:val="auto"/>
        </w:rPr>
      </w:pPr>
    </w:p>
    <w:p>
      <w:pPr>
        <w:ind w:right="60"/>
        <w:spacing w:after="0" w:line="3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6. Subject to the provisions of the Plan,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COVENANTS OF THE COMPANY.</w:t>
      </w:r>
    </w:p>
    <w:p>
      <w:pPr>
        <w:spacing w:after="0" w:line="266" w:lineRule="exact"/>
        <w:rPr>
          <w:sz w:val="20"/>
          <w:szCs w:val="20"/>
          <w:color w:val="auto"/>
        </w:rPr>
      </w:pPr>
    </w:p>
    <w:p>
      <w:pPr>
        <w:ind w:right="460" w:firstLine="8"/>
        <w:spacing w:after="0" w:line="318" w:lineRule="auto"/>
        <w:tabs>
          <w:tab w:leader="none" w:pos="255"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Availability of Shares. </w:t>
      </w:r>
      <w:r>
        <w:rPr>
          <w:rFonts w:ascii="Times New Roman" w:cs="Times New Roman" w:eastAsia="Times New Roman" w:hAnsi="Times New Roman"/>
          <w:sz w:val="18"/>
          <w:szCs w:val="18"/>
          <w:color w:val="auto"/>
        </w:rPr>
        <w:t>The Company will keep available at all times the number of shares of Common Stock reasonably required to satisfy then-outstanding Stock Awards.</w:t>
      </w:r>
    </w:p>
    <w:p>
      <w:pPr>
        <w:spacing w:after="0" w:line="166" w:lineRule="exact"/>
        <w:rPr>
          <w:rFonts w:ascii="Times New Roman" w:cs="Times New Roman" w:eastAsia="Times New Roman" w:hAnsi="Times New Roman"/>
          <w:sz w:val="18"/>
          <w:szCs w:val="18"/>
          <w:b w:val="1"/>
          <w:bCs w:val="1"/>
          <w:color w:val="auto"/>
        </w:rPr>
      </w:pPr>
    </w:p>
    <w:p>
      <w:pPr>
        <w:ind w:right="80" w:firstLine="8"/>
        <w:spacing w:after="0" w:line="307" w:lineRule="auto"/>
        <w:tabs>
          <w:tab w:leader="none" w:pos="265"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Compliance with Law. </w:t>
      </w:r>
      <w:r>
        <w:rPr>
          <w:rFonts w:ascii="Times New Roman" w:cs="Times New Roman" w:eastAsia="Times New Roman" w:hAnsi="Times New Roman"/>
          <w:sz w:val="18"/>
          <w:szCs w:val="18"/>
          <w:color w:val="auto"/>
        </w:rPr>
        <w:t>The Company will seek to obtain from each regulatory commission or agency, as necessary, such authority as may be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grant Stock Awards and to issue and sell shares of Common Stock upon exercise or vesting of the Stock Awards; provided, however, that this undertaking will not require the Company to register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941" w:right="359" w:bottom="1440" w:gutter="0" w:footer="0" w:header="0"/>
        </w:sectPr>
      </w:pPr>
    </w:p>
    <w:bookmarkStart w:id="13" w:name="page14"/>
    <w:bookmarkEnd w:id="13"/>
    <w:p>
      <w:pPr>
        <w:spacing w:after="0" w:line="297" w:lineRule="auto"/>
        <w:rPr>
          <w:sz w:val="20"/>
          <w:szCs w:val="20"/>
          <w:color w:val="auto"/>
        </w:rPr>
      </w:pPr>
      <w:r>
        <w:rPr>
          <w:rFonts w:ascii="Times New Roman" w:cs="Times New Roman" w:eastAsia="Times New Roman" w:hAnsi="Times New Roman"/>
          <w:sz w:val="18"/>
          <w:szCs w:val="18"/>
          <w:color w:val="auto"/>
        </w:rPr>
        <w:t>Securities Act or other securities or applicable laws, the Plan, any Stock Award or any Common Stock issued or issuable pursuant to any such Stock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Stock Awards unless and until such authority is obtained. A Participant will not be eligible for the grant of a Stock Award or the subsequent issuance of cash or Common Stock pursuant to the Stock Award if such grant or issuance would be in violation of any applicable law.</w:t>
      </w:r>
    </w:p>
    <w:p>
      <w:pPr>
        <w:spacing w:after="0" w:line="187" w:lineRule="exact"/>
        <w:rPr>
          <w:sz w:val="20"/>
          <w:szCs w:val="20"/>
          <w:color w:val="auto"/>
        </w:rPr>
      </w:pPr>
    </w:p>
    <w:p>
      <w:pPr>
        <w:ind w:right="540" w:firstLine="8"/>
        <w:spacing w:after="0" w:line="291" w:lineRule="auto"/>
        <w:tabs>
          <w:tab w:leader="none" w:pos="24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Obligation to Notify or Minimize Taxes. </w:t>
      </w:r>
      <w:r>
        <w:rPr>
          <w:rFonts w:ascii="Times New Roman" w:cs="Times New Roman" w:eastAsia="Times New Roman" w:hAnsi="Times New Roman"/>
          <w:sz w:val="18"/>
          <w:szCs w:val="18"/>
          <w:color w:val="auto"/>
        </w:rPr>
        <w:t>The Company will have no duty or obligation to any Participant to advise such holder as to the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treatment of such Stock Award. Furthermore, the Company will have no duty or obligation to warn or otherwise advise such holder of a pending</w:t>
      </w:r>
    </w:p>
    <w:p>
      <w:pPr>
        <w:spacing w:after="0" w:line="1" w:lineRule="exact"/>
        <w:rPr>
          <w:rFonts w:ascii="Times New Roman" w:cs="Times New Roman" w:eastAsia="Times New Roman" w:hAnsi="Times New Roman"/>
          <w:sz w:val="18"/>
          <w:szCs w:val="18"/>
          <w:b w:val="1"/>
          <w:bCs w:val="1"/>
          <w:color w:val="auto"/>
        </w:rPr>
      </w:pPr>
    </w:p>
    <w:p>
      <w:pPr>
        <w:ind w:right="6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termination or expiration of a Stock Award or a possible period in which the Stock Award may not be exercised. The Company has no duty or obligation to minimize the tax consequences of a Stock Award to the holder of such Stock Award.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MISCELLANEOUS.</w:t>
      </w:r>
    </w:p>
    <w:p>
      <w:pPr>
        <w:spacing w:after="0" w:line="252" w:lineRule="exact"/>
        <w:rPr>
          <w:sz w:val="20"/>
          <w:szCs w:val="20"/>
          <w:color w:val="auto"/>
        </w:rPr>
      </w:pPr>
    </w:p>
    <w:p>
      <w:pPr>
        <w:ind w:right="180" w:firstLine="8"/>
        <w:spacing w:after="0" w:line="333" w:lineRule="auto"/>
        <w:tabs>
          <w:tab w:leader="none" w:pos="25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Sales of Common Stock. </w:t>
      </w:r>
      <w:r>
        <w:rPr>
          <w:rFonts w:ascii="Times New Roman" w:cs="Times New Roman" w:eastAsia="Times New Roman" w:hAnsi="Times New Roman"/>
          <w:sz w:val="18"/>
          <w:szCs w:val="18"/>
          <w:color w:val="auto"/>
        </w:rPr>
        <w:t>Proceeds from the sale of shares of Common Stock pursuant to Stock Awards will constitute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funds of the Company.</w:t>
      </w:r>
    </w:p>
    <w:p>
      <w:pPr>
        <w:spacing w:after="0" w:line="141"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Action Constituting Grant of Stock Awards. </w:t>
      </w:r>
      <w:r>
        <w:rPr>
          <w:rFonts w:ascii="Times New Roman" w:cs="Times New Roman" w:eastAsia="Times New Roman" w:hAnsi="Times New Roman"/>
          <w:sz w:val="18"/>
          <w:szCs w:val="18"/>
          <w:color w:val="auto"/>
        </w:rPr>
        <w:t>Corporate action constituting a grant by the Company of a Stock Award to any Participant</w:t>
      </w:r>
    </w:p>
    <w:p>
      <w:pPr>
        <w:spacing w:after="0" w:line="53" w:lineRule="exact"/>
        <w:rPr>
          <w:rFonts w:ascii="Times New Roman" w:cs="Times New Roman" w:eastAsia="Times New Roman" w:hAnsi="Times New Roman"/>
          <w:sz w:val="18"/>
          <w:szCs w:val="18"/>
          <w:b w:val="1"/>
          <w:bCs w:val="1"/>
          <w:color w:val="auto"/>
        </w:rPr>
      </w:pPr>
    </w:p>
    <w:p>
      <w:pPr>
        <w:ind w:right="60"/>
        <w:spacing w:after="0" w:line="29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will be deemed completed as of the date of such corporate action, unless otherwise determined by the Board, regardless of when the instrument, certificate, or letter evidencing the Stock Award is communicated to, or actually received or accepted by, the Participant. In the event that the corporate records (e.g., Board consents, resolutions or minutes) documenting the corporate action constituting the grant contain terms (e.g., exercise price, vesting schedule or</w:t>
      </w:r>
    </w:p>
    <w:p>
      <w:pPr>
        <w:ind w:right="60"/>
        <w:spacing w:after="0" w:line="3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number of shares) that are inconsistent with those in the Stock Award Agreement or related grant documents as a result of a clerical error in the papering of the Stock Award Agreement or related grant documents, the corporate records will control and the Participant will have no legally binding right to the incorrect term in the Stock Award Agreement or related grant documents.</w:t>
      </w:r>
    </w:p>
    <w:p>
      <w:pPr>
        <w:spacing w:after="0" w:line="165"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 Rights. </w:t>
      </w:r>
      <w:r>
        <w:rPr>
          <w:rFonts w:ascii="Times New Roman" w:cs="Times New Roman" w:eastAsia="Times New Roman" w:hAnsi="Times New Roman"/>
          <w:sz w:val="18"/>
          <w:szCs w:val="18"/>
          <w:color w:val="auto"/>
        </w:rPr>
        <w:t>No Participant will be deemed to be the holder of, or to have any of the rights of a holder with respect to, any shares of Common</w:t>
      </w:r>
    </w:p>
    <w:p>
      <w:pPr>
        <w:spacing w:after="0" w:line="53" w:lineRule="exact"/>
        <w:rPr>
          <w:rFonts w:ascii="Times New Roman" w:cs="Times New Roman" w:eastAsia="Times New Roman" w:hAnsi="Times New Roman"/>
          <w:sz w:val="18"/>
          <w:szCs w:val="18"/>
          <w:b w:val="1"/>
          <w:bCs w:val="1"/>
          <w:color w:val="auto"/>
        </w:rPr>
      </w:pPr>
    </w:p>
    <w:p>
      <w:pPr>
        <w:ind w:right="20"/>
        <w:spacing w:after="0" w:line="3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Stock subject to a Stock Award unless and until (i) such Participant has satisfied all requirements for exercise of, or the issuance of shares of Common Stock under, the Stock Award pursuant to its terms, and (ii) the issuance of the Common Stock subject to such Stock Award has been entered into the books and records of the Company.</w:t>
      </w:r>
    </w:p>
    <w:p>
      <w:pPr>
        <w:spacing w:after="0" w:line="165"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Employment or Other Service Rights. </w:t>
      </w:r>
      <w:r>
        <w:rPr>
          <w:rFonts w:ascii="Times New Roman" w:cs="Times New Roman" w:eastAsia="Times New Roman" w:hAnsi="Times New Roman"/>
          <w:sz w:val="18"/>
          <w:szCs w:val="18"/>
          <w:color w:val="auto"/>
        </w:rPr>
        <w:t>Nothing in the Plan, any Stock Award Agreement or any other instrument executed thereunder or in</w:t>
      </w:r>
    </w:p>
    <w:p>
      <w:pPr>
        <w:spacing w:after="0" w:line="53" w:lineRule="exact"/>
        <w:rPr>
          <w:rFonts w:ascii="Times New Roman" w:cs="Times New Roman" w:eastAsia="Times New Roman" w:hAnsi="Times New Roman"/>
          <w:sz w:val="18"/>
          <w:szCs w:val="18"/>
          <w:b w:val="1"/>
          <w:bCs w:val="1"/>
          <w:color w:val="auto"/>
        </w:rPr>
      </w:pPr>
    </w:p>
    <w:p>
      <w:pPr>
        <w:ind w:right="160"/>
        <w:spacing w:after="0" w:line="30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connection with any Stock Award granted pursuant thereto will confer upon any Participant any right to continue to serve the Company or an Affiliate in the capacity in effect at the time the Stock Award was granted or will affect the right of the Company or an Affiliate to terminate (i) the employment of an</w:t>
      </w:r>
    </w:p>
    <w:p>
      <w:pPr>
        <w:spacing w:after="0" w:line="1" w:lineRule="exact"/>
        <w:rPr>
          <w:rFonts w:ascii="Times New Roman" w:cs="Times New Roman" w:eastAsia="Times New Roman" w:hAnsi="Times New Roman"/>
          <w:sz w:val="18"/>
          <w:szCs w:val="18"/>
          <w:b w:val="1"/>
          <w:bCs w:val="1"/>
          <w:color w:val="auto"/>
        </w:rPr>
      </w:pPr>
    </w:p>
    <w:p>
      <w:pPr>
        <w:ind w:right="180"/>
        <w:spacing w:after="0" w:line="3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domiciled or incorporated, as the case may be.</w:t>
      </w:r>
    </w:p>
    <w:p>
      <w:pPr>
        <w:spacing w:after="0" w:line="165"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Change in Time Commitment. </w:t>
      </w:r>
      <w:r>
        <w:rPr>
          <w:rFonts w:ascii="Times New Roman" w:cs="Times New Roman" w:eastAsia="Times New Roman" w:hAnsi="Times New Roman"/>
          <w:sz w:val="17"/>
          <w:szCs w:val="17"/>
          <w:color w:val="auto"/>
        </w:rPr>
        <w:t>In the event a Participant’s regular level of time commitment in the performance of his or her services for the Company</w:t>
      </w:r>
    </w:p>
    <w:p>
      <w:pPr>
        <w:spacing w:after="0" w:line="65" w:lineRule="exact"/>
        <w:rPr>
          <w:rFonts w:ascii="Times New Roman" w:cs="Times New Roman" w:eastAsia="Times New Roman" w:hAnsi="Times New Roman"/>
          <w:sz w:val="17"/>
          <w:szCs w:val="17"/>
          <w:b w:val="1"/>
          <w:bCs w:val="1"/>
          <w:color w:val="auto"/>
        </w:rPr>
      </w:pPr>
    </w:p>
    <w:p>
      <w:pPr>
        <w:ind w:right="360"/>
        <w:spacing w:after="0" w:line="30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and any Affiliates is reduced (for example, and without limitation, if the Participant is an Employee of the Company and the Employee has a change in status from a full-time Employee to a part-time Employee or takes an extended leave of absence) after the date of grant of any Stock Award to the Participant, the Board has the right in its sole discretion to (x) make a corresponding reduction in the number of shares or cash amount subject to any portion of such Stock Award that is scheduled to vest or become payable after the date of such change in time schedule applicable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945" w:right="339" w:bottom="1440" w:gutter="0" w:footer="0" w:header="0"/>
        </w:sectPr>
      </w:pPr>
    </w:p>
    <w:bookmarkStart w:id="14" w:name="page15"/>
    <w:bookmarkEnd w:id="14"/>
    <w:p>
      <w:pPr>
        <w:ind w:right="20"/>
        <w:spacing w:after="0" w:line="329" w:lineRule="auto"/>
        <w:rPr>
          <w:sz w:val="20"/>
          <w:szCs w:val="20"/>
          <w:color w:val="auto"/>
        </w:rPr>
      </w:pPr>
      <w:r>
        <w:rPr>
          <w:rFonts w:ascii="Times New Roman" w:cs="Times New Roman" w:eastAsia="Times New Roman" w:hAnsi="Times New Roman"/>
          <w:sz w:val="18"/>
          <w:szCs w:val="18"/>
          <w:color w:val="auto"/>
        </w:rPr>
        <w:t>such Stock Award. In the event of any such reduction, the Participant will have no right with respect to any portion of the Stock Award that is so reduced or extended.</w:t>
      </w:r>
    </w:p>
    <w:p>
      <w:pPr>
        <w:spacing w:after="0" w:line="158" w:lineRule="exact"/>
        <w:rPr>
          <w:sz w:val="20"/>
          <w:szCs w:val="20"/>
          <w:color w:val="auto"/>
        </w:rPr>
      </w:pPr>
    </w:p>
    <w:p>
      <w:pPr>
        <w:ind w:right="180" w:firstLine="8"/>
        <w:spacing w:after="0" w:line="291" w:lineRule="auto"/>
        <w:tabs>
          <w:tab w:leader="none" w:pos="22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Incentive Stock Option Limitations. </w:t>
      </w:r>
      <w:r>
        <w:rPr>
          <w:rFonts w:ascii="Times New Roman" w:cs="Times New Roman" w:eastAsia="Times New Roman" w:hAnsi="Times New Roman"/>
          <w:sz w:val="18"/>
          <w:szCs w:val="18"/>
          <w:color w:val="auto"/>
        </w:rPr>
        <w:t>To the extent that the aggregate Fair Market Value (determined at the time of grant) of Common Stock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which Incentive Stock Options are exercisable for the first time by any Optionholder during any calendar year (under all plans of the Company</w:t>
      </w:r>
    </w:p>
    <w:p>
      <w:pPr>
        <w:spacing w:after="0" w:line="1" w:lineRule="exact"/>
        <w:rPr>
          <w:rFonts w:ascii="Times New Roman" w:cs="Times New Roman" w:eastAsia="Times New Roman" w:hAnsi="Times New Roman"/>
          <w:sz w:val="18"/>
          <w:szCs w:val="18"/>
          <w:b w:val="1"/>
          <w:bCs w:val="1"/>
          <w:color w:val="auto"/>
        </w:rPr>
      </w:pPr>
    </w:p>
    <w:p>
      <w:pPr>
        <w:ind w:right="120"/>
        <w:spacing w:after="0" w:line="3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and any Affiliates) exceeds US$100,000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65"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Investment Assurances. </w:t>
      </w:r>
      <w:r>
        <w:rPr>
          <w:rFonts w:ascii="Times New Roman" w:cs="Times New Roman" w:eastAsia="Times New Roman" w:hAnsi="Times New Roman"/>
          <w:sz w:val="18"/>
          <w:szCs w:val="18"/>
          <w:color w:val="auto"/>
        </w:rPr>
        <w:t>The Company may require a Participant, as a condition of exercising or acquiring Common Stock under any Stock Award, (i)</w:t>
      </w:r>
    </w:p>
    <w:p>
      <w:pPr>
        <w:spacing w:after="0" w:line="53" w:lineRule="exact"/>
        <w:rPr>
          <w:rFonts w:ascii="Times New Roman" w:cs="Times New Roman" w:eastAsia="Times New Roman" w:hAnsi="Times New Roman"/>
          <w:sz w:val="18"/>
          <w:szCs w:val="18"/>
          <w:b w:val="1"/>
          <w:bCs w:val="1"/>
          <w:color w:val="auto"/>
        </w:rPr>
      </w:pPr>
    </w:p>
    <w:p>
      <w:pPr>
        <w:ind w:right="60"/>
        <w:spacing w:after="0" w:line="30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such</w:t>
      </w:r>
    </w:p>
    <w:p>
      <w:pPr>
        <w:spacing w:after="0" w:line="1" w:lineRule="exact"/>
        <w:rPr>
          <w:rFonts w:ascii="Times New Roman" w:cs="Times New Roman" w:eastAsia="Times New Roman" w:hAnsi="Times New Roman"/>
          <w:sz w:val="18"/>
          <w:szCs w:val="18"/>
          <w:b w:val="1"/>
          <w:bCs w:val="1"/>
          <w:color w:val="auto"/>
        </w:rPr>
      </w:pPr>
    </w:p>
    <w:p>
      <w:pPr>
        <w:jc w:val="both"/>
        <w:ind w:right="40"/>
        <w:spacing w:after="0" w:line="30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Participant is capable of evaluating, alone or together with the purchaser representative, the merits and risks of exercising the Stock Award; and (ii) to give written assurances satisfactory to the Company stating that the Participant is acquiring Common Stock subject to the Stock Award for the Participant’s own</w:t>
      </w:r>
    </w:p>
    <w:p>
      <w:pPr>
        <w:spacing w:after="0" w:line="1" w:lineRule="exact"/>
        <w:rPr>
          <w:rFonts w:ascii="Times New Roman" w:cs="Times New Roman" w:eastAsia="Times New Roman" w:hAnsi="Times New Roman"/>
          <w:sz w:val="18"/>
          <w:szCs w:val="18"/>
          <w:b w:val="1"/>
          <w:bCs w:val="1"/>
          <w:color w:val="auto"/>
        </w:rPr>
      </w:pPr>
    </w:p>
    <w:p>
      <w:pPr>
        <w:ind w:right="180"/>
        <w:spacing w:after="0" w:line="30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Stock</w:t>
      </w:r>
    </w:p>
    <w:p>
      <w:pPr>
        <w:spacing w:after="0" w:line="1" w:lineRule="exact"/>
        <w:rPr>
          <w:rFonts w:ascii="Times New Roman" w:cs="Times New Roman" w:eastAsia="Times New Roman" w:hAnsi="Times New Roman"/>
          <w:sz w:val="18"/>
          <w:szCs w:val="18"/>
          <w:b w:val="1"/>
          <w:bCs w:val="1"/>
          <w:color w:val="auto"/>
        </w:rPr>
      </w:pPr>
    </w:p>
    <w:p>
      <w:pPr>
        <w:ind w:right="180"/>
        <w:spacing w:after="0" w:line="30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69"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Obligations. </w:t>
      </w:r>
      <w:r>
        <w:rPr>
          <w:rFonts w:ascii="Times New Roman" w:cs="Times New Roman" w:eastAsia="Times New Roman" w:hAnsi="Times New Roman"/>
          <w:sz w:val="18"/>
          <w:szCs w:val="18"/>
          <w:color w:val="auto"/>
        </w:rPr>
        <w:t>Unless prohibited by the terms of a Stock Award Agreement, the Company may, in its sole discretion, satisfy any federal,</w:t>
      </w:r>
    </w:p>
    <w:p>
      <w:pPr>
        <w:spacing w:after="0" w:line="53" w:lineRule="exact"/>
        <w:rPr>
          <w:rFonts w:ascii="Times New Roman" w:cs="Times New Roman" w:eastAsia="Times New Roman" w:hAnsi="Times New Roman"/>
          <w:sz w:val="18"/>
          <w:szCs w:val="18"/>
          <w:b w:val="1"/>
          <w:bCs w:val="1"/>
          <w:color w:val="auto"/>
        </w:rPr>
      </w:pPr>
    </w:p>
    <w:p>
      <w:pPr>
        <w:jc w:val="both"/>
        <w:ind w:right="40"/>
        <w:spacing w:after="0" w:line="30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state or local tax withholding obligation relating to a Stock Award by any of the following means or by a combination of such means through the Company or a Company Designee: (i) causing the Participant to tender a cash payment; (ii) withholding shares of Common Stock from the shares of Common Stock</w:t>
      </w:r>
    </w:p>
    <w:p>
      <w:pPr>
        <w:spacing w:after="0" w:line="1" w:lineRule="exact"/>
        <w:rPr>
          <w:rFonts w:ascii="Times New Roman" w:cs="Times New Roman" w:eastAsia="Times New Roman" w:hAnsi="Times New Roman"/>
          <w:sz w:val="18"/>
          <w:szCs w:val="18"/>
          <w:b w:val="1"/>
          <w:bCs w:val="1"/>
          <w:color w:val="auto"/>
        </w:rPr>
      </w:pPr>
    </w:p>
    <w:p>
      <w:pPr>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issued or otherwise issuable to the Participant in connection with the Stock Award; provided, however, that no shares of Common Stock are withheld with a value exceeding such amount as may be necessary to avoid classification of the Stock Award as a liability for financial accounting purposes; (iii)</w:t>
      </w:r>
    </w:p>
    <w:p>
      <w:pPr>
        <w:spacing w:after="0" w:line="1" w:lineRule="exact"/>
        <w:rPr>
          <w:rFonts w:ascii="Times New Roman" w:cs="Times New Roman" w:eastAsia="Times New Roman" w:hAnsi="Times New Roman"/>
          <w:sz w:val="18"/>
          <w:szCs w:val="18"/>
          <w:b w:val="1"/>
          <w:bCs w:val="1"/>
          <w:color w:val="auto"/>
        </w:rPr>
      </w:pPr>
    </w:p>
    <w:p>
      <w:pPr>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withholding cash from a Stock Award settled in cash; (iv) withholding payment from any amounts otherwise payable to the Participant; or (v) by such other method as may be set forth in the Stock Award Agreement.</w:t>
      </w:r>
    </w:p>
    <w:p>
      <w:pPr>
        <w:spacing w:after="0" w:line="171" w:lineRule="exact"/>
        <w:rPr>
          <w:rFonts w:ascii="Times New Roman" w:cs="Times New Roman" w:eastAsia="Times New Roman" w:hAnsi="Times New Roman"/>
          <w:sz w:val="18"/>
          <w:szCs w:val="18"/>
          <w:b w:val="1"/>
          <w:bCs w:val="1"/>
          <w:color w:val="auto"/>
        </w:rPr>
      </w:pPr>
    </w:p>
    <w:p>
      <w:pPr>
        <w:ind w:right="60" w:firstLine="8"/>
        <w:spacing w:after="0" w:line="307" w:lineRule="auto"/>
        <w:tabs>
          <w:tab w:leader="none" w:pos="21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Electronic Delivery. </w:t>
      </w:r>
      <w:r>
        <w:rPr>
          <w:rFonts w:ascii="Times New Roman" w:cs="Times New Roman" w:eastAsia="Times New Roman" w:hAnsi="Times New Roman"/>
          <w:sz w:val="18"/>
          <w:szCs w:val="18"/>
          <w:color w:val="auto"/>
        </w:rPr>
        <w:t>Any reference herein to a “written” agreement or document will include any agreement or document delivered electronically, filed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publicly at www.sec.gov (or any successor website thereto) or posted on the Company’s intranet (or other shared electronic medium controlled by the Company to which the Participant has access).</w:t>
      </w:r>
    </w:p>
    <w:p>
      <w:pPr>
        <w:spacing w:after="0" w:line="164" w:lineRule="exact"/>
        <w:rPr>
          <w:rFonts w:ascii="Times New Roman" w:cs="Times New Roman" w:eastAsia="Times New Roman" w:hAnsi="Times New Roman"/>
          <w:sz w:val="18"/>
          <w:szCs w:val="18"/>
          <w:b w:val="1"/>
          <w:bCs w:val="1"/>
          <w:color w:val="auto"/>
        </w:rPr>
      </w:pPr>
    </w:p>
    <w:p>
      <w:pPr>
        <w:ind w:left="240" w:hanging="232"/>
        <w:spacing w:after="0"/>
        <w:tabs>
          <w:tab w:leader="none" w:pos="240" w:val="left"/>
        </w:tabs>
        <w:numPr>
          <w:ilvl w:val="0"/>
          <w:numId w:val="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Deferrals. </w:t>
      </w:r>
      <w:r>
        <w:rPr>
          <w:rFonts w:ascii="Times New Roman" w:cs="Times New Roman" w:eastAsia="Times New Roman" w:hAnsi="Times New Roman"/>
          <w:sz w:val="17"/>
          <w:szCs w:val="17"/>
          <w:color w:val="auto"/>
        </w:rPr>
        <w:t>To the extent permitted by applicable law, the Board, in its sole discretion, may determine that the delivery of Common Stock or the payment</w:t>
      </w:r>
    </w:p>
    <w:p>
      <w:pPr>
        <w:spacing w:after="0" w:line="65" w:lineRule="exact"/>
        <w:rPr>
          <w:rFonts w:ascii="Times New Roman" w:cs="Times New Roman" w:eastAsia="Times New Roman" w:hAnsi="Times New Roman"/>
          <w:sz w:val="17"/>
          <w:szCs w:val="17"/>
          <w:b w:val="1"/>
          <w:bCs w:val="1"/>
          <w:color w:val="auto"/>
        </w:rPr>
      </w:pPr>
    </w:p>
    <w:p>
      <w:pPr>
        <w:ind w:right="40"/>
        <w:spacing w:after="0" w:line="28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of cash, upon the exercise, vesting or settlement of all or a portion of any Stock Award may be deferred and may establish programs and procedures for deferral elections to be made by Participants. Deferrals by Participants will be made in accordance with Section 409A of the Code. Consistent with Section</w:t>
      </w:r>
    </w:p>
    <w:p>
      <w:pPr>
        <w:spacing w:after="0" w:line="1" w:lineRule="exact"/>
        <w:rPr>
          <w:rFonts w:ascii="Times New Roman" w:cs="Times New Roman" w:eastAsia="Times New Roman" w:hAnsi="Times New Roman"/>
          <w:sz w:val="17"/>
          <w:szCs w:val="17"/>
          <w:b w:val="1"/>
          <w:bCs w:val="1"/>
          <w:color w:val="auto"/>
        </w:rPr>
      </w:pPr>
    </w:p>
    <w:p>
      <w:pPr>
        <w:ind w:right="60"/>
        <w:spacing w:after="0" w:line="30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409A of the Code, the Board may provide for distributions while a Participant is still an employee or otherwise providing services to the Company. The Board is authorized to make deferrals of Stock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945" w:right="359" w:bottom="1440" w:gutter="0" w:footer="0" w:header="0"/>
        </w:sectPr>
      </w:pPr>
    </w:p>
    <w:bookmarkStart w:id="15" w:name="page16"/>
    <w:bookmarkEnd w:id="15"/>
    <w:p>
      <w:pPr>
        <w:ind w:right="520" w:firstLine="8"/>
        <w:spacing w:after="0" w:line="317" w:lineRule="auto"/>
        <w:tabs>
          <w:tab w:leader="none" w:pos="265"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Compliance with Section 409A of the Code. </w:t>
      </w:r>
      <w:r>
        <w:rPr>
          <w:rFonts w:ascii="Times New Roman" w:cs="Times New Roman" w:eastAsia="Times New Roman" w:hAnsi="Times New Roman"/>
          <w:sz w:val="17"/>
          <w:szCs w:val="17"/>
          <w:color w:val="auto"/>
        </w:rPr>
        <w:t>Unless otherwise expressly provided for in a Stock Award Agreement, the Plan and Stock Award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Agreements will be interpreted to the greatest extent possible in a manner that makes the Plan and the Stock Awards granted hereunder exempt from</w:t>
      </w:r>
    </w:p>
    <w:p>
      <w:pPr>
        <w:ind w:right="20"/>
        <w:spacing w:after="0" w:line="30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Section 409A of the Code, and, to the extent not so exempt, in compliance with Section 409A of the Code. If the Board determines that any Stock Award granted hereunder is not exempt from and is therefore subject to Section 409A of the Code, the Stock Award Agreement evidencing such Stock Award will</w:t>
      </w:r>
    </w:p>
    <w:p>
      <w:pPr>
        <w:spacing w:after="0" w:line="1" w:lineRule="exact"/>
        <w:rPr>
          <w:rFonts w:ascii="Times New Roman" w:cs="Times New Roman" w:eastAsia="Times New Roman" w:hAnsi="Times New Roman"/>
          <w:sz w:val="17"/>
          <w:szCs w:val="17"/>
          <w:b w:val="1"/>
          <w:bCs w:val="1"/>
          <w:color w:val="auto"/>
        </w:rPr>
      </w:pPr>
    </w:p>
    <w:p>
      <w:pPr>
        <w:spacing w:after="0" w:line="30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incorporate the terms and conditions necessary to avoid the consequences specified in Section 409A(a)(1) of the Code, and to the extent a Stock Award Agreement is silent on terms necessary for compliance, such terms are hereby incorporated by reference into the Stock Award Agreement. Notwithstanding</w:t>
      </w:r>
    </w:p>
    <w:p>
      <w:pPr>
        <w:spacing w:after="0" w:line="1" w:lineRule="exact"/>
        <w:rPr>
          <w:rFonts w:ascii="Times New Roman" w:cs="Times New Roman" w:eastAsia="Times New Roman" w:hAnsi="Times New Roman"/>
          <w:sz w:val="17"/>
          <w:szCs w:val="17"/>
          <w:b w:val="1"/>
          <w:bCs w:val="1"/>
          <w:color w:val="auto"/>
        </w:rPr>
      </w:pPr>
    </w:p>
    <w:p>
      <w:pPr>
        <w:jc w:val="both"/>
        <w:ind w:right="100"/>
        <w:spacing w:after="0" w:line="30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anything to the contrary in this Plan (and unless the Stock Award Agreement specifically provides otherwise), if the shares of Common Stock are publicly traded, and if a Participant holding a Stock Award that constitutes “deferred compensation” under Section 409A of the Code is a “specified employee” for</w:t>
      </w:r>
    </w:p>
    <w:p>
      <w:pPr>
        <w:spacing w:after="0" w:line="1" w:lineRule="exact"/>
        <w:rPr>
          <w:rFonts w:ascii="Times New Roman" w:cs="Times New Roman" w:eastAsia="Times New Roman" w:hAnsi="Times New Roman"/>
          <w:sz w:val="17"/>
          <w:szCs w:val="17"/>
          <w:b w:val="1"/>
          <w:bCs w:val="1"/>
          <w:color w:val="auto"/>
        </w:rPr>
      </w:pPr>
    </w:p>
    <w:p>
      <w:pPr>
        <w:ind w:right="140"/>
        <w:spacing w:after="0" w:line="30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w:t>
      </w:r>
    </w:p>
    <w:p>
      <w:pPr>
        <w:spacing w:after="0" w:line="1" w:lineRule="exact"/>
        <w:rPr>
          <w:rFonts w:ascii="Times New Roman" w:cs="Times New Roman" w:eastAsia="Times New Roman" w:hAnsi="Times New Roman"/>
          <w:sz w:val="17"/>
          <w:szCs w:val="17"/>
          <w:b w:val="1"/>
          <w:bCs w:val="1"/>
          <w:color w:val="auto"/>
        </w:rPr>
      </w:pPr>
    </w:p>
    <w:p>
      <w:pPr>
        <w:jc w:val="both"/>
        <w:ind w:right="100"/>
        <w:spacing w:after="0" w:line="30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Participant’s “separation from service” (as defined in Section 409A of the Code without regard to alternative definitions thereunder)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spacing w:after="0" w:line="165" w:lineRule="exact"/>
        <w:rPr>
          <w:rFonts w:ascii="Times New Roman" w:cs="Times New Roman" w:eastAsia="Times New Roman" w:hAnsi="Times New Roman"/>
          <w:sz w:val="17"/>
          <w:szCs w:val="17"/>
          <w:b w:val="1"/>
          <w:bCs w:val="1"/>
          <w:color w:val="auto"/>
        </w:rPr>
      </w:pPr>
    </w:p>
    <w:p>
      <w:pPr>
        <w:ind w:left="220" w:hanging="212"/>
        <w:spacing w:after="0"/>
        <w:tabs>
          <w:tab w:leader="none" w:pos="220"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Clawback/Recovery. </w:t>
      </w:r>
      <w:r>
        <w:rPr>
          <w:rFonts w:ascii="Times New Roman" w:cs="Times New Roman" w:eastAsia="Times New Roman" w:hAnsi="Times New Roman"/>
          <w:sz w:val="17"/>
          <w:szCs w:val="17"/>
          <w:color w:val="auto"/>
        </w:rPr>
        <w:t>All Stock Awards granted under the Plan will be subject to recoupment in accordance with any clawback policy that the Company</w:t>
      </w:r>
    </w:p>
    <w:p>
      <w:pPr>
        <w:spacing w:after="0" w:line="65" w:lineRule="exact"/>
        <w:rPr>
          <w:rFonts w:ascii="Times New Roman" w:cs="Times New Roman" w:eastAsia="Times New Roman" w:hAnsi="Times New Roman"/>
          <w:sz w:val="17"/>
          <w:szCs w:val="17"/>
          <w:b w:val="1"/>
          <w:bCs w:val="1"/>
          <w:color w:val="auto"/>
        </w:rPr>
      </w:pPr>
    </w:p>
    <w:p>
      <w:pPr>
        <w:ind w:right="40"/>
        <w:spacing w:after="0" w:line="30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is required to adopt pursuant to the listing standards of any national securities exchange or association on which the Company’s securities are listed or as is otherwise required by the U.S. Dodd-Frank Wall Street Reform and Consumer Protection Act or other applicable law. In addition, the Board may impose such other clawback, recovery or recoupment provisions in a Stock Award Agreement as the Board determines necessary or appropriate, including but not</w:t>
      </w:r>
    </w:p>
    <w:p>
      <w:pPr>
        <w:jc w:val="both"/>
        <w:ind w:right="560"/>
        <w:spacing w:after="0" w:line="30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limited to a reacquisition right in respect of previously acquired shares of Common Stock or other cash or property upon the occurrence of an event constituting Cause. No recovery of compensation under such a clawback policy will be an event giving rise to a right to resign for “good reason” or “constructive termination” (or similar term) under any agreement with the Company.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ADJUSTMENTS UPON CHANGES IN COMMON STOCK; OTHER CORPORATE EVENTS.</w:t>
      </w:r>
    </w:p>
    <w:p>
      <w:pPr>
        <w:spacing w:after="0" w:line="266" w:lineRule="exact"/>
        <w:rPr>
          <w:sz w:val="20"/>
          <w:szCs w:val="20"/>
          <w:color w:val="auto"/>
        </w:rPr>
      </w:pPr>
    </w:p>
    <w:p>
      <w:pPr>
        <w:ind w:right="60" w:firstLine="8"/>
        <w:spacing w:after="0" w:line="291" w:lineRule="auto"/>
        <w:tabs>
          <w:tab w:leader="none" w:pos="25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Adjustments. </w:t>
      </w:r>
      <w:r>
        <w:rPr>
          <w:rFonts w:ascii="Times New Roman" w:cs="Times New Roman" w:eastAsia="Times New Roman" w:hAnsi="Times New Roman"/>
          <w:sz w:val="18"/>
          <w:szCs w:val="18"/>
          <w:color w:val="auto"/>
        </w:rPr>
        <w:t>In the event of a Capitalization Adjustment, the Board will appropriately and proportionately adjust: (i) the class(es)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maximum number of securities subject to the Plan pursuant to Section 3(a), (ii) the class(es) and maximum number of securities that may be issued</w:t>
      </w:r>
    </w:p>
    <w:p>
      <w:pPr>
        <w:spacing w:after="0" w:line="1" w:lineRule="exact"/>
        <w:rPr>
          <w:rFonts w:ascii="Times New Roman" w:cs="Times New Roman" w:eastAsia="Times New Roman" w:hAnsi="Times New Roman"/>
          <w:sz w:val="18"/>
          <w:szCs w:val="18"/>
          <w:b w:val="1"/>
          <w:bCs w:val="1"/>
          <w:color w:val="auto"/>
        </w:rPr>
      </w:pPr>
    </w:p>
    <w:p>
      <w:pPr>
        <w:ind w:right="30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the exercise of Incentive Stock Options pursuant to Section 3(c), and (iii) the class(es) and number of securities and price per share of stock subject to outstanding Stock Awards. The Board will make such adjustments, and its determination will be final, binding and conclusive.</w:t>
      </w:r>
    </w:p>
    <w:p>
      <w:pPr>
        <w:spacing w:after="0" w:line="171" w:lineRule="exact"/>
        <w:rPr>
          <w:rFonts w:ascii="Times New Roman" w:cs="Times New Roman" w:eastAsia="Times New Roman" w:hAnsi="Times New Roman"/>
          <w:sz w:val="18"/>
          <w:szCs w:val="18"/>
          <w:b w:val="1"/>
          <w:bCs w:val="1"/>
          <w:color w:val="auto"/>
        </w:rPr>
      </w:pPr>
    </w:p>
    <w:p>
      <w:pPr>
        <w:jc w:val="both"/>
        <w:ind w:right="80" w:firstLine="8"/>
        <w:spacing w:after="0" w:line="309" w:lineRule="auto"/>
        <w:tabs>
          <w:tab w:leader="none" w:pos="265"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Dissolution or Liquidation. </w:t>
      </w:r>
      <w:r>
        <w:rPr>
          <w:rFonts w:ascii="Times New Roman" w:cs="Times New Roman" w:eastAsia="Times New Roman" w:hAnsi="Times New Roman"/>
          <w:sz w:val="17"/>
          <w:szCs w:val="17"/>
          <w:color w:val="auto"/>
        </w:rPr>
        <w:t>Except as otherwise provided in the Stock Award Agreement, in the event of a dissolution or liquidation of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all outstanding Stock Awards (other than Stock Awards consisting of vested and outstanding shares of Common Stock not subject to a forfeiture condition</w:t>
      </w:r>
    </w:p>
    <w:p>
      <w:pPr>
        <w:ind w:right="200"/>
        <w:spacing w:after="0" w:line="30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w:t>
      </w:r>
    </w:p>
    <w:p>
      <w:pPr>
        <w:spacing w:after="0" w:line="1" w:lineRule="exact"/>
        <w:rPr>
          <w:rFonts w:ascii="Times New Roman" w:cs="Times New Roman" w:eastAsia="Times New Roman" w:hAnsi="Times New Roman"/>
          <w:sz w:val="17"/>
          <w:szCs w:val="17"/>
          <w:b w:val="1"/>
          <w:bCs w:val="1"/>
          <w:color w:val="auto"/>
        </w:rPr>
      </w:pPr>
    </w:p>
    <w:p>
      <w:pPr>
        <w:ind w:right="120"/>
        <w:spacing w:after="0" w:line="30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fact that the holder of such Stock Award is providing Continuous Service; provided, however,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165" w:lineRule="exact"/>
        <w:rPr>
          <w:rFonts w:ascii="Times New Roman" w:cs="Times New Roman" w:eastAsia="Times New Roman" w:hAnsi="Times New Roman"/>
          <w:sz w:val="17"/>
          <w:szCs w:val="17"/>
          <w:b w:val="1"/>
          <w:bCs w:val="1"/>
          <w:color w:val="auto"/>
        </w:rPr>
      </w:pPr>
    </w:p>
    <w:p>
      <w:pPr>
        <w:ind w:right="80" w:firstLine="8"/>
        <w:spacing w:after="0" w:line="317" w:lineRule="auto"/>
        <w:tabs>
          <w:tab w:leader="none" w:pos="245"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Corporate Transaction. </w:t>
      </w:r>
      <w:r>
        <w:rPr>
          <w:rFonts w:ascii="Times New Roman" w:cs="Times New Roman" w:eastAsia="Times New Roman" w:hAnsi="Times New Roman"/>
          <w:sz w:val="17"/>
          <w:szCs w:val="17"/>
          <w:color w:val="auto"/>
        </w:rPr>
        <w:t>The following provisions will apply to Stock Awards in the event of a Transaction unless otherwise provided in the Stock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Award Agreement or any other written agreement between the Company or any Affiliate and the Participant or unless otherwise expressly provided by the</w:t>
      </w:r>
    </w:p>
    <w:p>
      <w:pPr>
        <w:spacing w:after="0" w:line="31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Board at the time of grant of a Stock Award. Except as otherwise stated in the Stock Award Agreement, in the event of a Transaction, then, notwithstanding any other provision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00"/>
          </w:cols>
          <w:pgMar w:left="320" w:top="941"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the Plan, each Stock Award shall terminate and be cancelled to the extent not vested or exercised prior to the effective time of the Transaction unless the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elects to take one or more of the following actions with respect to such Stock Award:</w:t>
      </w:r>
    </w:p>
    <w:p>
      <w:pPr>
        <w:spacing w:after="0" w:line="266" w:lineRule="exact"/>
        <w:rPr>
          <w:sz w:val="20"/>
          <w:szCs w:val="20"/>
          <w:color w:val="auto"/>
        </w:rPr>
      </w:pPr>
    </w:p>
    <w:p>
      <w:pPr>
        <w:jc w:val="both"/>
        <w:ind w:right="240" w:firstLine="8"/>
        <w:spacing w:after="0" w:line="305" w:lineRule="auto"/>
        <w:tabs>
          <w:tab w:leader="none" w:pos="215"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Transaction);</w:t>
      </w:r>
    </w:p>
    <w:p>
      <w:pPr>
        <w:spacing w:after="0" w:line="169" w:lineRule="exact"/>
        <w:rPr>
          <w:rFonts w:ascii="Times New Roman" w:cs="Times New Roman" w:eastAsia="Times New Roman" w:hAnsi="Times New Roman"/>
          <w:sz w:val="18"/>
          <w:szCs w:val="18"/>
          <w:b w:val="1"/>
          <w:bCs w:val="1"/>
          <w:color w:val="auto"/>
        </w:rPr>
      </w:pPr>
    </w:p>
    <w:p>
      <w:pPr>
        <w:ind w:right="320" w:firstLine="8"/>
        <w:spacing w:after="0" w:line="329" w:lineRule="auto"/>
        <w:tabs>
          <w:tab w:leader="none" w:pos="265"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spacing w:after="0" w:line="148"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accelerate the vesting, in whole or in part, of the Stock Award (and, if applicable, the time at which the Stock Award may be exercised) to a date prior</w:t>
      </w:r>
    </w:p>
    <w:p>
      <w:pPr>
        <w:spacing w:after="0" w:line="49" w:lineRule="exact"/>
        <w:rPr>
          <w:rFonts w:ascii="Times New Roman" w:cs="Times New Roman" w:eastAsia="Times New Roman" w:hAnsi="Times New Roman"/>
          <w:sz w:val="18"/>
          <w:szCs w:val="18"/>
          <w:b w:val="1"/>
          <w:bCs w:val="1"/>
          <w:color w:val="auto"/>
        </w:rPr>
      </w:pPr>
    </w:p>
    <w:p>
      <w:pPr>
        <w:ind w:right="80"/>
        <w:spacing w:after="0" w:line="30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to the effective time of such Transaction as the Board determines (or, if the Board does not determine such a date, to the date that is five (5) days prior to the effective date of the Transaction), with such Stock Award terminating if not exercised (if applicable) at or prior to the effective time of the Transaction;</w:t>
      </w:r>
    </w:p>
    <w:p>
      <w:pPr>
        <w:spacing w:after="0" w:line="1" w:lineRule="exact"/>
        <w:rPr>
          <w:rFonts w:ascii="Times New Roman" w:cs="Times New Roman" w:eastAsia="Times New Roman" w:hAnsi="Times New Roman"/>
          <w:sz w:val="18"/>
          <w:szCs w:val="18"/>
          <w:b w:val="1"/>
          <w:bCs w:val="1"/>
          <w:color w:val="auto"/>
        </w:rPr>
      </w:pPr>
    </w:p>
    <w:p>
      <w:pPr>
        <w:ind w:right="48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provided, however, that the Board may require Participants to complete and deliver to the Company a notice of exercise before the effective date of a Transaction, which exercise is contingent upon the effectiveness of such Transaction;</w:t>
      </w:r>
    </w:p>
    <w:p>
      <w:pPr>
        <w:spacing w:after="0" w:line="175"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arrange for the lapse, in whole or in part, of any reacquisition or repurchase rights held by the Company with respect to the Stock Award;</w:t>
      </w:r>
    </w:p>
    <w:p>
      <w:pPr>
        <w:spacing w:after="0" w:line="252" w:lineRule="exact"/>
        <w:rPr>
          <w:rFonts w:ascii="Times New Roman" w:cs="Times New Roman" w:eastAsia="Times New Roman" w:hAnsi="Times New Roman"/>
          <w:sz w:val="18"/>
          <w:szCs w:val="18"/>
          <w:b w:val="1"/>
          <w:bCs w:val="1"/>
          <w:color w:val="auto"/>
        </w:rPr>
      </w:pPr>
    </w:p>
    <w:p>
      <w:pPr>
        <w:ind w:right="20" w:firstLine="8"/>
        <w:spacing w:after="0" w:line="329" w:lineRule="auto"/>
        <w:tabs>
          <w:tab w:leader="none" w:pos="255"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cancel or arrange for the cancellation of the Stock Award, to the extent not vested or not exercised prior to the effective time of the Transaction, and pay such cash consideration or no consideration as the Board, in its sole discretion, may consider appropriate; and</w:t>
      </w:r>
    </w:p>
    <w:p>
      <w:pPr>
        <w:spacing w:after="0" w:line="148" w:lineRule="exact"/>
        <w:rPr>
          <w:rFonts w:ascii="Times New Roman" w:cs="Times New Roman" w:eastAsia="Times New Roman" w:hAnsi="Times New Roman"/>
          <w:sz w:val="18"/>
          <w:szCs w:val="18"/>
          <w:b w:val="1"/>
          <w:bCs w:val="1"/>
          <w:color w:val="auto"/>
        </w:rPr>
      </w:pPr>
    </w:p>
    <w:p>
      <w:pPr>
        <w:ind w:right="60" w:firstLine="8"/>
        <w:spacing w:after="0" w:line="314" w:lineRule="auto"/>
        <w:tabs>
          <w:tab w:leader="none" w:pos="305"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make a payment, in such form as may be determined by the Board equal to the excess, if any, of (A) the value of the property the Participant would have received upon the exercise of the Stock Award immediately prior to the effective time of the Transaction, over (B) any exercise price payable by such</w:t>
      </w:r>
    </w:p>
    <w:p>
      <w:pPr>
        <w:spacing w:after="0" w:line="1" w:lineRule="exact"/>
        <w:rPr>
          <w:rFonts w:ascii="Times New Roman" w:cs="Times New Roman" w:eastAsia="Times New Roman" w:hAnsi="Times New Roman"/>
          <w:sz w:val="17"/>
          <w:szCs w:val="17"/>
          <w:b w:val="1"/>
          <w:bCs w:val="1"/>
          <w:color w:val="auto"/>
        </w:rPr>
      </w:pPr>
    </w:p>
    <w:p>
      <w:pPr>
        <w:ind w:right="40"/>
        <w:spacing w:after="0" w:line="30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holder in connection with such exercise. For clarity, this payment may be zero (US$0) if the value of the property is equal to or less than the exercise price. Payments under this provision may be delayed to the same extent that payment of consideration to the holders of Common Stock in connection with the Transaction is delayed as a result of escrows, earn outs, holdbacks or any other contingencies.</w:t>
      </w:r>
    </w:p>
    <w:p>
      <w:pPr>
        <w:spacing w:after="0" w:line="169" w:lineRule="exact"/>
        <w:rPr>
          <w:sz w:val="20"/>
          <w:szCs w:val="20"/>
          <w:color w:val="auto"/>
        </w:rPr>
      </w:pPr>
    </w:p>
    <w:p>
      <w:pPr>
        <w:ind w:right="140"/>
        <w:spacing w:after="0" w:line="329" w:lineRule="auto"/>
        <w:rPr>
          <w:sz w:val="20"/>
          <w:szCs w:val="20"/>
          <w:color w:val="auto"/>
        </w:rPr>
      </w:pPr>
      <w:r>
        <w:rPr>
          <w:rFonts w:ascii="Times New Roman" w:cs="Times New Roman" w:eastAsia="Times New Roman" w:hAnsi="Times New Roman"/>
          <w:sz w:val="18"/>
          <w:szCs w:val="18"/>
          <w:color w:val="auto"/>
        </w:rPr>
        <w:t>The Board need not take the same action or actions with respect to all Stock Awards or portions thereof or with respect to all Participants. The Board may take different actions with respect to the vested and unvested portions of a Stock Award.</w:t>
      </w:r>
    </w:p>
    <w:p>
      <w:pPr>
        <w:spacing w:after="0" w:line="144" w:lineRule="exact"/>
        <w:rPr>
          <w:sz w:val="20"/>
          <w:szCs w:val="20"/>
          <w:color w:val="auto"/>
        </w:rPr>
      </w:pPr>
    </w:p>
    <w:p>
      <w:pPr>
        <w:ind w:left="280" w:hanging="272"/>
        <w:spacing w:after="0"/>
        <w:tabs>
          <w:tab w:leader="none" w:pos="280"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Change in Control. </w:t>
      </w:r>
      <w:r>
        <w:rPr>
          <w:rFonts w:ascii="Times New Roman" w:cs="Times New Roman" w:eastAsia="Times New Roman" w:hAnsi="Times New Roman"/>
          <w:sz w:val="17"/>
          <w:szCs w:val="17"/>
          <w:color w:val="auto"/>
        </w:rPr>
        <w:t>A Stock Award may be subject to additional acceleration of vesting and exercisability upon or after a Change in Control as may be</w:t>
      </w:r>
    </w:p>
    <w:p>
      <w:pPr>
        <w:spacing w:after="0" w:line="65" w:lineRule="exact"/>
        <w:rPr>
          <w:rFonts w:ascii="Times New Roman" w:cs="Times New Roman" w:eastAsia="Times New Roman" w:hAnsi="Times New Roman"/>
          <w:sz w:val="17"/>
          <w:szCs w:val="17"/>
          <w:b w:val="1"/>
          <w:bCs w:val="1"/>
          <w:color w:val="auto"/>
        </w:rPr>
      </w:pPr>
    </w:p>
    <w:p>
      <w:pPr>
        <w:spacing w:after="0" w:line="31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provided in the Stock Award Agreement for such Stock Award or as may be provided in any other written agreement between the Company or any Affiliate and the Participant, but in the absence of such provision, no such acceleration will occur.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PLAN TERM; EARLIER TERMINATION OR SUSPENSION OF THE PLAN.</w:t>
      </w:r>
    </w:p>
    <w:p>
      <w:pPr>
        <w:spacing w:after="0" w:line="256" w:lineRule="exact"/>
        <w:rPr>
          <w:sz w:val="20"/>
          <w:szCs w:val="20"/>
          <w:color w:val="auto"/>
        </w:rPr>
      </w:pPr>
    </w:p>
    <w:p>
      <w:pPr>
        <w:ind w:right="140"/>
        <w:spacing w:after="0" w:line="305" w:lineRule="auto"/>
        <w:rPr>
          <w:sz w:val="20"/>
          <w:szCs w:val="20"/>
          <w:color w:val="auto"/>
        </w:rPr>
      </w:pPr>
      <w:r>
        <w:rPr>
          <w:rFonts w:ascii="Times New Roman" w:cs="Times New Roman" w:eastAsia="Times New Roman" w:hAnsi="Times New Roman"/>
          <w:sz w:val="18"/>
          <w:szCs w:val="18"/>
          <w:color w:val="auto"/>
        </w:rPr>
        <w:t>The Board may suspend or terminate the Plan at any time. No Incentive Stock Options may be granted after the tenth anniversary of the earlier of (i) the date the Plan is adopted by the Board (the “Adoption Date”), or (ii) the date the Plan is approved by the stockholders of the Company. No Awards may be granted under the Plan while the Plan is suspended or after it is terminated.</w:t>
      </w:r>
    </w:p>
    <w:p>
      <w:pPr>
        <w:spacing w:after="0" w:line="179" w:lineRule="exact"/>
        <w:rPr>
          <w:sz w:val="20"/>
          <w:szCs w:val="20"/>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EXISTENCE OF THE PLAN; TIMING OF FIRST GRANT OR EXERCISE.</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331" w:lineRule="exact"/>
        <w:rPr>
          <w:rFonts w:ascii="Times New Roman" w:cs="Times New Roman" w:eastAsia="Times New Roman" w:hAnsi="Times New Roman"/>
          <w:sz w:val="18"/>
          <w:szCs w:val="18"/>
          <w:b w:val="1"/>
          <w:bCs w:val="1"/>
          <w:color w:val="auto"/>
        </w:rPr>
      </w:pPr>
    </w:p>
    <w:p>
      <w:pPr>
        <w:ind w:left="5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320" w:top="945" w:right="359" w:bottom="1440" w:gutter="0" w:footer="0" w:header="0"/>
        </w:sectPr>
      </w:pPr>
    </w:p>
    <w:bookmarkStart w:id="17" w:name="page18"/>
    <w:bookmarkEnd w:id="17"/>
    <w:p>
      <w:pPr>
        <w:ind w:right="20"/>
        <w:spacing w:after="0" w:line="302" w:lineRule="auto"/>
        <w:rPr>
          <w:sz w:val="20"/>
          <w:szCs w:val="20"/>
          <w:color w:val="auto"/>
        </w:rPr>
      </w:pPr>
      <w:r>
        <w:rPr>
          <w:rFonts w:ascii="Times New Roman" w:cs="Times New Roman" w:eastAsia="Times New Roman" w:hAnsi="Times New Roman"/>
          <w:sz w:val="18"/>
          <w:szCs w:val="18"/>
          <w:color w:val="auto"/>
        </w:rPr>
        <w:t>The Plan will come into existence on the Adoption Date; provided, however, that no Stock Award may be granted prior to the IPO Date. In addition, no Stock Award will be exercised (or, in the case of a Restricted Stock Award, Restricted Stock Unit Award, Performance Stock Award, or Other Stock Award, no Stock Award will be granted) unless and until the Plan has been approved by the stockholders of the Company, which approval will be within 12 months after the date the Plan is adopted by the Board.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CHOICE OF LAW.</w:t>
      </w:r>
    </w:p>
    <w:p>
      <w:pPr>
        <w:spacing w:after="0" w:line="256" w:lineRule="exact"/>
        <w:rPr>
          <w:sz w:val="20"/>
          <w:szCs w:val="20"/>
          <w:color w:val="auto"/>
        </w:rPr>
      </w:pPr>
    </w:p>
    <w:p>
      <w:pPr>
        <w:ind w:right="20"/>
        <w:spacing w:after="0" w:line="329" w:lineRule="auto"/>
        <w:rPr>
          <w:sz w:val="20"/>
          <w:szCs w:val="20"/>
          <w:color w:val="auto"/>
        </w:rPr>
      </w:pPr>
      <w:r>
        <w:rPr>
          <w:rFonts w:ascii="Times New Roman" w:cs="Times New Roman" w:eastAsia="Times New Roman" w:hAnsi="Times New Roman"/>
          <w:sz w:val="18"/>
          <w:szCs w:val="18"/>
          <w:color w:val="auto"/>
        </w:rPr>
        <w:t>The law of the State of Delaware will govern all questions concerning the construction, validity and interpretation of this Plan, without regard to that state’s conflict of laws rules.</w:t>
      </w:r>
    </w:p>
    <w:p>
      <w:pPr>
        <w:spacing w:after="0" w:line="144" w:lineRule="exact"/>
        <w:rPr>
          <w:sz w:val="20"/>
          <w:szCs w:val="20"/>
          <w:color w:val="auto"/>
        </w:rPr>
      </w:pPr>
    </w:p>
    <w:p>
      <w:pPr>
        <w:ind w:left="280" w:hanging="272"/>
        <w:spacing w:after="0"/>
        <w:tabs>
          <w:tab w:leader="none" w:pos="2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As used in the Plan, the following definitions will apply to the capitalized terms indicated below:</w:t>
      </w:r>
    </w:p>
    <w:p>
      <w:pPr>
        <w:spacing w:after="0" w:line="266" w:lineRule="exact"/>
        <w:rPr>
          <w:sz w:val="20"/>
          <w:szCs w:val="20"/>
          <w:color w:val="auto"/>
        </w:rPr>
      </w:pPr>
    </w:p>
    <w:p>
      <w:pPr>
        <w:ind w:firstLine="8"/>
        <w:spacing w:after="0" w:line="318" w:lineRule="auto"/>
        <w:tabs>
          <w:tab w:leader="none" w:pos="255"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of the Securities Act. The Board will have the authority to determine the time or times at which “parent” or “subsidiary” status is determined within the foregoing definition.</w:t>
      </w:r>
    </w:p>
    <w:p>
      <w:pPr>
        <w:spacing w:after="0" w:line="166"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52"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Stock</w:t>
      </w:r>
      <w:r>
        <w:rPr>
          <w:rFonts w:ascii="Times New Roman" w:cs="Times New Roman" w:eastAsia="Times New Roman" w:hAnsi="Times New Roman"/>
          <w:sz w:val="18"/>
          <w:szCs w:val="18"/>
          <w:color w:val="auto"/>
        </w:rPr>
        <w:t>” means each and every class of common stock of the Company, regardless of the number of votes per share.</w:t>
      </w:r>
    </w:p>
    <w:p>
      <w:pPr>
        <w:spacing w:after="0" w:line="265" w:lineRule="exact"/>
        <w:rPr>
          <w:rFonts w:ascii="Times New Roman" w:cs="Times New Roman" w:eastAsia="Times New Roman" w:hAnsi="Times New Roman"/>
          <w:sz w:val="18"/>
          <w:szCs w:val="18"/>
          <w:b w:val="1"/>
          <w:bCs w:val="1"/>
          <w:color w:val="auto"/>
        </w:rPr>
      </w:pPr>
    </w:p>
    <w:p>
      <w:pPr>
        <w:jc w:val="both"/>
        <w:ind w:right="300" w:firstLine="8"/>
        <w:spacing w:after="0" w:line="309" w:lineRule="auto"/>
        <w:tabs>
          <w:tab w:leader="none" w:pos="265"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Capitalization Adjustment</w:t>
      </w:r>
      <w:r>
        <w:rPr>
          <w:rFonts w:ascii="Times New Roman" w:cs="Times New Roman" w:eastAsia="Times New Roman" w:hAnsi="Times New Roman"/>
          <w:sz w:val="17"/>
          <w:szCs w:val="17"/>
          <w:color w:val="auto"/>
        </w:rPr>
        <w:t>” means any change that is made in, or other events that occur with respect to, the Common Stock subject to the Plan or subject to any Stock Award after the Adoption Date without the receipt of consideration by the Company through merger, consolidation, reorganization,</w:t>
      </w:r>
    </w:p>
    <w:p>
      <w:pPr>
        <w:ind w:right="20"/>
        <w:spacing w:after="0" w:line="30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69" w:lineRule="exact"/>
        <w:rPr>
          <w:rFonts w:ascii="Times New Roman" w:cs="Times New Roman" w:eastAsia="Times New Roman" w:hAnsi="Times New Roman"/>
          <w:sz w:val="17"/>
          <w:szCs w:val="17"/>
          <w:b w:val="1"/>
          <w:bCs w:val="1"/>
          <w:color w:val="auto"/>
        </w:rPr>
      </w:pPr>
    </w:p>
    <w:p>
      <w:pPr>
        <w:ind w:left="260" w:hanging="252"/>
        <w:spacing w:after="0"/>
        <w:tabs>
          <w:tab w:leader="none" w:pos="2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will have the meaning ascribed to such term in any written agreement between the Participant and the Company defining such term and, in the</w:t>
      </w:r>
    </w:p>
    <w:p>
      <w:pPr>
        <w:spacing w:after="0" w:line="53" w:lineRule="exact"/>
        <w:rPr>
          <w:rFonts w:ascii="Times New Roman" w:cs="Times New Roman" w:eastAsia="Times New Roman" w:hAnsi="Times New Roman"/>
          <w:sz w:val="18"/>
          <w:szCs w:val="18"/>
          <w:b w:val="1"/>
          <w:bCs w:val="1"/>
          <w:color w:val="auto"/>
        </w:rPr>
      </w:pPr>
    </w:p>
    <w:p>
      <w:pPr>
        <w:ind w:right="4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absence of such agreement, such term means, with respect to a Participant, the occurrence of any of the following events: (i) such Participant’s commission of any felony or any crime involving fraud, dishonesty or moral turpitude under the laws of the United States, any state thereof, or any applicable foreign</w:t>
      </w:r>
    </w:p>
    <w:p>
      <w:pPr>
        <w:spacing w:after="0" w:line="1" w:lineRule="exact"/>
        <w:rPr>
          <w:rFonts w:ascii="Times New Roman" w:cs="Times New Roman" w:eastAsia="Times New Roman" w:hAnsi="Times New Roman"/>
          <w:sz w:val="18"/>
          <w:szCs w:val="18"/>
          <w:b w:val="1"/>
          <w:bCs w:val="1"/>
          <w:color w:val="auto"/>
        </w:rPr>
      </w:pPr>
    </w:p>
    <w:p>
      <w:pPr>
        <w:ind w:right="20"/>
        <w:spacing w:after="0" w:line="30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jurisdiction; (ii) such Participant’s attempted commission of, or participation in, a fraud or act of dishonesty against the Company or any Affiliate; (iii) such Participant’s intentional, material violation of any contract or agreement between the Participant and the Company or any Affiliate or of any statutory duty</w:t>
      </w:r>
    </w:p>
    <w:p>
      <w:pPr>
        <w:spacing w:after="0" w:line="1" w:lineRule="exact"/>
        <w:rPr>
          <w:rFonts w:ascii="Times New Roman" w:cs="Times New Roman" w:eastAsia="Times New Roman" w:hAnsi="Times New Roman"/>
          <w:sz w:val="18"/>
          <w:szCs w:val="18"/>
          <w:b w:val="1"/>
          <w:bCs w:val="1"/>
          <w:color w:val="auto"/>
        </w:rPr>
      </w:pPr>
    </w:p>
    <w:p>
      <w:pPr>
        <w:ind w:right="80"/>
        <w:spacing w:after="0" w:line="30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owed to the Company or any Affiliate; (iv) such Participant’s unauthorized use or disclosure of the Company’s or any Affiliate’s confidential information or trade secrets; or (v) such Participant’s gross misconduct. The determination that a termination of the Participant’s Continuous Service is either for Cause</w:t>
      </w:r>
    </w:p>
    <w:p>
      <w:pPr>
        <w:spacing w:after="0" w:line="1" w:lineRule="exact"/>
        <w:rPr>
          <w:rFonts w:ascii="Times New Roman" w:cs="Times New Roman" w:eastAsia="Times New Roman" w:hAnsi="Times New Roman"/>
          <w:sz w:val="18"/>
          <w:szCs w:val="18"/>
          <w:b w:val="1"/>
          <w:bCs w:val="1"/>
          <w:color w:val="auto"/>
        </w:rPr>
      </w:pPr>
    </w:p>
    <w:p>
      <w:pPr>
        <w:jc w:val="both"/>
        <w:ind w:right="80"/>
        <w:spacing w:after="0" w:line="3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or without Cause will be made by the Company, in its sole discretion. Any determination by the Company that the Continuous Service of a Participant was terminated with or without Cause for the purposes of outstanding Stock Awards held by such Participant will have no effect upon any determination of the rights or obligations of the Company or such Participant for any other purpose.</w:t>
      </w:r>
    </w:p>
    <w:p>
      <w:pPr>
        <w:spacing w:after="0" w:line="165" w:lineRule="exact"/>
        <w:rPr>
          <w:rFonts w:ascii="Times New Roman" w:cs="Times New Roman" w:eastAsia="Times New Roman" w:hAnsi="Times New Roman"/>
          <w:sz w:val="18"/>
          <w:szCs w:val="18"/>
          <w:b w:val="1"/>
          <w:bCs w:val="1"/>
          <w:color w:val="auto"/>
        </w:rPr>
      </w:pPr>
    </w:p>
    <w:p>
      <w:pPr>
        <w:ind w:left="240" w:hanging="232"/>
        <w:spacing w:after="0"/>
        <w:tabs>
          <w:tab w:leader="none" w:pos="2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means the occurrence, in a single transaction or in a series of related transactions, of any one or more of the following events:</w:t>
      </w:r>
    </w:p>
    <w:p>
      <w:pPr>
        <w:spacing w:after="0" w:line="270" w:lineRule="exact"/>
        <w:rPr>
          <w:sz w:val="20"/>
          <w:szCs w:val="20"/>
          <w:color w:val="auto"/>
        </w:rPr>
      </w:pPr>
    </w:p>
    <w:p>
      <w:pPr>
        <w:ind w:right="180" w:firstLine="8"/>
        <w:spacing w:after="0" w:line="313" w:lineRule="auto"/>
        <w:tabs>
          <w:tab w:leader="none" w:pos="21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Exchange Act Person becomes the Owner, directly or indirectly, of securities of the Company representing more than 50% of the combined voting power of the Company’s then outstanding securities other than by virtue of a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945" w:right="339" w:bottom="1440" w:gutter="0" w:footer="0" w:header="0"/>
        </w:sectPr>
      </w:pPr>
    </w:p>
    <w:bookmarkStart w:id="18" w:name="page19"/>
    <w:bookmarkEnd w:id="18"/>
    <w:p>
      <w:pPr>
        <w:ind w:right="20"/>
        <w:spacing w:after="0" w:line="292" w:lineRule="auto"/>
        <w:rPr>
          <w:sz w:val="20"/>
          <w:szCs w:val="20"/>
          <w:color w:val="auto"/>
        </w:rPr>
      </w:pPr>
      <w:r>
        <w:rPr>
          <w:rFonts w:ascii="Times New Roman" w:cs="Times New Roman" w:eastAsia="Times New Roman" w:hAnsi="Times New Roman"/>
          <w:sz w:val="18"/>
          <w:szCs w:val="18"/>
          <w:color w:val="auto"/>
        </w:rPr>
        <w:t>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(C) on account of the acquisition of securities of the Company by any individual who is, on the IPO Date, either an executive officer or a Director (either, an “</w:t>
      </w:r>
      <w:r>
        <w:rPr>
          <w:rFonts w:ascii="Times New Roman" w:cs="Times New Roman" w:eastAsia="Times New Roman" w:hAnsi="Times New Roman"/>
          <w:sz w:val="18"/>
          <w:szCs w:val="18"/>
          <w:b w:val="1"/>
          <w:bCs w:val="1"/>
          <w:i w:val="1"/>
          <w:iCs w:val="1"/>
          <w:color w:val="auto"/>
        </w:rPr>
        <w:t>IPO Investor</w:t>
      </w:r>
      <w:r>
        <w:rPr>
          <w:rFonts w:ascii="Times New Roman" w:cs="Times New Roman" w:eastAsia="Times New Roman" w:hAnsi="Times New Roman"/>
          <w:sz w:val="18"/>
          <w:szCs w:val="18"/>
          <w:color w:val="auto"/>
        </w:rPr>
        <w:t>”) and/or any entity in which an IPO Investor has a direct or indirect interest (whether in the form of voting rights or participation in profits or capital contributions) of more than 50% (collectively, the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Entities</w:t>
      </w:r>
      <w:r>
        <w:rPr>
          <w:rFonts w:ascii="Times New Roman" w:cs="Times New Roman" w:eastAsia="Times New Roman" w:hAnsi="Times New Roman"/>
          <w:sz w:val="18"/>
          <w:szCs w:val="18"/>
          <w:color w:val="auto"/>
        </w:rPr>
        <w:t>”) or on account of the IPO Entities continuing to hold shares that come to represent more than 50% of the combined voting power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then outstanding securities as a result of the conversion of any class of the Company’s securities into another class of the Company’s securities having a different number of votes per share pursuant to the conversion provisions set forth in the Company’s Amended and Restated Certificate of Incorporation; or (D) solely because the level of Ownership held by any Exchange Act Person (the “Subject Person”)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192" w:lineRule="exact"/>
        <w:rPr>
          <w:sz w:val="20"/>
          <w:szCs w:val="20"/>
          <w:color w:val="auto"/>
        </w:rPr>
      </w:pPr>
    </w:p>
    <w:p>
      <w:pPr>
        <w:ind w:right="340" w:firstLine="8"/>
        <w:spacing w:after="0" w:line="314" w:lineRule="auto"/>
        <w:tabs>
          <w:tab w:leader="none" w:pos="265"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w:t>
      </w:r>
    </w:p>
    <w:p>
      <w:pPr>
        <w:spacing w:after="0" w:line="1" w:lineRule="exact"/>
        <w:rPr>
          <w:rFonts w:ascii="Times New Roman" w:cs="Times New Roman" w:eastAsia="Times New Roman" w:hAnsi="Times New Roman"/>
          <w:sz w:val="17"/>
          <w:szCs w:val="17"/>
          <w:b w:val="1"/>
          <w:bCs w:val="1"/>
          <w:color w:val="auto"/>
        </w:rPr>
      </w:pPr>
    </w:p>
    <w:p>
      <w:pPr>
        <w:jc w:val="both"/>
        <w:ind w:right="200"/>
        <w:spacing w:after="0" w:line="30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w:t>
      </w:r>
    </w:p>
    <w:p>
      <w:pPr>
        <w:spacing w:after="0" w:line="1" w:lineRule="exact"/>
        <w:rPr>
          <w:rFonts w:ascii="Times New Roman" w:cs="Times New Roman" w:eastAsia="Times New Roman" w:hAnsi="Times New Roman"/>
          <w:sz w:val="17"/>
          <w:szCs w:val="17"/>
          <w:b w:val="1"/>
          <w:bCs w:val="1"/>
          <w:color w:val="auto"/>
        </w:rPr>
      </w:pPr>
    </w:p>
    <w:p>
      <w:pPr>
        <w:spacing w:after="0" w:line="28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merger, consolidation or similar transaction, in each case in substantially the same proportions as their Ownership of the outstanding voting securities of the Company immediately prior to such transaction; provided, however, that a merger, consolidation or similar transaction will not constitute a Change in</w:t>
      </w:r>
    </w:p>
    <w:p>
      <w:pPr>
        <w:spacing w:after="0" w:line="1" w:lineRule="exact"/>
        <w:rPr>
          <w:rFonts w:ascii="Times New Roman" w:cs="Times New Roman" w:eastAsia="Times New Roman" w:hAnsi="Times New Roman"/>
          <w:sz w:val="17"/>
          <w:szCs w:val="17"/>
          <w:b w:val="1"/>
          <w:bCs w:val="1"/>
          <w:color w:val="auto"/>
        </w:rPr>
      </w:pPr>
    </w:p>
    <w:p>
      <w:pPr>
        <w:ind w:right="240"/>
        <w:spacing w:after="0" w:line="31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Control under this prong of the definition if the outstanding voting securities representing more than 50% of the combined voting power of the surviving Entity or its parent are owned by the IPO Entities;</w:t>
      </w:r>
    </w:p>
    <w:p>
      <w:pPr>
        <w:spacing w:after="0" w:line="175" w:lineRule="exact"/>
        <w:rPr>
          <w:rFonts w:ascii="Times New Roman" w:cs="Times New Roman" w:eastAsia="Times New Roman" w:hAnsi="Times New Roman"/>
          <w:sz w:val="17"/>
          <w:szCs w:val="17"/>
          <w:b w:val="1"/>
          <w:bCs w:val="1"/>
          <w:color w:val="auto"/>
        </w:rPr>
      </w:pPr>
    </w:p>
    <w:p>
      <w:pPr>
        <w:ind w:right="100" w:firstLine="8"/>
        <w:spacing w:after="0" w:line="289" w:lineRule="auto"/>
        <w:tabs>
          <w:tab w:leader="none" w:pos="31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w:t>
      </w:r>
    </w:p>
    <w:p>
      <w:pPr>
        <w:spacing w:after="0" w:line="1" w:lineRule="exact"/>
        <w:rPr>
          <w:rFonts w:ascii="Times New Roman" w:cs="Times New Roman" w:eastAsia="Times New Roman" w:hAnsi="Times New Roman"/>
          <w:sz w:val="18"/>
          <w:szCs w:val="18"/>
          <w:b w:val="1"/>
          <w:bCs w:val="1"/>
          <w:color w:val="auto"/>
        </w:rPr>
      </w:pPr>
    </w:p>
    <w:p>
      <w:pPr>
        <w:ind w:right="4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w:t>
      </w:r>
    </w:p>
    <w:p>
      <w:pPr>
        <w:spacing w:after="0" w:line="1" w:lineRule="exact"/>
        <w:rPr>
          <w:rFonts w:ascii="Times New Roman" w:cs="Times New Roman" w:eastAsia="Times New Roman" w:hAnsi="Times New Roman"/>
          <w:sz w:val="18"/>
          <w:szCs w:val="18"/>
          <w:b w:val="1"/>
          <w:bCs w:val="1"/>
          <w:color w:val="auto"/>
        </w:rPr>
      </w:pPr>
    </w:p>
    <w:p>
      <w:pPr>
        <w:spacing w:after="0" w:line="3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provided, however, that a sale, lease, exclusive license or other disposition of all or substantially all of the consolidated assets of the Company and its Subsidiaries will not constitute a Change in Control under this prong of the definition if the outstanding voting securities representing more than 50% of the combined voting power of the acquiring Entity or its parent are owned by the IPO Entities; or</w:t>
      </w:r>
    </w:p>
    <w:p>
      <w:pPr>
        <w:spacing w:after="0" w:line="169" w:lineRule="exact"/>
        <w:rPr>
          <w:rFonts w:ascii="Times New Roman" w:cs="Times New Roman" w:eastAsia="Times New Roman" w:hAnsi="Times New Roman"/>
          <w:sz w:val="18"/>
          <w:szCs w:val="18"/>
          <w:b w:val="1"/>
          <w:bCs w:val="1"/>
          <w:color w:val="auto"/>
        </w:rPr>
      </w:pPr>
    </w:p>
    <w:p>
      <w:pPr>
        <w:ind w:right="800" w:firstLine="8"/>
        <w:spacing w:after="0" w:line="329" w:lineRule="auto"/>
        <w:tabs>
          <w:tab w:leader="none" w:pos="30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approve or the Board approves a plan of complete dissolution or liquidation of the Company, or a complete dissolution or liquidation of the Company will otherwise occur, except for a liquidation into a parent corporation.</w:t>
      </w:r>
    </w:p>
    <w:p>
      <w:pPr>
        <w:spacing w:after="0" w:line="148" w:lineRule="exact"/>
        <w:rPr>
          <w:sz w:val="20"/>
          <w:szCs w:val="20"/>
          <w:color w:val="auto"/>
        </w:rPr>
      </w:pPr>
    </w:p>
    <w:p>
      <w:pPr>
        <w:ind w:right="120"/>
        <w:spacing w:after="0" w:line="302" w:lineRule="auto"/>
        <w:rPr>
          <w:sz w:val="20"/>
          <w:szCs w:val="20"/>
          <w:color w:val="auto"/>
        </w:rPr>
      </w:pPr>
      <w:r>
        <w:rPr>
          <w:rFonts w:ascii="Times New Roman" w:cs="Times New Roman" w:eastAsia="Times New Roman" w:hAnsi="Times New Roman"/>
          <w:sz w:val="18"/>
          <w:szCs w:val="18"/>
          <w:color w:val="auto"/>
        </w:rPr>
        <w:t>Notwithstanding the foregoing definition or any other provision of the Plan, the term Change in Control will not include a sale of assets, merger or other transaction effected exclusively for the purpose of changing the domicile of the Company and the definition of Change in Control (or any analogous term) in an individual written agreement between the Company or any Affiliate and the Participant will supersede the foregoing definition with respect to Stock Awards subject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945" w:right="339" w:bottom="1440" w:gutter="0" w:footer="0" w:header="0"/>
        </w:sectPr>
      </w:pPr>
    </w:p>
    <w:bookmarkStart w:id="19" w:name="page20"/>
    <w:bookmarkEnd w:id="19"/>
    <w:p>
      <w:pPr>
        <w:ind w:right="340"/>
        <w:spacing w:after="0" w:line="329" w:lineRule="auto"/>
        <w:rPr>
          <w:sz w:val="20"/>
          <w:szCs w:val="20"/>
          <w:color w:val="auto"/>
        </w:rPr>
      </w:pPr>
      <w:r>
        <w:rPr>
          <w:rFonts w:ascii="Times New Roman" w:cs="Times New Roman" w:eastAsia="Times New Roman" w:hAnsi="Times New Roman"/>
          <w:sz w:val="18"/>
          <w:szCs w:val="18"/>
          <w:color w:val="auto"/>
        </w:rPr>
        <w:t>agreement; provided, however, that if no definition of Change in Control or any analogous term is set forth in such an individual written agreement, the foregoing definition will apply.</w:t>
      </w:r>
    </w:p>
    <w:p>
      <w:pPr>
        <w:spacing w:after="0" w:line="158" w:lineRule="exact"/>
        <w:rPr>
          <w:sz w:val="20"/>
          <w:szCs w:val="20"/>
          <w:color w:val="auto"/>
        </w:rPr>
      </w:pPr>
    </w:p>
    <w:p>
      <w:pPr>
        <w:ind w:left="260" w:hanging="252"/>
        <w:spacing w:after="0"/>
        <w:tabs>
          <w:tab w:leader="none" w:pos="2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 including any applicable regulations and guidance thereunder.</w:t>
      </w:r>
    </w:p>
    <w:p>
      <w:pPr>
        <w:spacing w:after="0" w:line="252"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a committee of one or more Directors to whom authority has been delegated by the Board in accordance with Section 2(c).</w:t>
      </w:r>
    </w:p>
    <w:p>
      <w:pPr>
        <w:spacing w:after="0" w:line="265" w:lineRule="exact"/>
        <w:rPr>
          <w:rFonts w:ascii="Times New Roman" w:cs="Times New Roman" w:eastAsia="Times New Roman" w:hAnsi="Times New Roman"/>
          <w:sz w:val="18"/>
          <w:szCs w:val="18"/>
          <w:b w:val="1"/>
          <w:bCs w:val="1"/>
          <w:color w:val="auto"/>
        </w:rPr>
      </w:pPr>
    </w:p>
    <w:p>
      <w:pPr>
        <w:ind w:left="220" w:hanging="212"/>
        <w:spacing w:after="0"/>
        <w:tabs>
          <w:tab w:leader="none" w:pos="2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as of the IPO Date, the common stock of the Company, having one vote per share.</w:t>
      </w:r>
    </w:p>
    <w:p>
      <w:pPr>
        <w:spacing w:after="0" w:line="252" w:lineRule="exact"/>
        <w:rPr>
          <w:rFonts w:ascii="Times New Roman" w:cs="Times New Roman" w:eastAsia="Times New Roman" w:hAnsi="Times New Roman"/>
          <w:sz w:val="18"/>
          <w:szCs w:val="18"/>
          <w:b w:val="1"/>
          <w:bCs w:val="1"/>
          <w:color w:val="auto"/>
        </w:rPr>
      </w:pPr>
    </w:p>
    <w:p>
      <w:pPr>
        <w:ind w:left="240" w:hanging="232"/>
        <w:spacing w:after="0"/>
        <w:tabs>
          <w:tab w:leader="none" w:pos="2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Everspin Technologies, Inc., a Delaware corporation.</w:t>
      </w:r>
    </w:p>
    <w:p>
      <w:pPr>
        <w:spacing w:after="0" w:line="265" w:lineRule="exact"/>
        <w:rPr>
          <w:rFonts w:ascii="Times New Roman" w:cs="Times New Roman" w:eastAsia="Times New Roman" w:hAnsi="Times New Roman"/>
          <w:sz w:val="18"/>
          <w:szCs w:val="18"/>
          <w:b w:val="1"/>
          <w:bCs w:val="1"/>
          <w:color w:val="auto"/>
        </w:rPr>
      </w:pPr>
    </w:p>
    <w:p>
      <w:pPr>
        <w:ind w:right="100" w:firstLine="8"/>
        <w:spacing w:after="0" w:line="291" w:lineRule="auto"/>
        <w:tabs>
          <w:tab w:leader="none" w:pos="265"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w:t>
      </w:r>
    </w:p>
    <w:p>
      <w:pPr>
        <w:spacing w:after="0" w:line="1" w:lineRule="exact"/>
        <w:rPr>
          <w:rFonts w:ascii="Times New Roman" w:cs="Times New Roman" w:eastAsia="Times New Roman" w:hAnsi="Times New Roman"/>
          <w:sz w:val="18"/>
          <w:szCs w:val="18"/>
          <w:b w:val="1"/>
          <w:bCs w:val="1"/>
          <w:color w:val="auto"/>
        </w:rPr>
      </w:pPr>
    </w:p>
    <w:p>
      <w:pPr>
        <w:ind w:right="360"/>
        <w:spacing w:after="0" w:line="3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65" w:lineRule="exact"/>
        <w:rPr>
          <w:rFonts w:ascii="Times New Roman" w:cs="Times New Roman" w:eastAsia="Times New Roman" w:hAnsi="Times New Roman"/>
          <w:sz w:val="18"/>
          <w:szCs w:val="18"/>
          <w:b w:val="1"/>
          <w:bCs w:val="1"/>
          <w:color w:val="auto"/>
        </w:rPr>
      </w:pPr>
    </w:p>
    <w:p>
      <w:pPr>
        <w:ind w:left="220" w:hanging="212"/>
        <w:spacing w:after="0"/>
        <w:tabs>
          <w:tab w:leader="none" w:pos="2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Continuous Service</w:t>
      </w:r>
      <w:r>
        <w:rPr>
          <w:rFonts w:ascii="Times New Roman" w:cs="Times New Roman" w:eastAsia="Times New Roman" w:hAnsi="Times New Roman"/>
          <w:sz w:val="18"/>
          <w:szCs w:val="18"/>
          <w:color w:val="auto"/>
        </w:rPr>
        <w:t>” means that the Participant’s service with the Company or an Affiliate, whether as an Employee, Director or Consultant, is not</w:t>
      </w:r>
    </w:p>
    <w:p>
      <w:pPr>
        <w:spacing w:after="0" w:line="53" w:lineRule="exact"/>
        <w:rPr>
          <w:rFonts w:ascii="Times New Roman" w:cs="Times New Roman" w:eastAsia="Times New Roman" w:hAnsi="Times New Roman"/>
          <w:sz w:val="18"/>
          <w:szCs w:val="18"/>
          <w:b w:val="1"/>
          <w:bCs w:val="1"/>
          <w:color w:val="auto"/>
        </w:rPr>
      </w:pPr>
    </w:p>
    <w:p>
      <w:pPr>
        <w:ind w:right="180"/>
        <w:spacing w:after="0" w:line="30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w:t>
      </w:r>
    </w:p>
    <w:p>
      <w:pPr>
        <w:spacing w:after="0" w:line="1" w:lineRule="exact"/>
        <w:rPr>
          <w:rFonts w:ascii="Times New Roman" w:cs="Times New Roman" w:eastAsia="Times New Roman" w:hAnsi="Times New Roman"/>
          <w:sz w:val="18"/>
          <w:szCs w:val="18"/>
          <w:b w:val="1"/>
          <w:bCs w:val="1"/>
          <w:color w:val="auto"/>
        </w:rPr>
      </w:pPr>
    </w:p>
    <w:p>
      <w:pPr>
        <w:spacing w:after="0" w:line="30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service with the Company or an Affiliate, will not terminate a Participant’s Continuous Service; provided, however,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To the extent permitted by law, the Board or the chief executive</w:t>
      </w:r>
    </w:p>
    <w:p>
      <w:pPr>
        <w:spacing w:after="0" w:line="30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w:t>
      </w:r>
    </w:p>
    <w:p>
      <w:pPr>
        <w:spacing w:after="0" w:line="1" w:lineRule="exact"/>
        <w:rPr>
          <w:rFonts w:ascii="Times New Roman" w:cs="Times New Roman" w:eastAsia="Times New Roman" w:hAnsi="Times New Roman"/>
          <w:sz w:val="18"/>
          <w:szCs w:val="18"/>
          <w:b w:val="1"/>
          <w:bCs w:val="1"/>
          <w:color w:val="auto"/>
        </w:rPr>
      </w:pPr>
    </w:p>
    <w:p>
      <w:pPr>
        <w:jc w:val="both"/>
        <w:ind w:right="80"/>
        <w:spacing w:after="0" w:line="3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Company, an Affiliate, or their successors. Notwithstanding the foregoing, a leave of absence will be treated as Continuous Service for purposes of vesting in a Stock Award only to such extent as may be provided in the Company’s leave of absence policy, in the written terms of any leave of absence agreement or policy applicable to the Participant, or as otherwise required by law.</w:t>
      </w:r>
    </w:p>
    <w:p>
      <w:pPr>
        <w:spacing w:after="0" w:line="165" w:lineRule="exact"/>
        <w:rPr>
          <w:rFonts w:ascii="Times New Roman" w:cs="Times New Roman" w:eastAsia="Times New Roman" w:hAnsi="Times New Roman"/>
          <w:sz w:val="18"/>
          <w:szCs w:val="18"/>
          <w:b w:val="1"/>
          <w:bCs w:val="1"/>
          <w:color w:val="auto"/>
        </w:rPr>
      </w:pPr>
    </w:p>
    <w:p>
      <w:pPr>
        <w:ind w:right="280" w:firstLine="8"/>
        <w:spacing w:after="0" w:line="333" w:lineRule="auto"/>
        <w:tabs>
          <w:tab w:leader="none" w:pos="315"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145" w:lineRule="exact"/>
        <w:rPr>
          <w:sz w:val="20"/>
          <w:szCs w:val="20"/>
          <w:color w:val="auto"/>
        </w:rPr>
      </w:pPr>
    </w:p>
    <w:p>
      <w:pPr>
        <w:ind w:right="120" w:firstLine="8"/>
        <w:spacing w:after="0" w:line="329" w:lineRule="auto"/>
        <w:tabs>
          <w:tab w:leader="none" w:pos="215"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all or substantially all, as determined by the Board, in its sole discretion, of the consolidated assets of the Company and its Subsidiaries;</w:t>
      </w:r>
    </w:p>
    <w:p>
      <w:pPr>
        <w:spacing w:after="0" w:line="148"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at least 50% of the outstanding securities of the Company;</w:t>
      </w:r>
    </w:p>
    <w:p>
      <w:pPr>
        <w:spacing w:after="0" w:line="265"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252"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w:t>
      </w:r>
    </w:p>
    <w:p>
      <w:pPr>
        <w:spacing w:after="0" w:line="49" w:lineRule="exact"/>
        <w:rPr>
          <w:rFonts w:ascii="Times New Roman" w:cs="Times New Roman" w:eastAsia="Times New Roman" w:hAnsi="Times New Roman"/>
          <w:sz w:val="18"/>
          <w:szCs w:val="18"/>
          <w:b w:val="1"/>
          <w:bCs w:val="1"/>
          <w:color w:val="auto"/>
        </w:rPr>
      </w:pPr>
    </w:p>
    <w:p>
      <w:pPr>
        <w:ind w:right="62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preceding the merger, consolidation or similar transaction are converted or exchanged by virtue of the merger, consolidation or similar transaction into other property, whether in the form of securities, cash or otherwise.</w:t>
      </w:r>
    </w:p>
    <w:p>
      <w:pPr>
        <w:spacing w:after="0" w:line="172" w:lineRule="exact"/>
        <w:rPr>
          <w:sz w:val="20"/>
          <w:szCs w:val="20"/>
          <w:color w:val="auto"/>
        </w:rPr>
      </w:pPr>
    </w:p>
    <w:p>
      <w:pPr>
        <w:ind w:left="280" w:hanging="272"/>
        <w:spacing w:after="0"/>
        <w:tabs>
          <w:tab w:leader="none" w:pos="2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945" w:right="339" w:bottom="1440" w:gutter="0" w:footer="0" w:header="0"/>
        </w:sectPr>
      </w:pPr>
    </w:p>
    <w:bookmarkStart w:id="20" w:name="page21"/>
    <w:bookmarkEnd w:id="20"/>
    <w:p>
      <w:pPr>
        <w:ind w:right="180" w:firstLine="8"/>
        <w:spacing w:after="0" w:line="317" w:lineRule="auto"/>
        <w:tabs>
          <w:tab w:leader="none" w:pos="255"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Disability</w:t>
      </w:r>
      <w:r>
        <w:rPr>
          <w:rFonts w:ascii="Times New Roman" w:cs="Times New Roman" w:eastAsia="Times New Roman" w:hAnsi="Times New Roman"/>
          <w:sz w:val="17"/>
          <w:szCs w:val="17"/>
          <w:color w:val="auto"/>
        </w:rPr>
        <w:t>”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w:t>
      </w:r>
    </w:p>
    <w:p>
      <w:pPr>
        <w:ind w:right="200"/>
        <w:spacing w:after="0" w:line="31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period of not less than 12 months, as provided in Sections 22(e)(3) and 409A(a)(2)(c)(i) of the Code, and will be determined by the Board on the basis of such medical evidence as the Board deems warranted under the circumstances.</w:t>
      </w:r>
    </w:p>
    <w:p>
      <w:pPr>
        <w:spacing w:after="0" w:line="171" w:lineRule="exact"/>
        <w:rPr>
          <w:rFonts w:ascii="Times New Roman" w:cs="Times New Roman" w:eastAsia="Times New Roman" w:hAnsi="Times New Roman"/>
          <w:sz w:val="17"/>
          <w:szCs w:val="17"/>
          <w:b w:val="1"/>
          <w:bCs w:val="1"/>
          <w:color w:val="auto"/>
        </w:rPr>
      </w:pPr>
    </w:p>
    <w:p>
      <w:pPr>
        <w:ind w:right="120" w:firstLine="8"/>
        <w:spacing w:after="0" w:line="318" w:lineRule="auto"/>
        <w:tabs>
          <w:tab w:leader="none" w:pos="26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66"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252"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 and the rules and regulations promulgated thereunder.</w:t>
      </w:r>
    </w:p>
    <w:p>
      <w:pPr>
        <w:spacing w:after="0" w:line="265" w:lineRule="exact"/>
        <w:rPr>
          <w:rFonts w:ascii="Times New Roman" w:cs="Times New Roman" w:eastAsia="Times New Roman" w:hAnsi="Times New Roman"/>
          <w:sz w:val="18"/>
          <w:szCs w:val="18"/>
          <w:b w:val="1"/>
          <w:bCs w:val="1"/>
          <w:color w:val="auto"/>
        </w:rPr>
      </w:pPr>
    </w:p>
    <w:p>
      <w:pPr>
        <w:ind w:right="180" w:firstLine="8"/>
        <w:spacing w:after="0" w:line="291" w:lineRule="auto"/>
        <w:tabs>
          <w:tab w:leader="none" w:pos="23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 Person</w:t>
      </w:r>
      <w:r>
        <w:rPr>
          <w:rFonts w:ascii="Times New Roman" w:cs="Times New Roman" w:eastAsia="Times New Roman" w:hAnsi="Times New Roman"/>
          <w:sz w:val="18"/>
          <w:szCs w:val="18"/>
          <w:color w:val="auto"/>
        </w:rPr>
        <w:t>” means any natural person, Entity or “group” (within the meaning of Section 13(d) or 14(d) of the Exchange Act), except that “Exchange Act Person” will not include (i) the Company or any Subsidiary of the Company, (ii) any employee benefit plan of the Company or any</w:t>
      </w:r>
    </w:p>
    <w:p>
      <w:pPr>
        <w:spacing w:after="0" w:line="1" w:lineRule="exact"/>
        <w:rPr>
          <w:rFonts w:ascii="Times New Roman" w:cs="Times New Roman" w:eastAsia="Times New Roman" w:hAnsi="Times New Roman"/>
          <w:sz w:val="18"/>
          <w:szCs w:val="18"/>
          <w:b w:val="1"/>
          <w:bCs w:val="1"/>
          <w:color w:val="auto"/>
        </w:rPr>
      </w:pPr>
    </w:p>
    <w:p>
      <w:pPr>
        <w:jc w:val="both"/>
        <w:ind w:right="280"/>
        <w:spacing w:after="0" w:line="30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w:t>
      </w:r>
    </w:p>
    <w:p>
      <w:pPr>
        <w:spacing w:after="0" w:line="1" w:lineRule="exact"/>
        <w:rPr>
          <w:rFonts w:ascii="Times New Roman" w:cs="Times New Roman" w:eastAsia="Times New Roman" w:hAnsi="Times New Roman"/>
          <w:sz w:val="18"/>
          <w:szCs w:val="18"/>
          <w:b w:val="1"/>
          <w:bCs w:val="1"/>
          <w:color w:val="auto"/>
        </w:rPr>
      </w:pPr>
    </w:p>
    <w:p>
      <w:pPr>
        <w:spacing w:after="0" w:line="3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indirectly, by the stockholders of the Company in substantially the same proportions as their Ownership of stock of the Company; or (v) any natural person, Entity or “group” (within the meaning of Section 13(d) or 14(d) of the Exchange Act) that, as of the IPO Date, is the Owner, directly or indirectly, of securities of the Company representing more than 50% of the combined voting power of the Company’s then outstanding securities.</w:t>
      </w:r>
    </w:p>
    <w:p>
      <w:pPr>
        <w:spacing w:after="0" w:line="165" w:lineRule="exact"/>
        <w:rPr>
          <w:rFonts w:ascii="Times New Roman" w:cs="Times New Roman" w:eastAsia="Times New Roman" w:hAnsi="Times New Roman"/>
          <w:sz w:val="18"/>
          <w:szCs w:val="18"/>
          <w:b w:val="1"/>
          <w:bCs w:val="1"/>
          <w:color w:val="auto"/>
        </w:rPr>
      </w:pPr>
    </w:p>
    <w:p>
      <w:pPr>
        <w:ind w:left="240" w:hanging="232"/>
        <w:spacing w:after="0"/>
        <w:tabs>
          <w:tab w:leader="none" w:pos="2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the Common Stock determined as follows:</w:t>
      </w:r>
    </w:p>
    <w:p>
      <w:pPr>
        <w:spacing w:after="0" w:line="270" w:lineRule="exact"/>
        <w:rPr>
          <w:sz w:val="20"/>
          <w:szCs w:val="20"/>
          <w:color w:val="auto"/>
        </w:rPr>
      </w:pPr>
    </w:p>
    <w:p>
      <w:pPr>
        <w:ind w:left="220" w:hanging="212"/>
        <w:spacing w:after="0"/>
        <w:tabs>
          <w:tab w:leader="none" w:pos="2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Common Stock is listed on any established stock exchange or traded on any established market, the Fair Market Value of a share of Common</w:t>
      </w:r>
    </w:p>
    <w:p>
      <w:pPr>
        <w:spacing w:after="0" w:line="49" w:lineRule="exact"/>
        <w:rPr>
          <w:rFonts w:ascii="Times New Roman" w:cs="Times New Roman" w:eastAsia="Times New Roman" w:hAnsi="Times New Roman"/>
          <w:sz w:val="18"/>
          <w:szCs w:val="18"/>
          <w:b w:val="1"/>
          <w:bCs w:val="1"/>
          <w:color w:val="auto"/>
        </w:rPr>
      </w:pPr>
    </w:p>
    <w:p>
      <w:pPr>
        <w:ind w:right="18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Stock will be, unless otherwise determined by the Board, the closing sales price for such stock as quoted on such exchange or market (or the exchange or market with the greatest volume of trading in the Common Stock) on the date of determination, as reported in a source the Board deems reliable.</w:t>
      </w:r>
    </w:p>
    <w:p>
      <w:pPr>
        <w:spacing w:after="0" w:line="175" w:lineRule="exact"/>
        <w:rPr>
          <w:rFonts w:ascii="Times New Roman" w:cs="Times New Roman" w:eastAsia="Times New Roman" w:hAnsi="Times New Roman"/>
          <w:sz w:val="18"/>
          <w:szCs w:val="18"/>
          <w:b w:val="1"/>
          <w:bCs w:val="1"/>
          <w:color w:val="auto"/>
        </w:rPr>
      </w:pPr>
    </w:p>
    <w:p>
      <w:pPr>
        <w:ind w:right="360" w:firstLine="8"/>
        <w:spacing w:after="0" w:line="313" w:lineRule="auto"/>
        <w:tabs>
          <w:tab w:leader="none" w:pos="26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provided by the Board, if there is no closing sales price for the Common Stock on the date of determination, then the Fair Market Value will be the closing selling price on the last preceding date for which such quotation exists.</w:t>
      </w:r>
    </w:p>
    <w:p>
      <w:pPr>
        <w:spacing w:after="0" w:line="175" w:lineRule="exact"/>
        <w:rPr>
          <w:rFonts w:ascii="Times New Roman" w:cs="Times New Roman" w:eastAsia="Times New Roman" w:hAnsi="Times New Roman"/>
          <w:sz w:val="18"/>
          <w:szCs w:val="18"/>
          <w:b w:val="1"/>
          <w:bCs w:val="1"/>
          <w:color w:val="auto"/>
        </w:rPr>
      </w:pPr>
    </w:p>
    <w:p>
      <w:pPr>
        <w:ind w:right="480" w:firstLine="8"/>
        <w:spacing w:after="0" w:line="313" w:lineRule="auto"/>
        <w:tabs>
          <w:tab w:leader="none" w:pos="31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such markets for the Common Stock, the Fair Market Value will be determined by the Board in good faith and in a manner that complies with Sections 409A and 422 of the Code.</w:t>
      </w:r>
    </w:p>
    <w:p>
      <w:pPr>
        <w:spacing w:after="0" w:line="172" w:lineRule="exact"/>
        <w:rPr>
          <w:sz w:val="20"/>
          <w:szCs w:val="20"/>
          <w:color w:val="auto"/>
        </w:rPr>
      </w:pPr>
    </w:p>
    <w:p>
      <w:pPr>
        <w:ind w:right="80" w:firstLine="8"/>
        <w:spacing w:after="0" w:line="318" w:lineRule="auto"/>
        <w:tabs>
          <w:tab w:leader="none" w:pos="265"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granted pursuant to Section 5 of the Plan that is intended to be, and qualifies as, an “incentive stock option” within the meaning of Section 422 of the Code.</w:t>
      </w:r>
    </w:p>
    <w:p>
      <w:pPr>
        <w:spacing w:after="0" w:line="166" w:lineRule="exact"/>
        <w:rPr>
          <w:rFonts w:ascii="Times New Roman" w:cs="Times New Roman" w:eastAsia="Times New Roman" w:hAnsi="Times New Roman"/>
          <w:sz w:val="18"/>
          <w:szCs w:val="18"/>
          <w:b w:val="1"/>
          <w:bCs w:val="1"/>
          <w:color w:val="auto"/>
        </w:rPr>
      </w:pPr>
    </w:p>
    <w:p>
      <w:pPr>
        <w:ind w:right="400" w:firstLine="8"/>
        <w:spacing w:after="0" w:line="318" w:lineRule="auto"/>
        <w:tabs>
          <w:tab w:leader="none" w:pos="255"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IPO Date</w:t>
      </w:r>
      <w:r>
        <w:rPr>
          <w:rFonts w:ascii="Times New Roman" w:cs="Times New Roman" w:eastAsia="Times New Roman" w:hAnsi="Times New Roman"/>
          <w:sz w:val="18"/>
          <w:szCs w:val="18"/>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170" w:lineRule="exact"/>
        <w:rPr>
          <w:rFonts w:ascii="Times New Roman" w:cs="Times New Roman" w:eastAsia="Times New Roman" w:hAnsi="Times New Roman"/>
          <w:sz w:val="18"/>
          <w:szCs w:val="18"/>
          <w:b w:val="1"/>
          <w:bCs w:val="1"/>
          <w:color w:val="auto"/>
        </w:rPr>
      </w:pPr>
    </w:p>
    <w:p>
      <w:pPr>
        <w:jc w:val="both"/>
        <w:ind w:right="620" w:firstLine="8"/>
        <w:spacing w:after="0" w:line="306" w:lineRule="auto"/>
        <w:tabs>
          <w:tab w:leader="none" w:pos="295"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“Non-Employee Director” means a Director who either (i) is not a current employee or officer of the Company or an Affiliate, does not receive compensation, either directly or indirectly, from the Company or an Affiliate for services rendered as a consultant or in any capacity other than as a</w:t>
      </w:r>
    </w:p>
    <w:p>
      <w:pPr>
        <w:spacing w:after="0" w:line="1" w:lineRule="exact"/>
        <w:rPr>
          <w:rFonts w:ascii="Times New Roman" w:cs="Times New Roman" w:eastAsia="Times New Roman" w:hAnsi="Times New Roman"/>
          <w:sz w:val="17"/>
          <w:szCs w:val="17"/>
          <w:b w:val="1"/>
          <w:bCs w:val="1"/>
          <w:color w:val="auto"/>
        </w:rPr>
      </w:pPr>
    </w:p>
    <w:p>
      <w:pPr>
        <w:ind w:right="20"/>
        <w:spacing w:after="0" w:line="30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Director (except for an amount as to which disclosure would not be required under Item 404(a) of Regulation S-K promulgated pursuant to the Securities Act (“Regulation S-K”)), does not possess an interest in any other transaction for which disclosure would be required under Item 404(a) of Regulation S-K,</w:t>
      </w:r>
    </w:p>
    <w:p>
      <w:pPr>
        <w:spacing w:after="0" w:line="1" w:lineRule="exact"/>
        <w:rPr>
          <w:rFonts w:ascii="Times New Roman" w:cs="Times New Roman" w:eastAsia="Times New Roman" w:hAnsi="Times New Roman"/>
          <w:sz w:val="17"/>
          <w:szCs w:val="17"/>
          <w:b w:val="1"/>
          <w:bCs w:val="1"/>
          <w:color w:val="auto"/>
        </w:rPr>
      </w:pPr>
    </w:p>
    <w:p>
      <w:pPr>
        <w:ind w:right="600"/>
        <w:spacing w:after="0" w:line="31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and is not engaged in a business relationship for which disclosure would be required pursuant to Item 404(b) of Regulation S-K; or (ii) is otherwise considered a “non-employee director” for purposes of Rule 16b-3.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20"/>
          </w:cols>
          <w:pgMar w:left="320" w:top="941" w:right="359" w:bottom="1440" w:gutter="0" w:footer="0" w:header="0"/>
        </w:sectPr>
      </w:pPr>
    </w:p>
    <w:bookmarkStart w:id="21" w:name="page22"/>
    <w:bookmarkEnd w:id="21"/>
    <w:p>
      <w:pPr>
        <w:ind w:left="260" w:hanging="252"/>
        <w:spacing w:after="0"/>
        <w:tabs>
          <w:tab w:leader="none" w:pos="2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any Option granted pursuant to Section 5 of the Plan that does not qualify as an Incentive Stock Option.</w:t>
      </w:r>
    </w:p>
    <w:p>
      <w:pPr>
        <w:spacing w:after="0" w:line="265"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pacing w:after="0" w:line="265"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Incentive Stock Option or a Nonstatutory Stock Option to purchase shares of Common Stock granted pursuant to the Plan.</w:t>
      </w:r>
    </w:p>
    <w:p>
      <w:pPr>
        <w:spacing w:after="0" w:line="252" w:lineRule="exact"/>
        <w:rPr>
          <w:sz w:val="20"/>
          <w:szCs w:val="20"/>
          <w:color w:val="auto"/>
        </w:rPr>
      </w:pPr>
    </w:p>
    <w:p>
      <w:pPr>
        <w:ind w:right="120" w:firstLine="8"/>
        <w:spacing w:after="0" w:line="333" w:lineRule="auto"/>
        <w:tabs>
          <w:tab w:leader="none" w:pos="345"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means a written agreement between the Company and an Optionholder evidencing the terms and conditions of an Option grant. Each Option Agreement will be subject to the terms and conditions of the Plan.</w:t>
      </w:r>
    </w:p>
    <w:p>
      <w:pPr>
        <w:spacing w:after="0" w:line="141" w:lineRule="exact"/>
        <w:rPr>
          <w:rFonts w:ascii="Times New Roman" w:cs="Times New Roman" w:eastAsia="Times New Roman" w:hAnsi="Times New Roman"/>
          <w:sz w:val="18"/>
          <w:szCs w:val="18"/>
          <w:b w:val="1"/>
          <w:bCs w:val="1"/>
          <w:color w:val="auto"/>
        </w:rPr>
      </w:pPr>
    </w:p>
    <w:p>
      <w:pPr>
        <w:ind w:right="460" w:firstLine="8"/>
        <w:spacing w:after="0" w:line="333" w:lineRule="auto"/>
        <w:tabs>
          <w:tab w:leader="none" w:pos="365"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 outstanding Option.</w:t>
      </w:r>
    </w:p>
    <w:p>
      <w:pPr>
        <w:spacing w:after="0" w:line="141" w:lineRule="exact"/>
        <w:rPr>
          <w:rFonts w:ascii="Times New Roman" w:cs="Times New Roman" w:eastAsia="Times New Roman" w:hAnsi="Times New Roman"/>
          <w:sz w:val="18"/>
          <w:szCs w:val="18"/>
          <w:b w:val="1"/>
          <w:bCs w:val="1"/>
          <w:color w:val="auto"/>
        </w:rPr>
      </w:pPr>
    </w:p>
    <w:p>
      <w:pPr>
        <w:ind w:right="640" w:firstLine="8"/>
        <w:spacing w:after="0" w:line="333" w:lineRule="auto"/>
        <w:tabs>
          <w:tab w:leader="none" w:pos="324"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Stock Award</w:t>
      </w:r>
      <w:r>
        <w:rPr>
          <w:rFonts w:ascii="Times New Roman" w:cs="Times New Roman" w:eastAsia="Times New Roman" w:hAnsi="Times New Roman"/>
          <w:sz w:val="18"/>
          <w:szCs w:val="18"/>
          <w:color w:val="auto"/>
        </w:rPr>
        <w:t>” means an award based in whole or in part by reference to the Common Stock which is granted pursuant to the terms and conditions of Section 6(d).</w:t>
      </w:r>
    </w:p>
    <w:p>
      <w:pPr>
        <w:spacing w:after="0" w:line="141" w:lineRule="exact"/>
        <w:rPr>
          <w:rFonts w:ascii="Times New Roman" w:cs="Times New Roman" w:eastAsia="Times New Roman" w:hAnsi="Times New Roman"/>
          <w:sz w:val="18"/>
          <w:szCs w:val="18"/>
          <w:b w:val="1"/>
          <w:bCs w:val="1"/>
          <w:color w:val="auto"/>
        </w:rPr>
      </w:pPr>
    </w:p>
    <w:p>
      <w:pPr>
        <w:ind w:right="180" w:firstLine="8"/>
        <w:spacing w:after="0" w:line="333" w:lineRule="auto"/>
        <w:tabs>
          <w:tab w:leader="none" w:pos="365"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Stock Award Agreement</w:t>
      </w:r>
      <w:r>
        <w:rPr>
          <w:rFonts w:ascii="Times New Roman" w:cs="Times New Roman" w:eastAsia="Times New Roman" w:hAnsi="Times New Roman"/>
          <w:sz w:val="18"/>
          <w:szCs w:val="18"/>
          <w:color w:val="auto"/>
        </w:rPr>
        <w:t>” means a written agreement between the Company and a holder of an Other Stock Award evidencing the terms and conditions of an Other Stock Award grant. Each Other Stock Award Agreement will be subject to the terms and conditions of the Plan.</w:t>
      </w:r>
    </w:p>
    <w:p>
      <w:pPr>
        <w:spacing w:after="0" w:line="14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Ownership</w:t>
      </w:r>
      <w:r>
        <w:rPr>
          <w:rFonts w:ascii="Times New Roman" w:cs="Times New Roman" w:eastAsia="Times New Roman" w:hAnsi="Times New Roman"/>
          <w:sz w:val="18"/>
          <w:szCs w:val="18"/>
          <w:color w:val="auto"/>
        </w:rPr>
        <w:t>” means a person or Entity will be deemed to “Own,” to have “Owned,” to be the “Owner” of, or to have</w:t>
      </w:r>
    </w:p>
    <w:p>
      <w:pPr>
        <w:spacing w:after="0" w:line="53" w:lineRule="exact"/>
        <w:rPr>
          <w:rFonts w:ascii="Times New Roman" w:cs="Times New Roman" w:eastAsia="Times New Roman" w:hAnsi="Times New Roman"/>
          <w:sz w:val="18"/>
          <w:szCs w:val="18"/>
          <w:b w:val="1"/>
          <w:bCs w:val="1"/>
          <w:color w:val="auto"/>
        </w:rPr>
      </w:pPr>
    </w:p>
    <w:p>
      <w:pPr>
        <w:ind w:right="58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71" w:lineRule="exact"/>
        <w:rPr>
          <w:rFonts w:ascii="Times New Roman" w:cs="Times New Roman" w:eastAsia="Times New Roman" w:hAnsi="Times New Roman"/>
          <w:sz w:val="18"/>
          <w:szCs w:val="18"/>
          <w:b w:val="1"/>
          <w:bCs w:val="1"/>
          <w:color w:val="auto"/>
        </w:rPr>
      </w:pPr>
    </w:p>
    <w:p>
      <w:pPr>
        <w:ind w:right="360" w:firstLine="8"/>
        <w:spacing w:after="0" w:line="318" w:lineRule="auto"/>
        <w:tabs>
          <w:tab w:leader="none" w:pos="285"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 person to whom a Stock Award is granted pursuant to the Plan or, if applicable, such other person who holds an outstanding Stock Award.</w:t>
      </w:r>
    </w:p>
    <w:p>
      <w:pPr>
        <w:spacing w:after="0" w:line="166"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means the one or more criteria that the Board will select for purposes of establishing the Performance Goals for a</w:t>
      </w:r>
    </w:p>
    <w:p>
      <w:pPr>
        <w:spacing w:after="0" w:line="53" w:lineRule="exact"/>
        <w:rPr>
          <w:rFonts w:ascii="Times New Roman" w:cs="Times New Roman" w:eastAsia="Times New Roman" w:hAnsi="Times New Roman"/>
          <w:sz w:val="18"/>
          <w:szCs w:val="18"/>
          <w:b w:val="1"/>
          <w:bCs w:val="1"/>
          <w:color w:val="auto"/>
        </w:rPr>
      </w:pPr>
    </w:p>
    <w:p>
      <w:pPr>
        <w:ind w:right="40"/>
        <w:spacing w:after="0" w:line="30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Performance Period. The Performance Criteria that will be used to establish such Performance Goals may be based on any one of, or combination of, the following as determined by the Board: (i) earnings (including earnings per share and net earnings); (ii) earnings before interest, taxes and depreciation; (iii)</w:t>
      </w:r>
    </w:p>
    <w:p>
      <w:pPr>
        <w:spacing w:after="0" w:line="1" w:lineRule="exact"/>
        <w:rPr>
          <w:rFonts w:ascii="Times New Roman" w:cs="Times New Roman" w:eastAsia="Times New Roman" w:hAnsi="Times New Roman"/>
          <w:sz w:val="18"/>
          <w:szCs w:val="18"/>
          <w:b w:val="1"/>
          <w:bCs w:val="1"/>
          <w:color w:val="auto"/>
        </w:rPr>
      </w:pPr>
    </w:p>
    <w:p>
      <w:pPr>
        <w:ind w:right="18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earnings before interest, taxes, depreciation and amortization; (iv) earnings before interest, taxes, depreciation, amortization and legal settlements; (v) earnings before interest, taxes, depreciation, amortization, legal settlements and other income (expense); (vi) earnings before interest, taxes, depreciation,</w:t>
      </w:r>
    </w:p>
    <w:p>
      <w:pPr>
        <w:spacing w:after="0" w:line="1" w:lineRule="exact"/>
        <w:rPr>
          <w:rFonts w:ascii="Times New Roman" w:cs="Times New Roman" w:eastAsia="Times New Roman" w:hAnsi="Times New Roman"/>
          <w:sz w:val="18"/>
          <w:szCs w:val="18"/>
          <w:b w:val="1"/>
          <w:bCs w:val="1"/>
          <w:color w:val="auto"/>
        </w:rPr>
      </w:pPr>
    </w:p>
    <w:p>
      <w:pPr>
        <w:ind w:right="14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amortization, legal settlements, other income (expense) and stock-based compensation; (vii) earnings before interest, taxes, depreciation, amortization, legal settlements, other income (expense), stock-based compensation and changes in deferred revenue; (viii) total stockholder return; (ix) return on equity</w:t>
      </w:r>
    </w:p>
    <w:p>
      <w:pPr>
        <w:spacing w:after="0" w:line="1" w:lineRule="exact"/>
        <w:rPr>
          <w:rFonts w:ascii="Times New Roman" w:cs="Times New Roman" w:eastAsia="Times New Roman" w:hAnsi="Times New Roman"/>
          <w:sz w:val="18"/>
          <w:szCs w:val="18"/>
          <w:b w:val="1"/>
          <w:bCs w:val="1"/>
          <w:color w:val="auto"/>
        </w:rPr>
      </w:pPr>
    </w:p>
    <w:p>
      <w:pPr>
        <w:ind w:right="100"/>
        <w:spacing w:after="0" w:line="30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or average stockholder’s equity; (x) return on assets, investment, or capital employed; (xi) stock price; (xii) margin (including gross margin); (xiii) income (before or after taxes); (xiv) operating income; (xv) operating income after taxes; (xvi) pre-tax profit; (xvii) operating cash flow; (xviii) sales or revenue</w:t>
      </w:r>
    </w:p>
    <w:p>
      <w:pPr>
        <w:spacing w:after="0" w:line="1" w:lineRule="exact"/>
        <w:rPr>
          <w:rFonts w:ascii="Times New Roman" w:cs="Times New Roman" w:eastAsia="Times New Roman" w:hAnsi="Times New Roman"/>
          <w:sz w:val="18"/>
          <w:szCs w:val="18"/>
          <w:b w:val="1"/>
          <w:bCs w:val="1"/>
          <w:color w:val="auto"/>
        </w:rPr>
      </w:pPr>
    </w:p>
    <w:p>
      <w:pPr>
        <w:spacing w:after="0" w:line="30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targets; (xix) increases in revenue or product revenue; (xx) expenses and cost reduction goals; (xxi) improvement in or attainment of working capital levels; (xxii) economic value added (or an equivalent metric); (xxiii) market share; (xxiv) cash flow; (xxv) cash flow per share; (xxvi) share price performance;</w:t>
      </w:r>
    </w:p>
    <w:p>
      <w:pPr>
        <w:spacing w:after="0" w:line="1" w:lineRule="exact"/>
        <w:rPr>
          <w:rFonts w:ascii="Times New Roman" w:cs="Times New Roman" w:eastAsia="Times New Roman" w:hAnsi="Times New Roman"/>
          <w:sz w:val="18"/>
          <w:szCs w:val="18"/>
          <w:b w:val="1"/>
          <w:bCs w:val="1"/>
          <w:color w:val="auto"/>
        </w:rPr>
      </w:pPr>
    </w:p>
    <w:p>
      <w:pPr>
        <w:ind w:right="280"/>
        <w:spacing w:after="0" w:line="30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(xxvii) debt reduction; (xxviii) implementation or completion of projects or processes (including, without limitation, clinical trial initiation, clinical trial enrollment, clinical trial results, new and supplemental indications for existing products, regulatory filing submissions, regulatory filing acceptances,</w:t>
      </w:r>
    </w:p>
    <w:p>
      <w:pPr>
        <w:spacing w:after="0" w:line="1" w:lineRule="exact"/>
        <w:rPr>
          <w:rFonts w:ascii="Times New Roman" w:cs="Times New Roman" w:eastAsia="Times New Roman" w:hAnsi="Times New Roman"/>
          <w:sz w:val="18"/>
          <w:szCs w:val="18"/>
          <w:b w:val="1"/>
          <w:bCs w:val="1"/>
          <w:color w:val="auto"/>
        </w:rPr>
      </w:pPr>
    </w:p>
    <w:p>
      <w:pPr>
        <w:ind w:right="4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regulatory or advisory committee interactions, regulatory approvals, and product supply); (xxix) stockholders’ equity; (xxx) capital expenditures; (xxxi) debt levels; (xxxii) operating profit or net operating profit; (xxxiii) workforce diversity; (xxxiv) growth of net income or operating income; (xxxv) billings;</w:t>
      </w:r>
    </w:p>
    <w:p>
      <w:pPr>
        <w:spacing w:after="0" w:line="1" w:lineRule="exact"/>
        <w:rPr>
          <w:rFonts w:ascii="Times New Roman" w:cs="Times New Roman" w:eastAsia="Times New Roman" w:hAnsi="Times New Roman"/>
          <w:sz w:val="18"/>
          <w:szCs w:val="18"/>
          <w:b w:val="1"/>
          <w:bCs w:val="1"/>
          <w:color w:val="auto"/>
        </w:rPr>
      </w:pPr>
    </w:p>
    <w:p>
      <w:pPr>
        <w:ind w:right="48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(xxxvi) bookings; (xxxvii) employee retention; (xxxviii) user satisfaction; (xxxix) the number of users, including but not limited to unique users; (xl) budget management; (xli) partner satisfaction; (xlii) entry into or completion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320" w:top="941" w:right="359" w:bottom="1440" w:gutter="0" w:footer="0" w:header="0"/>
        </w:sectPr>
      </w:pPr>
    </w:p>
    <w:bookmarkStart w:id="22" w:name="page23"/>
    <w:bookmarkEnd w:id="22"/>
    <w:p>
      <w:pPr>
        <w:ind w:right="140"/>
        <w:spacing w:after="0" w:line="329" w:lineRule="auto"/>
        <w:rPr>
          <w:sz w:val="20"/>
          <w:szCs w:val="20"/>
          <w:color w:val="auto"/>
        </w:rPr>
      </w:pPr>
      <w:r>
        <w:rPr>
          <w:rFonts w:ascii="Times New Roman" w:cs="Times New Roman" w:eastAsia="Times New Roman" w:hAnsi="Times New Roman"/>
          <w:sz w:val="18"/>
          <w:szCs w:val="18"/>
          <w:color w:val="auto"/>
        </w:rPr>
        <w:t>strategic partnerships or transactions (including in-licensing and out-licensing of intellectual property); and (xliii) other measures of performance selected by the Board.</w:t>
      </w:r>
    </w:p>
    <w:p>
      <w:pPr>
        <w:spacing w:after="0" w:line="158" w:lineRule="exact"/>
        <w:rPr>
          <w:sz w:val="20"/>
          <w:szCs w:val="20"/>
          <w:color w:val="auto"/>
        </w:rPr>
      </w:pPr>
    </w:p>
    <w:p>
      <w:pPr>
        <w:ind w:right="240" w:firstLine="8"/>
        <w:spacing w:after="0" w:line="291" w:lineRule="auto"/>
        <w:tabs>
          <w:tab w:leader="none" w:pos="365"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color w:val="auto"/>
        </w:rPr>
        <w:t>” means, for a Performance Period, the one or more goals established by the Board for the Performance Period based upon the Performance Criteria. Performance Goals may be based on a Company-wide basis, with respect to one or more business units, divisions, Affiliates, or</w:t>
      </w:r>
    </w:p>
    <w:p>
      <w:pPr>
        <w:spacing w:after="0" w:line="1" w:lineRule="exact"/>
        <w:rPr>
          <w:rFonts w:ascii="Times New Roman" w:cs="Times New Roman" w:eastAsia="Times New Roman" w:hAnsi="Times New Roman"/>
          <w:sz w:val="18"/>
          <w:szCs w:val="18"/>
          <w:b w:val="1"/>
          <w:bCs w:val="1"/>
          <w:color w:val="auto"/>
        </w:rPr>
      </w:pPr>
    </w:p>
    <w:p>
      <w:pPr>
        <w:ind w:right="300"/>
        <w:spacing w:after="0" w:line="30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business segments, and in either absolute terms or relative to the performance of one or more comparable companies or the performance of one or more relevant indices. Unless specified otherwise by the Board (i) in the Stock Award Agreement at the time the Stock Award is granted or (ii) in such other</w:t>
      </w:r>
    </w:p>
    <w:p>
      <w:pPr>
        <w:spacing w:after="0" w:line="1" w:lineRule="exact"/>
        <w:rPr>
          <w:rFonts w:ascii="Times New Roman" w:cs="Times New Roman" w:eastAsia="Times New Roman" w:hAnsi="Times New Roman"/>
          <w:sz w:val="18"/>
          <w:szCs w:val="18"/>
          <w:b w:val="1"/>
          <w:bCs w:val="1"/>
          <w:color w:val="auto"/>
        </w:rPr>
      </w:pPr>
    </w:p>
    <w:p>
      <w:pPr>
        <w:jc w:val="both"/>
        <w:ind w:right="36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w:t>
      </w:r>
    </w:p>
    <w:p>
      <w:pPr>
        <w:spacing w:after="0" w:line="1" w:lineRule="exact"/>
        <w:rPr>
          <w:rFonts w:ascii="Times New Roman" w:cs="Times New Roman" w:eastAsia="Times New Roman" w:hAnsi="Times New Roman"/>
          <w:sz w:val="18"/>
          <w:szCs w:val="18"/>
          <w:b w:val="1"/>
          <w:bCs w:val="1"/>
          <w:color w:val="auto"/>
        </w:rPr>
      </w:pPr>
    </w:p>
    <w:p>
      <w:pPr>
        <w:ind w:right="80"/>
        <w:spacing w:after="0" w:line="30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charges; (2) to exclude exchange rate effects; (3) to exclude the effects of changes to generally accepted accounting principles; (4) to exclude the effects of any statutory adjustments to corporate tax rates; (5) to exclude the effects of any items that are “unusual” in nature or occur “infrequently” as determined</w:t>
      </w:r>
    </w:p>
    <w:p>
      <w:pPr>
        <w:spacing w:after="0" w:line="1" w:lineRule="exact"/>
        <w:rPr>
          <w:rFonts w:ascii="Times New Roman" w:cs="Times New Roman" w:eastAsia="Times New Roman" w:hAnsi="Times New Roman"/>
          <w:sz w:val="18"/>
          <w:szCs w:val="18"/>
          <w:b w:val="1"/>
          <w:bCs w:val="1"/>
          <w:color w:val="auto"/>
        </w:rPr>
      </w:pPr>
    </w:p>
    <w:p>
      <w:pPr>
        <w:ind w:right="4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w:t>
      </w:r>
    </w:p>
    <w:p>
      <w:pPr>
        <w:spacing w:after="0" w:line="1" w:lineRule="exact"/>
        <w:rPr>
          <w:rFonts w:ascii="Times New Roman" w:cs="Times New Roman" w:eastAsia="Times New Roman" w:hAnsi="Times New Roman"/>
          <w:sz w:val="18"/>
          <w:szCs w:val="18"/>
          <w:b w:val="1"/>
          <w:bCs w:val="1"/>
          <w:color w:val="auto"/>
        </w:rPr>
      </w:pPr>
    </w:p>
    <w:p>
      <w:pPr>
        <w:ind w:right="160"/>
        <w:spacing w:after="0" w:line="30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w:t>
      </w:r>
    </w:p>
    <w:p>
      <w:pPr>
        <w:spacing w:after="0" w:line="1" w:lineRule="exact"/>
        <w:rPr>
          <w:rFonts w:ascii="Times New Roman" w:cs="Times New Roman" w:eastAsia="Times New Roman" w:hAnsi="Times New Roman"/>
          <w:sz w:val="18"/>
          <w:szCs w:val="18"/>
          <w:b w:val="1"/>
          <w:bCs w:val="1"/>
          <w:color w:val="auto"/>
        </w:rPr>
      </w:pPr>
    </w:p>
    <w:p>
      <w:pPr>
        <w:jc w:val="both"/>
        <w:ind w:right="420"/>
        <w:spacing w:after="0" w:line="30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(11) to exclude the goodwill and intangible asset impairment charges that are required to be recorded under</w:t>
      </w:r>
    </w:p>
    <w:p>
      <w:pPr>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accepted accounting principles; (12) to exclude the effects of any other item of unusual, non-recurring gain or loss; and (13) to exclude the effects of entering into or achieving milestones involved in licensing arrangements. In addition, the Board retains the discretion to reduce or eliminate the</w:t>
      </w:r>
    </w:p>
    <w:p>
      <w:pPr>
        <w:spacing w:after="0" w:line="1" w:lineRule="exact"/>
        <w:rPr>
          <w:rFonts w:ascii="Times New Roman" w:cs="Times New Roman" w:eastAsia="Times New Roman" w:hAnsi="Times New Roman"/>
          <w:sz w:val="18"/>
          <w:szCs w:val="18"/>
          <w:b w:val="1"/>
          <w:bCs w:val="1"/>
          <w:color w:val="auto"/>
        </w:rPr>
      </w:pPr>
    </w:p>
    <w:p>
      <w:pPr>
        <w:ind w:right="60"/>
        <w:spacing w:after="0" w:line="3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Stock Award Agreement.</w:t>
      </w:r>
    </w:p>
    <w:p>
      <w:pPr>
        <w:spacing w:after="0" w:line="165"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of time selected by the Board over which the attainment of one or more Performance Goals will be measured</w:t>
      </w:r>
    </w:p>
    <w:p>
      <w:pPr>
        <w:spacing w:after="0" w:line="53" w:lineRule="exact"/>
        <w:rPr>
          <w:rFonts w:ascii="Times New Roman" w:cs="Times New Roman" w:eastAsia="Times New Roman" w:hAnsi="Times New Roman"/>
          <w:sz w:val="18"/>
          <w:szCs w:val="18"/>
          <w:b w:val="1"/>
          <w:bCs w:val="1"/>
          <w:color w:val="auto"/>
        </w:rPr>
      </w:pPr>
    </w:p>
    <w:p>
      <w:pPr>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purpose of determining a Participant’s right to and the payment of a Stock Award. Performance Periods may be of varying and overlapping duration, at the sole discretion of the Board.</w:t>
      </w:r>
    </w:p>
    <w:p>
      <w:pPr>
        <w:spacing w:after="0" w:line="171" w:lineRule="exact"/>
        <w:rPr>
          <w:rFonts w:ascii="Times New Roman" w:cs="Times New Roman" w:eastAsia="Times New Roman" w:hAnsi="Times New Roman"/>
          <w:sz w:val="18"/>
          <w:szCs w:val="18"/>
          <w:b w:val="1"/>
          <w:bCs w:val="1"/>
          <w:color w:val="auto"/>
        </w:rPr>
      </w:pPr>
    </w:p>
    <w:p>
      <w:pPr>
        <w:ind w:left="300" w:hanging="292"/>
        <w:spacing w:after="0"/>
        <w:tabs>
          <w:tab w:leader="none" w:pos="30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Stock Award</w:t>
      </w:r>
      <w:r>
        <w:rPr>
          <w:rFonts w:ascii="Times New Roman" w:cs="Times New Roman" w:eastAsia="Times New Roman" w:hAnsi="Times New Roman"/>
          <w:sz w:val="18"/>
          <w:szCs w:val="18"/>
          <w:color w:val="auto"/>
        </w:rPr>
        <w:t>” means a Stock Award granted under the terms and conditions of Section 6(c)(i).</w:t>
      </w:r>
    </w:p>
    <w:p>
      <w:pPr>
        <w:spacing w:after="0" w:line="252" w:lineRule="exact"/>
        <w:rPr>
          <w:rFonts w:ascii="Times New Roman" w:cs="Times New Roman" w:eastAsia="Times New Roman" w:hAnsi="Times New Roman"/>
          <w:sz w:val="18"/>
          <w:szCs w:val="18"/>
          <w:b w:val="1"/>
          <w:bCs w:val="1"/>
          <w:color w:val="auto"/>
        </w:rPr>
      </w:pPr>
    </w:p>
    <w:p>
      <w:pPr>
        <w:ind w:left="380" w:hanging="372"/>
        <w:spacing w:after="0"/>
        <w:tabs>
          <w:tab w:leader="none" w:pos="3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Everspin Technologies, Inc. 2016 Equity Incentive Plan.</w:t>
      </w:r>
    </w:p>
    <w:p>
      <w:pPr>
        <w:spacing w:after="0" w:line="265"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 means an award of shares of Common Stock which is granted pursuant to the terms and conditions of Section 6(a).</w:t>
      </w:r>
    </w:p>
    <w:p>
      <w:pPr>
        <w:spacing w:after="0" w:line="252" w:lineRule="exact"/>
        <w:rPr>
          <w:rFonts w:ascii="Times New Roman" w:cs="Times New Roman" w:eastAsia="Times New Roman" w:hAnsi="Times New Roman"/>
          <w:sz w:val="18"/>
          <w:szCs w:val="18"/>
          <w:b w:val="1"/>
          <w:bCs w:val="1"/>
          <w:color w:val="auto"/>
        </w:rPr>
      </w:pPr>
    </w:p>
    <w:p>
      <w:pPr>
        <w:jc w:val="both"/>
        <w:ind w:right="240" w:firstLine="8"/>
        <w:spacing w:after="0" w:line="367" w:lineRule="auto"/>
        <w:tabs>
          <w:tab w:leader="none" w:pos="465" w:val="left"/>
        </w:tabs>
        <w:numPr>
          <w:ilvl w:val="0"/>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Restricted Stock Award Agreement</w:t>
      </w:r>
      <w:r>
        <w:rPr>
          <w:rFonts w:ascii="Times New Roman" w:cs="Times New Roman" w:eastAsia="Times New Roman" w:hAnsi="Times New Roman"/>
          <w:sz w:val="17"/>
          <w:szCs w:val="17"/>
          <w:color w:val="auto"/>
        </w:rPr>
        <w:t>” means a written agreement between the Company and a holder of a Restricted Stock Award evidencing the terms and conditions of a Restricted Stock Award grant. Each Restricted Stock Award Agreement will be subject to the terms and conditions of the Plan.</w:t>
      </w:r>
    </w:p>
    <w:p>
      <w:pPr>
        <w:spacing w:after="0" w:line="117" w:lineRule="exact"/>
        <w:rPr>
          <w:rFonts w:ascii="Times New Roman" w:cs="Times New Roman" w:eastAsia="Times New Roman" w:hAnsi="Times New Roman"/>
          <w:sz w:val="17"/>
          <w:szCs w:val="17"/>
          <w:b w:val="1"/>
          <w:bCs w:val="1"/>
          <w:color w:val="auto"/>
        </w:rPr>
      </w:pPr>
    </w:p>
    <w:p>
      <w:pPr>
        <w:ind w:left="380" w:hanging="372"/>
        <w:spacing w:after="0"/>
        <w:tabs>
          <w:tab w:leader="none" w:pos="3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Unit Award</w:t>
      </w:r>
      <w:r>
        <w:rPr>
          <w:rFonts w:ascii="Times New Roman" w:cs="Times New Roman" w:eastAsia="Times New Roman" w:hAnsi="Times New Roman"/>
          <w:sz w:val="18"/>
          <w:szCs w:val="18"/>
          <w:color w:val="auto"/>
        </w:rPr>
        <w:t>” means a right to receive shares of Common Stock which is granted pursuant to the terms and conditions of Section</w:t>
      </w:r>
    </w:p>
    <w:p>
      <w:pPr>
        <w:spacing w:after="0" w:line="53"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6(b).</w:t>
      </w:r>
    </w:p>
    <w:p>
      <w:pPr>
        <w:spacing w:after="0" w:line="248" w:lineRule="exact"/>
        <w:rPr>
          <w:rFonts w:ascii="Times New Roman" w:cs="Times New Roman" w:eastAsia="Times New Roman" w:hAnsi="Times New Roman"/>
          <w:sz w:val="18"/>
          <w:szCs w:val="18"/>
          <w:b w:val="1"/>
          <w:bCs w:val="1"/>
          <w:color w:val="auto"/>
        </w:rPr>
      </w:pPr>
    </w:p>
    <w:p>
      <w:pPr>
        <w:ind w:right="60" w:firstLine="8"/>
        <w:spacing w:after="0" w:line="315" w:lineRule="auto"/>
        <w:tabs>
          <w:tab w:leader="none" w:pos="345"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Unit Award Agreement</w:t>
      </w:r>
      <w:r>
        <w:rPr>
          <w:rFonts w:ascii="Times New Roman" w:cs="Times New Roman" w:eastAsia="Times New Roman" w:hAnsi="Times New Roman"/>
          <w:sz w:val="18"/>
          <w:szCs w:val="18"/>
          <w:color w:val="auto"/>
        </w:rPr>
        <w:t>” means a written agreement between the Company and a holder of a Restricted Stock Unit Award evidencing the terms and conditions of a Restricted Stock Unit Award grant. Each Restricted Stock Unit Award Agreement will be subject to the terms and conditions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945" w:right="359" w:bottom="1440" w:gutter="0" w:footer="0" w:header="0"/>
        </w:sectPr>
      </w:pPr>
    </w:p>
    <w:bookmarkStart w:id="23" w:name="page24"/>
    <w:bookmarkEnd w:id="23"/>
    <w:p>
      <w:pPr>
        <w:ind w:left="380" w:hanging="372"/>
        <w:spacing w:after="0"/>
        <w:tabs>
          <w:tab w:leader="none" w:pos="3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 time.</w:t>
      </w:r>
    </w:p>
    <w:p>
      <w:pPr>
        <w:spacing w:after="0" w:line="265" w:lineRule="exact"/>
        <w:rPr>
          <w:rFonts w:ascii="Times New Roman" w:cs="Times New Roman" w:eastAsia="Times New Roman" w:hAnsi="Times New Roman"/>
          <w:sz w:val="18"/>
          <w:szCs w:val="18"/>
          <w:b w:val="1"/>
          <w:bCs w:val="1"/>
          <w:color w:val="auto"/>
        </w:rPr>
      </w:pPr>
    </w:p>
    <w:p>
      <w:pPr>
        <w:ind w:left="380" w:hanging="372"/>
        <w:spacing w:after="0"/>
        <w:tabs>
          <w:tab w:leader="none" w:pos="3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65" w:lineRule="exact"/>
        <w:rPr>
          <w:rFonts w:ascii="Times New Roman" w:cs="Times New Roman" w:eastAsia="Times New Roman" w:hAnsi="Times New Roman"/>
          <w:sz w:val="18"/>
          <w:szCs w:val="18"/>
          <w:b w:val="1"/>
          <w:bCs w:val="1"/>
          <w:color w:val="auto"/>
        </w:rPr>
      </w:pPr>
    </w:p>
    <w:p>
      <w:pPr>
        <w:ind w:right="20" w:firstLine="8"/>
        <w:spacing w:after="0" w:line="318" w:lineRule="auto"/>
        <w:tabs>
          <w:tab w:leader="none" w:pos="324"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 right to receive the appreciation on Common Stock that is granted pursuant to the terms and conditions of Section 5.</w:t>
      </w:r>
    </w:p>
    <w:p>
      <w:pPr>
        <w:spacing w:after="0" w:line="166" w:lineRule="exact"/>
        <w:rPr>
          <w:rFonts w:ascii="Times New Roman" w:cs="Times New Roman" w:eastAsia="Times New Roman" w:hAnsi="Times New Roman"/>
          <w:sz w:val="18"/>
          <w:szCs w:val="18"/>
          <w:b w:val="1"/>
          <w:bCs w:val="1"/>
          <w:color w:val="auto"/>
        </w:rPr>
      </w:pPr>
    </w:p>
    <w:p>
      <w:pPr>
        <w:ind w:right="140" w:firstLine="8"/>
        <w:spacing w:after="0" w:line="307" w:lineRule="auto"/>
        <w:tabs>
          <w:tab w:leader="none" w:pos="305"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 Agreement</w:t>
      </w:r>
      <w:r>
        <w:rPr>
          <w:rFonts w:ascii="Times New Roman" w:cs="Times New Roman" w:eastAsia="Times New Roman" w:hAnsi="Times New Roman"/>
          <w:sz w:val="18"/>
          <w:szCs w:val="18"/>
          <w:color w:val="auto"/>
        </w:rPr>
        <w:t>” means a written agreement between the Company and a holder of a Stock Appreciation Right evidencing the terms and conditions of a Stock Appreciation Right grant. Each Stock Appreciation Right Agreement will be subject to the terms and conditions of the Plan.</w:t>
      </w:r>
    </w:p>
    <w:p>
      <w:pPr>
        <w:spacing w:after="0" w:line="164" w:lineRule="exact"/>
        <w:rPr>
          <w:rFonts w:ascii="Times New Roman" w:cs="Times New Roman" w:eastAsia="Times New Roman" w:hAnsi="Times New Roman"/>
          <w:sz w:val="18"/>
          <w:szCs w:val="18"/>
          <w:b w:val="1"/>
          <w:bCs w:val="1"/>
          <w:color w:val="auto"/>
        </w:rPr>
      </w:pPr>
    </w:p>
    <w:p>
      <w:pPr>
        <w:ind w:right="20" w:firstLine="8"/>
        <w:spacing w:after="0" w:line="333" w:lineRule="auto"/>
        <w:tabs>
          <w:tab w:leader="none" w:pos="285"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Award</w:t>
      </w:r>
      <w:r>
        <w:rPr>
          <w:rFonts w:ascii="Times New Roman" w:cs="Times New Roman" w:eastAsia="Times New Roman" w:hAnsi="Times New Roman"/>
          <w:sz w:val="18"/>
          <w:szCs w:val="18"/>
          <w:color w:val="auto"/>
        </w:rPr>
        <w:t>” means any right to receive Common Stock granted under the Plan, including an Incentive Stock Option, a Nonstatutory Stock Option, a Restricted Stock Award, a Restricted Stock Unit Award, a Stock Appreciation Right, a Performance Stock Award or any Other Stock Award.</w:t>
      </w:r>
    </w:p>
    <w:p>
      <w:pPr>
        <w:spacing w:after="0" w:line="141" w:lineRule="exact"/>
        <w:rPr>
          <w:rFonts w:ascii="Times New Roman" w:cs="Times New Roman" w:eastAsia="Times New Roman" w:hAnsi="Times New Roman"/>
          <w:sz w:val="18"/>
          <w:szCs w:val="18"/>
          <w:b w:val="1"/>
          <w:bCs w:val="1"/>
          <w:color w:val="auto"/>
        </w:rPr>
      </w:pPr>
    </w:p>
    <w:p>
      <w:pPr>
        <w:ind w:right="60" w:firstLine="8"/>
        <w:spacing w:after="0" w:line="333" w:lineRule="auto"/>
        <w:tabs>
          <w:tab w:leader="none" w:pos="365"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Award Agreement</w:t>
      </w:r>
      <w:r>
        <w:rPr>
          <w:rFonts w:ascii="Times New Roman" w:cs="Times New Roman" w:eastAsia="Times New Roman" w:hAnsi="Times New Roman"/>
          <w:sz w:val="18"/>
          <w:szCs w:val="18"/>
          <w:color w:val="auto"/>
        </w:rPr>
        <w:t>” means a written agreement between the Company and a Participant evidencing the terms and conditions of a Stock Award grant. Each Stock Award Agreement will be subject to the terms and conditions of the Plan.</w:t>
      </w:r>
    </w:p>
    <w:p>
      <w:pPr>
        <w:spacing w:after="0" w:line="141"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Subsidiary</w:t>
      </w:r>
      <w:r>
        <w:rPr>
          <w:rFonts w:ascii="Times New Roman" w:cs="Times New Roman" w:eastAsia="Times New Roman" w:hAnsi="Times New Roman"/>
          <w:sz w:val="17"/>
          <w:szCs w:val="17"/>
          <w:color w:val="auto"/>
        </w:rPr>
        <w:t>” means, with respect to the Company, (i) any corporation of which more than 50% of the outstanding capital stock having ordinary voting</w:t>
      </w:r>
    </w:p>
    <w:p>
      <w:pPr>
        <w:spacing w:after="0" w:line="65" w:lineRule="exact"/>
        <w:rPr>
          <w:rFonts w:ascii="Times New Roman" w:cs="Times New Roman" w:eastAsia="Times New Roman" w:hAnsi="Times New Roman"/>
          <w:sz w:val="17"/>
          <w:szCs w:val="17"/>
          <w:b w:val="1"/>
          <w:bCs w:val="1"/>
          <w:color w:val="auto"/>
        </w:rPr>
      </w:pPr>
    </w:p>
    <w:p>
      <w:pPr>
        <w:jc w:val="both"/>
        <w:ind w:right="480"/>
        <w:spacing w:after="0" w:line="30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w:t>
      </w:r>
    </w:p>
    <w:p>
      <w:pPr>
        <w:spacing w:after="0" w:line="1" w:lineRule="exact"/>
        <w:rPr>
          <w:rFonts w:ascii="Times New Roman" w:cs="Times New Roman" w:eastAsia="Times New Roman" w:hAnsi="Times New Roman"/>
          <w:sz w:val="17"/>
          <w:szCs w:val="17"/>
          <w:b w:val="1"/>
          <w:bCs w:val="1"/>
          <w:color w:val="auto"/>
        </w:rPr>
      </w:pPr>
    </w:p>
    <w:p>
      <w:pPr>
        <w:ind w:right="120"/>
        <w:spacing w:after="0" w:line="31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Company, and (ii) any partnership, limited liability company or other entity in which the Company has a direct or indirect interest (whether in the form of voting or participation in profits or capital contribution) of more than 50%.</w:t>
      </w:r>
    </w:p>
    <w:p>
      <w:pPr>
        <w:spacing w:after="0" w:line="171" w:lineRule="exact"/>
        <w:rPr>
          <w:rFonts w:ascii="Times New Roman" w:cs="Times New Roman" w:eastAsia="Times New Roman" w:hAnsi="Times New Roman"/>
          <w:sz w:val="17"/>
          <w:szCs w:val="17"/>
          <w:b w:val="1"/>
          <w:bCs w:val="1"/>
          <w:color w:val="auto"/>
        </w:rPr>
      </w:pPr>
    </w:p>
    <w:p>
      <w:pPr>
        <w:ind w:right="300" w:firstLine="8"/>
        <w:spacing w:after="0" w:line="333" w:lineRule="auto"/>
        <w:tabs>
          <w:tab w:leader="none" w:pos="425"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Ten Percent Stockholder</w:t>
      </w:r>
      <w:r>
        <w:rPr>
          <w:rFonts w:ascii="Times New Roman" w:cs="Times New Roman" w:eastAsia="Times New Roman" w:hAnsi="Times New Roman"/>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141"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means a Corporate Transaction or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sectPr>
      <w:pgSz w:w="11900" w:h="16838" w:orient="portrait"/>
      <w:cols w:equalWidth="0" w:num="1">
        <w:col w:w="11200"/>
      </w:cols>
      <w:pgMar w:left="320" w:top="94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lowerLetter"/>
      <w:start w:val="1"/>
    </w:lvl>
  </w:abstractNum>
  <w:abstractNum w:abstractNumId="3">
    <w:nsid w:val="2CA88611"/>
    <w:multiLevelType w:val="hybridMultilevel"/>
    <w:lvl w:ilvl="0">
      <w:lvlJc w:val="left"/>
      <w:lvlText w:val="(%1)"/>
      <w:numFmt w:val="lowerLetter"/>
      <w:start w:val="61"/>
    </w:lvl>
  </w:abstractNum>
  <w:abstractNum w:abstractNumId="4">
    <w:nsid w:val="836C40E"/>
    <w:multiLevelType w:val="hybridMultilevel"/>
    <w:lvl w:ilvl="0">
      <w:lvlJc w:val="left"/>
      <w:lvlText w:val="(%1)"/>
      <w:numFmt w:val="lowerLetter"/>
      <w:start w:val="1"/>
    </w:lvl>
  </w:abstractNum>
  <w:abstractNum w:abstractNumId="5">
    <w:nsid w:val="2901D82"/>
    <w:multiLevelType w:val="hybridMultilevel"/>
    <w:lvl w:ilvl="0">
      <w:lvlJc w:val="left"/>
      <w:lvlText w:val="(%1)"/>
      <w:numFmt w:val="lowerRoman"/>
      <w:start w:val="1"/>
    </w:lvl>
  </w:abstractNum>
  <w:abstractNum w:abstractNumId="6">
    <w:nsid w:val="3A95F874"/>
    <w:multiLevelType w:val="hybridMultilevel"/>
    <w:lvl w:ilvl="0">
      <w:lvlJc w:val="left"/>
      <w:lvlText w:val="(%1)"/>
      <w:numFmt w:val="lowerRoman"/>
      <w:start w:val="4"/>
    </w:lvl>
  </w:abstractNum>
  <w:abstractNum w:abstractNumId="7">
    <w:nsid w:val="8138641"/>
    <w:multiLevelType w:val="hybridMultilevel"/>
    <w:lvl w:ilvl="0">
      <w:lvlJc w:val="left"/>
      <w:lvlText w:val="(%1)"/>
      <w:numFmt w:val="lowerRoman"/>
      <w:start w:val="1"/>
    </w:lvl>
  </w:abstractNum>
  <w:abstractNum w:abstractNumId="8">
    <w:nsid w:val="1E7FF521"/>
    <w:multiLevelType w:val="hybridMultilevel"/>
    <w:lvl w:ilvl="0">
      <w:lvlJc w:val="left"/>
      <w:lvlText w:val="(%1)"/>
      <w:numFmt w:val="lowerLetter"/>
      <w:start w:val="1"/>
    </w:lvl>
  </w:abstractNum>
  <w:abstractNum w:abstractNumId="9">
    <w:nsid w:val="7C3DBD3D"/>
    <w:multiLevelType w:val="hybridMultilevel"/>
    <w:lvl w:ilvl="0">
      <w:lvlJc w:val="left"/>
      <w:lvlText w:val="(%1)"/>
      <w:numFmt w:val="lowerLetter"/>
      <w:start w:val="3"/>
    </w:lvl>
  </w:abstractNum>
  <w:abstractNum w:abstractNumId="10">
    <w:nsid w:val="737B8DDC"/>
    <w:multiLevelType w:val="hybridMultilevel"/>
    <w:lvl w:ilvl="0">
      <w:lvlJc w:val="left"/>
      <w:lvlText w:val="(%1)"/>
      <w:numFmt w:val="lowerLetter"/>
      <w:start w:val="1"/>
    </w:lvl>
  </w:abstractNum>
  <w:abstractNum w:abstractNumId="11">
    <w:nsid w:val="6CEAF087"/>
    <w:multiLevelType w:val="hybridMultilevel"/>
    <w:lvl w:ilvl="0">
      <w:lvlJc w:val="left"/>
      <w:lvlText w:val="(%1)"/>
      <w:numFmt w:val="lowerLetter"/>
      <w:start w:val="9"/>
    </w:lvl>
  </w:abstractNum>
  <w:abstractNum w:abstractNumId="12">
    <w:nsid w:val="22221A70"/>
    <w:multiLevelType w:val="hybridMultilevel"/>
    <w:lvl w:ilvl="0">
      <w:lvlJc w:val="left"/>
      <w:lvlText w:val="(%1)"/>
      <w:numFmt w:val="lowerLetter"/>
      <w:start w:val="2"/>
    </w:lvl>
  </w:abstractNum>
  <w:abstractNum w:abstractNumId="13">
    <w:nsid w:val="4516DDE9"/>
    <w:multiLevelType w:val="hybridMultilevel"/>
    <w:lvl w:ilvl="0">
      <w:lvlJc w:val="left"/>
      <w:lvlText w:val="(%1)"/>
      <w:numFmt w:val="lowerLetter"/>
      <w:start w:val="1"/>
    </w:lvl>
  </w:abstractNum>
  <w:abstractNum w:abstractNumId="14">
    <w:nsid w:val="3006C83E"/>
    <w:multiLevelType w:val="hybridMultilevel"/>
    <w:lvl w:ilvl="0">
      <w:lvlJc w:val="left"/>
      <w:lvlText w:val="(%1)"/>
      <w:numFmt w:val="lowerRoman"/>
      <w:start w:val="1"/>
    </w:lvl>
  </w:abstractNum>
  <w:abstractNum w:abstractNumId="15">
    <w:nsid w:val="614FD4A1"/>
    <w:multiLevelType w:val="hybridMultilevel"/>
    <w:lvl w:ilvl="0">
      <w:lvlJc w:val="left"/>
      <w:lvlText w:val="(%1)"/>
      <w:numFmt w:val="lowerLetter"/>
      <w:start w:val="4"/>
    </w:lvl>
  </w:abstractNum>
  <w:abstractNum w:abstractNumId="16">
    <w:nsid w:val="419AC241"/>
    <w:multiLevelType w:val="hybridMultilevel"/>
    <w:lvl w:ilvl="0">
      <w:lvlJc w:val="left"/>
      <w:lvlText w:val="(%1)"/>
      <w:numFmt w:val="lowerLetter"/>
      <w:start w:val="5"/>
    </w:lvl>
  </w:abstractNum>
  <w:abstractNum w:abstractNumId="17">
    <w:nsid w:val="5577F8E1"/>
    <w:multiLevelType w:val="hybridMultilevel"/>
    <w:lvl w:ilvl="0">
      <w:lvlJc w:val="left"/>
      <w:lvlText w:val="(%1)"/>
      <w:numFmt w:val="lowerRoman"/>
      <w:start w:val="1"/>
    </w:lvl>
  </w:abstractNum>
  <w:abstractNum w:abstractNumId="18">
    <w:nsid w:val="440BADFC"/>
    <w:multiLevelType w:val="hybridMultilevel"/>
    <w:lvl w:ilvl="0">
      <w:lvlJc w:val="left"/>
      <w:lvlText w:val="(%1)"/>
      <w:numFmt w:val="lowerLetter"/>
      <w:start w:val="6"/>
    </w:lvl>
  </w:abstractNum>
  <w:abstractNum w:abstractNumId="19">
    <w:nsid w:val="5072367"/>
    <w:multiLevelType w:val="hybridMultilevel"/>
    <w:lvl w:ilvl="0">
      <w:lvlJc w:val="left"/>
      <w:lvlText w:val="(%1)"/>
      <w:numFmt w:val="lowerLetter"/>
      <w:start w:val="9"/>
    </w:lvl>
  </w:abstractNum>
  <w:abstractNum w:abstractNumId="20">
    <w:nsid w:val="3804823E"/>
    <w:multiLevelType w:val="hybridMultilevel"/>
    <w:lvl w:ilvl="0">
      <w:lvlJc w:val="left"/>
      <w:lvlText w:val="(%1)"/>
      <w:numFmt w:val="lowerLetter"/>
      <w:start w:val="35"/>
    </w:lvl>
  </w:abstractNum>
  <w:abstractNum w:abstractNumId="21">
    <w:nsid w:val="77465F01"/>
    <w:multiLevelType w:val="hybridMultilevel"/>
    <w:lvl w:ilvl="0">
      <w:lvlJc w:val="left"/>
      <w:lvlText w:val="(%1)"/>
      <w:numFmt w:val="lowerLetter"/>
      <w:start w:val="11"/>
    </w:lvl>
  </w:abstractNum>
  <w:abstractNum w:abstractNumId="22">
    <w:nsid w:val="7724C67E"/>
    <w:multiLevelType w:val="hybridMultilevel"/>
    <w:lvl w:ilvl="0">
      <w:lvlJc w:val="left"/>
      <w:lvlText w:val="(%1)"/>
      <w:numFmt w:val="lowerLetter"/>
      <w:start w:val="1"/>
    </w:lvl>
  </w:abstractNum>
  <w:abstractNum w:abstractNumId="23">
    <w:nsid w:val="5C482A97"/>
    <w:multiLevelType w:val="hybridMultilevel"/>
    <w:lvl w:ilvl="0">
      <w:lvlJc w:val="left"/>
      <w:lvlText w:val="(%1)"/>
      <w:numFmt w:val="lowerRoman"/>
      <w:start w:val="1"/>
    </w:lvl>
  </w:abstractNum>
  <w:abstractNum w:abstractNumId="24">
    <w:nsid w:val="2463B9EA"/>
    <w:multiLevelType w:val="hybridMultilevel"/>
    <w:lvl w:ilvl="0">
      <w:lvlJc w:val="left"/>
      <w:lvlText w:val="(%1)"/>
      <w:numFmt w:val="lowerLetter"/>
      <w:start w:val="2"/>
    </w:lvl>
  </w:abstractNum>
  <w:abstractNum w:abstractNumId="25">
    <w:nsid w:val="5E884ADC"/>
    <w:multiLevelType w:val="hybridMultilevel"/>
    <w:lvl w:ilvl="0">
      <w:lvlJc w:val="left"/>
      <w:lvlText w:val="(%1)"/>
      <w:numFmt w:val="lowerRoman"/>
      <w:start w:val="1"/>
    </w:lvl>
  </w:abstractNum>
  <w:abstractNum w:abstractNumId="26">
    <w:nsid w:val="51EAD36B"/>
    <w:multiLevelType w:val="hybridMultilevel"/>
    <w:lvl w:ilvl="0">
      <w:lvlJc w:val="left"/>
      <w:lvlText w:val="(%1)"/>
      <w:numFmt w:val="lowerRoman"/>
      <w:start w:val="3"/>
    </w:lvl>
  </w:abstractNum>
  <w:abstractNum w:abstractNumId="27">
    <w:nsid w:val="2D517796"/>
    <w:multiLevelType w:val="hybridMultilevel"/>
    <w:lvl w:ilvl="0">
      <w:lvlJc w:val="left"/>
      <w:lvlText w:val="(%1)"/>
      <w:numFmt w:val="lowerRoman"/>
      <w:start w:val="1"/>
    </w:lvl>
  </w:abstractNum>
  <w:abstractNum w:abstractNumId="28">
    <w:nsid w:val="580BD78F"/>
    <w:multiLevelType w:val="hybridMultilevel"/>
    <w:lvl w:ilvl="0">
      <w:lvlJc w:val="left"/>
      <w:lvlText w:val="(%1)"/>
      <w:numFmt w:val="lowerLetter"/>
      <w:start w:val="4"/>
    </w:lvl>
  </w:abstractNum>
  <w:abstractNum w:abstractNumId="29">
    <w:nsid w:val="153EA438"/>
    <w:multiLevelType w:val="hybridMultilevel"/>
    <w:lvl w:ilvl="0">
      <w:lvlJc w:val="left"/>
      <w:lvlText w:val="(%1)"/>
      <w:numFmt w:val="lowerLetter"/>
      <w:start w:val="1"/>
    </w:lvl>
  </w:abstractNum>
  <w:abstractNum w:abstractNumId="30">
    <w:nsid w:val="3855585C"/>
    <w:multiLevelType w:val="hybridMultilevel"/>
    <w:lvl w:ilvl="0">
      <w:lvlJc w:val="left"/>
      <w:lvlText w:val="(%1)"/>
      <w:numFmt w:val="lowerLetter"/>
      <w:start w:val="3"/>
    </w:lvl>
  </w:abstractNum>
  <w:abstractNum w:abstractNumId="31">
    <w:nsid w:val="70A64E2A"/>
    <w:multiLevelType w:val="hybridMultilevel"/>
    <w:lvl w:ilvl="0">
      <w:lvlJc w:val="left"/>
      <w:lvlText w:val="(%1)"/>
      <w:numFmt w:val="lowerLetter"/>
      <w:start w:val="1"/>
    </w:lvl>
  </w:abstractNum>
  <w:abstractNum w:abstractNumId="32">
    <w:nsid w:val="6A2342EC"/>
    <w:multiLevelType w:val="hybridMultilevel"/>
    <w:lvl w:ilvl="0">
      <w:lvlJc w:val="left"/>
      <w:lvlText w:val="(%1)"/>
      <w:numFmt w:val="lowerLetter"/>
      <w:start w:val="6"/>
    </w:lvl>
  </w:abstractNum>
  <w:abstractNum w:abstractNumId="33">
    <w:nsid w:val="2A487CB0"/>
    <w:multiLevelType w:val="hybridMultilevel"/>
    <w:lvl w:ilvl="0">
      <w:lvlJc w:val="left"/>
      <w:lvlText w:val="(%1)"/>
      <w:numFmt w:val="lowerLetter"/>
      <w:start w:val="11"/>
    </w:lvl>
  </w:abstractNum>
  <w:abstractNum w:abstractNumId="34">
    <w:nsid w:val="1D4ED43B"/>
    <w:multiLevelType w:val="hybridMultilevel"/>
    <w:lvl w:ilvl="0">
      <w:lvlJc w:val="left"/>
      <w:lvlText w:val="(%1)"/>
      <w:numFmt w:val="lowerLetter"/>
      <w:start w:val="1"/>
    </w:lvl>
  </w:abstractNum>
  <w:abstractNum w:abstractNumId="35">
    <w:nsid w:val="725A06FB"/>
    <w:multiLevelType w:val="hybridMultilevel"/>
    <w:lvl w:ilvl="0">
      <w:lvlJc w:val="left"/>
      <w:lvlText w:val="(%1)"/>
      <w:numFmt w:val="lowerRoman"/>
      <w:start w:val="1"/>
    </w:lvl>
  </w:abstractNum>
  <w:abstractNum w:abstractNumId="36">
    <w:nsid w:val="2CD89A32"/>
    <w:multiLevelType w:val="hybridMultilevel"/>
    <w:lvl w:ilvl="0">
      <w:lvlJc w:val="left"/>
      <w:lvlText w:val="(%1)"/>
      <w:numFmt w:val="lowerLetter"/>
      <w:start w:val="4"/>
    </w:lvl>
  </w:abstractNum>
  <w:abstractNum w:abstractNumId="37">
    <w:nsid w:val="57E4CCAF"/>
    <w:multiLevelType w:val="hybridMultilevel"/>
    <w:lvl w:ilvl="0">
      <w:lvlJc w:val="left"/>
      <w:lvlText w:val="%1."/>
      <w:numFmt w:val="decimal"/>
      <w:start w:val="11"/>
    </w:lvl>
  </w:abstractNum>
  <w:abstractNum w:abstractNumId="38">
    <w:nsid w:val="7A6D8D3C"/>
    <w:multiLevelType w:val="hybridMultilevel"/>
    <w:lvl w:ilvl="0">
      <w:lvlJc w:val="left"/>
      <w:lvlText w:val="%1."/>
      <w:numFmt w:val="decimal"/>
      <w:start w:val="13"/>
    </w:lvl>
  </w:abstractNum>
  <w:abstractNum w:abstractNumId="39">
    <w:nsid w:val="4B588F54"/>
    <w:multiLevelType w:val="hybridMultilevel"/>
    <w:lvl w:ilvl="0">
      <w:lvlJc w:val="left"/>
      <w:lvlText w:val="(%1)"/>
      <w:numFmt w:val="lowerLetter"/>
      <w:start w:val="1"/>
    </w:lvl>
  </w:abstractNum>
  <w:abstractNum w:abstractNumId="40">
    <w:nsid w:val="542289EC"/>
    <w:multiLevelType w:val="hybridMultilevel"/>
    <w:lvl w:ilvl="0">
      <w:lvlJc w:val="left"/>
      <w:lvlText w:val="(%1)"/>
      <w:numFmt w:val="lowerRoman"/>
      <w:start w:val="1"/>
    </w:lvl>
  </w:abstractNum>
  <w:abstractNum w:abstractNumId="41">
    <w:nsid w:val="6DE91B18"/>
    <w:multiLevelType w:val="hybridMultilevel"/>
    <w:lvl w:ilvl="0">
      <w:lvlJc w:val="left"/>
      <w:lvlText w:val="(%1)"/>
      <w:numFmt w:val="lowerRoman"/>
      <w:start w:val="2"/>
    </w:lvl>
  </w:abstractNum>
  <w:abstractNum w:abstractNumId="42">
    <w:nsid w:val="38437FDB"/>
    <w:multiLevelType w:val="hybridMultilevel"/>
    <w:lvl w:ilvl="0">
      <w:lvlJc w:val="left"/>
      <w:lvlText w:val="(%1)"/>
      <w:numFmt w:val="lowerLetter"/>
      <w:start w:val="7"/>
    </w:lvl>
  </w:abstractNum>
  <w:abstractNum w:abstractNumId="43">
    <w:nsid w:val="7644A45C"/>
    <w:multiLevelType w:val="hybridMultilevel"/>
    <w:lvl w:ilvl="0">
      <w:lvlJc w:val="left"/>
      <w:lvlText w:val="(%1)"/>
      <w:numFmt w:val="lowerRoman"/>
      <w:start w:val="1"/>
    </w:lvl>
  </w:abstractNum>
  <w:abstractNum w:abstractNumId="44">
    <w:nsid w:val="32FFF902"/>
    <w:multiLevelType w:val="hybridMultilevel"/>
    <w:lvl w:ilvl="0">
      <w:lvlJc w:val="left"/>
      <w:lvlText w:val="(%1)"/>
      <w:numFmt w:val="lowerLetter"/>
      <w:start w:val="14"/>
    </w:lvl>
  </w:abstractNum>
  <w:abstractNum w:abstractNumId="45">
    <w:nsid w:val="684A481A"/>
    <w:multiLevelType w:val="hybridMultilevel"/>
    <w:lvl w:ilvl="0">
      <w:lvlJc w:val="left"/>
      <w:lvlText w:val="(%1)"/>
      <w:numFmt w:val="lowerLetter"/>
      <w:start w:val="15"/>
    </w:lvl>
  </w:abstractNum>
  <w:abstractNum w:abstractNumId="46">
    <w:nsid w:val="579478FE"/>
    <w:multiLevelType w:val="hybridMultilevel"/>
    <w:lvl w:ilvl="0">
      <w:lvlJc w:val="left"/>
      <w:lvlText w:val="(%1)"/>
      <w:numFmt w:val="lowerRoman"/>
      <w:start w:val="1"/>
    </w:lvl>
  </w:abstractNum>
  <w:abstractNum w:abstractNumId="47">
    <w:nsid w:val="749ABB43"/>
    <w:multiLevelType w:val="hybridMultilevel"/>
    <w:lvl w:ilvl="0">
      <w:lvlJc w:val="left"/>
      <w:lvlText w:val="(%1)"/>
      <w:numFmt w:val="lowerLetter"/>
      <w:start w:val="21"/>
    </w:lvl>
  </w:abstractNum>
  <w:abstractNum w:abstractNumId="48">
    <w:nsid w:val="3DC240FB"/>
    <w:multiLevelType w:val="hybridMultilevel"/>
    <w:lvl w:ilvl="0">
      <w:lvlJc w:val="left"/>
      <w:lvlText w:val="(%1)"/>
      <w:numFmt w:val="lowerLetter"/>
      <w:start w:val="24"/>
    </w:lvl>
  </w:abstractNum>
  <w:abstractNum w:abstractNumId="49">
    <w:nsid w:val="1BA026FA"/>
    <w:multiLevelType w:val="hybridMultilevel"/>
    <w:lvl w:ilvl="0">
      <w:lvlJc w:val="left"/>
      <w:lvlText w:val="(%1)"/>
      <w:numFmt w:val="lowerLetter"/>
      <w:start w:val="27"/>
    </w:lvl>
  </w:abstractNum>
  <w:abstractNum w:abstractNumId="50">
    <w:nsid w:val="79A1DEAA"/>
    <w:multiLevelType w:val="hybridMultilevel"/>
    <w:lvl w:ilvl="0">
      <w:lvlJc w:val="left"/>
      <w:lvlText w:val="(%1)"/>
      <w:numFmt w:val="lowerLetter"/>
      <w:start w:val="34"/>
    </w:lvl>
  </w:abstractNum>
  <w:abstractNum w:abstractNumId="51">
    <w:nsid w:val="75C6C33A"/>
    <w:multiLevelType w:val="hybridMultilevel"/>
    <w:lvl w:ilvl="0">
      <w:lvlJc w:val="left"/>
      <w:lvlText w:val="(%1)"/>
      <w:numFmt w:val="lowerLetter"/>
      <w:start w:val="4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2026-05-22T16:03:11Z</dcterms:created>
  <dcterms:modified xsi:type="dcterms:W3CDTF">2026-05-22T16:03:11Z</dcterms:modified>
</cp:coreProperties>
</file>