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56515</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67945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February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67945</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Everspin Technologies, Inc.</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56515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34"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5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001-37900</w:t>
            </w:r>
          </w:p>
        </w:tc>
        <w:tc>
          <w:tcPr>
            <w:tcW w:w="21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26-2640654</w:t>
            </w:r>
          </w:p>
        </w:tc>
      </w:tr>
      <w:tr>
        <w:trPr>
          <w:trHeight w:val="148"/>
        </w:trPr>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5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1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01"/>
        </w:trPr>
        <w:tc>
          <w:tcPr>
            <w:tcW w:w="2240" w:type="dxa"/>
            <w:vAlign w:val="bottom"/>
          </w:tcPr>
          <w:p>
            <w:pPr>
              <w:spacing w:after="0"/>
              <w:rPr>
                <w:sz w:val="17"/>
                <w:szCs w:val="17"/>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5670 W. Chandler Blvd.</w:t>
            </w:r>
          </w:p>
        </w:tc>
        <w:tc>
          <w:tcPr>
            <w:tcW w:w="2100" w:type="dxa"/>
            <w:vAlign w:val="bottom"/>
          </w:tcPr>
          <w:p>
            <w:pPr>
              <w:spacing w:after="0"/>
              <w:rPr>
                <w:sz w:val="17"/>
                <w:szCs w:val="17"/>
                <w:color w:val="auto"/>
              </w:rPr>
            </w:pPr>
          </w:p>
        </w:tc>
      </w:tr>
      <w:tr>
        <w:trPr>
          <w:trHeight w:val="148"/>
        </w:trPr>
        <w:tc>
          <w:tcPr>
            <w:tcW w:w="2240" w:type="dxa"/>
            <w:vAlign w:val="bottom"/>
          </w:tcPr>
          <w:p>
            <w:pPr>
              <w:spacing w:after="0"/>
              <w:rPr>
                <w:sz w:val="12"/>
                <w:szCs w:val="12"/>
                <w:color w:val="auto"/>
              </w:rPr>
            </w:pPr>
          </w:p>
        </w:tc>
        <w:tc>
          <w:tcPr>
            <w:tcW w:w="45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Suite 130</w:t>
            </w:r>
          </w:p>
        </w:tc>
        <w:tc>
          <w:tcPr>
            <w:tcW w:w="2100" w:type="dxa"/>
            <w:vAlign w:val="bottom"/>
          </w:tcPr>
          <w:p>
            <w:pPr>
              <w:spacing w:after="0"/>
              <w:rPr>
                <w:sz w:val="12"/>
                <w:szCs w:val="12"/>
                <w:color w:val="auto"/>
              </w:rPr>
            </w:pPr>
          </w:p>
        </w:tc>
      </w:tr>
      <w:tr>
        <w:trPr>
          <w:trHeight w:val="148"/>
        </w:trPr>
        <w:tc>
          <w:tcPr>
            <w:tcW w:w="2240" w:type="dxa"/>
            <w:vAlign w:val="bottom"/>
          </w:tcPr>
          <w:p>
            <w:pPr>
              <w:spacing w:after="0"/>
              <w:rPr>
                <w:sz w:val="12"/>
                <w:szCs w:val="12"/>
                <w:color w:val="auto"/>
              </w:rPr>
            </w:pPr>
          </w:p>
        </w:tc>
        <w:tc>
          <w:tcPr>
            <w:tcW w:w="45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Chandler, Arizona 85226</w:t>
            </w:r>
          </w:p>
        </w:tc>
        <w:tc>
          <w:tcPr>
            <w:tcW w:w="2100" w:type="dxa"/>
            <w:vAlign w:val="bottom"/>
          </w:tcPr>
          <w:p>
            <w:pPr>
              <w:spacing w:after="0"/>
              <w:rPr>
                <w:sz w:val="12"/>
                <w:szCs w:val="12"/>
                <w:color w:val="auto"/>
              </w:rPr>
            </w:pPr>
          </w:p>
        </w:tc>
      </w:tr>
      <w:tr>
        <w:trPr>
          <w:trHeight w:val="190"/>
        </w:trPr>
        <w:tc>
          <w:tcPr>
            <w:tcW w:w="2240" w:type="dxa"/>
            <w:vAlign w:val="bottom"/>
          </w:tcPr>
          <w:p>
            <w:pPr>
              <w:spacing w:after="0"/>
              <w:rPr>
                <w:sz w:val="16"/>
                <w:szCs w:val="16"/>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100" w:type="dxa"/>
            <w:vAlign w:val="bottom"/>
          </w:tcPr>
          <w:p>
            <w:pPr>
              <w:spacing w:after="0"/>
              <w:rPr>
                <w:sz w:val="16"/>
                <w:szCs w:val="16"/>
                <w:color w:val="auto"/>
              </w:rPr>
            </w:pPr>
          </w:p>
        </w:tc>
      </w:tr>
      <w:tr>
        <w:trPr>
          <w:trHeight w:val="188"/>
        </w:trPr>
        <w:tc>
          <w:tcPr>
            <w:tcW w:w="2240" w:type="dxa"/>
            <w:vAlign w:val="bottom"/>
          </w:tcPr>
          <w:p>
            <w:pPr>
              <w:spacing w:after="0"/>
              <w:rPr>
                <w:sz w:val="16"/>
                <w:szCs w:val="16"/>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(480) 347-1111</w:t>
            </w:r>
          </w:p>
        </w:tc>
        <w:tc>
          <w:tcPr>
            <w:tcW w:w="2100" w:type="dxa"/>
            <w:vAlign w:val="bottom"/>
          </w:tcPr>
          <w:p>
            <w:pPr>
              <w:spacing w:after="0"/>
              <w:rPr>
                <w:sz w:val="16"/>
                <w:szCs w:val="16"/>
                <w:color w:val="auto"/>
              </w:rPr>
            </w:pPr>
          </w:p>
        </w:tc>
      </w:tr>
      <w:tr>
        <w:trPr>
          <w:trHeight w:val="190"/>
        </w:trPr>
        <w:tc>
          <w:tcPr>
            <w:tcW w:w="2240" w:type="dxa"/>
            <w:vAlign w:val="bottom"/>
          </w:tcPr>
          <w:p>
            <w:pPr>
              <w:spacing w:after="0"/>
              <w:rPr>
                <w:sz w:val="16"/>
                <w:szCs w:val="16"/>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100" w:type="dxa"/>
            <w:vAlign w:val="bottom"/>
          </w:tcPr>
          <w:p>
            <w:pPr>
              <w:spacing w:after="0"/>
              <w:rPr>
                <w:sz w:val="16"/>
                <w:szCs w:val="16"/>
                <w:color w:val="auto"/>
              </w:rPr>
            </w:pPr>
          </w:p>
        </w:tc>
      </w:tr>
      <w:tr>
        <w:trPr>
          <w:trHeight w:val="201"/>
        </w:trPr>
        <w:tc>
          <w:tcPr>
            <w:tcW w:w="2240" w:type="dxa"/>
            <w:vAlign w:val="bottom"/>
          </w:tcPr>
          <w:p>
            <w:pPr>
              <w:spacing w:after="0"/>
              <w:rPr>
                <w:sz w:val="17"/>
                <w:szCs w:val="17"/>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2100" w:type="dxa"/>
            <w:vAlign w:val="bottom"/>
          </w:tcPr>
          <w:p>
            <w:pPr>
              <w:spacing w:after="0"/>
              <w:rPr>
                <w:sz w:val="17"/>
                <w:szCs w:val="17"/>
                <w:color w:val="auto"/>
              </w:rPr>
            </w:pPr>
          </w:p>
        </w:tc>
      </w:tr>
      <w:tr>
        <w:trPr>
          <w:trHeight w:val="190"/>
        </w:trPr>
        <w:tc>
          <w:tcPr>
            <w:tcW w:w="2240" w:type="dxa"/>
            <w:vAlign w:val="bottom"/>
          </w:tcPr>
          <w:p>
            <w:pPr>
              <w:spacing w:after="0"/>
              <w:rPr>
                <w:sz w:val="16"/>
                <w:szCs w:val="16"/>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100" w:type="dxa"/>
            <w:vAlign w:val="bottom"/>
          </w:tcPr>
          <w:p>
            <w:pPr>
              <w:spacing w:after="0"/>
              <w:rPr>
                <w:sz w:val="16"/>
                <w:szCs w:val="16"/>
                <w:color w:val="auto"/>
              </w:rPr>
            </w:pPr>
          </w:p>
        </w:tc>
      </w:tr>
      <w:tr>
        <w:trPr>
          <w:trHeight w:val="78"/>
        </w:trPr>
        <w:tc>
          <w:tcPr>
            <w:tcW w:w="2240" w:type="dxa"/>
            <w:vAlign w:val="bottom"/>
            <w:tcBorders>
              <w:bottom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r>
    </w:tbl>
    <w:p>
      <w:pPr>
        <w:spacing w:after="0" w:line="153" w:lineRule="exact"/>
        <w:rPr>
          <w:sz w:val="24"/>
          <w:szCs w:val="24"/>
          <w:color w:val="auto"/>
        </w:rPr>
      </w:pPr>
    </w:p>
    <w:p>
      <w:pPr>
        <w:ind w:left="60" w:right="539"/>
        <w:spacing w:after="0" w:line="261"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55" w:lineRule="exact"/>
        <w:rPr>
          <w:sz w:val="24"/>
          <w:szCs w:val="2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95" w:lineRule="exact"/>
        <w:rPr>
          <w:rFonts w:ascii="MS PGothic" w:cs="MS PGothic" w:eastAsia="MS PGothic" w:hAnsi="MS PGothic"/>
          <w:sz w:val="14"/>
          <w:szCs w:val="1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09" w:lineRule="exact"/>
        <w:rPr>
          <w:rFonts w:ascii="MS PGothic" w:cs="MS PGothic" w:eastAsia="MS PGothic" w:hAnsi="MS PGothic"/>
          <w:sz w:val="14"/>
          <w:szCs w:val="1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09" w:lineRule="exact"/>
        <w:rPr>
          <w:rFonts w:ascii="MS PGothic" w:cs="MS PGothic" w:eastAsia="MS PGothic" w:hAnsi="MS PGothic"/>
          <w:sz w:val="14"/>
          <w:szCs w:val="14"/>
          <w:color w:val="auto"/>
        </w:rPr>
      </w:pPr>
    </w:p>
    <w:p>
      <w:pPr>
        <w:ind w:left="60" w:right="2139" w:hanging="2"/>
        <w:spacing w:after="0" w:line="370" w:lineRule="auto"/>
        <w:tabs>
          <w:tab w:leader="none" w:pos="453"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60" w:type="dxa"/>
        <w:tblCellMar>
          <w:top w:w="0" w:type="dxa"/>
          <w:left w:w="0" w:type="dxa"/>
          <w:bottom w:w="0" w:type="dxa"/>
          <w:right w:w="0" w:type="dxa"/>
        </w:tblCellMar>
      </w:tblPr>
      <w:tr>
        <w:trPr>
          <w:trHeight w:val="150"/>
        </w:trPr>
        <w:tc>
          <w:tcPr>
            <w:tcW w:w="3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3140" w:type="dxa"/>
            <w:vAlign w:val="bottom"/>
            <w:gridSpan w:val="2"/>
            <w:vMerge w:val="continue"/>
          </w:tcPr>
          <w:p>
            <w:pPr>
              <w:spacing w:after="0"/>
              <w:rPr>
                <w:sz w:val="15"/>
                <w:szCs w:val="15"/>
                <w:color w:val="auto"/>
              </w:rPr>
            </w:pPr>
          </w:p>
        </w:tc>
        <w:tc>
          <w:tcPr>
            <w:tcW w:w="2780" w:type="dxa"/>
            <w:vAlign w:val="bottom"/>
            <w:gridSpan w:val="2"/>
            <w:vMerge w:val="continue"/>
          </w:tcPr>
          <w:p>
            <w:pPr>
              <w:spacing w:after="0"/>
              <w:rPr>
                <w:sz w:val="15"/>
                <w:szCs w:val="15"/>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84"/>
        </w:trPr>
        <w:tc>
          <w:tcPr>
            <w:tcW w:w="2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$0.0001</w:t>
            </w:r>
          </w:p>
        </w:tc>
        <w:tc>
          <w:tcPr>
            <w:tcW w:w="160" w:type="dxa"/>
            <w:vAlign w:val="bottom"/>
          </w:tcPr>
          <w:p>
            <w:pPr>
              <w:spacing w:after="0"/>
              <w:rPr>
                <w:sz w:val="15"/>
                <w:szCs w:val="15"/>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MRAM</w:t>
            </w:r>
          </w:p>
        </w:tc>
        <w:tc>
          <w:tcPr>
            <w:tcW w:w="160" w:type="dxa"/>
            <w:vAlign w:val="bottom"/>
          </w:tcPr>
          <w:p>
            <w:pPr>
              <w:spacing w:after="0"/>
              <w:rPr>
                <w:sz w:val="15"/>
                <w:szCs w:val="15"/>
                <w:color w:val="auto"/>
              </w:rPr>
            </w:pPr>
          </w:p>
        </w:tc>
        <w:tc>
          <w:tcPr>
            <w:tcW w:w="2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left="60" w:right="43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0" w:lineRule="exact"/>
        <w:rPr>
          <w:sz w:val="24"/>
          <w:szCs w:val="24"/>
          <w:color w:val="auto"/>
        </w:rPr>
      </w:pPr>
    </w:p>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27" w:lineRule="exact"/>
        <w:rPr>
          <w:sz w:val="24"/>
          <w:szCs w:val="24"/>
          <w:color w:val="auto"/>
        </w:rPr>
      </w:pPr>
    </w:p>
    <w:p>
      <w:pPr>
        <w:ind w:left="60" w:right="11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464185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35560</wp:posOffset>
            </wp:positionV>
            <wp:extent cx="5657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78740</wp:posOffset>
            </wp:positionV>
            <wp:extent cx="56578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7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37" w:lineRule="exact"/>
        <w:rPr>
          <w:sz w:val="20"/>
          <w:szCs w:val="20"/>
          <w:color w:val="auto"/>
        </w:rPr>
      </w:pPr>
    </w:p>
    <w:p>
      <w:pPr>
        <w:ind w:left="60" w:right="219" w:firstLine="648"/>
        <w:spacing w:after="0" w:line="272" w:lineRule="auto"/>
        <w:rPr>
          <w:sz w:val="20"/>
          <w:szCs w:val="20"/>
          <w:color w:val="auto"/>
        </w:rPr>
      </w:pPr>
      <w:r>
        <w:rPr>
          <w:rFonts w:ascii="Times New Roman" w:cs="Times New Roman" w:eastAsia="Times New Roman" w:hAnsi="Times New Roman"/>
          <w:sz w:val="16"/>
          <w:szCs w:val="16"/>
          <w:color w:val="auto"/>
        </w:rPr>
        <w:t>On February 26, 2025, Everspin Technologies, Inc. issued a press release announcing its financial results for the quarter and year ended December 31, 2024,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61"/>
        </w:trPr>
        <w:tc>
          <w:tcPr>
            <w:tcW w:w="20" w:type="dxa"/>
            <w:vAlign w:val="bottom"/>
          </w:tcPr>
          <w:p>
            <w:pPr>
              <w:spacing w:after="0"/>
              <w:rPr>
                <w:sz w:val="14"/>
                <w:szCs w:val="14"/>
                <w:color w:val="auto"/>
              </w:rPr>
            </w:pPr>
          </w:p>
        </w:tc>
        <w:tc>
          <w:tcPr>
            <w:tcW w:w="900" w:type="dxa"/>
            <w:vAlign w:val="bottom"/>
          </w:tcPr>
          <w:p>
            <w:pPr>
              <w:jc w:val="right"/>
              <w:ind w:right="239"/>
              <w:spacing w:after="0" w:line="161" w:lineRule="exact"/>
              <w:rPr>
                <w:sz w:val="20"/>
                <w:szCs w:val="20"/>
                <w:color w:val="auto"/>
              </w:rPr>
            </w:pPr>
            <w:r>
              <w:rPr>
                <w:rFonts w:ascii="Times New Roman" w:cs="Times New Roman" w:eastAsia="Times New Roman" w:hAnsi="Times New Roman"/>
                <w:sz w:val="16"/>
                <w:szCs w:val="16"/>
                <w:color w:val="auto"/>
              </w:rPr>
              <w:t>99.1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4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0000EE"/>
              </w:rPr>
              <w:t>Press release dated February 26, 2025.</w:t>
            </w: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217"/>
        </w:trPr>
        <w:tc>
          <w:tcPr>
            <w:tcW w:w="9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104</w:t>
            </w:r>
          </w:p>
        </w:tc>
        <w:tc>
          <w:tcPr>
            <w:tcW w:w="24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1025"/>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4"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7" w:lineRule="exact"/>
        <w:rPr>
          <w:sz w:val="20"/>
          <w:szCs w:val="20"/>
          <w:color w:val="auto"/>
        </w:rPr>
      </w:pPr>
    </w:p>
    <w:p>
      <w:pPr>
        <w:ind w:left="60" w:right="159"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Everspin Technologies, Inc.</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Dated: February 26, 2025</w:t>
      </w: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/s/ William Cooper</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William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-116205</wp:posOffset>
            </wp:positionV>
            <wp:extent cx="26403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504190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3" w:name="page4"/>
    <w:bookmarkEnd w:id="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156845</wp:posOffset>
            </wp:positionV>
            <wp:extent cx="2280285" cy="47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028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Reports Unaudited Fourth Quarter and Full Year 2024 Financial Results</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Chandler, AZ, February 26, 2025 </w:t>
      </w:r>
      <w:r>
        <w:rPr>
          <w:rFonts w:ascii="Times New Roman" w:cs="Times New Roman" w:eastAsia="Times New Roman" w:hAnsi="Times New Roman"/>
          <w:sz w:val="18"/>
          <w:szCs w:val="18"/>
          <w:color w:val="auto"/>
        </w:rPr>
        <w:t>— Everspin Technologies, Inc. (NASDAQ: MRAM), the world’s leading developer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manufacturer of magnetoresistive random access memory (MRAM) persistent memory solutions, today announced preliminary unaudited financial results for the fourth quarter and full year ended December 31, 2024.</w:t>
      </w:r>
    </w:p>
    <w:p>
      <w:pPr>
        <w:spacing w:after="0" w:line="175"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are pleased to report fourth quarter results with revenue above our expectations and earnings per share at the high end of our guidance range,” said Sanjeev Aggarwal, President and Chief Executive Officer. “We had a total of 178 design wins in 2024 and we are excited about the opportunities ahead of us to expand our reach in the NOR flash, SRAM and storage markets.”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Fourth Quarter 2024 Results</w:t>
      </w:r>
    </w:p>
    <w:p>
      <w:pPr>
        <w:spacing w:after="0" w:line="229" w:lineRule="exact"/>
        <w:rPr>
          <w:sz w:val="20"/>
          <w:szCs w:val="20"/>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$13.2 million, compared to $16.7 million in the fourth quarter of 2023.</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MRAM product sales, which includes both Toggle and STT-MRAM revenue, of $11.0 million, compared to $12.4 million in the fourth quarter of 2023.</w:t>
      </w:r>
    </w:p>
    <w:p>
      <w:pPr>
        <w:spacing w:after="0" w:line="16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royalty, patent, and other revenue of $2.2 million, compared to $4.3 million in the fourth quarter of 2023.</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51.3%, compared to 58.1% in the fourth quarter of 2023.</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expenses of $8.4 million, compared to $8.1 million in the fourth quarter of 2023.</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net of $2.6 million, compared to $0.4 million in the fourth quarter of 2023.</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of $1.2 million, or $0.05 per diluted share, compared to net income of $2.0 million, or $0.09 per diluted share, in the fourth quarter of 2023.</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$3.2 million, compared to $3.6 million in the fourth quarter of 2023.</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as of December 31, 2024, increased to $42.1 million.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Full Year 2024 Results</w:t>
      </w:r>
    </w:p>
    <w:p>
      <w:pPr>
        <w:spacing w:after="0" w:line="229" w:lineRule="exact"/>
        <w:rPr>
          <w:sz w:val="20"/>
          <w:szCs w:val="20"/>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$50.4 million, compared to $63.8 million in 2023.</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MRAM product sales, which includes both Toggle and STT-MRAM revenue, of $42.2 million, compared to $53.1 million in 2023.</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royalty, patent, and other revenue of $8.2 million, compared to $10.6 million in 2023.</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51.8%, compared to 58.4% in 2023.</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expenses of $33.2 million, compared to $31.4 million in 2023.</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net of $7.8 million, compared to $3.2 million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700" w:right="79" w:hanging="326"/>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of $0.8 million, or $0.04 per diluted share, compared to net income of $9.1 million, or $0.42 per diluted share, in 2023.</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$9.2 million, compared to $15.3 million in 2023.</w:t>
      </w:r>
    </w:p>
    <w:p>
      <w:pPr>
        <w:spacing w:after="0" w:line="225"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“Our solid results this quarter were driven by strength in our product revenue and RAD-Hard projects,” said Bill Cooper, Everspin’s Chief Financial Officer. “Our balance sheet remains strong and we remain committed to maintaining financial discipline while scaling our business and converting additional design wins to revenue.”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For the first quarter 2025, Everspin expects total revenue in a range of $12 million to $13 million and GAAP net loss per basic share to be between $(0.10) and $(0.05). Non-GAAP net (loss) income per basic share is anticipated to be between $(0.05) and $0.00.</w:t>
      </w:r>
    </w:p>
    <w:p>
      <w:pPr>
        <w:spacing w:after="0" w:line="1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A reconciliation of non-GAAP guidance measures to corresponding GAAP guidance measures is not available on a forward-looking basis without unreasonable effort due to the uncertainty regarding, and the potential variability of, expenses that may be incurred in the future. Stock-based compensation-related charges are impacted by the timing of employee stock transactions, the future fair market value of Everspin’s common stock, and Everspin’s future hiring and retention needs, all of which are difficult to predict and subject to constant change. These factors could be material to Everspin’s results computed in accordance with GAAP. This outlook is dependent on Everspin’s current expectations, which may be impacted by, among other things, evolving external conditions, such as public health-related events or outbreaks, local safety guidelines, worsening impacts due to supply chain constraints or interruptions, including recent market volatility, semiconductor downturn and the other risk factors described in Everspin’s filings with the Securities and Exchange Commission (the “SEC”), including its Annual Report on Form 10-K for the fiscal year ended December 31, 2023, its Quarterly Reports on Form 10-Q filed with the SEC during 2024, as well as in its subsequent filings with the SEC.</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Everspin supplements the reporting of its financial information determined under generally accepted accounting principles in the United States of America (GAAP) with the following non-GAAP financial measures:</w:t>
      </w:r>
    </w:p>
    <w:p>
      <w:pPr>
        <w:spacing w:after="0" w:line="162" w:lineRule="exact"/>
        <w:rPr>
          <w:sz w:val="20"/>
          <w:szCs w:val="20"/>
          <w:color w:val="auto"/>
        </w:rPr>
      </w:pPr>
    </w:p>
    <w:p>
      <w:pPr>
        <w:ind w:left="700" w:right="659" w:hanging="326"/>
        <w:spacing w:after="0" w:line="28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(loss), which is defined as the GAAP measure, excluding the effect of stock-based compensation charges.</w:t>
      </w:r>
    </w:p>
    <w:p>
      <w:pPr>
        <w:spacing w:after="0" w:line="161" w:lineRule="exact"/>
        <w:rPr>
          <w:rFonts w:ascii="Times New Roman" w:cs="Times New Roman" w:eastAsia="Times New Roman" w:hAnsi="Times New Roman"/>
          <w:sz w:val="18"/>
          <w:szCs w:val="18"/>
          <w:color w:val="auto"/>
        </w:rPr>
      </w:pPr>
    </w:p>
    <w:p>
      <w:pPr>
        <w:ind w:left="700" w:right="819" w:hanging="326"/>
        <w:spacing w:after="0" w:line="28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which is defined as net income adjusted for interest expense, taxes, depreciation and amortization, stock-based compensation expense, and restructuring costs (if any).</w:t>
      </w:r>
    </w:p>
    <w:p>
      <w:pPr>
        <w:spacing w:after="0" w:line="162" w:lineRule="exact"/>
        <w:rPr>
          <w:sz w:val="20"/>
          <w:szCs w:val="20"/>
          <w:color w:val="auto"/>
        </w:rPr>
      </w:pPr>
    </w:p>
    <w:p>
      <w:pPr>
        <w:ind w:left="60" w:right="99"/>
        <w:spacing w:after="0" w:line="271" w:lineRule="auto"/>
        <w:rPr>
          <w:sz w:val="20"/>
          <w:szCs w:val="20"/>
          <w:color w:val="auto"/>
        </w:rPr>
      </w:pPr>
      <w:r>
        <w:rPr>
          <w:rFonts w:ascii="Times New Roman" w:cs="Times New Roman" w:eastAsia="Times New Roman" w:hAnsi="Times New Roman"/>
          <w:sz w:val="17"/>
          <w:szCs w:val="17"/>
          <w:color w:val="auto"/>
        </w:rPr>
        <w:t>Everspin’s management and board of directors use these non-GAAP measures to understand and evaluate its operating performance and trends, to prepare and approve its annual budget and to develop short-term and long-term operating and financing plans. Accordingly, Everspin believes that these non-GAAP measures provide useful information for investors in understanding and evaluating its operating results in the same manner as its management and board of directors. These non-GAAP financial measures should be considered in addition to, not as superior to, or as a substitute for, financial measures reported in accordance with GAAP. Moreover, other companies may define these non-GAAP measures differently, which limits the usefulness of this measure for comparisons with such other companies. Everspin encourages investors to review its financial statements and publicly-filed reports in their entirety and not to rely on any single financial measure. Please see the tables included at the end of this release for the reconciliation of GAAP to non-GAAP results.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Everspin will host a conference call for analysts and investors on Wednesday, February 26, 2025, at 5:00 p.m. Eastern Time.</w:t>
      </w:r>
    </w:p>
    <w:p>
      <w:pPr>
        <w:spacing w:after="0" w:line="162" w:lineRule="exact"/>
        <w:rPr>
          <w:sz w:val="20"/>
          <w:szCs w:val="20"/>
          <w:color w:val="auto"/>
        </w:rPr>
      </w:pPr>
    </w:p>
    <w:p>
      <w:pPr>
        <w:ind w:left="60" w:right="339"/>
        <w:spacing w:after="0" w:line="312" w:lineRule="auto"/>
        <w:rPr>
          <w:sz w:val="20"/>
          <w:szCs w:val="20"/>
          <w:color w:val="auto"/>
        </w:rPr>
      </w:pPr>
      <w:r>
        <w:rPr>
          <w:rFonts w:ascii="Times New Roman" w:cs="Times New Roman" w:eastAsia="Times New Roman" w:hAnsi="Times New Roman"/>
          <w:sz w:val="17"/>
          <w:szCs w:val="17"/>
          <w:color w:val="auto"/>
        </w:rPr>
        <w:t>Dial-in details: To access the call by phone, please go to this link and you will be provided with dial-in details. To avoid delays, we encourage participants to dial into the conference call fifteen minutes ahead of the scheduled start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306070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live webcast of the call will be accessible on Everspin’s website at investor.everspin.com. Approximately two hours after conclusion of the live event, an archived webcast of the conference call will be accessible from the Investor Relations section of Everspin’s website for twelve months.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About Everspin Technologies</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Everspin Technologies, Inc. is the world’s leading provider of magnetoresistive RAM (MRAM). Everspin MRAM delivers the industry’s most robust, highest-performance non-volatile memory for industrial IoT, data centers and other mission-critical applications where data persistence is paramount. Headquartered in Chandler, Arizona, Everspin provides commercially available MRAM solutions to a large and diverse customer base. For more information, visit www.everspin.com. NASDAQ: MRAM.</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 are identified by words such as “expects” or similar expressions. These include, but are not limited to, Everspin’s future financial performance, including the outlook for first quarter 2025 results. Actual results could differ materially from these forward-looking statements as a result of certain risks and uncertainties, including, without limitation, the risks set forth under the caption “Risk Factors” in Everspin’s Annual Report on Form 10-K for the year ended December 31, 2023 filed with the SEC on February 29, 2024, and its Quarterly Reports on Form 10-Q filed with the SEC during 2024, as well as in its subsequent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 except as required by law.</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Monica Gould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9" w:lineRule="exact"/>
        <w:rPr>
          <w:sz w:val="20"/>
          <w:szCs w:val="20"/>
          <w:color w:val="auto"/>
        </w:rPr>
      </w:pPr>
    </w:p>
    <w:p>
      <w:pPr>
        <w:jc w:val="both"/>
        <w:ind w:left="60" w:right="7719" w:hanging="10"/>
        <w:spacing w:after="0" w:line="290" w:lineRule="auto"/>
        <w:tabs>
          <w:tab w:leader="none" w:pos="25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212-871-3927 ir@everspin.com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591820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77,789</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 obligations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Software liabilities, current portion</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Software liabilities, net of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income tax liability</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5,000,000 shares authorized; no shares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issued and outstanding as of December 31, 2024 and 2023, respectively</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100,000,000 shares authorized;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22,059,697 and 21,080,472 shares issued and outstanding as of December 31, 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2023, respectively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(136,869)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77,789</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0"/>
        </w:trPr>
        <w:tc>
          <w:tcPr>
            <w:tcW w:w="2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Statements of Income and Comprehensive Income</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sales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33,217</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common share:</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40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21,642,793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22,156,420</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21,367,304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0"/>
        </w:trPr>
        <w:tc>
          <w:tcPr>
            <w:tcW w:w="6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prepayment and termination of credit facility</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warrant revaluation</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(492)</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obligations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net</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received from sale of property and equipment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from exercise of stock options and purchase of shares in employee stock</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42,097</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202</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1,399</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Financing cash flows paid for finance leases</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Internal-use software asset obtained in exchange for software liabilities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Right-of-use assets obtained in exchange for finance lease liabilities</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297</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liabilities</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Cashless exercise of warrants</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0"/>
        </w:trPr>
        <w:tc>
          <w:tcPr>
            <w:tcW w:w="6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Supplemental Reconciliations of GAAP Results to Non-GAAP Financial Measures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3"/>
          </w:tcPr>
          <w:p>
            <w:pPr>
              <w:ind w:left="5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56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w:t>
            </w: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5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per common share reconciliation:</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 diluted</w:t>
            </w:r>
          </w:p>
        </w:tc>
        <w:tc>
          <w:tcPr>
            <w:tcW w:w="12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6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Non-GAAP Net income per common share, diluted</w:t>
            </w:r>
          </w:p>
        </w:tc>
        <w:tc>
          <w:tcPr>
            <w:tcW w:w="100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8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2025-02-26T15:16:38Z</dcterms:created>
  <dcterms:modified xsi:type="dcterms:W3CDTF">2025-02-26T15:16:38Z</dcterms:modified>
</cp:coreProperties>
</file>