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UNITED STATES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CURRENT REPORT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Pursuant to Section 13 or 15(d)</w:t>
      </w:r>
    </w:p>
    <w:p>
      <w:pPr>
        <w:pStyle w:val="TextBody"/>
        <w:bidi w:val="0"/>
        <w:spacing w:lineRule="auto" w:line="288" w:before="0" w:after="100"/>
        <w:jc w:val="center"/>
        <w:rPr>
          <w:rFonts w:ascii="Times New Roman;serif" w:hAnsi="Times New Roman;serif"/>
          <w:b/>
          <w:color w:val="000000"/>
          <w:sz w:val="16"/>
        </w:rPr>
      </w:pPr>
      <w:r>
        <w:rPr>
          <w:rFonts w:ascii="Times New Roman;serif" w:hAnsi="Times New Roman;serif"/>
          <w:b/>
          <w:color w:val="000000"/>
          <w:sz w:val="16"/>
        </w:rPr>
        <w:t>of the Securities Exchange Act of 1934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 of Report (Date of earliest event reported): August 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Everspin Technologies,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619" w:type="dxa"/>
        <w:jc w:val="left"/>
        <w:tblInd w:w="0" w:type="dxa"/>
        <w:tblLayout w:type="fixed"/>
        <w:tblCellMar>
          <w:top w:w="28" w:type="dxa"/>
          <w:left w:w="28" w:type="dxa"/>
          <w:bottom w:w="28" w:type="dxa"/>
          <w:right w:w="28" w:type="dxa"/>
        </w:tblCellMar>
      </w:tblPr>
      <w:tblGrid>
        <w:gridCol w:w="750"/>
        <w:gridCol w:w="658"/>
        <w:gridCol w:w="662"/>
        <w:gridCol w:w="354"/>
        <w:gridCol w:w="354"/>
        <w:gridCol w:w="356"/>
        <w:gridCol w:w="434"/>
        <w:gridCol w:w="434"/>
        <w:gridCol w:w="617"/>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Delaware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001-37900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26-2640654</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5670 W. Chandler Blvd.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Suite 130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Chandler, Arizona 85226</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(480) 347-1111</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Not Applicable </w:t>
      </w:r>
    </w:p>
    <w:p>
      <w:pPr>
        <w:pStyle w:val="TextBody"/>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tbl>
      <w:tblPr>
        <w:tblW w:w="6702" w:type="dxa"/>
        <w:jc w:val="left"/>
        <w:tblInd w:w="0" w:type="dxa"/>
        <w:tblLayout w:type="fixed"/>
        <w:tblCellMar>
          <w:top w:w="28" w:type="dxa"/>
          <w:left w:w="28" w:type="dxa"/>
          <w:bottom w:w="28" w:type="dxa"/>
          <w:right w:w="28" w:type="dxa"/>
        </w:tblCellMar>
      </w:tblPr>
      <w:tblGrid>
        <w:gridCol w:w="124"/>
        <w:gridCol w:w="109"/>
        <w:gridCol w:w="109"/>
        <w:gridCol w:w="1862"/>
        <w:gridCol w:w="1862"/>
        <w:gridCol w:w="2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bl>
    <w:tbl>
      <w:tblPr>
        <w:tblW w:w="6746" w:type="dxa"/>
        <w:jc w:val="left"/>
        <w:tblInd w:w="0" w:type="dxa"/>
        <w:tblLayout w:type="fixed"/>
        <w:tblCellMar>
          <w:top w:w="28" w:type="dxa"/>
          <w:left w:w="28" w:type="dxa"/>
          <w:bottom w:w="28" w:type="dxa"/>
          <w:right w:w="28" w:type="dxa"/>
        </w:tblCellMar>
      </w:tblPr>
      <w:tblGrid>
        <w:gridCol w:w="124"/>
        <w:gridCol w:w="109"/>
        <w:gridCol w:w="109"/>
        <w:gridCol w:w="1873"/>
        <w:gridCol w:w="1873"/>
        <w:gridCol w:w="26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bl>
    <w:tbl>
      <w:tblPr>
        <w:tblW w:w="8322" w:type="dxa"/>
        <w:jc w:val="left"/>
        <w:tblInd w:w="0" w:type="dxa"/>
        <w:tblLayout w:type="fixed"/>
        <w:tblCellMar>
          <w:top w:w="28" w:type="dxa"/>
          <w:left w:w="28" w:type="dxa"/>
          <w:bottom w:w="28" w:type="dxa"/>
          <w:right w:w="28" w:type="dxa"/>
        </w:tblCellMar>
      </w:tblPr>
      <w:tblGrid>
        <w:gridCol w:w="124"/>
        <w:gridCol w:w="109"/>
        <w:gridCol w:w="109"/>
        <w:gridCol w:w="2335"/>
        <w:gridCol w:w="2335"/>
        <w:gridCol w:w="3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bl>
    <w:tbl>
      <w:tblPr>
        <w:tblW w:w="8261" w:type="dxa"/>
        <w:jc w:val="left"/>
        <w:tblInd w:w="0" w:type="dxa"/>
        <w:tblLayout w:type="fixed"/>
        <w:tblCellMar>
          <w:top w:w="28" w:type="dxa"/>
          <w:left w:w="28" w:type="dxa"/>
          <w:bottom w:w="28" w:type="dxa"/>
          <w:right w:w="28" w:type="dxa"/>
        </w:tblCellMar>
      </w:tblPr>
      <w:tblGrid>
        <w:gridCol w:w="124"/>
        <w:gridCol w:w="109"/>
        <w:gridCol w:w="109"/>
        <w:gridCol w:w="2317"/>
        <w:gridCol w:w="2317"/>
        <w:gridCol w:w="32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296" w:type="dxa"/>
        <w:jc w:val="left"/>
        <w:tblInd w:w="0" w:type="dxa"/>
        <w:tblLayout w:type="fixed"/>
        <w:tblCellMar>
          <w:top w:w="28" w:type="dxa"/>
          <w:left w:w="28" w:type="dxa"/>
          <w:bottom w:w="28" w:type="dxa"/>
          <w:right w:w="28" w:type="dxa"/>
        </w:tblCellMar>
      </w:tblPr>
      <w:tblGrid>
        <w:gridCol w:w="954"/>
        <w:gridCol w:w="837"/>
        <w:gridCol w:w="848"/>
        <w:gridCol w:w="109"/>
        <w:gridCol w:w="109"/>
        <w:gridCol w:w="109"/>
        <w:gridCol w:w="484"/>
        <w:gridCol w:w="484"/>
        <w:gridCol w:w="486"/>
        <w:gridCol w:w="109"/>
        <w:gridCol w:w="109"/>
        <w:gridCol w:w="109"/>
        <w:gridCol w:w="746"/>
        <w:gridCol w:w="746"/>
        <w:gridCol w:w="1057"/>
      </w:tblGrid>
      <w:tr>
        <w:trPr/>
        <w:tc>
          <w:tcPr>
            <w:tcW w:w="9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w:t>
              <w:br/>
              <w:t>registered</w:t>
            </w:r>
          </w:p>
        </w:tc>
      </w:tr>
      <w:tr>
        <w:trPr/>
        <w:tc>
          <w:tcPr>
            <w:tcW w:w="263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1933(§230.405 of this chapter) or Rule 12b-2 of the Securities Exchange Act of 1934 (§240.12b-2 of this chapter).</w:t>
      </w:r>
    </w:p>
    <w:p>
      <w:pPr>
        <w:pStyle w:val="TextBody"/>
        <w:bidi w:val="0"/>
        <w:spacing w:lineRule="auto" w:line="288" w:before="0" w:after="120"/>
        <w:jc w:val="both"/>
        <w:rPr/>
      </w:pPr>
      <w:r>
        <w:rPr>
          <w:rFonts w:ascii="Times New Roman;serif" w:hAnsi="Times New Roman;serif"/>
          <w:b w:val="false"/>
          <w:color w:val="000000"/>
          <w:sz w:val="16"/>
        </w:rPr>
        <w:t xml:space="preserve">Emerging growth company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220"/>
        <w:jc w:val="both"/>
        <w:rPr>
          <w:rFonts w:ascii="Times New Roman;serif" w:hAnsi="Times New Roman;serif"/>
          <w:b/>
          <w:color w:val="000000"/>
          <w:sz w:val="18"/>
        </w:rPr>
      </w:pPr>
      <w:r>
        <w:rPr>
          <w:rFonts w:ascii="Times New Roman;serif" w:hAnsi="Times New Roman;serif"/>
          <w:b/>
          <w:color w:val="000000"/>
          <w:sz w:val="18"/>
        </w:rPr>
        <w:t>Item 2.02. Results of Operations and Financial Condition.</w:t>
      </w:r>
    </w:p>
    <w:p>
      <w:pPr>
        <w:pStyle w:val="TextBody"/>
        <w:bidi w:val="0"/>
        <w:spacing w:lineRule="auto" w:line="288" w:before="0" w:after="2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August 5, 2026, Everspin Technologies, Inc. issued a press release announcing its financial results for the quarter ended June 30, 2026,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00"/>
        <w:jc w:val="left"/>
        <w:rPr>
          <w:rFonts w:ascii="Times New Roman;serif" w:hAnsi="Times New Roman;serif"/>
          <w:b/>
          <w:color w:val="000000"/>
          <w:sz w:val="18"/>
        </w:rPr>
      </w:pPr>
      <w:r>
        <w:rPr>
          <w:rFonts w:ascii="Times New Roman;serif" w:hAnsi="Times New Roman;serif"/>
          <w:b/>
          <w:color w:val="000000"/>
          <w:sz w:val="18"/>
        </w:rPr>
        <w:t>Item 9.01. Financial Statements and Exhibits.</w:t>
      </w:r>
    </w:p>
    <w:tbl>
      <w:tblPr>
        <w:tblW w:w="5786"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1303"/>
        <w:gridCol w:w="1303"/>
        <w:gridCol w:w="1849"/>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mram-20260630xexx991.htm">
              <w:r>
                <w:rPr>
                  <w:rStyle w:val="InternetLink"/>
                  <w:rFonts w:ascii="Times New Roman;serif" w:hAnsi="Times New Roman;serif"/>
                  <w:b w:val="false"/>
                  <w:color w:val="000080"/>
                  <w:sz w:val="18"/>
                  <w:u w:val="single"/>
                </w:rPr>
                <w:t xml:space="preserve">Press release dated </w:t>
              </w:r>
            </w:hyperlink>
            <w:hyperlink w:anchor="mram-20260630xexx991.htm">
              <w:r>
                <w:rPr>
                  <w:rStyle w:val="InternetLink"/>
                  <w:rFonts w:ascii="Times New Roman;serif" w:hAnsi="Times New Roman;serif"/>
                  <w:b w:val="false"/>
                  <w:color w:val="000080"/>
                  <w:sz w:val="18"/>
                  <w:u w:val="single"/>
                </w:rPr>
                <w:t>August 5, 2026</w:t>
              </w:r>
            </w:hyperlink>
            <w:hyperlink w:anchor="mram-20260630xexx991.htm">
              <w:r>
                <w:rPr>
                  <w:rStyle w:val="InternetLink"/>
                  <w:rFonts w:ascii="Times New Roman;serif" w:hAnsi="Times New Roman;serif"/>
                  <w:b w:val="false"/>
                  <w:color w:val="000080"/>
                  <w:sz w:val="18"/>
                  <w:u w:val="single"/>
                </w:rPr>
                <w:t>.</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0" w:after="20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tbl>
      <w:tblPr>
        <w:tblW w:w="4577" w:type="dxa"/>
        <w:jc w:val="left"/>
        <w:tblInd w:w="0" w:type="dxa"/>
        <w:tblLayout w:type="fixed"/>
        <w:tblCellMar>
          <w:top w:w="28" w:type="dxa"/>
          <w:left w:w="28" w:type="dxa"/>
          <w:bottom w:w="28" w:type="dxa"/>
          <w:right w:w="28" w:type="dxa"/>
        </w:tblCellMar>
      </w:tblPr>
      <w:tblGrid>
        <w:gridCol w:w="629"/>
        <w:gridCol w:w="552"/>
        <w:gridCol w:w="558"/>
        <w:gridCol w:w="351"/>
        <w:gridCol w:w="351"/>
        <w:gridCol w:w="351"/>
        <w:gridCol w:w="518"/>
        <w:gridCol w:w="518"/>
        <w:gridCol w:w="749"/>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Everspin Technologies, Inc.</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Dated: August 5, 2026</w:t>
            </w:r>
          </w:p>
        </w:tc>
        <w:tc>
          <w:tcPr>
            <w:tcW w:w="28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William Cooper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William Cooper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Everspin Reports Unaudited Second Quarter 2026 Financial Results</w:t>
      </w:r>
    </w:p>
    <w:p>
      <w:pPr>
        <w:pStyle w:val="TextBody"/>
        <w:bidi w:val="0"/>
        <w:spacing w:lineRule="auto" w:line="288" w:before="0" w:after="180"/>
        <w:jc w:val="both"/>
        <w:rPr/>
      </w:pPr>
      <w:r>
        <w:rPr>
          <w:rFonts w:ascii="Times New Roman;serif" w:hAnsi="Times New Roman;serif"/>
          <w:b/>
          <w:color w:val="000000"/>
          <w:sz w:val="20"/>
        </w:rPr>
        <w:t>Chandler, AZ, August 5, 2026</w:t>
      </w:r>
      <w:r>
        <w:rPr>
          <w:color w:val="000000"/>
        </w:rPr>
        <w:t>—</w:t>
      </w:r>
      <w:r>
        <w:rPr>
          <w:rFonts w:ascii="Times New Roman;serif" w:hAnsi="Times New Roman;serif"/>
          <w:b w:val="false"/>
          <w:color w:val="000000"/>
          <w:sz w:val="20"/>
        </w:rPr>
        <w:t>Everspin Technologies, Inc. (NASDAQ: MRAM), the world’s leading developer and manufacturer of Magnetoresistive Random Access Memory (MRAM) persistent memory solutions, today announced preliminary unaudited financial results for the second quarter ended June 30, 2026.</w: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0"/>
        </w:rPr>
        <w:t>Our second quarter results were driven by strong product revenue coupled with initial non-product revenue under our recently signed $40 million contract with a US prime contractor. From an end market perspective, growth was led by strength in Industrial Automation, Energy Management, and Aerospace and Defense,” said Sanjeev Aggarwal, President and Chief Executive Officer. “We continue to see strong growth across our existing business while executing on our product pipeline and developing solutions that will further expand Everspin's addressable market and drive long-term growth.”</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Second Quarter 2026 Results</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 xml:space="preserve">Total revenue of $18.7 million, compared to $13.2 million in the second quarter of 2025. </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 xml:space="preserve">MRAM product sales, which include both Toggle and STT-MRAM revenue, of $15.3 million, compared to $11.1 million in the second quarter of 2025. </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Licensing, royalty, engineering services and other revenue of $3.4 million, compared to $2.1 million in the second quarter of 2025.</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 xml:space="preserve">Gross margin of 53.9%, compared to 51.3% in the second quarter of 2025. </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GAAP operating expenses of $14.5 million, compared to $8.7 million in the second quarter of 2025.</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 xml:space="preserve">Interest and Other income, net of $0.8 million, compared to $1.3 million in the second quarter of 2025. </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 xml:space="preserve">GAAP net loss of $(3.6) million, or $(0.15) per diluted share, compared to net loss of $(0.7) million, or $(0.03) per diluted share, in the second quarter of 2025. </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 xml:space="preserve">Non-GAAP net income of $2.9 million, or $0.11 per diluted share, compared to non-GAAP net income of $0.7 million, or $0.03 per diluted share, in the second quarter of 2025. </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 xml:space="preserve">Cash and cash equivalents as of June 30, 2026, totaled $43.9 million. </w: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0"/>
        </w:rPr>
        <w:t xml:space="preserve">We are pleased to report record quarterly revenue with second quarter results above our expectations, driven by both strong product and non-product revenue growth. We remain focused on balancing strategic investments in our technology roadmap with prudent expense management, strengthening our competitive position while enhancing long-term shareholder value,” said Bill Cooper, Everspin’s Chief Financial Officer.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Business Outlook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third quarter of 2026, Everspin expects total revenue in a range of $19.5 million to $20.5 million and GAAP net loss per share to be between $(0.10) and $(0.05). Non-GAAP net income per diluted share is anticipated to be between $0.10 and $0.15.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reconciliation of non-GAAP guidance measures to corresponding GAAP guidance measures is not available on a forward-looking basis without unreasonable effort due to the uncertainty regarding, and the potential variability of, expenses that may be incurred in the future. For example, stock-based compensation-related charges are impacted by the timing of employee stock transactions, the future fair market value of Everspin’s common stock, and Everspin’s future hiring and retention needs, all of which are difficult to predict and subject to constant change. Additionally, litigation expenses are highly dependent on case related activity in any given period and based on the actions of a third-party which are difficult to predict and subject to change. These factors could be material to Everspin’s results computed in accordance with GAAP. This outlook is dependent on Everspin's current expectations, which may be impacted by, among other things, evolving external conditions, such as public health-related events or outbreaks, local safety guidelines, worsening impacts due to supply chain constraints or interruptions, including general market and semiconductor industry volatility, and the other risk factors described in Everspin's filings with the Securities and Exchange Commission (the "SEC"), including its </w:t>
      </w: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Annual Report on Form 10-K for the fiscal year ended December 31, 2025, its Quarterly Reports on Form 10-Q filed with the SEC during 2026, as well as in its subsequent filings with the SEC.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Everspin supplements the reporting of its financial information determined under generally accepted accounting principles in the United States of America (GAAP) with Non-GAAP financial measures including gross profit, gross margin, operating expenses, operating income (loss), operating margin, net income (loss), and EPS which are defined as the GAAP financial measures excluding the effect of stock-based compensation, non-recurring engineering expenses related to the company's foundry agreement with Microchip and litigation costs. Everspin’s GAAP tax rate is effectively zero due to NOL carryforwards, thus a Non-GAAP tax rate is not included as a Non-GAAP financial measure.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Everspin’s management and board of directors use these non-GAAP measures to understand and evaluate its operating performance and trends, to prepare and approve its annual budget and to develop short-term and long-term operating and financing plans. Accordingly, Everspin believes that these non-GAAP measures provide useful information for investors in understanding and evaluating its operating results in the same manner as its management and board of directors. These non-GAAP financial measures should be considered in addition to, not as superior to, or as a substitute for, financial measures reported in accordance with GAAP. Moreover, other companies may define these non-GAAP measures differently, which limits the usefulness of this measure for comparisons with such other companies. Everspin encourages investors to review its financial statements and publicly filed reports in their entirety and not to rely on any single financial measure. Please see the tables included at the end of this release for the reconciliation of GAAP to non-GAAP results.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Everspin will host a conference call for analysts and investors on Wednesday, August 5th, 2026, at 5:00 p.m. Eastern Time.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Dial-in details: To access the call by phone, please go to this link and you will be provided with dial-in details. To avoid delays, we encourage participants to dial into the conference call fifteen minutes ahead of the scheduled start time.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live webcast of the call will be accessible on Everspin’s website at investor.everspin.com. Approximately two hours after the conclusion of the live event, an archived webcast of the conference call will be accessible from the Investor Relations section of Everspin’s website for twelve months.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About Everspin Technologies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Everspin Technologies, Inc. is the world’s leading provider of Magnetoresistive RAM (MRAM). Everspin MRAM delivers the industry’s most robust, highest-performance non-volatile memory for industrial, data center, automotive, aerospace and other mission-critical applications where data persistence is essential. Headquartered in Chandler, Arizona, Everspin provides commercially available MRAM solutions to a large and diverse customer base. For more information, visit www.everspin.com. NASDAQ: MRAM.</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“expects” or similar expressions. These include, but are not limited to, Everspin’s future financial performance, including the outlook for third quarter 2026 results. Actual results could differ materially from these forward-looking statements as a result of certain risks and uncertainties, including, without limitation, the risks set forth under the caption “Risk Factors” in Everspin’s Annual Report on Form 10-K for the year ended December 31, 2025 filed with the SEC on March 4, 2026, and its Quarterly Reports on Form 10-Q filed with the SEC during 2026,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 except as required by law.</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Monica Gould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Blueshirt Group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 212-871-3927</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ir@everspin.com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06"/>
        <w:gridCol w:w="2431"/>
        <w:gridCol w:w="2389"/>
        <w:gridCol w:w="211"/>
        <w:gridCol w:w="721"/>
        <w:gridCol w:w="109"/>
        <w:gridCol w:w="109"/>
        <w:gridCol w:w="109"/>
        <w:gridCol w:w="109"/>
        <w:gridCol w:w="215"/>
        <w:gridCol w:w="737"/>
        <w:gridCol w:w="159"/>
      </w:tblGrid>
      <w:tr>
        <w:trPr/>
        <w:tc>
          <w:tcPr>
            <w:tcW w:w="29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69,008 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65,162 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89,393 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84,609 </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liabilities,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liabilities, net of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income tax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15,692 </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5)</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per share; 5,000,000 shares authorized; no shares issued and outstanding as of June 30, 2026 and December 31,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 100,000,000 shares authorized; 24,271,438 and 22,977,797 shares issued and outstanding as of June 30, 2026 and December 31, 2025,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206,370 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(137,455)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73,107 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68,917 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89,393 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84,609 </w:t>
            </w:r>
          </w:p>
        </w:tc>
        <w:tc>
          <w:tcPr>
            <w:tcW w:w="15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48"/>
        <w:gridCol w:w="1582"/>
        <w:gridCol w:w="15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4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29,413 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22,117 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Licensing, royalty, engineering services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33,608 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26,339 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licensing, royalty, engineering services and 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12,818 </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13,521 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25,039 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17,414 </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(3,893)</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23,882,618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22,504,957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23,512,274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22,347,411</w:t>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4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23,882,618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22,504,957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23,512,274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22,347,411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9083" w:type="dxa"/>
        <w:jc w:val="left"/>
        <w:tblInd w:w="0" w:type="dxa"/>
        <w:tblLayout w:type="fixed"/>
        <w:tblCellMar>
          <w:top w:w="28" w:type="dxa"/>
          <w:left w:w="28" w:type="dxa"/>
          <w:bottom w:w="28" w:type="dxa"/>
          <w:right w:w="28" w:type="dxa"/>
        </w:tblCellMar>
      </w:tblPr>
      <w:tblGrid>
        <w:gridCol w:w="2466"/>
        <w:gridCol w:w="2168"/>
        <w:gridCol w:w="2175"/>
        <w:gridCol w:w="196"/>
        <w:gridCol w:w="646"/>
        <w:gridCol w:w="109"/>
        <w:gridCol w:w="109"/>
        <w:gridCol w:w="109"/>
        <w:gridCol w:w="109"/>
        <w:gridCol w:w="196"/>
        <w:gridCol w:w="646"/>
        <w:gridCol w:w="154"/>
      </w:tblGrid>
      <w:tr>
        <w:trPr/>
        <w:tc>
          <w:tcPr>
            <w:tcW w:w="2466"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flows from operating activities</w:t>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on sale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Accrued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Contract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Lease liabilities,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income tax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operating activities</w:t>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6,455 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flows from investing activities</w:t>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investing activities</w:t>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(6,653)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(3,878)</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flows from financing activities</w:t>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on finance leases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exercise of stock options and purchase of shares in employee stock purchase plan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financing activities</w:t>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5,370 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288 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Net (decrease) increase in cash and cash equivalents</w:t>
            </w:r>
          </w:p>
        </w:tc>
        <w:tc>
          <w:tcPr>
            <w:tcW w:w="8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(554)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2,865 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at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at end of period</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43,896 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44,962 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Supplementary cash flow information:</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cash flows paid for operating leases</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707 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Financing cash flows paid for finance leases</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Non-cash investing and financing activities:</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Right-of-use assets obtained in exchange for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property and equipment in accounts payable and accrued liabilities</w:t>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Quarterly Financial Results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162" w:type="dxa"/>
        <w:jc w:val="center"/>
        <w:tblInd w:w="0" w:type="dxa"/>
        <w:tblLayout w:type="fixed"/>
        <w:tblCellMar>
          <w:top w:w="28" w:type="dxa"/>
          <w:left w:w="28" w:type="dxa"/>
          <w:bottom w:w="28" w:type="dxa"/>
          <w:right w:w="28" w:type="dxa"/>
        </w:tblCellMar>
      </w:tblPr>
      <w:tblGrid>
        <w:gridCol w:w="815"/>
        <w:gridCol w:w="717"/>
        <w:gridCol w:w="718"/>
        <w:gridCol w:w="211"/>
        <w:gridCol w:w="721"/>
        <w:gridCol w:w="271"/>
        <w:gridCol w:w="109"/>
        <w:gridCol w:w="109"/>
        <w:gridCol w:w="109"/>
        <w:gridCol w:w="211"/>
        <w:gridCol w:w="721"/>
        <w:gridCol w:w="271"/>
        <w:gridCol w:w="109"/>
        <w:gridCol w:w="109"/>
        <w:gridCol w:w="109"/>
        <w:gridCol w:w="310"/>
        <w:gridCol w:w="310"/>
        <w:gridCol w:w="654"/>
        <w:gridCol w:w="109"/>
        <w:gridCol w:w="109"/>
        <w:gridCol w:w="109"/>
        <w:gridCol w:w="281"/>
        <w:gridCol w:w="962"/>
        <w:gridCol w:w="361"/>
        <w:gridCol w:w="109"/>
        <w:gridCol w:w="109"/>
        <w:gridCol w:w="109"/>
        <w:gridCol w:w="301"/>
        <w:gridCol w:w="301"/>
        <w:gridCol w:w="718"/>
      </w:tblGrid>
      <w:tr>
        <w:trPr/>
        <w:tc>
          <w:tcPr>
            <w:tcW w:w="8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GAAP Financial Results</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 xml:space="preserve">March 31, </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Q/Q</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14,872 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Up 2.6 ppts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Up 1.2 ppts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7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Down 8.5 ppts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Down 5.1 ppts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7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7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33" w:type="dxa"/>
        <w:jc w:val="center"/>
        <w:tblInd w:w="0" w:type="dxa"/>
        <w:tblLayout w:type="fixed"/>
        <w:tblCellMar>
          <w:top w:w="28" w:type="dxa"/>
          <w:left w:w="28" w:type="dxa"/>
          <w:bottom w:w="28" w:type="dxa"/>
          <w:right w:w="28" w:type="dxa"/>
        </w:tblCellMar>
      </w:tblPr>
      <w:tblGrid>
        <w:gridCol w:w="831"/>
        <w:gridCol w:w="731"/>
        <w:gridCol w:w="733"/>
        <w:gridCol w:w="211"/>
        <w:gridCol w:w="721"/>
        <w:gridCol w:w="271"/>
        <w:gridCol w:w="109"/>
        <w:gridCol w:w="109"/>
        <w:gridCol w:w="109"/>
        <w:gridCol w:w="211"/>
        <w:gridCol w:w="721"/>
        <w:gridCol w:w="271"/>
        <w:gridCol w:w="109"/>
        <w:gridCol w:w="109"/>
        <w:gridCol w:w="109"/>
        <w:gridCol w:w="278"/>
        <w:gridCol w:w="278"/>
        <w:gridCol w:w="584"/>
        <w:gridCol w:w="109"/>
        <w:gridCol w:w="109"/>
        <w:gridCol w:w="109"/>
        <w:gridCol w:w="281"/>
        <w:gridCol w:w="962"/>
        <w:gridCol w:w="361"/>
        <w:gridCol w:w="109"/>
        <w:gridCol w:w="109"/>
        <w:gridCol w:w="109"/>
        <w:gridCol w:w="259"/>
        <w:gridCol w:w="259"/>
        <w:gridCol w:w="562"/>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Non-GAAP Financial Results</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Q/Q</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14,872 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Up 2.2 ppts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Up 1 ppts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Up 15.1 ppts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Up 9.6 ppts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Reconciliations of GAAP Results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045" w:type="dxa"/>
        <w:jc w:val="left"/>
        <w:tblInd w:w="0" w:type="dxa"/>
        <w:tblLayout w:type="fixed"/>
        <w:tblCellMar>
          <w:top w:w="28" w:type="dxa"/>
          <w:left w:w="28" w:type="dxa"/>
          <w:bottom w:w="28" w:type="dxa"/>
          <w:right w:w="28" w:type="dxa"/>
        </w:tblCellMar>
      </w:tblPr>
      <w:tblGrid>
        <w:gridCol w:w="1073"/>
        <w:gridCol w:w="945"/>
        <w:gridCol w:w="952"/>
        <w:gridCol w:w="211"/>
        <w:gridCol w:w="721"/>
        <w:gridCol w:w="109"/>
        <w:gridCol w:w="109"/>
        <w:gridCol w:w="109"/>
        <w:gridCol w:w="109"/>
        <w:gridCol w:w="233"/>
        <w:gridCol w:w="233"/>
        <w:gridCol w:w="360"/>
        <w:gridCol w:w="109"/>
        <w:gridCol w:w="109"/>
        <w:gridCol w:w="109"/>
        <w:gridCol w:w="211"/>
        <w:gridCol w:w="616"/>
        <w:gridCol w:w="109"/>
        <w:gridCol w:w="109"/>
        <w:gridCol w:w="109"/>
        <w:gridCol w:w="109"/>
        <w:gridCol w:w="233"/>
        <w:gridCol w:w="233"/>
        <w:gridCol w:w="360"/>
        <w:gridCol w:w="109"/>
        <w:gridCol w:w="109"/>
        <w:gridCol w:w="109"/>
        <w:gridCol w:w="211"/>
        <w:gridCol w:w="616"/>
        <w:gridCol w:w="109"/>
        <w:gridCol w:w="109"/>
        <w:gridCol w:w="109"/>
        <w:gridCol w:w="109"/>
        <w:gridCol w:w="233"/>
        <w:gridCol w:w="233"/>
        <w:gridCol w:w="409"/>
      </w:tblGrid>
      <w:tr>
        <w:trPr/>
        <w:tc>
          <w:tcPr>
            <w:tcW w:w="107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9"/>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2026</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9"/>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Margin</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COGS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867"/>
        <w:gridCol w:w="764"/>
        <w:gridCol w:w="769"/>
        <w:gridCol w:w="211"/>
        <w:gridCol w:w="721"/>
        <w:gridCol w:w="109"/>
        <w:gridCol w:w="109"/>
        <w:gridCol w:w="109"/>
        <w:gridCol w:w="109"/>
        <w:gridCol w:w="233"/>
        <w:gridCol w:w="233"/>
        <w:gridCol w:w="460"/>
        <w:gridCol w:w="109"/>
        <w:gridCol w:w="109"/>
        <w:gridCol w:w="109"/>
        <w:gridCol w:w="211"/>
        <w:gridCol w:w="616"/>
        <w:gridCol w:w="109"/>
        <w:gridCol w:w="109"/>
        <w:gridCol w:w="109"/>
        <w:gridCol w:w="109"/>
        <w:gridCol w:w="233"/>
        <w:gridCol w:w="233"/>
        <w:gridCol w:w="460"/>
        <w:gridCol w:w="109"/>
        <w:gridCol w:w="109"/>
        <w:gridCol w:w="109"/>
        <w:gridCol w:w="211"/>
        <w:gridCol w:w="721"/>
        <w:gridCol w:w="109"/>
        <w:gridCol w:w="109"/>
        <w:gridCol w:w="109"/>
        <w:gridCol w:w="109"/>
        <w:gridCol w:w="233"/>
        <w:gridCol w:w="233"/>
        <w:gridCol w:w="460"/>
        <w:gridCol w:w="109"/>
        <w:gridCol w:w="109"/>
        <w:gridCol w:w="156"/>
      </w:tblGrid>
      <w:tr>
        <w:trPr/>
        <w:tc>
          <w:tcPr>
            <w:tcW w:w="86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a %</w:t>
              <w:br/>
              <w:t>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a %</w:t>
              <w:br/>
              <w:t>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a %</w:t>
              <w:br/>
              <w:t>of Revenue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R&amp;D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SG&amp;A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Engineering Fees (NRE)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35"/>
        <w:gridCol w:w="737"/>
        <w:gridCol w:w="742"/>
        <w:gridCol w:w="221"/>
        <w:gridCol w:w="696"/>
        <w:gridCol w:w="114"/>
        <w:gridCol w:w="109"/>
        <w:gridCol w:w="109"/>
        <w:gridCol w:w="109"/>
        <w:gridCol w:w="278"/>
        <w:gridCol w:w="278"/>
        <w:gridCol w:w="476"/>
        <w:gridCol w:w="109"/>
        <w:gridCol w:w="109"/>
        <w:gridCol w:w="109"/>
        <w:gridCol w:w="221"/>
        <w:gridCol w:w="696"/>
        <w:gridCol w:w="114"/>
        <w:gridCol w:w="109"/>
        <w:gridCol w:w="109"/>
        <w:gridCol w:w="109"/>
        <w:gridCol w:w="278"/>
        <w:gridCol w:w="278"/>
        <w:gridCol w:w="476"/>
        <w:gridCol w:w="109"/>
        <w:gridCol w:w="109"/>
        <w:gridCol w:w="109"/>
        <w:gridCol w:w="221"/>
        <w:gridCol w:w="696"/>
        <w:gridCol w:w="114"/>
        <w:gridCol w:w="109"/>
        <w:gridCol w:w="109"/>
        <w:gridCol w:w="109"/>
        <w:gridCol w:w="278"/>
        <w:gridCol w:w="278"/>
        <w:gridCol w:w="543"/>
      </w:tblGrid>
      <w:tr>
        <w:trPr/>
        <w:tc>
          <w:tcPr>
            <w:tcW w:w="8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Margin</w:t>
            </w:r>
          </w:p>
        </w:tc>
      </w:tr>
      <w:tr>
        <w:trPr/>
        <w:tc>
          <w:tcPr>
            <w:tcW w:w="2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Engineering Fees (NRE)</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978"/>
        <w:gridCol w:w="863"/>
        <w:gridCol w:w="869"/>
        <w:gridCol w:w="225"/>
        <w:gridCol w:w="722"/>
        <w:gridCol w:w="116"/>
        <w:gridCol w:w="109"/>
        <w:gridCol w:w="109"/>
        <w:gridCol w:w="109"/>
        <w:gridCol w:w="211"/>
        <w:gridCol w:w="568"/>
        <w:gridCol w:w="109"/>
        <w:gridCol w:w="109"/>
        <w:gridCol w:w="109"/>
        <w:gridCol w:w="109"/>
        <w:gridCol w:w="254"/>
        <w:gridCol w:w="636"/>
        <w:gridCol w:w="131"/>
        <w:gridCol w:w="109"/>
        <w:gridCol w:w="109"/>
        <w:gridCol w:w="109"/>
        <w:gridCol w:w="211"/>
        <w:gridCol w:w="568"/>
        <w:gridCol w:w="109"/>
        <w:gridCol w:w="109"/>
        <w:gridCol w:w="109"/>
        <w:gridCol w:w="109"/>
        <w:gridCol w:w="238"/>
        <w:gridCol w:w="698"/>
        <w:gridCol w:w="123"/>
        <w:gridCol w:w="109"/>
        <w:gridCol w:w="109"/>
        <w:gridCol w:w="109"/>
        <w:gridCol w:w="211"/>
        <w:gridCol w:w="568"/>
        <w:gridCol w:w="162"/>
      </w:tblGrid>
      <w:tr>
        <w:trPr/>
        <w:tc>
          <w:tcPr>
            <w:tcW w:w="97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Earnings</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Earnings</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Earnings</w:t>
              <w:br/>
              <w:t>Per Share</w:t>
            </w:r>
          </w:p>
        </w:tc>
      </w:tr>
      <w:tr>
        <w:trPr/>
        <w:tc>
          <w:tcPr>
            <w:tcW w:w="2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r>
      <w:tr>
        <w:trPr/>
        <w:tc>
          <w:tcPr>
            <w:tcW w:w="2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Engineering Fees (NRE)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w:t>
            </w:r>
          </w:p>
        </w:tc>
        <w:tc>
          <w:tcPr>
            <w:tcW w:w="22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2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6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3039</Words>
  <Characters>16591</Characters>
  <CharactersWithSpaces>19043</CharactersWithSpaces>
  <Paragraphs>848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