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55880</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75565</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2" w:lineRule="exact"/>
        <w:rPr>
          <w:sz w:val="24"/>
          <w:szCs w:val="24"/>
          <w:color w:val="auto"/>
        </w:rPr>
      </w:pPr>
    </w:p>
    <w:p>
      <w:pPr>
        <w:ind w:left="400"/>
        <w:spacing w:after="0"/>
        <w:tabs>
          <w:tab w:leader="none" w:pos="38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52705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Everspin Technologies,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34925</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ectPr>
          <w:pgSz w:w="11900" w:h="16838" w:orient="portrait"/>
          <w:cols w:equalWidth="0" w:num="1">
            <w:col w:w="10460"/>
          </w:cols>
          <w:pgMar w:left="720" w:top="661" w:right="719" w:bottom="1440" w:gutter="0" w:footer="0" w:header="0"/>
        </w:sectPr>
      </w:pPr>
    </w:p>
    <w:p>
      <w:pPr>
        <w:spacing w:after="0" w:line="93"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26-2640654</w:t>
      </w:r>
    </w:p>
    <w:p>
      <w:pPr>
        <w:spacing w:after="0" w:line="15" w:lineRule="exact"/>
        <w:rPr>
          <w:sz w:val="24"/>
          <w:szCs w:val="24"/>
          <w:color w:val="auto"/>
        </w:rPr>
      </w:pPr>
    </w:p>
    <w:p>
      <w:pPr>
        <w:sectPr>
          <w:pgSz w:w="11900" w:h="16838" w:orient="portrait"/>
          <w:cols w:equalWidth="0" w:num="2">
            <w:col w:w="6720" w:space="720"/>
            <w:col w:w="3020"/>
          </w:cols>
          <w:pgMar w:left="720" w:top="661" w:right="719" w:bottom="1440" w:gutter="0" w:footer="0" w:header="0"/>
          <w:type w:val="continuous"/>
        </w:sect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3" w:lineRule="exact"/>
        <w:rPr>
          <w:sz w:val="24"/>
          <w:szCs w:val="24"/>
          <w:color w:val="auto"/>
        </w:rPr>
      </w:pPr>
    </w:p>
    <w:p>
      <w:pPr>
        <w:sectPr>
          <w:pgSz w:w="11900" w:h="16838" w:orient="portrait"/>
          <w:cols w:equalWidth="0" w:num="2">
            <w:col w:w="6560" w:space="720"/>
            <w:col w:w="3180"/>
          </w:cols>
          <w:pgMar w:left="720" w:top="661" w:right="7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5670 W. Chandler Boulevard, Suite 130</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Chandler, Arizona 85226</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460"/>
          </w:cols>
          <w:pgMar w:left="720" w:top="661" w:right="719" w:bottom="1440" w:gutter="0" w:footer="0" w:header="0"/>
          <w:type w:val="continuous"/>
        </w:sectPr>
      </w:pPr>
    </w:p>
    <w:p>
      <w:pPr>
        <w:spacing w:after="0" w:line="7"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29845</wp:posOffset>
            </wp:positionV>
            <wp:extent cx="1663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12"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5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of the exchange on which registered</w:t>
            </w:r>
          </w:p>
        </w:tc>
      </w:tr>
      <w:tr>
        <w:trPr>
          <w:trHeight w:val="169"/>
        </w:trPr>
        <w:tc>
          <w:tcPr>
            <w:tcW w:w="3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MRAM</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6" w:lineRule="exact"/>
        <w:rPr>
          <w:sz w:val="24"/>
          <w:szCs w:val="24"/>
          <w:color w:val="auto"/>
        </w:rPr>
      </w:pPr>
    </w:p>
    <w:p>
      <w:pPr>
        <w:ind w:right="3560"/>
        <w:spacing w:after="0" w:line="208"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6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3060"/>
              <w:spacing w:after="0"/>
              <w:rPr>
                <w:sz w:val="20"/>
                <w:szCs w:val="20"/>
                <w:color w:val="auto"/>
              </w:rPr>
            </w:pPr>
            <w:r>
              <w:rPr>
                <w:rFonts w:ascii="Times New Roman" w:cs="Times New Roman" w:eastAsia="Times New Roman" w:hAnsi="Times New Roman"/>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30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1"/>
        </w:trPr>
        <w:tc>
          <w:tcPr>
            <w:tcW w:w="1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840" w:type="dxa"/>
            <w:vAlign w:val="bottom"/>
          </w:tcPr>
          <w:p>
            <w:pPr>
              <w:ind w:left="3060"/>
              <w:spacing w:after="0"/>
              <w:rPr>
                <w:sz w:val="20"/>
                <w:szCs w:val="20"/>
                <w:color w:val="auto"/>
              </w:rPr>
            </w:pPr>
            <w:r>
              <w:rPr>
                <w:rFonts w:ascii="Times New Roman" w:cs="Times New Roman" w:eastAsia="Times New Roman" w:hAnsi="Times New Roman"/>
                <w:sz w:val="13"/>
                <w:szCs w:val="13"/>
                <w:color w:val="auto"/>
              </w:rPr>
              <w:t>Emerging growth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620"/>
        <w:spacing w:after="0" w:line="15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7"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0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tabs>
          <w:tab w:leader="none" w:pos="63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44" w:lineRule="exact"/>
        <w:rPr>
          <w:sz w:val="24"/>
          <w:szCs w:val="24"/>
          <w:color w:val="auto"/>
        </w:rPr>
      </w:pPr>
    </w:p>
    <w:p>
      <w:pPr>
        <w:ind w:right="220"/>
        <w:spacing w:after="0" w:line="228" w:lineRule="auto"/>
        <w:rPr>
          <w:sz w:val="20"/>
          <w:szCs w:val="20"/>
          <w:color w:val="auto"/>
        </w:rPr>
      </w:pPr>
      <w:r>
        <w:rPr>
          <w:rFonts w:ascii="Times New Roman" w:cs="Times New Roman" w:eastAsia="Times New Roman" w:hAnsi="Times New Roman"/>
          <w:sz w:val="13"/>
          <w:szCs w:val="13"/>
          <w:color w:val="auto"/>
        </w:rPr>
        <w:t>As of June 30, 2023, the last business day of the Registrant’s most recently completed second fiscal quarter, the aggregate market value of the common stock of the Registrant held by non-affiliates, based upon the closing sales price for the Registrant’s common stock for such date, as quoted on the Nasdaq Global Market, was approximately $191.0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26, 2024, was 21,225,496.</w:t>
      </w:r>
    </w:p>
    <w:p>
      <w:pPr>
        <w:spacing w:after="0" w:line="5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10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2024 Annual Meeting of Stockholders, which will be filed with the Securities and Exchange Commission within 120 days after the end of the Registrant’s fiscal year ended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6635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60"/>
          </w:cols>
          <w:pgMar w:left="720" w:top="661" w:right="7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2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200" w:type="dxa"/>
            <w:vAlign w:val="bottom"/>
            <w:gridSpan w:val="5"/>
            <w:vMerge w:val="restart"/>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gridSpan w:val="2"/>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280" w:type="dxa"/>
            <w:vAlign w:val="bottom"/>
            <w:gridSpan w:val="6"/>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040" w:type="dxa"/>
            <w:vAlign w:val="bottom"/>
            <w:gridSpan w:val="2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180" w:type="dxa"/>
            <w:vAlign w:val="bottom"/>
            <w:gridSpan w:val="4"/>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180" w:type="dxa"/>
            <w:vAlign w:val="bottom"/>
            <w:gridSpan w:val="4"/>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1C</w:t>
            </w:r>
            <w:r>
              <w:rPr>
                <w:rFonts w:ascii="Times New Roman" w:cs="Times New Roman" w:eastAsia="Times New Roman" w:hAnsi="Times New Roman"/>
                <w:sz w:val="18"/>
                <w:szCs w:val="18"/>
                <w:color w:val="000000"/>
              </w:rPr>
              <w:t>.</w:t>
            </w: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80" w:type="dxa"/>
            <w:vAlign w:val="bottom"/>
            <w:tcBorders>
              <w:top w:val="single" w:sz="8" w:color="0000EE"/>
            </w:tcBorders>
          </w:tcPr>
          <w:p>
            <w:pPr>
              <w:spacing w:after="0"/>
              <w:rPr>
                <w:sz w:val="17"/>
                <w:szCs w:val="17"/>
                <w:color w:val="auto"/>
              </w:rPr>
            </w:pPr>
          </w:p>
        </w:tc>
        <w:tc>
          <w:tcPr>
            <w:tcW w:w="200" w:type="dxa"/>
            <w:vAlign w:val="bottom"/>
            <w:gridSpan w:val="5"/>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68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280" w:type="dxa"/>
            <w:vAlign w:val="bottom"/>
            <w:gridSpan w:val="6"/>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3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12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5.</w:t>
            </w:r>
          </w:p>
        </w:tc>
        <w:tc>
          <w:tcPr>
            <w:tcW w:w="76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3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280" w:type="dxa"/>
            <w:vAlign w:val="bottom"/>
            <w:gridSpan w:val="6"/>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280" w:type="dxa"/>
            <w:vAlign w:val="bottom"/>
            <w:gridSpan w:val="6"/>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2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180" w:type="dxa"/>
            <w:vAlign w:val="bottom"/>
            <w:gridSpan w:val="4"/>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32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280" w:type="dxa"/>
            <w:vAlign w:val="bottom"/>
            <w:gridSpan w:val="6"/>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280" w:type="dxa"/>
            <w:vAlign w:val="bottom"/>
            <w:gridSpan w:val="6"/>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180" w:type="dxa"/>
            <w:vAlign w:val="bottom"/>
            <w:gridSpan w:val="4"/>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180" w:type="dxa"/>
            <w:vAlign w:val="bottom"/>
            <w:gridSpan w:val="4"/>
          </w:tcPr>
          <w:p>
            <w:pPr>
              <w:spacing w:after="0"/>
              <w:rPr>
                <w:sz w:val="17"/>
                <w:szCs w:val="17"/>
                <w:color w:val="auto"/>
              </w:rPr>
            </w:pPr>
          </w:p>
        </w:tc>
        <w:tc>
          <w:tcPr>
            <w:tcW w:w="17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9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10.</w:t>
            </w:r>
          </w:p>
        </w:tc>
        <w:tc>
          <w:tcPr>
            <w:tcW w:w="180" w:type="dxa"/>
            <w:vAlign w:val="bottom"/>
            <w:gridSpan w:val="4"/>
          </w:tcPr>
          <w:p>
            <w:pPr>
              <w:spacing w:after="0"/>
              <w:rPr>
                <w:sz w:val="24"/>
                <w:szCs w:val="24"/>
                <w:color w:val="auto"/>
              </w:rPr>
            </w:pPr>
          </w:p>
        </w:tc>
        <w:tc>
          <w:tcPr>
            <w:tcW w:w="41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5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180" w:type="dxa"/>
            <w:vAlign w:val="bottom"/>
            <w:gridSpan w:val="4"/>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180" w:type="dxa"/>
            <w:vAlign w:val="bottom"/>
            <w:gridSpan w:val="4"/>
          </w:tcPr>
          <w:p>
            <w:pPr>
              <w:spacing w:after="0"/>
              <w:rPr>
                <w:sz w:val="17"/>
                <w:szCs w:val="17"/>
                <w:color w:val="auto"/>
              </w:rPr>
            </w:pPr>
          </w:p>
        </w:tc>
        <w:tc>
          <w:tcPr>
            <w:tcW w:w="72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180" w:type="dxa"/>
            <w:vAlign w:val="bottom"/>
            <w:gridSpan w:val="4"/>
          </w:tcPr>
          <w:p>
            <w:pPr>
              <w:spacing w:after="0"/>
              <w:rPr>
                <w:sz w:val="17"/>
                <w:szCs w:val="17"/>
                <w:color w:val="auto"/>
              </w:rPr>
            </w:pPr>
          </w:p>
        </w:tc>
        <w:tc>
          <w:tcPr>
            <w:tcW w:w="28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22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12"/>
        </w:trPr>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10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31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52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180" w:type="dxa"/>
            <w:vAlign w:val="bottom"/>
            <w:gridSpan w:val="4"/>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left="60" w:right="139" w:firstLine="401"/>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forward-looking statements can be identified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188" w:lineRule="exact"/>
        <w:rPr>
          <w:sz w:val="20"/>
          <w:szCs w:val="20"/>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current supply constraints;</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17" w:lineRule="exact"/>
        <w:rPr>
          <w:rFonts w:ascii="Times New Roman" w:cs="Times New Roman" w:eastAsia="Times New Roman" w:hAnsi="Times New Roman"/>
          <w:sz w:val="18"/>
          <w:szCs w:val="18"/>
          <w:color w:val="auto"/>
        </w:rPr>
      </w:pPr>
    </w:p>
    <w:p>
      <w:pPr>
        <w:ind w:left="800" w:right="399" w:hanging="331"/>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53" w:lineRule="exact"/>
        <w:rPr>
          <w:rFonts w:ascii="Times New Roman" w:cs="Times New Roman" w:eastAsia="Times New Roman" w:hAnsi="Times New Roman"/>
          <w:sz w:val="18"/>
          <w:szCs w:val="18"/>
          <w:color w:val="auto"/>
        </w:rPr>
      </w:pPr>
    </w:p>
    <w:p>
      <w:pPr>
        <w:ind w:left="800" w:right="499" w:hanging="331"/>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(IP) protection for our products or avoid claims of infringement;</w:t>
      </w:r>
    </w:p>
    <w:p>
      <w:pPr>
        <w:spacing w:after="0" w:line="53"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MRAM market opportunity; and</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share price.</w:t>
      </w:r>
    </w:p>
    <w:p>
      <w:pPr>
        <w:spacing w:after="0" w:line="225" w:lineRule="exact"/>
        <w:rPr>
          <w:sz w:val="20"/>
          <w:szCs w:val="20"/>
          <w:color w:val="auto"/>
        </w:rPr>
      </w:pPr>
    </w:p>
    <w:p>
      <w:pPr>
        <w:ind w:left="60" w:right="99" w:firstLine="401"/>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Additionally, there may be other risks that are otherwise described from time to time in the reports that we file with the Securities and Exchange Commission (SEC).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197" w:lineRule="exact"/>
        <w:rPr>
          <w:sz w:val="20"/>
          <w:szCs w:val="20"/>
          <w:color w:val="auto"/>
        </w:rPr>
      </w:pPr>
    </w:p>
    <w:p>
      <w:pPr>
        <w:ind w:left="60" w:right="79" w:firstLine="401"/>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Factor Summary</w:t>
      </w:r>
    </w:p>
    <w:p>
      <w:pPr>
        <w:spacing w:after="0" w:line="229" w:lineRule="exact"/>
        <w:rPr>
          <w:sz w:val="20"/>
          <w:szCs w:val="20"/>
          <w:color w:val="auto"/>
        </w:rPr>
      </w:pPr>
    </w:p>
    <w:p>
      <w:pPr>
        <w:ind w:left="60" w:right="99" w:firstLine="401"/>
        <w:spacing w:after="0" w:line="258"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financial condition,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183" w:lineRule="exact"/>
        <w:rPr>
          <w:sz w:val="20"/>
          <w:szCs w:val="20"/>
          <w:color w:val="auto"/>
        </w:rPr>
      </w:pPr>
    </w:p>
    <w:p>
      <w:pPr>
        <w:ind w:left="1040" w:right="35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and may be unable to raise capital when needed, which could force us to delay, reduce, or eliminate planned activities.</w:t>
      </w:r>
    </w:p>
    <w:p>
      <w:pPr>
        <w:spacing w:after="0" w:line="53"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sustain profitability.</w:t>
      </w:r>
    </w:p>
    <w:p>
      <w:pPr>
        <w:spacing w:after="0" w:line="117" w:lineRule="exact"/>
        <w:rPr>
          <w:rFonts w:ascii="Times New Roman" w:cs="Times New Roman" w:eastAsia="Times New Roman" w:hAnsi="Times New Roman"/>
          <w:sz w:val="18"/>
          <w:szCs w:val="18"/>
          <w:color w:val="auto"/>
        </w:rPr>
      </w:pPr>
    </w:p>
    <w:p>
      <w:pPr>
        <w:ind w:left="1040" w:right="35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history of STT-MRAM adoption makes it difficult to evaluate our current business and future prospects.</w:t>
      </w:r>
    </w:p>
    <w:p>
      <w:pPr>
        <w:spacing w:after="0" w:line="53" w:lineRule="exact"/>
        <w:rPr>
          <w:rFonts w:ascii="Times New Roman" w:cs="Times New Roman" w:eastAsia="Times New Roman" w:hAnsi="Times New Roman"/>
          <w:sz w:val="18"/>
          <w:szCs w:val="18"/>
          <w:color w:val="auto"/>
        </w:rPr>
      </w:pPr>
    </w:p>
    <w:p>
      <w:pPr>
        <w:ind w:left="1040" w:right="139" w:hanging="63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1" w:lineRule="exact"/>
        <w:rPr>
          <w:rFonts w:ascii="Times New Roman" w:cs="Times New Roman" w:eastAsia="Times New Roman" w:hAnsi="Times New Roman"/>
          <w:sz w:val="18"/>
          <w:szCs w:val="18"/>
          <w:color w:val="auto"/>
        </w:rPr>
      </w:pPr>
    </w:p>
    <w:p>
      <w:pPr>
        <w:ind w:left="1040" w:right="639" w:hanging="63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expand into new potential markets, we expect to face intense competition, including from our customers and potential customers, and may not be able to compete effectively, which could harm our business.</w:t>
      </w:r>
    </w:p>
    <w:p>
      <w:pPr>
        <w:spacing w:after="0" w:line="67" w:lineRule="exact"/>
        <w:rPr>
          <w:rFonts w:ascii="Times New Roman" w:cs="Times New Roman" w:eastAsia="Times New Roman" w:hAnsi="Times New Roman"/>
          <w:sz w:val="18"/>
          <w:szCs w:val="18"/>
          <w:color w:val="auto"/>
        </w:rPr>
      </w:pPr>
    </w:p>
    <w:p>
      <w:pPr>
        <w:ind w:left="1040" w:right="259" w:hanging="63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67" w:lineRule="exact"/>
        <w:rPr>
          <w:rFonts w:ascii="Times New Roman" w:cs="Times New Roman" w:eastAsia="Times New Roman" w:hAnsi="Times New Roman"/>
          <w:sz w:val="18"/>
          <w:szCs w:val="18"/>
          <w:color w:val="auto"/>
        </w:rPr>
      </w:pPr>
    </w:p>
    <w:p>
      <w:pPr>
        <w:ind w:left="1040" w:right="23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may adversely impact our ability to fulfill customer demand which, in turn, may adversely impact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development agreement and strategic relationships involve numerous risks.</w:t>
      </w:r>
    </w:p>
    <w:p>
      <w:pPr>
        <w:spacing w:after="0" w:line="117" w:lineRule="exact"/>
        <w:rPr>
          <w:rFonts w:ascii="Times New Roman" w:cs="Times New Roman" w:eastAsia="Times New Roman" w:hAnsi="Times New Roman"/>
          <w:sz w:val="18"/>
          <w:szCs w:val="18"/>
          <w:color w:val="auto"/>
        </w:rPr>
      </w:pPr>
    </w:p>
    <w:p>
      <w:pPr>
        <w:ind w:left="1040" w:right="139" w:hanging="63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67" w:lineRule="exact"/>
        <w:rPr>
          <w:rFonts w:ascii="Times New Roman" w:cs="Times New Roman" w:eastAsia="Times New Roman" w:hAnsi="Times New Roman"/>
          <w:sz w:val="18"/>
          <w:szCs w:val="18"/>
          <w:color w:val="auto"/>
        </w:rPr>
      </w:pPr>
    </w:p>
    <w:p>
      <w:pPr>
        <w:ind w:left="1040" w:right="199" w:hanging="63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71" w:lineRule="exact"/>
        <w:rPr>
          <w:rFonts w:ascii="Times New Roman" w:cs="Times New Roman" w:eastAsia="Times New Roman" w:hAnsi="Times New Roman"/>
          <w:sz w:val="18"/>
          <w:szCs w:val="18"/>
          <w:color w:val="auto"/>
        </w:rPr>
      </w:pPr>
    </w:p>
    <w:p>
      <w:pPr>
        <w:ind w:left="1040" w:right="15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several of our customers or reduced orders or pricing from existing customers may have a significant adverse effect on our operations and financial results.</w:t>
      </w:r>
    </w:p>
    <w:p>
      <w:pPr>
        <w:spacing w:after="0" w:line="53" w:lineRule="exact"/>
        <w:rPr>
          <w:rFonts w:ascii="Times New Roman" w:cs="Times New Roman" w:eastAsia="Times New Roman" w:hAnsi="Times New Roman"/>
          <w:sz w:val="18"/>
          <w:szCs w:val="18"/>
          <w:color w:val="auto"/>
        </w:rPr>
      </w:pPr>
    </w:p>
    <w:p>
      <w:pPr>
        <w:ind w:left="1040" w:right="29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and expect competition to increase in the future. If we fail to compete effectively, our revenue growth and results of operations will be materially and adversely affected.</w:t>
      </w:r>
    </w:p>
    <w:p>
      <w:pPr>
        <w:spacing w:after="0" w:line="53" w:lineRule="exact"/>
        <w:rPr>
          <w:rFonts w:ascii="Times New Roman" w:cs="Times New Roman" w:eastAsia="Times New Roman" w:hAnsi="Times New Roman"/>
          <w:sz w:val="18"/>
          <w:szCs w:val="18"/>
          <w:color w:val="auto"/>
        </w:rPr>
      </w:pPr>
    </w:p>
    <w:p>
      <w:pPr>
        <w:ind w:left="1040" w:right="59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increase substantially if we or our third-party manufacturing contractors do not achieve satisfactory product yields or quality.</w:t>
      </w:r>
    </w:p>
    <w:p>
      <w:pPr>
        <w:spacing w:after="0" w:line="53" w:lineRule="exact"/>
        <w:rPr>
          <w:rFonts w:ascii="Times New Roman" w:cs="Times New Roman" w:eastAsia="Times New Roman" w:hAnsi="Times New Roman"/>
          <w:sz w:val="18"/>
          <w:szCs w:val="18"/>
          <w:color w:val="auto"/>
        </w:rPr>
      </w:pPr>
    </w:p>
    <w:p>
      <w:pPr>
        <w:ind w:left="1040" w:right="51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may lead to defects, which could negatively impact our reputation with customers and result in liability.</w:t>
      </w:r>
    </w:p>
    <w:p>
      <w:pPr>
        <w:spacing w:after="0" w:line="53" w:lineRule="exact"/>
        <w:rPr>
          <w:rFonts w:ascii="Times New Roman" w:cs="Times New Roman" w:eastAsia="Times New Roman" w:hAnsi="Times New Roman"/>
          <w:sz w:val="18"/>
          <w:szCs w:val="18"/>
          <w:color w:val="auto"/>
        </w:rPr>
      </w:pPr>
    </w:p>
    <w:p>
      <w:pPr>
        <w:ind w:left="1040" w:right="119" w:hanging="63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67" w:lineRule="exact"/>
        <w:rPr>
          <w:rFonts w:ascii="Times New Roman" w:cs="Times New Roman" w:eastAsia="Times New Roman" w:hAnsi="Times New Roman"/>
          <w:sz w:val="18"/>
          <w:szCs w:val="18"/>
          <w:color w:val="auto"/>
        </w:rPr>
      </w:pPr>
    </w:p>
    <w:p>
      <w:pPr>
        <w:ind w:left="1040" w:right="69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industry standards and technical requirements relevant to our products and markets could adversely affect our business, results of operations, and prospects.</w:t>
      </w:r>
    </w:p>
    <w:p>
      <w:pPr>
        <w:spacing w:after="0" w:line="53" w:lineRule="exact"/>
        <w:rPr>
          <w:rFonts w:ascii="Times New Roman" w:cs="Times New Roman" w:eastAsia="Times New Roman" w:hAnsi="Times New Roman"/>
          <w:sz w:val="18"/>
          <w:szCs w:val="18"/>
          <w:color w:val="auto"/>
        </w:rPr>
      </w:pPr>
    </w:p>
    <w:p>
      <w:pPr>
        <w:ind w:left="1040" w:right="279" w:hanging="63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attract and retain key employees, and our failure to do so could harm our ability to grow our business and execute our business strategies.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63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maintain, and are seeking to expand, operations outside the United States which exposes us to significant risks.</w:t>
      </w:r>
    </w:p>
    <w:p>
      <w:pPr>
        <w:spacing w:after="0" w:line="54"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For a more complete discussion of the material risk factors applicable to us, see “Risk Factors” in Part I, Item 1A of this report.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33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original equipment manufacturers (OEMs) and original design manufacturers (ODMs).</w:t>
      </w:r>
    </w:p>
    <w:p>
      <w:pPr>
        <w:spacing w:after="0" w:line="202" w:lineRule="exact"/>
        <w:rPr>
          <w:sz w:val="20"/>
          <w:szCs w:val="20"/>
          <w:color w:val="auto"/>
        </w:rPr>
      </w:pPr>
    </w:p>
    <w:p>
      <w:pPr>
        <w:ind w:left="60" w:right="179" w:firstLine="401"/>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83" w:lineRule="exact"/>
        <w:rPr>
          <w:sz w:val="20"/>
          <w:szCs w:val="20"/>
          <w:color w:val="auto"/>
        </w:rPr>
      </w:pPr>
    </w:p>
    <w:p>
      <w:pPr>
        <w:ind w:left="60" w:right="199" w:firstLine="401"/>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we recorded revenue of $63.8 million and $60.0 million, gross margin of 58.4% and 56.6%, and net income of $9.1 million and $6.1 million, respectively. Our headquarters is located in Chandler, Arizona. Our principal design center is in Austin, Texas, and we have additional sales operations in the Americas, Europe, and Asia-Pacific regions.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229" w:lineRule="exact"/>
        <w:rPr>
          <w:sz w:val="20"/>
          <w:szCs w:val="20"/>
          <w:color w:val="auto"/>
        </w:rPr>
      </w:pPr>
    </w:p>
    <w:p>
      <w:pPr>
        <w:ind w:left="60" w:right="79" w:firstLine="401"/>
        <w:spacing w:after="0" w:line="266" w:lineRule="auto"/>
        <w:rPr>
          <w:sz w:val="20"/>
          <w:szCs w:val="20"/>
          <w:color w:val="auto"/>
        </w:rPr>
      </w:pPr>
      <w:r>
        <w:rPr>
          <w:rFonts w:ascii="Times New Roman" w:cs="Times New Roman" w:eastAsia="Times New Roman" w:hAnsi="Times New Roman"/>
          <w:sz w:val="18"/>
          <w:szCs w:val="18"/>
          <w:color w:val="auto"/>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Toggle MRAM</w:t>
      </w:r>
    </w:p>
    <w:p>
      <w:pPr>
        <w:spacing w:after="0" w:line="229" w:lineRule="exact"/>
        <w:rPr>
          <w:sz w:val="20"/>
          <w:szCs w:val="20"/>
          <w:color w:val="auto"/>
        </w:rPr>
      </w:pPr>
    </w:p>
    <w:p>
      <w:pPr>
        <w:ind w:left="60" w:right="219" w:firstLine="401"/>
        <w:spacing w:after="0" w:line="273" w:lineRule="auto"/>
        <w:rPr>
          <w:sz w:val="20"/>
          <w:szCs w:val="20"/>
          <w:color w:val="auto"/>
        </w:rPr>
      </w:pPr>
      <w:r>
        <w:rPr>
          <w:rFonts w:ascii="Times New Roman" w:cs="Times New Roman" w:eastAsia="Times New Roman" w:hAnsi="Times New Roman"/>
          <w:sz w:val="17"/>
          <w:szCs w:val="17"/>
          <w:color w:val="auto"/>
        </w:rPr>
        <w:t>Our Toggle MRAM products have been in production since 2008 and are currently shipping in 128kb to 32Mb densities. These high performance, non-volatile memories are designed primarily to address applications in the industrial, medical, automotive/transportation, and data center markets. We offer these products with industry standard interfaces, including Parallel, Serial Peripheral Interface (SPI) and Quad SPI (QSPI) interfaces, enabling our customers to easily replace legacy memory components like Static Random Access Memory (SRAM) and Ferroelectric Random Access Memory (FRAM) with Toggle MRAM. We have never had an end-of-life event for any of our Toggle MRAM products which enables our customers to design in a product with the assurance that it will be available for many years to come.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Spin-Transfer Torque MRAM</w:t>
      </w:r>
    </w:p>
    <w:p>
      <w:pPr>
        <w:spacing w:after="0" w:line="229" w:lineRule="exact"/>
        <w:rPr>
          <w:sz w:val="20"/>
          <w:szCs w:val="20"/>
          <w:color w:val="auto"/>
        </w:rPr>
      </w:pPr>
    </w:p>
    <w:p>
      <w:pPr>
        <w:ind w:left="60" w:right="59" w:firstLine="401"/>
        <w:spacing w:after="0" w:line="266" w:lineRule="auto"/>
        <w:rPr>
          <w:sz w:val="20"/>
          <w:szCs w:val="20"/>
          <w:color w:val="auto"/>
        </w:rPr>
      </w:pPr>
      <w:r>
        <w:rPr>
          <w:rFonts w:ascii="Times New Roman" w:cs="Times New Roman" w:eastAsia="Times New Roman" w:hAnsi="Times New Roman"/>
          <w:sz w:val="18"/>
          <w:szCs w:val="18"/>
          <w:color w:val="auto"/>
        </w:rPr>
        <w:t>STT-MRAM technology can be tuned to deliver products in Dynamic Random Access Memory (DRAM), SRAM and NOR Flash applications. Our STT-MRAM products targeting DRAM replacement started production in 2017 and are currently shipping in 256Mb and 1Gb densities. These high density, high performance persistent memories 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delivering significant value to SSD, Persistent Memory Cards, Fabric Accelerator, and other applications in the data center market. We offer these products with DDR3 and DDR4 derivative interfaces, facilitating the replacement of battery-backed DRAM with STT-MRAM.</w:t>
      </w:r>
    </w:p>
    <w:p>
      <w:pPr>
        <w:spacing w:after="0" w:line="176" w:lineRule="exact"/>
        <w:rPr>
          <w:sz w:val="20"/>
          <w:szCs w:val="20"/>
          <w:color w:val="auto"/>
        </w:rPr>
      </w:pPr>
    </w:p>
    <w:p>
      <w:pPr>
        <w:ind w:left="60" w:right="99" w:firstLine="401"/>
        <w:spacing w:after="0" w:line="255" w:lineRule="auto"/>
        <w:rPr>
          <w:sz w:val="20"/>
          <w:szCs w:val="20"/>
          <w:color w:val="auto"/>
        </w:rPr>
      </w:pPr>
      <w:r>
        <w:rPr>
          <w:rFonts w:ascii="Times New Roman" w:cs="Times New Roman" w:eastAsia="Times New Roman" w:hAnsi="Times New Roman"/>
          <w:sz w:val="18"/>
          <w:szCs w:val="18"/>
          <w:color w:val="auto"/>
        </w:rPr>
        <w:t>STT-MRAM enabled scaling of our Toggle MRAM products to higher densities on advanced CMOS nodes. In 2022, we started production of high density (8Mb to 128Mb) STT-MRAM products on 28nm CMOS node with standardized SPI, xSPI, QSPI, and Octal SPI (OSPI) interfaces. These products are enabling our customers to simplify their system architecture and easily replace legacy memory components like SRAM and FRAM. They are ideal for use in electronic systems where data persistence and integrity, low power, low latency, and security are paramount, such as industrial IoT, artificial intelligence (AI), network/enterprise infrastructure, process automation and control, aeronautics/avionics, medical, and gaming.</w:t>
      </w:r>
    </w:p>
    <w:p>
      <w:pPr>
        <w:spacing w:after="0" w:line="189" w:lineRule="exact"/>
        <w:rPr>
          <w:sz w:val="20"/>
          <w:szCs w:val="20"/>
          <w:color w:val="auto"/>
        </w:rPr>
      </w:pPr>
    </w:p>
    <w:p>
      <w:pPr>
        <w:ind w:left="60" w:right="99" w:firstLine="401"/>
        <w:spacing w:after="0" w:line="255" w:lineRule="auto"/>
        <w:rPr>
          <w:sz w:val="20"/>
          <w:szCs w:val="20"/>
          <w:color w:val="auto"/>
        </w:rPr>
      </w:pPr>
      <w:r>
        <w:rPr>
          <w:rFonts w:ascii="Times New Roman" w:cs="Times New Roman" w:eastAsia="Times New Roman" w:hAnsi="Times New Roman"/>
          <w:sz w:val="18"/>
          <w:szCs w:val="18"/>
          <w:color w:val="auto"/>
        </w:rPr>
        <w:t>Due to the limitations of NOR scaling past 45nm and availability of STT-MRAM on 22nm technology, we believe there is potential for STT-MRAM to enter multiple non-volatile memory (NVM) markets where fast reads/writes, high cycle counts, and extended data retention are required. We introduced the first STT-MRAM product addressing this segment of the market in 2022 and are currently shipping in 16Mb to 128Mb densities. STT-MRAM is uniquely positioned to deliver higher density (&gt; 256Mb) monolithic parts for NOR replacement. These products are ideal for replacing NOR in Field Programmable Gate Array (FPGA) systems to store configuration memory and simultaneously enabling 100x faster Over The Air (OTA) updates. Today, no viable single chip solution exists except STT-MRAM.</w:t>
      </w:r>
    </w:p>
    <w:p>
      <w:pPr>
        <w:spacing w:after="0" w:line="189" w:lineRule="exact"/>
        <w:rPr>
          <w:sz w:val="20"/>
          <w:szCs w:val="20"/>
          <w:color w:val="auto"/>
        </w:rPr>
      </w:pPr>
    </w:p>
    <w:p>
      <w:pPr>
        <w:ind w:left="60" w:right="179" w:firstLine="401"/>
        <w:spacing w:after="0" w:line="254" w:lineRule="auto"/>
        <w:rPr>
          <w:sz w:val="20"/>
          <w:szCs w:val="20"/>
          <w:color w:val="auto"/>
        </w:rPr>
      </w:pPr>
      <w:r>
        <w:rPr>
          <w:rFonts w:ascii="Times New Roman" w:cs="Times New Roman" w:eastAsia="Times New Roman" w:hAnsi="Times New Roman"/>
          <w:sz w:val="18"/>
          <w:szCs w:val="18"/>
          <w:color w:val="auto"/>
        </w:rPr>
        <w:t>Typically, on power up of a FPGA, the configuration memory that is stored off- or on- chip in a NOR chip is downloaded to the SRAM cells that execute the Look Up Tables (LUTs). This sequence of events creates a time lag between the power up and the execution of the LUTs. In addition, there is a security concern with the download of the configuration bit stream from the NOR to the SRAM. We have developed our STT-MRAM technology to act as the "configuration memory” in a FPGA eliminating the security concern and enabling instant-on characteristics. Furthermore, the STT-MRAM based configuration memory can be programmed multiple times with OTA updates or can be hard coded depending on the application. Since STT-MRAM can be scaled to advanced nodes and is already available on 22nm, monolithic embedded solutions are possible, we believe this solution is ideal for next generation FPGAs.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TMR Sensors</w:t>
      </w:r>
    </w:p>
    <w:p>
      <w:pPr>
        <w:spacing w:after="0" w:line="229" w:lineRule="exact"/>
        <w:rPr>
          <w:sz w:val="20"/>
          <w:szCs w:val="20"/>
          <w:color w:val="auto"/>
        </w:rPr>
      </w:pPr>
    </w:p>
    <w:p>
      <w:pPr>
        <w:ind w:left="60" w:right="199" w:firstLine="401"/>
        <w:spacing w:after="0" w:line="266" w:lineRule="auto"/>
        <w:rPr>
          <w:sz w:val="20"/>
          <w:szCs w:val="20"/>
          <w:color w:val="auto"/>
        </w:rPr>
      </w:pPr>
      <w:r>
        <w:rPr>
          <w:rFonts w:ascii="Times New Roman" w:cs="Times New Roman" w:eastAsia="Times New Roman" w:hAnsi="Times New Roman"/>
          <w:sz w:val="18"/>
          <w:szCs w:val="18"/>
          <w:color w:val="auto"/>
        </w:rPr>
        <w:t>Our 3D Tunnel Magneto Resistance (TMR) sensors provide extremely high magnetic sensitivity in a single component that performs 3D magnetic field measurements in a monolithic solution. We offer these die-level devices to be integrated into consumer electronic applications that utilize a high sensitivity 3D compass function.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Licensing, Royalty, and Patent Overview</w:t>
      </w:r>
    </w:p>
    <w:p>
      <w:pPr>
        <w:spacing w:after="0" w:line="229" w:lineRule="exact"/>
        <w:rPr>
          <w:sz w:val="20"/>
          <w:szCs w:val="20"/>
          <w:color w:val="auto"/>
        </w:rPr>
      </w:pPr>
    </w:p>
    <w:p>
      <w:pPr>
        <w:ind w:left="60" w:right="159" w:firstLine="401"/>
        <w:spacing w:after="0" w:line="266" w:lineRule="auto"/>
        <w:rPr>
          <w:sz w:val="20"/>
          <w:szCs w:val="20"/>
          <w:color w:val="auto"/>
        </w:rPr>
      </w:pPr>
      <w:r>
        <w:rPr>
          <w:rFonts w:ascii="Times New Roman" w:cs="Times New Roman" w:eastAsia="Times New Roman" w:hAnsi="Times New Roman"/>
          <w:sz w:val="18"/>
          <w:szCs w:val="18"/>
          <w:color w:val="auto"/>
        </w:rPr>
        <w:t>We leverage our broad IP portfolio to enable licensing, royalty revenue streams, and patent sales from non-core applications that can derive valuable differentiation through the use of Everspin MRAM and TMR sensor IP. For example, this includes the following:</w:t>
      </w:r>
    </w:p>
    <w:p>
      <w:pPr>
        <w:spacing w:after="0" w:line="176" w:lineRule="exact"/>
        <w:rPr>
          <w:sz w:val="20"/>
          <w:szCs w:val="20"/>
          <w:color w:val="auto"/>
        </w:rPr>
      </w:pPr>
    </w:p>
    <w:p>
      <w:pPr>
        <w:ind w:left="800" w:right="139" w:hanging="331"/>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GLOBALFOUNDRIES to offer embedded MRAM in the solutions they manufacture for their customers providing high-performance non-volatile embedded memory.</w:t>
      </w:r>
    </w:p>
    <w:p>
      <w:pPr>
        <w:spacing w:after="0" w:line="53" w:lineRule="exact"/>
        <w:rPr>
          <w:rFonts w:ascii="Times New Roman" w:cs="Times New Roman" w:eastAsia="Times New Roman" w:hAnsi="Times New Roman"/>
          <w:sz w:val="18"/>
          <w:szCs w:val="18"/>
          <w:color w:val="auto"/>
        </w:rPr>
      </w:pPr>
    </w:p>
    <w:p>
      <w:pPr>
        <w:ind w:left="800" w:right="259" w:hanging="331"/>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base MRAM design technology (EAR99) for use in radiation tolerant aerospace applications to customers for their custom designs.</w:t>
      </w:r>
    </w:p>
    <w:p>
      <w:pPr>
        <w:spacing w:after="0" w:line="53"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TMR sensor IP in 3D magnetic field sensing.</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patent sales by transferring, assigning, and delivering patents to customers.</w:t>
      </w:r>
    </w:p>
    <w:p>
      <w:pPr>
        <w:spacing w:after="0" w:line="117" w:lineRule="exact"/>
        <w:rPr>
          <w:rFonts w:ascii="Times New Roman" w:cs="Times New Roman" w:eastAsia="Times New Roman" w:hAnsi="Times New Roman"/>
          <w:sz w:val="18"/>
          <w:szCs w:val="18"/>
          <w:color w:val="auto"/>
        </w:rPr>
      </w:pPr>
    </w:p>
    <w:p>
      <w:pPr>
        <w:ind w:left="800" w:right="859" w:hanging="331"/>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executed agreements for the development of a strategic radiation hardened (RAD-Hard) field programmable gate array product, consisting of technology and design licenses.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Foundry Services Overview</w:t>
      </w:r>
    </w:p>
    <w:p>
      <w:pPr>
        <w:spacing w:after="0" w:line="229" w:lineRule="exact"/>
        <w:rPr>
          <w:sz w:val="20"/>
          <w:szCs w:val="20"/>
          <w:color w:val="auto"/>
        </w:rPr>
      </w:pPr>
    </w:p>
    <w:p>
      <w:pPr>
        <w:ind w:left="60" w:right="99" w:firstLine="401"/>
        <w:spacing w:after="0" w:line="282" w:lineRule="auto"/>
        <w:rPr>
          <w:sz w:val="20"/>
          <w:szCs w:val="20"/>
          <w:color w:val="auto"/>
        </w:rPr>
      </w:pPr>
      <w:r>
        <w:rPr>
          <w:rFonts w:ascii="Times New Roman" w:cs="Times New Roman" w:eastAsia="Times New Roman" w:hAnsi="Times New Roman"/>
          <w:sz w:val="18"/>
          <w:szCs w:val="18"/>
          <w:color w:val="auto"/>
        </w:rPr>
        <w:t>In our Chandler facility, we perform BEOL manufacturing services for customers who want to add MRAM and TMR sensor functionality to their memory or application base circuits. These services allow aerospace and satellite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electronic system manufacturers to integrate our EAR99 technology that is able to withstand exposure to the levels of radiation encountered in avionics and space applications by virtue of such technology being magnetic rather than electrical charge based which would be susceptible to alpha particles.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139" w:firstLine="401"/>
        <w:spacing w:after="0" w:line="258" w:lineRule="auto"/>
        <w:rPr>
          <w:sz w:val="20"/>
          <w:szCs w:val="20"/>
          <w:color w:val="auto"/>
        </w:rPr>
      </w:pPr>
      <w:r>
        <w:rPr>
          <w:rFonts w:ascii="Times New Roman" w:cs="Times New Roman" w:eastAsia="Times New Roman" w:hAnsi="Times New Roman"/>
          <w:sz w:val="18"/>
          <w:szCs w:val="18"/>
          <w:color w:val="auto"/>
        </w:rPr>
        <w:t>We sell our products through a direct sales channel and a network of representatives and distributors. The majority of our customers, and their associated contract manufacturers, buy our products through our distributors. We maintain sales, support, supply chain and logistics operations and have distributors in Asia to service the production needs of contract manufacturers. We also maintain direct selling relationships with several strategic customers. Our direct sales representatives are located in North America, Germany, Italy, Japan, Hong Kong, and Taiwan.</w:t>
      </w:r>
    </w:p>
    <w:p>
      <w:pPr>
        <w:spacing w:after="0" w:line="183" w:lineRule="exact"/>
        <w:rPr>
          <w:sz w:val="20"/>
          <w:szCs w:val="20"/>
          <w:color w:val="auto"/>
        </w:rPr>
      </w:pPr>
    </w:p>
    <w:p>
      <w:pPr>
        <w:ind w:left="60" w:right="79" w:firstLine="401"/>
        <w:spacing w:after="0" w:line="254" w:lineRule="auto"/>
        <w:rPr>
          <w:sz w:val="20"/>
          <w:szCs w:val="20"/>
          <w:color w:val="auto"/>
        </w:rPr>
      </w:pPr>
      <w:r>
        <w:rPr>
          <w:rFonts w:ascii="Times New Roman" w:cs="Times New Roman" w:eastAsia="Times New Roman" w:hAnsi="Times New Roman"/>
          <w:sz w:val="18"/>
          <w:szCs w:val="18"/>
          <w:color w:val="auto"/>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of our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92" w:lineRule="exact"/>
        <w:rPr>
          <w:sz w:val="20"/>
          <w:szCs w:val="20"/>
          <w:color w:val="auto"/>
        </w:rPr>
      </w:pPr>
    </w:p>
    <w:p>
      <w:pPr>
        <w:jc w:val="both"/>
        <w:ind w:left="60" w:right="79" w:firstLine="401"/>
        <w:spacing w:after="0" w:line="266" w:lineRule="auto"/>
        <w:rPr>
          <w:sz w:val="20"/>
          <w:szCs w:val="20"/>
          <w:color w:val="auto"/>
        </w:rPr>
      </w:pPr>
      <w:r>
        <w:rPr>
          <w:rFonts w:ascii="Times New Roman" w:cs="Times New Roman" w:eastAsia="Times New Roman" w:hAnsi="Times New Roman"/>
          <w:sz w:val="18"/>
          <w:szCs w:val="18"/>
          <w:color w:val="auto"/>
        </w:rPr>
        <w:t>We have established relationships with several storage controller and FPGA companies, including Phison Electronics, Sage Micro, and Xilinx as well as IP core companies, including Cadence and Northwest Logic, to facilitate the integration of our MRAM solutions into our customers’ end products.</w:t>
      </w:r>
    </w:p>
    <w:p>
      <w:pPr>
        <w:spacing w:after="0" w:line="176" w:lineRule="exact"/>
        <w:rPr>
          <w:sz w:val="20"/>
          <w:szCs w:val="20"/>
          <w:color w:val="auto"/>
        </w:rPr>
      </w:pPr>
    </w:p>
    <w:p>
      <w:pPr>
        <w:ind w:left="60" w:right="239" w:firstLine="401"/>
        <w:spacing w:after="0" w:line="266" w:lineRule="auto"/>
        <w:rPr>
          <w:sz w:val="20"/>
          <w:szCs w:val="20"/>
          <w:color w:val="auto"/>
        </w:rPr>
      </w:pPr>
      <w:r>
        <w:rPr>
          <w:rFonts w:ascii="Times New Roman" w:cs="Times New Roman" w:eastAsia="Times New Roman" w:hAnsi="Times New Roman"/>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76" w:lineRule="exact"/>
        <w:rPr>
          <w:sz w:val="20"/>
          <w:szCs w:val="20"/>
          <w:color w:val="auto"/>
        </w:rPr>
      </w:pPr>
    </w:p>
    <w:p>
      <w:pPr>
        <w:ind w:left="60" w:right="159" w:firstLine="401"/>
        <w:spacing w:after="0" w:line="258" w:lineRule="auto"/>
        <w:rPr>
          <w:sz w:val="20"/>
          <w:szCs w:val="20"/>
          <w:color w:val="auto"/>
        </w:rPr>
      </w:pPr>
      <w:r>
        <w:rPr>
          <w:rFonts w:ascii="Times New Roman" w:cs="Times New Roman" w:eastAsia="Times New Roman" w:hAnsi="Times New Roman"/>
          <w:sz w:val="18"/>
          <w:szCs w:val="18"/>
          <w:color w:val="auto"/>
        </w:rPr>
        <w:t>We consider our customer to be an end customer purchasing either directly from a distributor or a contract manufacturer, or a customer purchasing directly from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83" w:lineRule="exact"/>
        <w:rPr>
          <w:sz w:val="20"/>
          <w:szCs w:val="20"/>
          <w:color w:val="auto"/>
        </w:rPr>
      </w:pPr>
    </w:p>
    <w:p>
      <w:pPr>
        <w:ind w:left="60" w:right="239" w:firstLine="401"/>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more than 1,400 end customers purchased our products. Our two largest end customers together accounted for 22% of our total revenue for the year ended December 31, 2023, and each of these customers accounted for more than 10% of our revenue during that period. Our four largest end customers together accounted for 24% of our total revenue for the year ended December 31, 2022, and one of those customers individually accounted for more than 10% of our total revenue during the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139" w:firstLine="401"/>
        <w:spacing w:after="0" w:line="282" w:lineRule="auto"/>
        <w:rPr>
          <w:sz w:val="20"/>
          <w:szCs w:val="20"/>
          <w:color w:val="auto"/>
        </w:rPr>
      </w:pPr>
      <w:r>
        <w:rPr>
          <w:rFonts w:ascii="Times New Roman" w:cs="Times New Roman" w:eastAsia="Times New Roman" w:hAnsi="Times New Roman"/>
          <w:sz w:val="18"/>
          <w:szCs w:val="18"/>
          <w:color w:val="auto"/>
        </w:rPr>
        <w:t>We rely on third-party suppliers for most phases of the manufacturing process, including initial fabrication, final test, and assembly.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Wafer Manufacturing</w:t>
      </w:r>
    </w:p>
    <w:p>
      <w:pPr>
        <w:spacing w:after="0" w:line="229" w:lineRule="exact"/>
        <w:rPr>
          <w:sz w:val="20"/>
          <w:szCs w:val="20"/>
          <w:color w:val="auto"/>
        </w:rPr>
      </w:pPr>
    </w:p>
    <w:p>
      <w:pPr>
        <w:ind w:left="60" w:right="99" w:firstLine="401"/>
        <w:spacing w:after="0" w:line="258" w:lineRule="auto"/>
        <w:rPr>
          <w:sz w:val="20"/>
          <w:szCs w:val="20"/>
          <w:color w:val="auto"/>
        </w:rPr>
      </w:pPr>
      <w:r>
        <w:rPr>
          <w:rFonts w:ascii="Times New Roman" w:cs="Times New Roman" w:eastAsia="Times New Roman" w:hAnsi="Times New Roman"/>
          <w:sz w:val="18"/>
          <w:szCs w:val="18"/>
          <w:color w:val="auto"/>
        </w:rPr>
        <w:t>We perform BEOL manufacturing for our Toggle MRAM products and provide foundry services for licensed MRAM products and Magnetic Tunnel Junction (MTJ)-based sensors in our 200mm manufacturing facility. Our facility is in an ISO-4 clean room and our manufacturing line is ISO 9001:2015 certified. We actively manage inventory, including automated process flows, process controls and recipe management, and we use standard equipment to manufacture our products.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STT-MRAM products are produced in 300mm fabrication facilities operated by GLOBALFOUNDRIES.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Assembly and Test</w:t>
      </w:r>
    </w:p>
    <w:p>
      <w:pPr>
        <w:spacing w:after="0" w:line="229" w:lineRule="exact"/>
        <w:rPr>
          <w:sz w:val="20"/>
          <w:szCs w:val="20"/>
          <w:color w:val="auto"/>
        </w:rPr>
      </w:pPr>
    </w:p>
    <w:p>
      <w:pPr>
        <w:ind w:left="60" w:right="919" w:firstLine="401"/>
        <w:spacing w:after="0" w:line="282" w:lineRule="auto"/>
        <w:rPr>
          <w:sz w:val="20"/>
          <w:szCs w:val="20"/>
          <w:color w:val="auto"/>
        </w:rPr>
      </w:pPr>
      <w:r>
        <w:rPr>
          <w:rFonts w:ascii="Times New Roman" w:cs="Times New Roman" w:eastAsia="Times New Roman" w:hAnsi="Times New Roman"/>
          <w:sz w:val="18"/>
          <w:szCs w:val="18"/>
          <w:color w:val="auto"/>
        </w:rPr>
        <w:t>Our product and test engineering teams develop and implement wafer-level and final test programs for the manufacture of our MRAM devices.</w:t>
      </w:r>
    </w:p>
    <w:p>
      <w:pPr>
        <w:spacing w:after="0" w:line="162" w:lineRule="exact"/>
        <w:rPr>
          <w:sz w:val="20"/>
          <w:szCs w:val="20"/>
          <w:color w:val="auto"/>
        </w:rPr>
      </w:pPr>
    </w:p>
    <w:p>
      <w:pPr>
        <w:ind w:left="60" w:right="59" w:firstLine="401"/>
        <w:spacing w:after="0" w:line="258" w:lineRule="auto"/>
        <w:rPr>
          <w:sz w:val="20"/>
          <w:szCs w:val="20"/>
          <w:color w:val="auto"/>
        </w:rPr>
      </w:pPr>
      <w:r>
        <w:rPr>
          <w:rFonts w:ascii="Times New Roman" w:cs="Times New Roman" w:eastAsia="Times New Roman" w:hAnsi="Times New Roman"/>
          <w:sz w:val="18"/>
          <w:szCs w:val="18"/>
          <w:color w:val="auto"/>
        </w:rPr>
        <w:t>We utilize third-party industry-leading assembly and test sub-contractors, including Amkor, OSE, GTC, ChipMos and UTAC. We have successfully qualified our MRAM devices in various packages at temperatures ranging from commercial to automotive grade. As part of our commitment to quality, our quality management system has been certified to ISO 9001:2015 and ISO 14001:2015 standards. Our foundry vendors and sub-contractors are also ISO 9001 and ISO 14001 certified.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Arrangements with GLOBALFOUNDRIES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Joint Development Agreement</w:t>
      </w:r>
    </w:p>
    <w:p>
      <w:pPr>
        <w:spacing w:after="0" w:line="229" w:lineRule="exact"/>
        <w:rPr>
          <w:sz w:val="20"/>
          <w:szCs w:val="20"/>
          <w:color w:val="auto"/>
        </w:rPr>
      </w:pPr>
    </w:p>
    <w:p>
      <w:pPr>
        <w:ind w:left="60" w:right="199" w:firstLine="401"/>
        <w:spacing w:after="0" w:line="258" w:lineRule="auto"/>
        <w:rPr>
          <w:sz w:val="20"/>
          <w:szCs w:val="20"/>
          <w:color w:val="auto"/>
        </w:rPr>
      </w:pPr>
      <w:r>
        <w:rPr>
          <w:rFonts w:ascii="Times New Roman" w:cs="Times New Roman" w:eastAsia="Times New Roman" w:hAnsi="Times New Roman"/>
          <w:sz w:val="18"/>
          <w:szCs w:val="18"/>
          <w:color w:val="auto"/>
        </w:rPr>
        <w:t>Since October 17, 2014, we have participated in a joint development agreement with GLOBALFOUNDRIES Inc.,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83" w:lineRule="exact"/>
        <w:rPr>
          <w:sz w:val="20"/>
          <w:szCs w:val="20"/>
          <w:color w:val="auto"/>
        </w:rPr>
      </w:pPr>
    </w:p>
    <w:p>
      <w:pPr>
        <w:ind w:left="60" w:right="259" w:firstLine="401"/>
        <w:spacing w:after="0" w:line="266" w:lineRule="auto"/>
        <w:rPr>
          <w:sz w:val="20"/>
          <w:szCs w:val="20"/>
          <w:color w:val="auto"/>
        </w:rPr>
      </w:pPr>
      <w:r>
        <w:rPr>
          <w:rFonts w:ascii="Times New Roman" w:cs="Times New Roman" w:eastAsia="Times New Roman" w:hAnsi="Times New Roman"/>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“Manufacturing Agreement” below.</w:t>
      </w:r>
    </w:p>
    <w:p>
      <w:pPr>
        <w:spacing w:after="0" w:line="176" w:lineRule="exact"/>
        <w:rPr>
          <w:sz w:val="20"/>
          <w:szCs w:val="20"/>
          <w:color w:val="auto"/>
        </w:rPr>
      </w:pPr>
    </w:p>
    <w:p>
      <w:pPr>
        <w:ind w:left="60" w:right="99" w:firstLine="401"/>
        <w:spacing w:after="0" w:line="254" w:lineRule="auto"/>
        <w:rPr>
          <w:sz w:val="20"/>
          <w:szCs w:val="20"/>
          <w:color w:val="auto"/>
        </w:rPr>
      </w:pPr>
      <w:r>
        <w:rPr>
          <w:rFonts w:ascii="Times New Roman" w:cs="Times New Roman" w:eastAsia="Times New Roman" w:hAnsi="Times New Roman"/>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92" w:lineRule="exact"/>
        <w:rPr>
          <w:sz w:val="20"/>
          <w:szCs w:val="20"/>
          <w:color w:val="auto"/>
        </w:rPr>
      </w:pPr>
    </w:p>
    <w:p>
      <w:pPr>
        <w:ind w:left="60" w:right="159" w:firstLine="401"/>
        <w:spacing w:after="0" w:line="266" w:lineRule="auto"/>
        <w:rPr>
          <w:sz w:val="20"/>
          <w:szCs w:val="20"/>
          <w:color w:val="auto"/>
        </w:rPr>
      </w:pPr>
      <w:r>
        <w:rPr>
          <w:rFonts w:ascii="Times New Roman" w:cs="Times New Roman" w:eastAsia="Times New Roman" w:hAnsi="Times New Roman"/>
          <w:sz w:val="18"/>
          <w:szCs w:val="18"/>
          <w:color w:val="auto"/>
        </w:rPr>
        <w:t>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76" w:lineRule="exact"/>
        <w:rPr>
          <w:sz w:val="20"/>
          <w:szCs w:val="20"/>
          <w:color w:val="auto"/>
        </w:rPr>
      </w:pPr>
    </w:p>
    <w:p>
      <w:pPr>
        <w:jc w:val="both"/>
        <w:ind w:left="60" w:right="179" w:firstLine="401"/>
        <w:spacing w:after="0" w:line="258" w:lineRule="auto"/>
        <w:rPr>
          <w:sz w:val="20"/>
          <w:szCs w:val="20"/>
          <w:color w:val="auto"/>
        </w:rPr>
      </w:pPr>
      <w:r>
        <w:rPr>
          <w:rFonts w:ascii="Times New Roman" w:cs="Times New Roman" w:eastAsia="Times New Roman" w:hAnsi="Times New Roman"/>
          <w:sz w:val="18"/>
          <w:szCs w:val="18"/>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“Risk Factors” for further discussion of our agreements with GLOBALFOUNDRIES.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w:t>
      </w:r>
    </w:p>
    <w:p>
      <w:pPr>
        <w:spacing w:after="0" w:line="229"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On October 23, 2014, we entered into a manufacturing agreement with GLOBALFOUNDRIES Singapore Pte. Ltd. that sets forth the specific terms and conditions for the production and supply of wafers manufactured using our STT-MRAM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312" w:lineRule="auto"/>
        <w:rPr>
          <w:sz w:val="20"/>
          <w:szCs w:val="20"/>
          <w:color w:val="auto"/>
        </w:rPr>
      </w:pPr>
      <w:r>
        <w:rPr>
          <w:rFonts w:ascii="Times New Roman" w:cs="Times New Roman" w:eastAsia="Times New Roman" w:hAnsi="Times New Roman"/>
          <w:sz w:val="17"/>
          <w:szCs w:val="17"/>
          <w:color w:val="auto"/>
        </w:rPr>
        <w:t>completion of the notice period. The initial term of the manufacturing agreement is for three years, which automatically renews for successive one year periods thereafter unless either party provides sufficient advance notice of non-renewal.</w:t>
      </w:r>
    </w:p>
    <w:p>
      <w:pPr>
        <w:spacing w:after="0" w:line="140" w:lineRule="exact"/>
        <w:rPr>
          <w:sz w:val="20"/>
          <w:szCs w:val="20"/>
          <w:color w:val="auto"/>
        </w:rPr>
      </w:pPr>
    </w:p>
    <w:p>
      <w:pPr>
        <w:ind w:left="60" w:right="99" w:firstLine="401"/>
        <w:spacing w:after="0" w:line="255" w:lineRule="auto"/>
        <w:rPr>
          <w:sz w:val="20"/>
          <w:szCs w:val="20"/>
          <w:color w:val="auto"/>
        </w:rPr>
      </w:pPr>
      <w:r>
        <w:rPr>
          <w:rFonts w:ascii="Times New Roman" w:cs="Times New Roman" w:eastAsia="Times New Roman" w:hAnsi="Times New Roman"/>
          <w:sz w:val="18"/>
          <w:szCs w:val="18"/>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12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ind w:left="60" w:right="139" w:firstLine="401"/>
        <w:spacing w:after="0" w:line="254" w:lineRule="auto"/>
        <w:rPr>
          <w:sz w:val="20"/>
          <w:szCs w:val="20"/>
          <w:color w:val="auto"/>
        </w:rPr>
      </w:pPr>
      <w:r>
        <w:rPr>
          <w:rFonts w:ascii="Times New Roman" w:cs="Times New Roman" w:eastAsia="Times New Roman" w:hAnsi="Times New Roman"/>
          <w:sz w:val="18"/>
          <w:szCs w:val="18"/>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79" w:firstLine="401"/>
        <w:spacing w:after="0" w:line="282" w:lineRule="auto"/>
        <w:rPr>
          <w:sz w:val="20"/>
          <w:szCs w:val="20"/>
          <w:color w:val="auto"/>
        </w:rPr>
      </w:pPr>
      <w:r>
        <w:rPr>
          <w:rFonts w:ascii="Times New Roman" w:cs="Times New Roman" w:eastAsia="Times New Roman" w:hAnsi="Times New Roman"/>
          <w:sz w:val="18"/>
          <w:szCs w:val="18"/>
          <w:color w:val="auto"/>
        </w:rPr>
        <w:t>As an emerging specialty memory product supplier, we face intense competition from a wide variety of other memory technology manufacturers.</w:t>
      </w:r>
    </w:p>
    <w:p>
      <w:pPr>
        <w:spacing w:after="0" w:line="162" w:lineRule="exact"/>
        <w:rPr>
          <w:sz w:val="20"/>
          <w:szCs w:val="20"/>
          <w:color w:val="auto"/>
        </w:rPr>
      </w:pPr>
    </w:p>
    <w:p>
      <w:pPr>
        <w:ind w:left="60" w:right="139" w:firstLine="401"/>
        <w:spacing w:after="0" w:line="254" w:lineRule="auto"/>
        <w:rPr>
          <w:sz w:val="20"/>
          <w:szCs w:val="20"/>
          <w:color w:val="auto"/>
        </w:rPr>
      </w:pPr>
      <w:r>
        <w:rPr>
          <w:rFonts w:ascii="Times New Roman" w:cs="Times New Roman" w:eastAsia="Times New Roman" w:hAnsi="Times New Roman"/>
          <w:sz w:val="18"/>
          <w:szCs w:val="18"/>
          <w:color w:val="auto"/>
        </w:rPr>
        <w:t>Our principal competitors to our Toggle MRAM products include companies that offer nonvolatile SRAM (NVSRAM), SRAM, and FRAM products, such as Infineon, Fujitsu, Integrated Silicon Solution (ISSI), Macronix, Microchip, Micron, Renesas, Samsung and Toshiba. Our STT-MRAM products replace discrete NOR, DRAM and NVSRAM where persistence is required and thus compete with DRAM and NVSRAM suppliers such as Hynix, Micron, Winbond, Samsung, and several other smaller companies. In the future we may also face competition from companies developing MRAM technologies, such as Avalanche, Samsung and other larger and smaller semiconductor companies. We may also face indirect competition from resistive random-access memory (RRAM), NOR and NAND Flash manufacturers in some market applications.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compete successfully in the market for our products is based on a number of factors, including:</w:t>
      </w:r>
    </w:p>
    <w:p>
      <w:pPr>
        <w:spacing w:after="0" w:line="225" w:lineRule="exact"/>
        <w:rPr>
          <w:sz w:val="20"/>
          <w:szCs w:val="20"/>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attributes and specifications;</w:t>
      </w:r>
    </w:p>
    <w:p>
      <w:pPr>
        <w:spacing w:after="0" w:line="117" w:lineRule="exact"/>
        <w:rPr>
          <w:rFonts w:ascii="Times New Roman" w:cs="Times New Roman" w:eastAsia="Times New Roman" w:hAnsi="Times New Roman"/>
          <w:sz w:val="18"/>
          <w:szCs w:val="18"/>
          <w:color w:val="auto"/>
        </w:rPr>
      </w:pPr>
    </w:p>
    <w:p>
      <w:pPr>
        <w:ind w:left="800" w:right="359" w:hanging="331"/>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adoption of MRAM technology despite the price per bit premium of our products versus competing technologies;</w:t>
      </w:r>
    </w:p>
    <w:p>
      <w:pPr>
        <w:spacing w:after="0" w:line="53"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controller supplier and customer engagements throughout the product life cycle;</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and reliability as measured by our customers;</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implementation of our products by customers;</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supplier status at numerous customers and ODMs;</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expertise and strength;</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 yield analysis and testing;</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capacity and allocation;</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strength of customer relationships;</w:t>
      </w:r>
    </w:p>
    <w:p>
      <w:pPr>
        <w:spacing w:after="0" w:line="117"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in the market against the competition while maintaining our gross margin profile;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639" w:hanging="331"/>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meeting the needs of future customer requirements through continued development of new products.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19" w:firstLine="401"/>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2023, we held 529 issued patents that expire at various times between March 2026 and February 2044 and had 136 patent applications pending. Included in our issued patents and pending applications are patents/applications in the United States, China, Europe, France, Germany, Ireland, Italy, Japan, the Netherlands, the Republic of Korea, Singapore, Taiwan, and the United Kingdom.</w:t>
      </w:r>
    </w:p>
    <w:p>
      <w:pPr>
        <w:spacing w:after="0" w:line="189" w:lineRule="exact"/>
        <w:rPr>
          <w:sz w:val="20"/>
          <w:szCs w:val="20"/>
          <w:color w:val="auto"/>
        </w:rPr>
      </w:pPr>
    </w:p>
    <w:p>
      <w:pPr>
        <w:ind w:left="60" w:right="119" w:firstLine="401"/>
        <w:spacing w:after="0" w:line="255" w:lineRule="auto"/>
        <w:rPr>
          <w:sz w:val="20"/>
          <w:szCs w:val="20"/>
          <w:color w:val="auto"/>
        </w:rPr>
      </w:pPr>
      <w:r>
        <w:rPr>
          <w:rFonts w:ascii="Times New Roman" w:cs="Times New Roman" w:eastAsia="Times New Roman" w:hAnsi="Times New Roman"/>
          <w:sz w:val="18"/>
          <w:szCs w:val="18"/>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89" w:lineRule="exact"/>
        <w:rPr>
          <w:sz w:val="20"/>
          <w:szCs w:val="20"/>
          <w:color w:val="auto"/>
        </w:rPr>
      </w:pPr>
    </w:p>
    <w:p>
      <w:pPr>
        <w:jc w:val="both"/>
        <w:ind w:left="60" w:right="259" w:firstLine="401"/>
        <w:spacing w:after="0" w:line="266" w:lineRule="auto"/>
        <w:rPr>
          <w:sz w:val="20"/>
          <w:szCs w:val="20"/>
          <w:color w:val="auto"/>
        </w:rPr>
      </w:pPr>
      <w:r>
        <w:rPr>
          <w:rFonts w:ascii="Times New Roman" w:cs="Times New Roman" w:eastAsia="Times New Roman" w:hAnsi="Times New Roman"/>
          <w:sz w:val="18"/>
          <w:szCs w:val="18"/>
          <w:color w:val="auto"/>
        </w:rPr>
        <w:t>We seek to enforce our IP and to monetize our patent portfolio through licensing of third parties and patent sales in return for cash remuneration, patent cross licenses or both. See “Licensing, Royalty, and Patent Overview” for additional information.</w:t>
      </w:r>
    </w:p>
    <w:p>
      <w:pPr>
        <w:spacing w:after="0" w:line="176" w:lineRule="exact"/>
        <w:rPr>
          <w:sz w:val="20"/>
          <w:szCs w:val="20"/>
          <w:color w:val="auto"/>
        </w:rPr>
      </w:pPr>
    </w:p>
    <w:p>
      <w:pPr>
        <w:ind w:left="60" w:right="99" w:firstLine="401"/>
        <w:spacing w:after="0" w:line="256" w:lineRule="auto"/>
        <w:rPr>
          <w:sz w:val="20"/>
          <w:szCs w:val="20"/>
          <w:color w:val="auto"/>
        </w:rPr>
      </w:pPr>
      <w:r>
        <w:rPr>
          <w:rFonts w:ascii="Times New Roman" w:cs="Times New Roman" w:eastAsia="Times New Roman" w:hAnsi="Times New Roman"/>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intellectual property.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left="60" w:right="79" w:firstLine="401"/>
        <w:spacing w:after="0" w:line="274" w:lineRule="auto"/>
        <w:rPr>
          <w:sz w:val="20"/>
          <w:szCs w:val="20"/>
          <w:color w:val="auto"/>
        </w:rPr>
      </w:pPr>
      <w:r>
        <w:rPr>
          <w:rFonts w:ascii="Times New Roman" w:cs="Times New Roman" w:eastAsia="Times New Roman" w:hAnsi="Times New Roman"/>
          <w:sz w:val="17"/>
          <w:szCs w:val="17"/>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60" w:right="99" w:firstLine="401"/>
        <w:spacing w:after="0" w:line="258" w:lineRule="auto"/>
        <w:rPr>
          <w:sz w:val="20"/>
          <w:szCs w:val="20"/>
          <w:color w:val="auto"/>
        </w:rPr>
      </w:pPr>
      <w:r>
        <w:rPr>
          <w:rFonts w:ascii="Times New Roman" w:cs="Times New Roman" w:eastAsia="Times New Roman" w:hAnsi="Times New Roman"/>
          <w:sz w:val="18"/>
          <w:szCs w:val="18"/>
          <w:color w:val="auto"/>
        </w:rPr>
        <w:t>As of December 31, 2023, we had 83 total employees in the United States, of which 82 were full-time employees and one was a part-time employee, along with 18 full-time equivalent and four part-time equivalent contractors and consultants in the United States, China, Germany, Italy, Japan, Malaysia, Singapore, and Taiwan. None of our employees are either represented by a labor union or subject to a collective bargaining agreement. We have not experienced any work stoppages, and we consider our relations with our employees and contractors to be good.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19" w:firstLine="401"/>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Delaware in May 2008. In June 2008, Freescale Semiconductor, Inc. (now a wholly-owned subsidiary of NXP Semiconductors N.V.), spun-out its MRAM business as Everspin. Our offices are located at 5670 W. Chandler Boulevard, Suite 130, Chandler, Arizona 85226. Our telephone number is (480) 347-1111. Our corporate website is at </w:t>
      </w:r>
      <w:r>
        <w:rPr>
          <w:rFonts w:ascii="Times New Roman" w:cs="Times New Roman" w:eastAsia="Times New Roman" w:hAnsi="Times New Roman"/>
          <w:sz w:val="18"/>
          <w:szCs w:val="18"/>
          <w:i w:val="1"/>
          <w:iCs w:val="1"/>
          <w:color w:val="auto"/>
        </w:rPr>
        <w:t>www.Everspin.com</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79" w:firstLine="401"/>
        <w:spacing w:after="0" w:line="277" w:lineRule="auto"/>
        <w:rPr>
          <w:sz w:val="20"/>
          <w:szCs w:val="20"/>
          <w:color w:val="auto"/>
        </w:rPr>
      </w:pPr>
      <w:r>
        <w:rPr>
          <w:rFonts w:ascii="Times New Roman" w:cs="Times New Roman" w:eastAsia="Times New Roman" w:hAnsi="Times New Roman"/>
          <w:sz w:val="17"/>
          <w:szCs w:val="17"/>
          <w:color w:val="auto"/>
        </w:rPr>
        <w:t>Our annual report on Form 10-K, quarterly reports on Form 10-Q, current reports on Form 8-K, and amendments to those reports filed or furnished pursuant to Section 13(a) or 15(d) of the Securities Exchange Act of 1934, as amended (Exchange Act), are available free of charge on our website, as soon as reasonably practicable after we electronically file them with, or furnish them to, the SEC. The information contained on or that can be accessed through our website is not incorporated by reference into this report, and information on our website should not be considered to be part of this report.</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could force us to delay, reduce, or eliminate planned activities.</w:t>
      </w:r>
    </w:p>
    <w:p>
      <w:pPr>
        <w:spacing w:after="0" w:line="15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Our total revenue was approximately $63.8 million for the year ended December 31, 2023, and $60.0 million for the year ended December 31, 2022. As of December 31, 2023, we had cash and cash equivalents of approximately $36.9 million. Based on our current operating plan, we believe our existing cash and cash equivalents, coupled with our anticipated growth and sales levels, will be sufficient to meet our anticipated cash requirements for at least the next 12 months. However, our existing capital may be insufficient to meet our long-term requirements. We have no committed sources of funding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9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sustain profitability.</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COVID-19,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9"/>
        <w:spacing w:after="0" w:line="312" w:lineRule="auto"/>
        <w:rPr>
          <w:sz w:val="20"/>
          <w:szCs w:val="20"/>
          <w:color w:val="auto"/>
        </w:rPr>
      </w:pPr>
      <w:r>
        <w:rPr>
          <w:rFonts w:ascii="Times New Roman" w:cs="Times New Roman" w:eastAsia="Times New Roman" w:hAnsi="Times New Roman"/>
          <w:sz w:val="17"/>
          <w:szCs w:val="17"/>
          <w:color w:val="auto"/>
        </w:rPr>
        <w:t>business that cause us to exceed our operational spending plan. As a result, our ability to generate sufficient revenue growth and/or control expenses to transition to profitability and generate consistent positive cash flows is uncertain.</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limited history of STT-MRAM adoption makes it difficult to evaluate our current business and future prospects.</w:t>
      </w:r>
    </w:p>
    <w:p>
      <w:pPr>
        <w:spacing w:after="0" w:line="22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STT-MRAM products in the fourth quarter of 2017. We began to manufacture our second set of STT-MRAM products targeting the NVSRAM markets in the fourth quarter of 2022.</w:t>
      </w:r>
    </w:p>
    <w:p>
      <w:pPr>
        <w:spacing w:after="0" w:line="183"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in selling our STT-MRAM products, combined with the rapidly evolving and competitive nature of our markets,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84" w:lineRule="exact"/>
        <w:rPr>
          <w:sz w:val="20"/>
          <w:szCs w:val="20"/>
          <w:color w:val="auto"/>
        </w:rPr>
      </w:pPr>
    </w:p>
    <w:p>
      <w:pPr>
        <w:ind w:left="60" w:right="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15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8"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7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7"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175" w:lineRule="exact"/>
        <w:rPr>
          <w:sz w:val="20"/>
          <w:szCs w:val="20"/>
          <w:color w:val="auto"/>
        </w:rPr>
      </w:pPr>
    </w:p>
    <w:p>
      <w:pPr>
        <w:ind w:left="640" w:right="219" w:hanging="266"/>
        <w:spacing w:after="0" w:line="266" w:lineRule="auto"/>
        <w:tabs>
          <w:tab w:leader="none" w:pos="6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 or supply constraints;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representatives for certain customer engagements;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including due to inflation.</w:t>
      </w:r>
    </w:p>
    <w:p>
      <w:pPr>
        <w:spacing w:after="0" w:line="225"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COVID-19,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9"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5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COVID-19 or the military conflict in Ukraine, at any of our main suppliers.</w:t>
      </w:r>
    </w:p>
    <w:p>
      <w:pPr>
        <w:spacing w:after="0" w:line="224"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23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396" w:lineRule="exact"/>
        <w:rPr>
          <w:sz w:val="20"/>
          <w:szCs w:val="20"/>
          <w:color w:val="auto"/>
        </w:rPr>
      </w:pPr>
    </w:p>
    <w:p>
      <w:pPr>
        <w:ind w:left="640" w:right="219" w:hanging="266"/>
        <w:spacing w:after="0" w:line="266" w:lineRule="auto"/>
        <w:tabs>
          <w:tab w:leader="none" w:pos="6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right="279" w:hanging="266"/>
        <w:spacing w:after="0" w:line="282" w:lineRule="auto"/>
        <w:tabs>
          <w:tab w:leader="none" w:pos="6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161" w:lineRule="exact"/>
        <w:rPr>
          <w:rFonts w:ascii="Times New Roman" w:cs="Times New Roman" w:eastAsia="Times New Roman" w:hAnsi="Times New Roman"/>
          <w:sz w:val="18"/>
          <w:szCs w:val="18"/>
          <w:color w:val="auto"/>
        </w:rPr>
      </w:pPr>
    </w:p>
    <w:p>
      <w:pPr>
        <w:ind w:left="640" w:right="639" w:hanging="266"/>
        <w:spacing w:after="0" w:line="282" w:lineRule="auto"/>
        <w:tabs>
          <w:tab w:leader="none" w:pos="6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61"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pacing w:after="0" w:line="225" w:lineRule="exact"/>
        <w:rPr>
          <w:rFonts w:ascii="Times New Roman" w:cs="Times New Roman" w:eastAsia="Times New Roman" w:hAnsi="Times New Roman"/>
          <w:sz w:val="18"/>
          <w:szCs w:val="18"/>
          <w:color w:val="auto"/>
        </w:rPr>
      </w:pPr>
    </w:p>
    <w:p>
      <w:pPr>
        <w:ind w:left="640" w:right="79" w:hanging="266"/>
        <w:spacing w:after="0" w:line="282" w:lineRule="auto"/>
        <w:tabs>
          <w:tab w:leader="none" w:pos="6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161"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term of the agreement, as amended, is the completion, termination, or expiration of the last statement of work entered into pursuant to the joint development agreement.</w:t>
      </w:r>
    </w:p>
    <w:p>
      <w:pPr>
        <w:spacing w:after="0" w:line="162"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15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7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92" w:lineRule="exact"/>
        <w:rPr>
          <w:sz w:val="20"/>
          <w:szCs w:val="20"/>
          <w:color w:val="auto"/>
        </w:rPr>
      </w:pPr>
    </w:p>
    <w:p>
      <w:pPr>
        <w:ind w:left="60" w:right="8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5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product may not be successful. We may not generate any revenue from design wins after incurring the associated costs, which would cause our business and operating results to suffer.</w:t>
      </w:r>
    </w:p>
    <w:p>
      <w:pPr>
        <w:spacing w:after="0" w:line="16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8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Our two largest end customers together accounted for 22% of our total revenue for the year ended December 31, 2023, and each of these customers accounted for more than 10% of our revenue during that period. Our four largest end customers together accounted for 24% of our total revenue for the year ended December 31, 2022, and one of those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4"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8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539" w:hanging="266"/>
        <w:spacing w:after="0" w:line="282" w:lineRule="auto"/>
        <w:tabs>
          <w:tab w:leader="none" w:pos="6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6"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8"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9" w:lineRule="exact"/>
        <w:rPr>
          <w:sz w:val="20"/>
          <w:szCs w:val="20"/>
          <w:color w:val="auto"/>
        </w:rPr>
      </w:pPr>
    </w:p>
    <w:p>
      <w:pPr>
        <w:ind w:left="60" w:right="239" w:firstLine="324"/>
        <w:spacing w:after="0" w:line="272" w:lineRule="auto"/>
        <w:rPr>
          <w:sz w:val="20"/>
          <w:szCs w:val="20"/>
          <w:color w:val="auto"/>
        </w:rPr>
      </w:pPr>
      <w:r>
        <w:rPr>
          <w:rFonts w:ascii="Times New Roman" w:cs="Times New Roman" w:eastAsia="Times New Roman" w:hAnsi="Times New Roman"/>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72" w:lineRule="exact"/>
        <w:rPr>
          <w:sz w:val="20"/>
          <w:szCs w:val="20"/>
          <w:color w:val="auto"/>
        </w:rPr>
      </w:pPr>
    </w:p>
    <w:p>
      <w:pPr>
        <w:ind w:left="660" w:hanging="28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75"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8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and are seeking to expand operations outside of the United States which exposes us to significant risks.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2" w:lineRule="exact"/>
        <w:rPr>
          <w:sz w:val="20"/>
          <w:szCs w:val="20"/>
          <w:color w:val="auto"/>
        </w:rPr>
      </w:pPr>
    </w:p>
    <w:p>
      <w:pPr>
        <w:ind w:left="640" w:right="119" w:hanging="266"/>
        <w:spacing w:after="0" w:line="282" w:lineRule="auto"/>
        <w:tabs>
          <w:tab w:leader="none" w:pos="6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COVID-19, which can result in varying impacts to our business, employees, partners, customers, distributors or suppliers internationally as discussed elsewhere in this “Risk Factors” section;</w:t>
      </w:r>
    </w:p>
    <w:p>
      <w:pPr>
        <w:spacing w:after="0" w:line="161"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225" w:lineRule="exact"/>
        <w:rPr>
          <w:rFonts w:ascii="Times New Roman" w:cs="Times New Roman" w:eastAsia="Times New Roman" w:hAnsi="Times New Roman"/>
          <w:sz w:val="18"/>
          <w:szCs w:val="18"/>
          <w:color w:val="auto"/>
        </w:rPr>
      </w:pPr>
    </w:p>
    <w:p>
      <w:pPr>
        <w:ind w:left="640" w:right="579" w:hanging="266"/>
        <w:spacing w:after="0" w:line="282" w:lineRule="auto"/>
        <w:tabs>
          <w:tab w:leader="none" w:pos="6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import/export laws, trade restrictions, regulations and customs and duties and tariffs (foreign and domestic);</w:t>
      </w:r>
    </w:p>
    <w:p>
      <w:pPr>
        <w:spacing w:after="0" w:line="161"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225" w:lineRule="exact"/>
        <w:rPr>
          <w:rFonts w:ascii="Times New Roman" w:cs="Times New Roman" w:eastAsia="Times New Roman" w:hAnsi="Times New Roman"/>
          <w:sz w:val="18"/>
          <w:szCs w:val="18"/>
          <w:color w:val="auto"/>
        </w:rPr>
      </w:pPr>
    </w:p>
    <w:p>
      <w:pPr>
        <w:ind w:left="640" w:right="519" w:hanging="266"/>
        <w:spacing w:after="0" w:line="282" w:lineRule="auto"/>
        <w:tabs>
          <w:tab w:leader="none" w:pos="6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161" w:lineRule="exact"/>
        <w:rPr>
          <w:rFonts w:ascii="Times New Roman" w:cs="Times New Roman" w:eastAsia="Times New Roman" w:hAnsi="Times New Roman"/>
          <w:sz w:val="18"/>
          <w:szCs w:val="18"/>
          <w:color w:val="auto"/>
        </w:rPr>
      </w:pPr>
    </w:p>
    <w:p>
      <w:pPr>
        <w:ind w:left="640" w:right="139" w:hanging="266"/>
        <w:spacing w:after="0" w:line="282" w:lineRule="auto"/>
        <w:tabs>
          <w:tab w:leader="none" w:pos="6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161" w:lineRule="exact"/>
        <w:rPr>
          <w:rFonts w:ascii="Times New Roman" w:cs="Times New Roman" w:eastAsia="Times New Roman" w:hAnsi="Times New Roman"/>
          <w:sz w:val="18"/>
          <w:szCs w:val="18"/>
          <w:color w:val="auto"/>
        </w:rPr>
      </w:pPr>
    </w:p>
    <w:p>
      <w:pPr>
        <w:ind w:left="640" w:right="99" w:hanging="266"/>
        <w:spacing w:after="0" w:line="261" w:lineRule="auto"/>
        <w:tabs>
          <w:tab w:leader="none" w:pos="6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79"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379" w:hanging="266"/>
        <w:spacing w:after="0" w:line="282" w:lineRule="auto"/>
        <w:tabs>
          <w:tab w:leader="none" w:pos="6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acts of war, such as the military conflict in Ukraine, which could have a negative impact on sales throughout Europe and Asia; and</w:t>
      </w:r>
    </w:p>
    <w:p>
      <w:pPr>
        <w:spacing w:after="0" w:line="161" w:lineRule="exact"/>
        <w:rPr>
          <w:rFonts w:ascii="Times New Roman" w:cs="Times New Roman" w:eastAsia="Times New Roman" w:hAnsi="Times New Roman"/>
          <w:sz w:val="18"/>
          <w:szCs w:val="18"/>
          <w:color w:val="auto"/>
        </w:rPr>
      </w:pPr>
    </w:p>
    <w:p>
      <w:pPr>
        <w:ind w:left="640" w:right="419" w:hanging="266"/>
        <w:spacing w:after="0" w:line="282" w:lineRule="auto"/>
        <w:tabs>
          <w:tab w:leader="none" w:pos="6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Commerce regulations or restrictions on exports of certain semiconductor technologies and equipment to China.</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 and Technology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92" w:lineRule="exact"/>
        <w:rPr>
          <w:sz w:val="20"/>
          <w:szCs w:val="20"/>
          <w:color w:val="auto"/>
        </w:rPr>
      </w:pPr>
    </w:p>
    <w:p>
      <w:pPr>
        <w:jc w:val="both"/>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5" w:lineRule="exact"/>
        <w:rPr>
          <w:sz w:val="20"/>
          <w:szCs w:val="20"/>
          <w:color w:val="auto"/>
        </w:rPr>
      </w:pPr>
    </w:p>
    <w:p>
      <w:pPr>
        <w:ind w:left="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87" w:lineRule="exact"/>
        <w:rPr>
          <w:sz w:val="20"/>
          <w:szCs w:val="20"/>
          <w:color w:val="auto"/>
        </w:rPr>
      </w:pPr>
    </w:p>
    <w:p>
      <w:pPr>
        <w:ind w:left="660" w:hanging="28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225" w:lineRule="exact"/>
        <w:rPr>
          <w:rFonts w:ascii="Times New Roman" w:cs="Times New Roman" w:eastAsia="Times New Roman" w:hAnsi="Times New Roman"/>
          <w:sz w:val="18"/>
          <w:szCs w:val="18"/>
          <w:color w:val="auto"/>
        </w:rPr>
      </w:pPr>
    </w:p>
    <w:p>
      <w:pPr>
        <w:ind w:left="640" w:right="559" w:hanging="266"/>
        <w:spacing w:after="0" w:line="282" w:lineRule="auto"/>
        <w:tabs>
          <w:tab w:leader="none" w:pos="6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61" w:lineRule="exact"/>
        <w:rPr>
          <w:rFonts w:ascii="Times New Roman" w:cs="Times New Roman" w:eastAsia="Times New Roman" w:hAnsi="Times New Roman"/>
          <w:sz w:val="18"/>
          <w:szCs w:val="18"/>
          <w:color w:val="auto"/>
        </w:rPr>
      </w:pPr>
    </w:p>
    <w:p>
      <w:pPr>
        <w:ind w:left="640" w:right="1059" w:hanging="266"/>
        <w:spacing w:after="0" w:line="282" w:lineRule="auto"/>
        <w:tabs>
          <w:tab w:leader="none" w:pos="6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40" w:right="239" w:hanging="266"/>
        <w:spacing w:after="0" w:line="282" w:lineRule="auto"/>
        <w:tabs>
          <w:tab w:leader="none" w:pos="6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40" w:right="359" w:hanging="266"/>
        <w:spacing w:after="0" w:line="282" w:lineRule="auto"/>
        <w:tabs>
          <w:tab w:leader="none" w:pos="6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3"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in or other compromises of our information technology systems or data or that of third parties upon whom we rely could adversely affect our business.</w:t>
      </w:r>
    </w:p>
    <w:p>
      <w:pPr>
        <w:spacing w:after="0" w:line="15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rely on the efficient, uninterrupted and uncompromised operation of complex information technology systems and networks (and those of third parties) to operate our business. Any significant disruption to or other compromise of our systems, networks or data (or those of third parties upon whom we rely), including, but not limited to, due to new system implementations, computer viruses, social-engineering attacks, personnel (including former personnel) misconduct or error, supply-chain attacks, ransomware attacks, software bugs, software or hardware failure, security breaches, facility issues, natural disasters, terrorism, war, telecommunication failures, energy blackouts, loss, theft or similar threats, could have a material adverse impact on our operations, sales, and financial results. Such disruption or other compromise could result in a loss of our intellectual property or the release of sensitive competitive information or supplier, customer, personnel or other relevant stakeholder’s personal data. Additionally, future or past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Any loss of such information could harm our competitive position, result in a loss of customer confidence, result in breaches of applicable obligations (such as laws and contracts)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bans on processing personal data or orders not to use or destroy data, enforcement actions, remediation obligations, litigation, fines, and other actions.</w:t>
      </w:r>
    </w:p>
    <w:p>
      <w:pPr>
        <w:spacing w:after="0" w:line="19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may experience attacks on our data and/or information systems, attempts to breach our security and attempts to introduce malicious software into our IT systems. Such threats are prevalent and continue to rise, are increasingly difficult to detect, and come from a variety of sources. During times of war and other major conflicts, we and the third parties upon which we rely may be vulnerable to a heightened risk of these attacks.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 Attempts to gain unauthorized access to our IT systems or other attacks have in the past, in certain instances and to certain degrees, been successful (but have not caused significant harm), and may in the future be successful, and in some cases, we might be unaware of an incident or its magnitude and effects.</w:t>
      </w:r>
    </w:p>
    <w:p>
      <w:pPr>
        <w:spacing w:after="0" w:line="19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Our ability to monitor these third parties’ information security practices is limited, and these third parties may not have adequate information security measures in place.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and effective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Regulatory Matters and Compliance</w:t>
      </w:r>
    </w:p>
    <w:p>
      <w:pPr>
        <w:spacing w:after="0" w:line="22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7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80" w:lineRule="exact"/>
        <w:rPr>
          <w:sz w:val="20"/>
          <w:szCs w:val="20"/>
          <w:color w:val="auto"/>
        </w:rPr>
      </w:pPr>
    </w:p>
    <w:p>
      <w:pPr>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60"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2023, we had gross federal net operating loss carryforwards of approximately $96.2 million, of which $55.8 million will expire in 2028 through 2037 if not utilized, and $40.5 million will carryover indefinitely. As of December 31, 2023, we had state net operating loss carryforwards of approximately $48.7 million, of which $45.9 million will expire in 2028 through 2043 if not utilized, and $2.8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the NOLs that we are utilizing in the current year were generated prior to 2018, and therefore, are not subject to the 80% limitation.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38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introduction of new products or product enhancements by us or others in our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259" w:hanging="266"/>
        <w:spacing w:after="0" w:line="282" w:lineRule="auto"/>
        <w:tabs>
          <w:tab w:leader="none" w:pos="6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restructurings;</w:t>
      </w:r>
    </w:p>
    <w:p>
      <w:pPr>
        <w:spacing w:after="0" w:line="161"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28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rFonts w:ascii="Times New Roman" w:cs="Times New Roman" w:eastAsia="Times New Roman" w:hAnsi="Times New Roman"/>
          <w:sz w:val="18"/>
          <w:szCs w:val="18"/>
          <w:color w:val="auto"/>
        </w:rPr>
      </w:pPr>
    </w:p>
    <w:p>
      <w:pPr>
        <w:ind w:left="640" w:right="139" w:hanging="266"/>
        <w:spacing w:after="0" w:line="312" w:lineRule="auto"/>
        <w:tabs>
          <w:tab w:leader="none" w:pos="66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and other factors, including factors unrelated to our operating performance or the operating performance of our competitors, including the effects of COVID-19 and the military conflict in Ukraine.</w:t>
      </w:r>
    </w:p>
    <w:p>
      <w:pPr>
        <w:spacing w:after="0" w:line="14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3"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8" w:lineRule="exact"/>
        <w:rPr>
          <w:sz w:val="20"/>
          <w:szCs w:val="20"/>
          <w:color w:val="auto"/>
        </w:rPr>
      </w:pPr>
    </w:p>
    <w:p>
      <w:pPr>
        <w:ind w:left="640" w:right="119" w:hanging="266"/>
        <w:spacing w:after="0" w:line="266" w:lineRule="auto"/>
        <w:tabs>
          <w:tab w:leader="none" w:pos="6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40" w:right="179" w:hanging="266"/>
        <w:spacing w:after="0" w:line="258" w:lineRule="auto"/>
        <w:tabs>
          <w:tab w:leader="none" w:pos="6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519" w:hanging="266"/>
        <w:spacing w:after="0" w:line="282" w:lineRule="auto"/>
        <w:tabs>
          <w:tab w:leader="none" w:pos="6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40" w:right="159" w:hanging="266"/>
        <w:spacing w:after="0" w:line="258" w:lineRule="auto"/>
        <w:tabs>
          <w:tab w:leader="none" w:pos="6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3" w:lineRule="exact"/>
        <w:rPr>
          <w:rFonts w:ascii="Times New Roman" w:cs="Times New Roman" w:eastAsia="Times New Roman" w:hAnsi="Times New Roman"/>
          <w:sz w:val="18"/>
          <w:szCs w:val="18"/>
          <w:color w:val="auto"/>
        </w:rPr>
      </w:pPr>
    </w:p>
    <w:p>
      <w:pPr>
        <w:ind w:left="640" w:right="199" w:hanging="266"/>
        <w:spacing w:after="0" w:line="261" w:lineRule="auto"/>
        <w:tabs>
          <w:tab w:leader="none" w:pos="6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9" w:lineRule="exact"/>
        <w:rPr>
          <w:rFonts w:ascii="Times New Roman" w:cs="Times New Roman" w:eastAsia="Times New Roman" w:hAnsi="Times New Roman"/>
          <w:sz w:val="18"/>
          <w:szCs w:val="18"/>
          <w:color w:val="auto"/>
        </w:rPr>
      </w:pPr>
    </w:p>
    <w:p>
      <w:pPr>
        <w:ind w:left="640" w:right="159" w:hanging="266"/>
        <w:spacing w:after="0" w:line="266" w:lineRule="auto"/>
        <w:tabs>
          <w:tab w:leader="none" w:pos="6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6"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0"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0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8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 w:lineRule="exact"/>
        <w:rPr>
          <w:rFonts w:ascii="Times New Roman" w:cs="Times New Roman" w:eastAsia="Times New Roman" w:hAnsi="Times New Roman"/>
          <w:sz w:val="18"/>
          <w:szCs w:val="18"/>
          <w:color w:val="auto"/>
        </w:rPr>
      </w:pPr>
    </w:p>
    <w:p>
      <w:pPr>
        <w:ind w:left="620" w:right="199" w:hanging="246"/>
        <w:spacing w:after="0" w:line="250" w:lineRule="auto"/>
        <w:tabs>
          <w:tab w:leader="none" w:pos="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to us or our stockholders;</w:t>
      </w:r>
    </w:p>
    <w:p>
      <w:pPr>
        <w:ind w:left="620" w:right="399" w:hanging="246"/>
        <w:spacing w:after="0" w:line="250" w:lineRule="auto"/>
        <w:tabs>
          <w:tab w:leader="none" w:pos="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ind w:left="660" w:hanging="28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Times New Roman" w:cs="Times New Roman" w:eastAsia="Times New Roman" w:hAnsi="Times New Roman"/>
          <w:sz w:val="18"/>
          <w:szCs w:val="18"/>
          <w:color w:val="212529"/>
        </w:rPr>
        <w:t>that, unless we consent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Times New Roman" w:cs="Times New Roman" w:eastAsia="Times New Roman" w:hAnsi="Times New Roman"/>
          <w:sz w:val="18"/>
          <w:szCs w:val="18"/>
          <w:color w:val="000000"/>
        </w:rPr>
        <w:t>further significant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 xml:space="preserve">additional costs associated with resolving the dispute in other jurisdictions, </w:t>
      </w:r>
      <w:r>
        <w:rPr>
          <w:rFonts w:ascii="Times New Roman" w:cs="Times New Roman" w:eastAsia="Times New Roman" w:hAnsi="Times New Roman"/>
          <w:sz w:val="18"/>
          <w:szCs w:val="18"/>
          <w:color w:val="000000"/>
        </w:rPr>
        <w:t>all of</w:t>
      </w:r>
      <w:r>
        <w:rPr>
          <w:rFonts w:ascii="Times New Roman" w:cs="Times New Roman" w:eastAsia="Times New Roman" w:hAnsi="Times New Roman"/>
          <w:sz w:val="18"/>
          <w:szCs w:val="18"/>
          <w:color w:val="212529"/>
        </w:rPr>
        <w:t xml:space="preserve"> which could seriously harm our business.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General Risk Factors</w:t>
      </w:r>
    </w:p>
    <w:p>
      <w:pPr>
        <w:spacing w:after="0" w:line="225"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 addition, the adverse impact of general economic factors that are beyond our control, including, but not limited to, housing markets, recession, inflation, deflation, consumer credit activity, consumer debt levels, exchange rate volatility, fuel and energy costs, interest rates, bank failures, tax rates and policy, unemployment trends, potential industry downturn, the impact of natural disasters such as pandemics, civil disturbances, terrorist activities and acts of war, including the military conflict in Ukraine, may adversely impact consumer spending, which may adversely impact our customers’ spending and demand for our products. As an example, in the United States, capital markets have experienced and continue to experience volatility and disruption. Furthermore, inflation rates in the United States have recently increased to levels not seen in decades resulting in federal action to increase interest rates, affecting capital markets.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natural disasters and other catastrophic events.</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business, and those of our manufacturing partners, customers, distributors, or suppliers, can be disrupted by natural disasters; industrial accidents; public health issues, such as COVID-19;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48" w:lineRule="exact"/>
        <w:rPr>
          <w:sz w:val="20"/>
          <w:szCs w:val="20"/>
          <w:color w:val="auto"/>
        </w:rPr>
      </w:pPr>
    </w:p>
    <w:p>
      <w:pPr>
        <w:ind w:left="60" w:right="59" w:firstLine="135"/>
        <w:spacing w:after="0" w:line="261" w:lineRule="auto"/>
        <w:rPr>
          <w:sz w:val="20"/>
          <w:szCs w:val="20"/>
          <w:color w:val="auto"/>
        </w:rPr>
      </w:pPr>
      <w:r>
        <w:rPr>
          <w:rFonts w:ascii="Times New Roman" w:cs="Times New Roman" w:eastAsia="Times New Roman" w:hAnsi="Times New Roman"/>
          <w:sz w:val="18"/>
          <w:szCs w:val="18"/>
          <w:color w:val="auto"/>
        </w:rPr>
        <w:t>We implement and maintain various information security processes designed to identify, assess and manage material risks from cybersecurity threats to our critical computer networks, third party hosted services, communications systems, hardware and software, products and our critical data, including intellectual property, confidential information that is proprietary, strategic or competitive in nature (collectively, “Information Systems and Data”).</w:t>
      </w:r>
    </w:p>
    <w:p>
      <w:pPr>
        <w:spacing w:after="0" w:line="72" w:lineRule="exact"/>
        <w:rPr>
          <w:sz w:val="20"/>
          <w:szCs w:val="20"/>
          <w:color w:val="auto"/>
        </w:rPr>
      </w:pPr>
    </w:p>
    <w:p>
      <w:pPr>
        <w:ind w:left="60" w:right="299" w:firstLine="135"/>
        <w:spacing w:after="0" w:line="282" w:lineRule="auto"/>
        <w:rPr>
          <w:sz w:val="20"/>
          <w:szCs w:val="20"/>
          <w:color w:val="auto"/>
        </w:rPr>
      </w:pPr>
      <w:r>
        <w:rPr>
          <w:rFonts w:ascii="Times New Roman" w:cs="Times New Roman" w:eastAsia="Times New Roman" w:hAnsi="Times New Roman"/>
          <w:sz w:val="18"/>
          <w:szCs w:val="18"/>
          <w:color w:val="auto"/>
        </w:rPr>
        <w:t>Our Senior Director of Information Technology (“IT”), internal IT, information security and legal functions, and third-party service providers (collectively, “Cybersecurity Team”) help identify, assess and manage the Company’s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cybersecurity threats and risks. Our Cybersecurity Team identifies and assesses risks from cybersecurity threats by monitoring and evaluating our threat environment. The Cybersecurity Team uses various methods designed to accomplish this task including, for example: manual tools, automated tools, subscribing to reports and services that identify cybersecurity threats, analyzing reports of threats and threat actors, scanning the threat environment, evaluating our and our industry’s risk profile, maintaining policies designed to coordinate our efforts with law enforcement to respond to threats, internal and external audits, conducting threat assessments, conducting third party threat assessments, and conducting vulnerability assessments.</w:t>
      </w:r>
    </w:p>
    <w:p>
      <w:pPr>
        <w:spacing w:after="0" w:line="81" w:lineRule="exact"/>
        <w:rPr>
          <w:sz w:val="20"/>
          <w:szCs w:val="20"/>
          <w:color w:val="auto"/>
        </w:rPr>
      </w:pPr>
    </w:p>
    <w:p>
      <w:pPr>
        <w:ind w:left="60" w:right="59" w:firstLine="135"/>
        <w:spacing w:after="0" w:line="254" w:lineRule="auto"/>
        <w:rPr>
          <w:sz w:val="20"/>
          <w:szCs w:val="20"/>
          <w:color w:val="auto"/>
        </w:rPr>
      </w:pPr>
      <w:r>
        <w:rPr>
          <w:rFonts w:ascii="Times New Roman" w:cs="Times New Roman" w:eastAsia="Times New Roman" w:hAnsi="Times New Roman"/>
          <w:sz w:val="18"/>
          <w:szCs w:val="18"/>
          <w:color w:val="auto"/>
        </w:rPr>
        <w:t>Depending on the relevant information systems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strategy, incident detection and response measures, a vulnerability management policy, risk assessments, encryption of certain data, network security controls, data segregation, access controls, physical security controls, systems monitoring controls, personnel training, penetration testing, cybersecurity insurance, dedicated cybersecurity personnel, background checks for certain personnel, vendor management strategies, and asset management strategy (such as tracking and disposal of Company information systems).</w:t>
      </w:r>
    </w:p>
    <w:p>
      <w:pPr>
        <w:spacing w:after="0" w:line="84"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Senior Director of IT works with management to prioritize our risk management processes and mitigate cybersecurity threats that are more likely to lead to a material impact to our business.</w:t>
      </w:r>
    </w:p>
    <w:p>
      <w:pPr>
        <w:spacing w:after="0" w:line="6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use service providers in an effort to identify, assess, and manage material risks from cybersecurity threats, including for example: threat intelligence service providers, cybersecurity consultants, penetration testing firms, cybersecurity software providers, managed cybersecurity service providers, and professional services firms (including legal counsel).</w:t>
      </w:r>
    </w:p>
    <w:p>
      <w:pPr>
        <w:spacing w:after="0" w:line="72" w:lineRule="exact"/>
        <w:rPr>
          <w:sz w:val="20"/>
          <w:szCs w:val="20"/>
          <w:color w:val="auto"/>
        </w:rPr>
      </w:pPr>
    </w:p>
    <w:p>
      <w:pPr>
        <w:jc w:val="both"/>
        <w:ind w:left="60" w:right="419" w:firstLine="324"/>
        <w:spacing w:after="0" w:line="270" w:lineRule="auto"/>
        <w:rPr>
          <w:sz w:val="20"/>
          <w:szCs w:val="20"/>
          <w:color w:val="auto"/>
        </w:rPr>
      </w:pPr>
      <w:r>
        <w:rPr>
          <w:rFonts w:ascii="Times New Roman" w:cs="Times New Roman" w:eastAsia="Times New Roman" w:hAnsi="Times New Roman"/>
          <w:sz w:val="17"/>
          <w:szCs w:val="17"/>
          <w:color w:val="auto"/>
        </w:rPr>
        <w:t>We use service providers to perform a variety of functions throughout our business, such as application providers, hosting companies, and contract manufacturing organizations. We maintain a vendor management strategy designed to manage cybersecurity risks associated with our use of these providers. The strategy includes vendor risk assessments, security assessment reviews, and imposing information security contractual obligations on a vendor as appropriate.</w:t>
      </w:r>
    </w:p>
    <w:p>
      <w:pPr>
        <w:spacing w:after="0" w:line="3" w:lineRule="exact"/>
        <w:rPr>
          <w:sz w:val="20"/>
          <w:szCs w:val="20"/>
          <w:color w:val="auto"/>
        </w:rPr>
      </w:pPr>
    </w:p>
    <w:p>
      <w:pPr>
        <w:jc w:val="both"/>
        <w:ind w:left="60" w:right="439"/>
        <w:spacing w:after="0" w:line="255" w:lineRule="auto"/>
        <w:rPr>
          <w:sz w:val="20"/>
          <w:szCs w:val="20"/>
          <w:color w:val="auto"/>
        </w:rPr>
      </w:pPr>
      <w:r>
        <w:rPr>
          <w:rFonts w:ascii="Times New Roman" w:cs="Times New Roman" w:eastAsia="Times New Roman" w:hAnsi="Times New Roman"/>
          <w:sz w:val="18"/>
          <w:szCs w:val="18"/>
          <w:color w:val="auto"/>
        </w:rPr>
        <w:t>Depending on the nature of the services provided, the sensitivity of the Information Systems and Data at issue, and the identity of the provider, our vendor management strategy may involve different levels of assessment designed to help identify, mitigating and manage cybersecurity risks associated with a particular provider.</w:t>
      </w:r>
    </w:p>
    <w:p>
      <w:pPr>
        <w:spacing w:after="0" w:line="7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“Interruptions in or other compromises of our information technology systems or data or that of third parties upon whom we rely could adversely affect our business.”</w:t>
      </w: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48" w:lineRule="exact"/>
        <w:rPr>
          <w:sz w:val="20"/>
          <w:szCs w:val="20"/>
          <w:color w:val="auto"/>
        </w:rPr>
      </w:pPr>
    </w:p>
    <w:p>
      <w:pPr>
        <w:ind w:left="60" w:right="159" w:firstLine="135"/>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is responsible for overseeing Company’s cybersecurity risk management processes, including oversight and mitigation of risks from cybersecurity threats.</w:t>
      </w:r>
    </w:p>
    <w:p>
      <w:pPr>
        <w:spacing w:after="0" w:line="68" w:lineRule="exact"/>
        <w:rPr>
          <w:sz w:val="20"/>
          <w:szCs w:val="20"/>
          <w:color w:val="auto"/>
        </w:rPr>
      </w:pPr>
    </w:p>
    <w:p>
      <w:pPr>
        <w:ind w:left="60" w:right="159" w:firstLine="135"/>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Senior Director of IT, the Chief Executive Officer, and the Chief Financial Officer. Our Senior Director of IT has approximately 25 years of experience in IT and cybersecurity.</w:t>
      </w:r>
    </w:p>
    <w:p>
      <w:pPr>
        <w:spacing w:after="0" w:line="68" w:lineRule="exact"/>
        <w:rPr>
          <w:sz w:val="20"/>
          <w:szCs w:val="20"/>
          <w:color w:val="auto"/>
        </w:rPr>
      </w:pPr>
    </w:p>
    <w:p>
      <w:pPr>
        <w:ind w:left="60" w:right="99" w:firstLine="135"/>
        <w:spacing w:after="0" w:line="256"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policies are designed to escalate certain cybersecurity incidents and threats to management members depending on the circumstances, including the Chief Executive Officer and Chief Financial Officer. The Chief Executive Officer and Chief Financial Officer work with the Company’s incident response team in an effort to help the Company mitigate and remediate cybersecurity incidents of which they are notified. In addition, the Company’s management and its designees report to the board of directors for certain cybersecurity incidents.</w:t>
      </w:r>
    </w:p>
    <w:p>
      <w:pPr>
        <w:spacing w:after="0" w:line="79" w:lineRule="exact"/>
        <w:rPr>
          <w:sz w:val="20"/>
          <w:szCs w:val="20"/>
          <w:color w:val="auto"/>
        </w:rPr>
      </w:pPr>
    </w:p>
    <w:p>
      <w:pPr>
        <w:ind w:left="60" w:right="219" w:firstLine="135"/>
        <w:spacing w:after="0" w:line="261" w:lineRule="auto"/>
        <w:rPr>
          <w:sz w:val="20"/>
          <w:szCs w:val="20"/>
          <w:color w:val="auto"/>
        </w:rPr>
      </w:pPr>
      <w:r>
        <w:rPr>
          <w:rFonts w:ascii="Times New Roman" w:cs="Times New Roman" w:eastAsia="Times New Roman" w:hAnsi="Times New Roman"/>
          <w:sz w:val="18"/>
          <w:szCs w:val="18"/>
          <w:color w:val="auto"/>
        </w:rPr>
        <w:t>The board of directors receives periodic reports from management and its designees concerning the Company’s significant cybersecurity threats and risks, and the processes the Company has implemented in an effort to address them. The board of directors also has access to various reports, summaries or presentations related to cybersecurity threats, risk, and mitigation.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99" w:firstLine="401"/>
        <w:spacing w:after="0" w:line="312" w:lineRule="auto"/>
        <w:rPr>
          <w:sz w:val="20"/>
          <w:szCs w:val="20"/>
          <w:color w:val="auto"/>
        </w:rPr>
      </w:pPr>
      <w:r>
        <w:rPr>
          <w:rFonts w:ascii="Times New Roman" w:cs="Times New Roman" w:eastAsia="Times New Roman" w:hAnsi="Times New Roman"/>
          <w:sz w:val="17"/>
          <w:szCs w:val="17"/>
          <w:color w:val="auto"/>
        </w:rPr>
        <w:t>We lease office space for our corporate headquarters located in Chandler, Arizona and for our design facility located in Austin, Texas. We also lease fabrication, lab, and office space for our manufacturing operations in Chandler, Arizona.</w:t>
      </w:r>
    </w:p>
    <w:p>
      <w:pPr>
        <w:spacing w:after="0" w:line="140" w:lineRule="exact"/>
        <w:rPr>
          <w:sz w:val="20"/>
          <w:szCs w:val="20"/>
          <w:color w:val="auto"/>
        </w:rPr>
      </w:pPr>
    </w:p>
    <w:p>
      <w:pPr>
        <w:ind w:left="60" w:right="79" w:firstLine="401"/>
        <w:spacing w:after="0" w:line="254" w:lineRule="auto"/>
        <w:rPr>
          <w:sz w:val="20"/>
          <w:szCs w:val="20"/>
          <w:color w:val="auto"/>
        </w:rPr>
      </w:pPr>
      <w:r>
        <w:rPr>
          <w:rFonts w:ascii="Times New Roman" w:cs="Times New Roman" w:eastAsia="Times New Roman" w:hAnsi="Times New Roman"/>
          <w:sz w:val="18"/>
          <w:szCs w:val="18"/>
          <w:color w:val="auto"/>
        </w:rPr>
        <w:t>The Chandler, Arizona corporate headquarters lease is for 18,815 square feet of office and laboratory space. The prior lease for the Chandler, Arizona corporate headquarters facility expired in January 2022, upon which a new lease was entered into, with an initial term that ends on January 31, 2029, and an option to renew the lease through January 31, 2034. The Austin, Texas lease is for 6,171 square feet of space for our design facility. The prior lease for the Austin, Texas facility expired in January 2022, upon which a new lease was entered into with an initial term that ends on April 15, 2027, and an option to renew the lease through April 15, 2030. The Chandler, Arizona manufacturing operations lease is for 11,496 square feet of fabrication, lab, and office space. The prior Chandler, Arizona manufacturing operations lease was initially set to expire in January 2023 but was renewed and amended in 2022 to extend the lease through January 2028.</w:t>
      </w:r>
    </w:p>
    <w:p>
      <w:pPr>
        <w:spacing w:after="0" w:line="192" w:lineRule="exact"/>
        <w:rPr>
          <w:sz w:val="20"/>
          <w:szCs w:val="20"/>
          <w:color w:val="auto"/>
        </w:rPr>
      </w:pPr>
    </w:p>
    <w:p>
      <w:pPr>
        <w:ind w:left="60" w:right="239" w:firstLine="401"/>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are well maintained and in good operating condition and they are adequate for our foreseeable business needs.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39" w:firstLine="401"/>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Trading Market for our 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“MRAM” since October 7, 2016.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to that date, there was no public trading market for our common stock.</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60" w:right="119" w:firstLine="405"/>
        <w:spacing w:after="0" w:line="261" w:lineRule="auto"/>
        <w:rPr>
          <w:sz w:val="20"/>
          <w:szCs w:val="20"/>
          <w:color w:val="auto"/>
        </w:rPr>
      </w:pPr>
      <w:r>
        <w:rPr>
          <w:rFonts w:ascii="Times New Roman" w:cs="Times New Roman" w:eastAsia="Times New Roman" w:hAnsi="Times New Roman"/>
          <w:sz w:val="18"/>
          <w:szCs w:val="18"/>
          <w:color w:val="auto"/>
        </w:rPr>
        <w:t>As of February 26, 2024, we had 17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99" w:firstLine="405"/>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60" w:right="59" w:firstLine="401"/>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an overview of our business, see “Part I – Item 1. Business.”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70"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generally accepted accounting principles in the United States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Our management and board of directors use Adjusted EBITDA to understand and evaluate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5"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79" w:firstLine="401"/>
        <w:spacing w:after="0" w:line="282" w:lineRule="auto"/>
        <w:rPr>
          <w:sz w:val="20"/>
          <w:szCs w:val="20"/>
          <w:color w:val="auto"/>
        </w:rPr>
      </w:pPr>
      <w:r>
        <w:rPr>
          <w:rFonts w:ascii="Times New Roman" w:cs="Times New Roman" w:eastAsia="Times New Roman" w:hAnsi="Times New Roman"/>
          <w:sz w:val="18"/>
          <w:szCs w:val="18"/>
          <w:color w:val="auto"/>
        </w:rPr>
        <w:t>Our Adjusted EBITDA for the year ended December 31, 2023 includes a one-time employee retention tax credit received of $2.0 million in the second quarter of 2023.</w:t>
      </w:r>
    </w:p>
    <w:p>
      <w:pPr>
        <w:spacing w:after="0" w:line="160" w:lineRule="exact"/>
        <w:rPr>
          <w:sz w:val="20"/>
          <w:szCs w:val="20"/>
          <w:color w:val="auto"/>
        </w:rPr>
      </w:pPr>
    </w:p>
    <w:p>
      <w:pPr>
        <w:ind w:left="60" w:right="99" w:firstLine="401"/>
        <w:spacing w:after="0" w:line="275" w:lineRule="auto"/>
        <w:rPr>
          <w:sz w:val="20"/>
          <w:szCs w:val="20"/>
          <w:color w:val="auto"/>
        </w:rPr>
      </w:pPr>
      <w:r>
        <w:rPr>
          <w:rFonts w:ascii="Times New Roman" w:cs="Times New Roman" w:eastAsia="Times New Roman" w:hAnsi="Times New Roman"/>
          <w:sz w:val="17"/>
          <w:szCs w:val="17"/>
          <w:i w:val="1"/>
          <w:iCs w:val="1"/>
          <w:color w:val="auto"/>
        </w:rPr>
        <w:t>Design wins</w:t>
      </w:r>
      <w:r>
        <w:rPr>
          <w:rFonts w:ascii="Times New Roman" w:cs="Times New Roman" w:eastAsia="Times New Roman" w:hAnsi="Times New Roman"/>
          <w:sz w:val="17"/>
          <w:szCs w:val="17"/>
          <w:color w:val="auto"/>
        </w:rPr>
        <w:t>. To continue to grow our revenue, we must continue to achieve design wins for our MRAM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each successive quarter of 2023 were 66, 62, 37, and 52, respectively, compared to 61, 49, 48, and 52 in each successive quarter of 2022, respectively.</w:t>
      </w: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 of COVID-19 on our Business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COVID-19 outbreak resulted in government authorities around the world implementing numerous measures to try to reduce the spread of COVID-19. Overall, our business remained operational in the midst of COVID-19. The United States Government has declared that it was no longer treating COVID-19 as a pandemic. Since our business 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dependent on a global supply chain, we expect to continue to navigate the impact of COVID-19, particularly in some Asian countries. 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83"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The ultimate extent of the impact of COVID-19 on our business, results of operations and financial condition will depend on future developments, which are highly uncertain, continuously evolving and cannot be predicted. See “Risk Factors” in Part II, Item 1A of this report for additional risks we face due to COVID-19.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60" w:right="99" w:firstLine="401"/>
        <w:spacing w:after="0" w:line="282" w:lineRule="auto"/>
        <w:rPr>
          <w:sz w:val="20"/>
          <w:szCs w:val="20"/>
          <w:color w:val="auto"/>
        </w:rPr>
      </w:pPr>
      <w:r>
        <w:rPr>
          <w:rFonts w:ascii="Times New Roman" w:cs="Times New Roman" w:eastAsia="Times New Roman" w:hAnsi="Times New Roman"/>
          <w:sz w:val="18"/>
          <w:szCs w:val="18"/>
          <w:color w:val="auto"/>
        </w:rPr>
        <w:t>Below are factors we want to highlight for understanding our 2023 annual results and year over year comparison with proper historical perspective:</w:t>
      </w:r>
    </w:p>
    <w:p>
      <w:pPr>
        <w:spacing w:after="0" w:line="162" w:lineRule="exact"/>
        <w:rPr>
          <w:sz w:val="20"/>
          <w:szCs w:val="20"/>
          <w:color w:val="auto"/>
        </w:rPr>
      </w:pPr>
    </w:p>
    <w:p>
      <w:pPr>
        <w:ind w:left="800" w:right="79" w:hanging="331"/>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half of 2023 was impacted by supply chain challenges that were overcome in the second half of the year as the industry reverted to pre-COVID-19 seasonal patterns.</w:t>
      </w:r>
    </w:p>
    <w:p>
      <w:pPr>
        <w:spacing w:after="0" w:line="53" w:lineRule="exact"/>
        <w:rPr>
          <w:rFonts w:ascii="Times New Roman" w:cs="Times New Roman" w:eastAsia="Times New Roman" w:hAnsi="Times New Roman"/>
          <w:sz w:val="18"/>
          <w:szCs w:val="18"/>
          <w:color w:val="auto"/>
        </w:rPr>
      </w:pPr>
    </w:p>
    <w:p>
      <w:pPr>
        <w:ind w:left="800" w:right="159" w:hanging="331"/>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improving our manufacturing excellence enabled us to drive yield improvements within our internal and external foundries network to sustain and improve existing product margins.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60" w:right="99" w:firstLine="401"/>
        <w:spacing w:after="0" w:line="282" w:lineRule="auto"/>
        <w:rPr>
          <w:sz w:val="20"/>
          <w:szCs w:val="20"/>
          <w:color w:val="auto"/>
        </w:rPr>
      </w:pPr>
      <w:r>
        <w:rPr>
          <w:rFonts w:ascii="Times New Roman" w:cs="Times New Roman" w:eastAsia="Times New Roman" w:hAnsi="Times New Roman"/>
          <w:sz w:val="18"/>
          <w:szCs w:val="18"/>
          <w:color w:val="auto"/>
        </w:rPr>
        <w:t>We generated 78% and 85% of our revenue from products sold through distributors for the years ended December 31, 2023 and 2022, respectively.</w:t>
      </w:r>
    </w:p>
    <w:p>
      <w:pPr>
        <w:spacing w:after="0" w:line="162" w:lineRule="exact"/>
        <w:rPr>
          <w:sz w:val="20"/>
          <w:szCs w:val="20"/>
          <w:color w:val="auto"/>
        </w:rPr>
      </w:pPr>
    </w:p>
    <w:p>
      <w:pPr>
        <w:ind w:left="60" w:right="659" w:firstLine="401"/>
        <w:spacing w:after="0" w:line="312" w:lineRule="auto"/>
        <w:rPr>
          <w:sz w:val="20"/>
          <w:szCs w:val="20"/>
          <w:color w:val="auto"/>
        </w:rPr>
      </w:pPr>
      <w:r>
        <w:rPr>
          <w:rFonts w:ascii="Times New Roman" w:cs="Times New Roman" w:eastAsia="Times New Roman" w:hAnsi="Times New Roman"/>
          <w:sz w:val="17"/>
          <w:szCs w:val="17"/>
          <w:color w:val="auto"/>
        </w:rPr>
        <w:t>We maintain a direct selling relationship, for strategic purposes, with several key customer accounts. We have organized our sales team and representatives into three primary regions: Asia-Pacific (APAC); North America;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Europe, Middle East and Africa (EMEA). We recognize revenue by geography based on the region in which our products are sold, and not to where the end products in which they are assembled are shipped. Our revenue by region for the periods indicated was as follows (in thousands):</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20" w:type="dxa"/>
            <w:vAlign w:val="bottom"/>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35,631</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14,533</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9,821</w:t>
            </w:r>
          </w:p>
        </w:tc>
      </w:tr>
      <w:tr>
        <w:trPr>
          <w:trHeight w:val="209"/>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59,985</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gridSpan w:val="2"/>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55,032</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198"/>
        </w:trPr>
        <w:tc>
          <w:tcPr>
            <w:tcW w:w="20" w:type="dxa"/>
            <w:vAlign w:val="bottom"/>
          </w:tcPr>
          <w:p>
            <w:pPr>
              <w:spacing w:after="0"/>
              <w:rPr>
                <w:sz w:val="17"/>
                <w:szCs w:val="17"/>
                <w:color w:val="auto"/>
              </w:rPr>
            </w:pPr>
          </w:p>
        </w:tc>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114.9 %</w:t>
            </w:r>
          </w:p>
        </w:tc>
      </w:tr>
      <w:tr>
        <w:trPr>
          <w:trHeight w:val="209"/>
        </w:trPr>
        <w:tc>
          <w:tcPr>
            <w:tcW w:w="2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401"/>
        <w:spacing w:after="0" w:line="258" w:lineRule="auto"/>
        <w:rPr>
          <w:sz w:val="20"/>
          <w:szCs w:val="20"/>
          <w:color w:val="auto"/>
        </w:rPr>
      </w:pPr>
      <w:r>
        <w:rPr>
          <w:rFonts w:ascii="Times New Roman" w:cs="Times New Roman" w:eastAsia="Times New Roman" w:hAnsi="Times New Roman"/>
          <w:sz w:val="18"/>
          <w:szCs w:val="18"/>
          <w:color w:val="auto"/>
        </w:rPr>
        <w:t>Total revenue increased by $3.8 million, or 6.3%, from $60.0 million during the year ended December 31, 2022, to $63.8 million during the year ended December 31, 2023. The increase was primarily driven by the increase in licensing, royalty, patent, and other revenue of $5.7 million due to revenue recognized under our RAD-Hard projects. This was offset by a decline in product sales due to volume shifts in customer demand of $1.9 million or 3.5%, from $55.0 million during the year ended December 31, 2022, to $53.1 million during the year ended December 31, 2023.</w:t>
      </w:r>
    </w:p>
    <w:p>
      <w:pPr>
        <w:spacing w:after="0" w:line="183" w:lineRule="exact"/>
        <w:rPr>
          <w:sz w:val="20"/>
          <w:szCs w:val="20"/>
          <w:color w:val="auto"/>
        </w:rPr>
      </w:pPr>
    </w:p>
    <w:p>
      <w:pPr>
        <w:ind w:left="60" w:right="99" w:firstLine="401"/>
        <w:spacing w:after="0" w:line="254"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We estimate royalty revenue earned throughout the year, with an annual adjustment recognized for actual sales in the first quarter of each fiscal year. Licensing, royalty, patent, and other revenue increased by $5.7 million, from $5.0 million during the year ended December 31, 2022, to $10.6 million during the year ended December 31, 2023. The increase was primarily due to an increase in licensing revenues of $5.5 million from our contractual agreements with customers for the development of RAD-Hard products, along with an increase of $0.7 million of other revenue related to a contractual arrangement with a customer for the development of reliability models for strategic radiation hardened toggle MRAM, offset in part by a decrease of $0.5 million in royalty revenue. There were no patent sales during the year ended December 31, 2023.</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gridSpan w:val="8"/>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$ 24,693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$ 26,520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6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99" w:firstLine="401"/>
        <w:spacing w:after="0" w:line="266" w:lineRule="auto"/>
        <w:rPr>
          <w:sz w:val="20"/>
          <w:szCs w:val="20"/>
          <w:color w:val="auto"/>
        </w:rPr>
      </w:pPr>
      <w:r>
        <w:rPr>
          <w:rFonts w:ascii="Times New Roman" w:cs="Times New Roman" w:eastAsia="Times New Roman" w:hAnsi="Times New Roman"/>
          <w:sz w:val="18"/>
          <w:szCs w:val="18"/>
          <w:color w:val="auto"/>
        </w:rPr>
        <w:t>Cost of product sales decreased by $0.4 million, or 1.7%, from $25.1 million during the year ended December 31, 2022, to $24.7 million during the year ended December 31, 2023. The decrease was primarily due to a reduction in product sales compared to the prior year.</w:t>
      </w:r>
    </w:p>
    <w:p>
      <w:pPr>
        <w:spacing w:after="0" w:line="176" w:lineRule="exact"/>
        <w:rPr>
          <w:sz w:val="20"/>
          <w:szCs w:val="20"/>
          <w:color w:val="auto"/>
        </w:rPr>
      </w:pPr>
    </w:p>
    <w:p>
      <w:pPr>
        <w:ind w:left="60" w:right="199" w:firstLine="401"/>
        <w:spacing w:after="0" w:line="266" w:lineRule="auto"/>
        <w:rPr>
          <w:sz w:val="20"/>
          <w:szCs w:val="20"/>
          <w:color w:val="auto"/>
        </w:rPr>
      </w:pPr>
      <w:r>
        <w:rPr>
          <w:rFonts w:ascii="Times New Roman" w:cs="Times New Roman" w:eastAsia="Times New Roman" w:hAnsi="Times New Roman"/>
          <w:sz w:val="18"/>
          <w:szCs w:val="18"/>
          <w:color w:val="auto"/>
        </w:rPr>
        <w:t>Cost of licensing, royalty, patent, and other revenue increased by $0.9 million, or 96.9%, from $0.9 million during the year ended December 31, 2022, to $1.8 million during the year ended December 31, 2023. The increase was due to an increase in licensing costs related to labor and materials associated with the progression of our RAD-Hard projects.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01"/>
        <w:spacing w:after="0" w:line="266" w:lineRule="auto"/>
        <w:rPr>
          <w:sz w:val="20"/>
          <w:szCs w:val="20"/>
          <w:color w:val="auto"/>
        </w:rPr>
      </w:pPr>
      <w:r>
        <w:rPr>
          <w:rFonts w:ascii="Times New Roman" w:cs="Times New Roman" w:eastAsia="Times New Roman" w:hAnsi="Times New Roman"/>
          <w:sz w:val="18"/>
          <w:szCs w:val="18"/>
          <w:color w:val="auto"/>
        </w:rPr>
        <w:t>Our gross margin increased from 56.6% during the year ended December 31, 2022, to 58.4% during the year ended December 31, 2023. Our gross margin increased by offsetting increased pricing from suppliers with increased yields on our toggle products and increased licensing revenue to offset the decrease in product sales.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60" w:right="199" w:firstLine="401"/>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gridSpan w:val="5"/>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$ 11,776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$ 11,108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$ 668</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6.0 %</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7" w:lineRule="exact"/>
        <w:rPr>
          <w:sz w:val="20"/>
          <w:szCs w:val="20"/>
          <w:color w:val="auto"/>
        </w:rPr>
      </w:pPr>
    </w:p>
    <w:p>
      <w:pPr>
        <w:ind w:left="60" w:right="179"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$0.7 million, or 6.0%,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$11.1 million during the year ended December 31, 2022, to $11.8 million during the year ended December 31, 2023. The increase was primarily due to higher expenses relating to the development and enhancement of our new xSPI family of STT-MRAM products and increases in share-based compensation.</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00" w:type="dxa"/>
            <w:vAlign w:val="bottom"/>
            <w:gridSpan w:val="4"/>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$ 14,296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$ 11,741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$ 2,555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21.8 %</w:t>
            </w: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7" w:lineRule="exact"/>
        <w:rPr>
          <w:sz w:val="20"/>
          <w:szCs w:val="20"/>
          <w:color w:val="auto"/>
        </w:rPr>
      </w:pPr>
    </w:p>
    <w:p>
      <w:pPr>
        <w:ind w:left="60" w:right="179" w:firstLine="401"/>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increased by $2.6 million, or 21.8%,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$11.7 million during the year ended December 31, 2022, to $14.3 million during the year ended December 31, 2023. The increase was primarily due to increases in professional service costs, share-based compensation, and depreciation.</w:t>
      </w:r>
    </w:p>
    <w:p>
      <w:pPr>
        <w:spacing w:after="0" w:line="16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760" w:type="dxa"/>
            <w:vAlign w:val="bottom"/>
            <w:gridSpan w:val="5"/>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5,288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4,869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$ 419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8.6 %</w:t>
            </w: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7" w:lineRule="exact"/>
        <w:rPr>
          <w:sz w:val="20"/>
          <w:szCs w:val="20"/>
          <w:color w:val="auto"/>
        </w:rPr>
      </w:pPr>
    </w:p>
    <w:p>
      <w:pPr>
        <w:ind w:left="60" w:right="219"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$0.4 million, or 8.6%, from $4.9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December 31, 2022, to $5.3 million during the year ended December 31, 2023. The increase was primarily due to an increase in variable compensation costs and contract labor.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6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3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5"/>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tcPr>
          <w:p>
            <w:pPr>
              <w:jc w:val="center"/>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r>
    </w:tbl>
    <w:p>
      <w:pPr>
        <w:spacing w:after="0" w:line="198" w:lineRule="exact"/>
        <w:rPr>
          <w:sz w:val="20"/>
          <w:szCs w:val="20"/>
          <w:color w:val="auto"/>
        </w:rPr>
      </w:pPr>
    </w:p>
    <w:p>
      <w:pPr>
        <w:ind w:left="60" w:right="79" w:firstLine="401"/>
        <w:spacing w:after="0" w:line="261" w:lineRule="auto"/>
        <w:rPr>
          <w:sz w:val="20"/>
          <w:szCs w:val="20"/>
          <w:color w:val="auto"/>
        </w:rPr>
      </w:pPr>
      <w:r>
        <w:rPr>
          <w:rFonts w:ascii="Times New Roman" w:cs="Times New Roman" w:eastAsia="Times New Roman" w:hAnsi="Times New Roman"/>
          <w:sz w:val="18"/>
          <w:szCs w:val="18"/>
          <w:color w:val="auto"/>
        </w:rPr>
        <w:t>Interest expense decreased by $0.2 million, or 77.0%, from $0.3 million during the year ended December 31, 2022, to $0.1 million during the year ended December 31, 2023. The decrease was due to having no outstanding balance under our 2019 Credit Facility as we paid off the outstanding balance in full in March 2023, resulting in no interest incurred during the remainder of 2023 after the outstanding balance was paid in full.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30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14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155"/>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3,214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$ 3,024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1,591.6 %</w:t>
            </w:r>
          </w:p>
        </w:tc>
      </w:tr>
    </w:tbl>
    <w:p>
      <w:pPr>
        <w:spacing w:after="0" w:line="198" w:lineRule="exact"/>
        <w:rPr>
          <w:sz w:val="20"/>
          <w:szCs w:val="20"/>
          <w:color w:val="auto"/>
        </w:rPr>
      </w:pPr>
    </w:p>
    <w:p>
      <w:pPr>
        <w:ind w:left="60" w:right="179" w:firstLine="405"/>
        <w:spacing w:after="0" w:line="258" w:lineRule="auto"/>
        <w:rPr>
          <w:sz w:val="20"/>
          <w:szCs w:val="20"/>
          <w:color w:val="auto"/>
        </w:rPr>
      </w:pPr>
      <w:r>
        <w:rPr>
          <w:rFonts w:ascii="Times New Roman" w:cs="Times New Roman" w:eastAsia="Times New Roman" w:hAnsi="Times New Roman"/>
          <w:sz w:val="18"/>
          <w:szCs w:val="18"/>
          <w:color w:val="auto"/>
        </w:rPr>
        <w:t>Other income, net changed by $3.0 million, from $0.2 million of expense during the year ended December 31, 2022, to $3.2 million of income during the year ended December 31, 2023. The increase was primarily due to the employee retention tax credit received during the second quarter of 2023 of $2.0 million, along with an increase in interest income earned on the money market cash account as a result of increased cash balances and increasing interest rates, offset by a loss on prepayment and termination of our 2019 Credit Facility.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39" w:firstLine="401"/>
        <w:spacing w:after="0" w:line="256" w:lineRule="auto"/>
        <w:rPr>
          <w:sz w:val="20"/>
          <w:szCs w:val="20"/>
          <w:color w:val="auto"/>
        </w:rPr>
      </w:pPr>
      <w:r>
        <w:rPr>
          <w:rFonts w:ascii="Times New Roman" w:cs="Times New Roman" w:eastAsia="Times New Roman" w:hAnsi="Times New Roman"/>
          <w:sz w:val="18"/>
          <w:szCs w:val="18"/>
          <w:color w:val="auto"/>
        </w:rPr>
        <w:t>As of December 31, 2023, we had $36.9 million of cash and cash equivalents, compared to $26.8 million as of December 31, 2022. As of December 31, 2023,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Additionally, see “Credit Facilities” below for information regarding our debt financing.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0" w:right="79" w:firstLine="401"/>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cash provided by operating activities was $13.1 million, which consisted of net income of $9.1 million, non-cash charges of $6.4 million and changes in net operating assets and liabilities of $2.3 million. The non-cash charges primarily consisted of stock-based compensation of $5.0 million, depreciation and amortization of $1.2 million, and a loss on prepayment and termination of our 2019 credit facility of $0.2 million. The change in our net operating assets and liabilities was primarily due to an increase in accounts receivable of $0.9 million due to timing of cash receipts for outstanding balances, an increase in inventory of $1.7 million to meet anticipated production volumes, an increase in prepaid and other current assets of $0.4 million, an increase in other assets of $0.2 million, an increase in accounts payable of $0.5 million, an increase in accrued liabilities of $0.8 million, and a decrease in deferred revenue of $0.5 million.</w:t>
      </w:r>
    </w:p>
    <w:p>
      <w:pPr>
        <w:spacing w:after="0" w:line="188" w:lineRule="exact"/>
        <w:rPr>
          <w:sz w:val="20"/>
          <w:szCs w:val="20"/>
          <w:color w:val="auto"/>
        </w:rPr>
      </w:pPr>
    </w:p>
    <w:p>
      <w:pPr>
        <w:ind w:left="60" w:right="79" w:firstLine="401"/>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cash provided by operating activities was $9.5 million, which primarily consisted of net income of $6.1 million, adjusted by non-cash charges of $5.3 million and a decrease of $1.9 million in our net operating assets and liabilities. The non-cash charges primarily consisted of stock-based compensation of $4.4 million, depreciation and amortization of $1.0 million, and non-cash interest expense of $0.1 million, offset by a gain on disposal of property and equipment of $0.2 million. The change in our net operating assets and liabilities was primarily due to an increase of $2.5 million in accounts receivable due to an increased sales volume and timing of cash receipts for outstanding balances and a $0.3 million increase in inventory. These were offset by an increase of $0.6 million in accounts payable due to timing of invoice due dates and a $0.2 million increase in lease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0" w:right="439" w:firstLine="40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cash used in investing activities was $1.4 million, which consisted of capital expenditures primarily for the purchase of manufacturing equipment offset by a nominal amount in proceeds received on the sale of property and equipment.</w:t>
      </w:r>
    </w:p>
    <w:p>
      <w:pPr>
        <w:spacing w:after="0" w:line="176" w:lineRule="exact"/>
        <w:rPr>
          <w:sz w:val="20"/>
          <w:szCs w:val="20"/>
          <w:color w:val="auto"/>
        </w:rPr>
      </w:pPr>
    </w:p>
    <w:p>
      <w:pPr>
        <w:ind w:left="60" w:right="339" w:firstLine="40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cash used in investing activities was $2.6 million, which consisted of capital expenditures primarily for the purchase of manufacturing equipment and purchased software offset by a nominal amount in proceeds received on the sale of property and equipment.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0" w:right="439" w:firstLine="40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cash used in financing activities was $1.6 million, which primarily consisted of $2.8 million of payments to pay off our 2019 Credit Facility offset by $1.2 million in proceeds from stock option exercises and purchases of shares under our employee stock purchase plan.</w:t>
      </w:r>
    </w:p>
    <w:p>
      <w:pPr>
        <w:spacing w:after="0" w:line="176" w:lineRule="exact"/>
        <w:rPr>
          <w:sz w:val="20"/>
          <w:szCs w:val="20"/>
          <w:color w:val="auto"/>
        </w:rPr>
      </w:pPr>
    </w:p>
    <w:p>
      <w:pPr>
        <w:ind w:left="60" w:right="119" w:firstLine="40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cash used in financing activities was $1.5 million, which primarily consisted of $2.4 million in payments on long-term debt offset by $0.9 million in proceeds from stock option exercises and purchases of shares under our employee stock purchase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May 2017, we executed a Loan and Security Agreement (2017 Credit Facility) with Silicon Valley Bank (SVB) for a $12.0 million term loan, which we subsequently amended in January 2019 and June 2019. In August 2019, we executed an Amended and Restated Loan and Security Agreement (2019 Credit Facility), which amended and restated the 2017 Credit Facility, providing for a formula revolving line of credit (Line of Credit) and a term loan (2019 Term Loan) with SVB to refinance in full the outstanding principal balance of $8.0 million under the 2017 Credit Facility.</w:t>
      </w:r>
    </w:p>
    <w:p>
      <w:pPr>
        <w:spacing w:after="0" w:line="183" w:lineRule="exact"/>
        <w:rPr>
          <w:sz w:val="20"/>
          <w:szCs w:val="20"/>
          <w:color w:val="auto"/>
        </w:rPr>
      </w:pPr>
    </w:p>
    <w:p>
      <w:pPr>
        <w:jc w:val="both"/>
        <w:ind w:left="60" w:right="99" w:firstLine="401"/>
        <w:spacing w:after="0" w:line="261" w:lineRule="auto"/>
        <w:rPr>
          <w:sz w:val="20"/>
          <w:szCs w:val="20"/>
          <w:color w:val="auto"/>
        </w:rPr>
      </w:pPr>
      <w:r>
        <w:rPr>
          <w:rFonts w:ascii="Times New Roman" w:cs="Times New Roman" w:eastAsia="Times New Roman" w:hAnsi="Times New Roman"/>
          <w:sz w:val="18"/>
          <w:szCs w:val="18"/>
          <w:color w:val="auto"/>
        </w:rPr>
        <w:t>In July 2020, we executed the first amendment to the 2019 Credit Facility with SVB. The amendment, among other things, extended the initial 12-month interest-only period for the term loan to a 16-month interest-only period and lowered the floor interest rate. The floor interest rates for 2019 Term Loan and the Line of Credit Facility were reduced from 4.75% and 6.75% to 3.75% and 4.75%, respectively.</w:t>
      </w:r>
    </w:p>
    <w:p>
      <w:pPr>
        <w:spacing w:after="0" w:line="180" w:lineRule="exact"/>
        <w:rPr>
          <w:sz w:val="20"/>
          <w:szCs w:val="20"/>
          <w:color w:val="auto"/>
        </w:rPr>
      </w:pPr>
    </w:p>
    <w:p>
      <w:pPr>
        <w:ind w:left="60" w:right="99" w:firstLine="401"/>
        <w:spacing w:after="0" w:line="254" w:lineRule="auto"/>
        <w:rPr>
          <w:sz w:val="20"/>
          <w:szCs w:val="20"/>
          <w:color w:val="auto"/>
        </w:rPr>
      </w:pPr>
      <w:r>
        <w:rPr>
          <w:rFonts w:ascii="Times New Roman" w:cs="Times New Roman" w:eastAsia="Times New Roman" w:hAnsi="Times New Roman"/>
          <w:sz w:val="18"/>
          <w:szCs w:val="18"/>
          <w:color w:val="auto"/>
        </w:rPr>
        <w:t>The amended Line of Credit allowed for a maximum draw of $5.0 million, subject to a formula borrowing base, has a two-year term and bears interest at a floating rate equal to the Wall Street Journal (WSJ) prime rate plus 1.5%, per annum, subject to a floor of 4.75%. The Line of Credit required a commitment fee of 1.6% of the maximum availability of the Line of Credit, which was paid in August 2019 upon closing, and was accounted for as a debt discount. The Line of Credit also provided for a termination fee equal to 1% of the maximum availability under the Line of Credit, which was due in case of a termination of the Line of Credit prior to the scheduled maturity date, and an unused facility fee equal to 0.125% per annum of the average unused portion of the Line of Credit, which is expensed as incurred. The Line of Credit was set to mature on August 5, 2023.</w:t>
      </w:r>
    </w:p>
    <w:p>
      <w:pPr>
        <w:spacing w:after="0" w:line="1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amended 2019 Term Loan provided for a $6.0 million term loan. The amended 2019 Term Loan had a term of 46 months, and a 16-month interest-only period followed by 30 months of equal principal payments of $200,000 per month, plus accrued interest. The 2019 Term Loan incurred interest at a floating rate equal to the WSJ prime rate minus 0.75%, subject to a floor of 3.75%. A final payment of 7% of the original principal amount of the 2019 Term Loan was to be made when the 2019 Term Loan is prepaid or repaid, whether at maturity or as a result of a prepayment or acceleration or otherwise. The additional payment, which is accounted for as a debt discount, was being accreted using the effective interest method. The 2019 Term Loan had a prepayment fee equal to 2% of the total commitment, which was due only if the 2019 Term Loan was prepaid prior to the scheduled maturity date for any reason. The 2019 Term Loan was to mature on June 1, 2023.</w:t>
      </w:r>
    </w:p>
    <w:p>
      <w:pPr>
        <w:spacing w:after="0" w:line="188"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conjunction with entering into the 2019 Credit Facility, on August 5, 2019, we and SVB amended and restated the warrant issued to SVB in connection with the first amendment to the 2017 Credit Facility, which was a warrant to purchase 9,375 shares of our common stock at an exercise price of $8.91 per share, to add an option by SVB to put the warrant back to us for $50,000 upon expiration or a liquidity event, to be prorated if SVB exercises a portion of the warrant. The warrants were set to expire on July 6, 2023. The warrant was classified as a liability and recorded at fair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value within other liabilities in our balance sheet. Due to the put right, the warrant was subject to fair value remeasurement at each subsequent reporting date until the exercise or expiration of the warrant. Any resulting change in the fair value of the warrant was to be recorded as other income, net, in our statements of income and comprehensive income. The other income recognized for the years ended 2023 and 2022 related to the change in fair value of the warrant has been minimal and immaterial to the financial statements. These warrants were extinguished as of December 31, 2023.</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Collateral for the 2019 Credit Facility included all of our assets except for intellectual property. We were required to comply with certain covenants under the 2019 Credit Facility, including requirements to maintain a minimum cash balance and availability under the Line of Credit, and restrictions on certain actions without the consent of the lender, such as limitations on our ability to engage in mergers or acquisitions, sell assets, incur indebtedness, or grant liens or negative pledges on our assets, make loans or make other investments. Under these covenants, we were prohibited from paying cash dividends with respect to our capital stock. The 2019 Credit Facility contained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2019 Term Loan.</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March 2023, the 2019 Credit Facility, consisting of our Term Loan and Line of Credit, was paid in full, and there was no outstanding balance as of December 31, 2023. We paid an early termination and prepayment fee of $170,000, which was recorded within other income, net, within the statements of income and comprehensive income for the year ended December 31, 2023. We were in compliance with all covenants throughout the 2019 Credit Facility payoff date in March 2023.</w:t>
      </w:r>
    </w:p>
    <w:p>
      <w:pPr>
        <w:spacing w:after="0" w:line="224"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the debt issuance costs and accretion of the debt discount is included in interest expense within the statements of income and comprehensive income and included in non-cash interest expense within the statement of cash flows.</w:t>
      </w:r>
    </w:p>
    <w:p>
      <w:pPr>
        <w:spacing w:after="0" w:line="203"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2019 Credit Facility, see Note 6 in the accompanying Notes to Financial Statements in Part II, Item 8 of this Form 10-K.</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419" w:firstLine="401"/>
        <w:spacing w:after="0" w:line="261" w:lineRule="auto"/>
        <w:rPr>
          <w:sz w:val="20"/>
          <w:szCs w:val="20"/>
          <w:color w:val="auto"/>
        </w:rPr>
      </w:pPr>
      <w:r>
        <w:rPr>
          <w:rFonts w:ascii="Times New Roman" w:cs="Times New Roman" w:eastAsia="Times New Roman" w:hAnsi="Times New Roman"/>
          <w:sz w:val="18"/>
          <w:szCs w:val="18"/>
          <w:color w:val="auto"/>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imposed on revenue transactions, which are subsequently remitted to governmental authorities.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right="99" w:firstLine="401"/>
        <w:spacing w:after="0" w:line="256" w:lineRule="auto"/>
        <w:rPr>
          <w:sz w:val="20"/>
          <w:szCs w:val="20"/>
          <w:color w:val="auto"/>
        </w:rPr>
      </w:pPr>
      <w:r>
        <w:rPr>
          <w:rFonts w:ascii="Times New Roman" w:cs="Times New Roman" w:eastAsia="Times New Roman" w:hAnsi="Times New Roman"/>
          <w:sz w:val="18"/>
          <w:szCs w:val="18"/>
          <w:color w:val="auto"/>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 from products sold using our technology occurs, sales of backend foundry services over time, and design services to third parties either at a point in time or over time, depending on the nature of the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left="60" w:right="139" w:firstLine="401"/>
        <w:spacing w:after="0" w:line="261" w:lineRule="auto"/>
        <w:rPr>
          <w:sz w:val="20"/>
          <w:szCs w:val="20"/>
          <w:color w:val="auto"/>
        </w:rPr>
      </w:pPr>
      <w:r>
        <w:rPr>
          <w:rFonts w:ascii="Times New Roman" w:cs="Times New Roman" w:eastAsia="Times New Roman" w:hAnsi="Times New Roman"/>
          <w:sz w:val="18"/>
          <w:szCs w:val="18"/>
          <w:color w:val="auto"/>
        </w:rPr>
        <w:t>For products sold in their discrete form, we either sell our products directly to OEMs,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spacing w:after="0" w:line="180" w:lineRule="exact"/>
        <w:rPr>
          <w:sz w:val="20"/>
          <w:szCs w:val="20"/>
          <w:color w:val="auto"/>
        </w:rPr>
      </w:pPr>
    </w:p>
    <w:p>
      <w:pPr>
        <w:ind w:left="60" w:right="79" w:firstLine="401"/>
        <w:spacing w:after="0" w:line="253" w:lineRule="auto"/>
        <w:rPr>
          <w:sz w:val="20"/>
          <w:szCs w:val="20"/>
          <w:color w:val="auto"/>
        </w:rPr>
      </w:pPr>
      <w:r>
        <w:rPr>
          <w:rFonts w:ascii="Times New Roman" w:cs="Times New Roman" w:eastAsia="Times New Roman" w:hAnsi="Times New Roman"/>
          <w:sz w:val="18"/>
          <w:szCs w:val="18"/>
          <w:color w:val="auto"/>
        </w:rPr>
        <w:t>From time to time, we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adjustments for amounts due to distributors. We estimate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spacing w:after="0" w:line="190" w:lineRule="exact"/>
        <w:rPr>
          <w:sz w:val="20"/>
          <w:szCs w:val="20"/>
          <w:color w:val="auto"/>
        </w:rPr>
      </w:pPr>
    </w:p>
    <w:p>
      <w:pPr>
        <w:ind w:left="60" w:right="139" w:firstLine="401"/>
        <w:spacing w:after="0" w:line="261" w:lineRule="auto"/>
        <w:rPr>
          <w:sz w:val="20"/>
          <w:szCs w:val="20"/>
          <w:color w:val="auto"/>
        </w:rPr>
      </w:pPr>
      <w:r>
        <w:rPr>
          <w:rFonts w:ascii="Times New Roman" w:cs="Times New Roman" w:eastAsia="Times New Roman" w:hAnsi="Times New Roman"/>
          <w:sz w:val="18"/>
          <w:szCs w:val="18"/>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80" w:lineRule="exact"/>
        <w:rPr>
          <w:sz w:val="20"/>
          <w:szCs w:val="20"/>
          <w:color w:val="auto"/>
        </w:rPr>
      </w:pPr>
    </w:p>
    <w:p>
      <w:pPr>
        <w:ind w:left="60" w:right="119" w:firstLine="401"/>
        <w:spacing w:after="0" w:line="261" w:lineRule="auto"/>
        <w:rPr>
          <w:sz w:val="20"/>
          <w:szCs w:val="20"/>
          <w:color w:val="auto"/>
        </w:rPr>
      </w:pPr>
      <w:r>
        <w:rPr>
          <w:rFonts w:ascii="Times New Roman" w:cs="Times New Roman" w:eastAsia="Times New Roman" w:hAnsi="Times New Roman"/>
          <w:sz w:val="18"/>
          <w:szCs w:val="18"/>
          <w:color w:val="auto"/>
        </w:rPr>
        <w:t>Upon the transfer of control, generally at shipment,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income and comprehensive income.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left="60" w:right="339" w:firstLine="401"/>
        <w:spacing w:after="0" w:line="256" w:lineRule="auto"/>
        <w:rPr>
          <w:sz w:val="20"/>
          <w:szCs w:val="20"/>
          <w:color w:val="auto"/>
        </w:rPr>
      </w:pPr>
      <w:r>
        <w:rPr>
          <w:rFonts w:ascii="Times New Roman" w:cs="Times New Roman" w:eastAsia="Times New Roman" w:hAnsi="Times New Roman"/>
          <w:sz w:val="18"/>
          <w:szCs w:val="18"/>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87" w:lineRule="exact"/>
        <w:rPr>
          <w:sz w:val="20"/>
          <w:szCs w:val="20"/>
          <w:color w:val="auto"/>
        </w:rPr>
      </w:pPr>
    </w:p>
    <w:p>
      <w:pPr>
        <w:ind w:left="60" w:right="179" w:firstLine="401"/>
        <w:spacing w:after="0" w:line="282" w:lineRule="auto"/>
        <w:rPr>
          <w:sz w:val="20"/>
          <w:szCs w:val="20"/>
          <w:color w:val="auto"/>
        </w:rPr>
      </w:pPr>
      <w:r>
        <w:rPr>
          <w:rFonts w:ascii="Times New Roman" w:cs="Times New Roman" w:eastAsia="Times New Roman" w:hAnsi="Times New Roman"/>
          <w:sz w:val="18"/>
          <w:szCs w:val="18"/>
          <w:color w:val="auto"/>
        </w:rPr>
        <w:t>We recognize revenue from non-refundable upfront payments when the license is transferred to the customer and we have no other performance obligations.</w:t>
      </w:r>
    </w:p>
    <w:p>
      <w:pPr>
        <w:spacing w:after="0" w:line="162" w:lineRule="exact"/>
        <w:rPr>
          <w:sz w:val="20"/>
          <w:szCs w:val="20"/>
          <w:color w:val="auto"/>
        </w:rPr>
      </w:pPr>
    </w:p>
    <w:p>
      <w:pPr>
        <w:ind w:left="60" w:right="159" w:firstLine="324"/>
        <w:spacing w:after="0" w:line="273" w:lineRule="auto"/>
        <w:rPr>
          <w:sz w:val="20"/>
          <w:szCs w:val="20"/>
          <w:color w:val="auto"/>
        </w:rPr>
      </w:pPr>
      <w:r>
        <w:rPr>
          <w:rFonts w:ascii="Times New Roman" w:cs="Times New Roman" w:eastAsia="Times New Roman" w:hAnsi="Times New Roman"/>
          <w:sz w:val="17"/>
          <w:szCs w:val="17"/>
          <w:color w:val="auto"/>
        </w:rPr>
        <w:t>We also have entered into multiple contractual agreements with customers for the development of a RAD-Hard product, consisting of a technology license, a design license agreement and development contract and for the development of a strategic radiation hardened field programmable gate array product, consisting of a technology license to provide design and development services under the contractual agreements. We applied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71"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concluded these contractual arrangements represent one arrangement and evaluated our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we determined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licenses were not distinct within the context of the contract and combined the license with other performance obligations.</w:t>
      </w:r>
    </w:p>
    <w:p>
      <w:pPr>
        <w:spacing w:after="0" w:line="225"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As a result, we are recognizing revenue related to the performance obligations over time using the input method based on costs incurred to date relative to the total expected costs of the contract over the performance obligation period.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0" w:right="79" w:firstLine="405"/>
        <w:spacing w:after="0" w:line="254" w:lineRule="auto"/>
        <w:rPr>
          <w:sz w:val="20"/>
          <w:szCs w:val="20"/>
          <w:color w:val="auto"/>
        </w:rPr>
      </w:pPr>
      <w:r>
        <w:rPr>
          <w:rFonts w:ascii="Times New Roman" w:cs="Times New Roman" w:eastAsia="Times New Roman" w:hAnsi="Times New Roman"/>
          <w:sz w:val="18"/>
          <w:szCs w:val="18"/>
          <w:color w:val="auto"/>
        </w:rPr>
        <w:t>We record inventories at the lower of cost, determined on a first-in, first-out basis or net realizable value. We write down inventory for estimated excess or obsolete inventory equal to the difference between cost and estimated net realizable value. Inventory write downs establish a new cost basis for inventory and charges are not subsequently reversed even if circumstances subsequently indicate that increased carrying amounts are recoverable. In estimating these reserves, our evaluation takes into consideration historical and expected future demand considering current market conditions and trends, the effect new products may have on the sale of existing products, technological obsolescence, and other factors. We record inventory write-downs for the valuation of inventory when required based on our analyses and any write-downs result in a new cost basis for the affected item.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339" w:firstLine="401"/>
        <w:spacing w:after="0" w:line="266" w:lineRule="auto"/>
        <w:rPr>
          <w:sz w:val="20"/>
          <w:szCs w:val="20"/>
          <w:color w:val="auto"/>
        </w:rPr>
      </w:pPr>
      <w:r>
        <w:rPr>
          <w:rFonts w:ascii="Times New Roman" w:cs="Times New Roman" w:eastAsia="Times New Roman" w:hAnsi="Times New Roman"/>
          <w:sz w:val="18"/>
          <w:szCs w:val="18"/>
          <w:color w:val="auto"/>
        </w:rPr>
        <w:t>See Note 2 in the accompanying Notes to Financial Statements in Part II, Item 8 of this Form 10-K for more information about recent accounting pronouncements, the timing of their adoption, and our assessment, to the extent we have made one yet, of their potential impact on our financial condition of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500" w:type="dxa"/>
            <w:vAlign w:val="bottom"/>
            <w:gridSpan w:val="8"/>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2"/>
        </w:trPr>
        <w:tc>
          <w:tcPr>
            <w:tcW w:w="4220" w:type="dxa"/>
            <w:vAlign w:val="bottom"/>
            <w:tcBorders>
              <w:top w:val="single" w:sz="8" w:color="0000EE"/>
            </w:tcBorders>
            <w:gridSpan w:val="7"/>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4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79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Balance Sheets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Statements of Income and Comprehensive Income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Statements of Stockholders’ Equity</w:t>
            </w:r>
          </w:p>
        </w:tc>
        <w:tc>
          <w:tcPr>
            <w:tcW w:w="43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w:t>
            </w:r>
          </w:p>
        </w:tc>
        <w:tc>
          <w:tcPr>
            <w:tcW w:w="54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Everspin Technologies,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Everspin Technologies, Inc. (the Company) as of December 31, 2023 and 2022, the related statements of income and comprehensive income,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for Inventory</w:t>
      </w:r>
    </w:p>
    <w:p>
      <w:pPr>
        <w:spacing w:after="0" w:line="241"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 2 to the financial statements, Inventory is valued at the lower of cost or net</w:t>
      </w:r>
    </w:p>
    <w:p>
      <w:pPr>
        <w:sectPr>
          <w:pgSz w:w="11900" w:h="16838" w:orient="portrait"/>
          <w:cols w:equalWidth="0" w:num="1">
            <w:col w:w="9019"/>
          </w:cols>
          <w:pgMar w:left="1440" w:top="513" w:right="1440" w:bottom="1440" w:gutter="0" w:footer="0" w:header="0"/>
        </w:sectPr>
      </w:pP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Matter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79"/>
        <w:spacing w:after="0" w:line="260" w:lineRule="auto"/>
        <w:rPr>
          <w:sz w:val="20"/>
          <w:szCs w:val="20"/>
          <w:color w:val="auto"/>
        </w:rPr>
      </w:pPr>
      <w:r>
        <w:rPr>
          <w:rFonts w:ascii="Times New Roman" w:cs="Times New Roman" w:eastAsia="Times New Roman" w:hAnsi="Times New Roman"/>
          <w:sz w:val="18"/>
          <w:szCs w:val="18"/>
          <w:color w:val="auto"/>
        </w:rPr>
        <w:t>realizable value using the first-in, first-out method. At December 31, 2023 the Company’s inventory balance was $8.4 million.</w:t>
      </w:r>
    </w:p>
    <w:p>
      <w:pPr>
        <w:spacing w:after="0" w:line="181" w:lineRule="exact"/>
        <w:rPr>
          <w:sz w:val="20"/>
          <w:szCs w:val="20"/>
          <w:color w:val="auto"/>
        </w:rPr>
      </w:pPr>
    </w:p>
    <w:p>
      <w:pPr>
        <w:sectPr>
          <w:pgSz w:w="11900" w:h="16838" w:orient="portrait"/>
          <w:cols w:equalWidth="0" w:num="2">
            <w:col w:w="900" w:space="720"/>
            <w:col w:w="7399"/>
          </w:cols>
          <w:pgMar w:left="1440" w:top="513" w:right="1440" w:bottom="1440" w:gutter="0" w:footer="0" w:header="0"/>
          <w:type w:val="continuous"/>
        </w:sectPr>
      </w:pPr>
    </w:p>
    <w:p>
      <w:pPr>
        <w:ind w:left="1620" w:right="179"/>
        <w:spacing w:after="0" w:line="261" w:lineRule="auto"/>
        <w:rPr>
          <w:sz w:val="20"/>
          <w:szCs w:val="20"/>
          <w:color w:val="auto"/>
        </w:rPr>
      </w:pPr>
      <w:r>
        <w:rPr>
          <w:rFonts w:ascii="Times New Roman" w:cs="Times New Roman" w:eastAsia="Times New Roman" w:hAnsi="Times New Roman"/>
          <w:sz w:val="18"/>
          <w:szCs w:val="18"/>
          <w:color w:val="auto"/>
        </w:rPr>
        <w:t>Auditing the Company's accounting for inventory was challenging and complex primarily due to the high volume of transactions and multiple data sources involved in the initiation, processing, and recording of inventory transactions. The data sources include information received from the Company’s several third-party suppliers involved in the manufacturing process.</w:t>
      </w:r>
    </w:p>
    <w:p>
      <w:pPr>
        <w:sectPr>
          <w:pgSz w:w="11900" w:h="16838" w:orient="portrait"/>
          <w:cols w:equalWidth="0" w:num="1">
            <w:col w:w="9019"/>
          </w:cols>
          <w:pgMar w:left="1440" w:top="513" w:right="1440" w:bottom="1440" w:gutter="0" w:footer="0" w:header="0"/>
          <w:type w:val="continuous"/>
        </w:sectPr>
      </w:pPr>
    </w:p>
    <w:p>
      <w:pPr>
        <w:spacing w:after="0" w:line="178" w:lineRule="exact"/>
        <w:rPr>
          <w:sz w:val="20"/>
          <w:szCs w:val="20"/>
          <w:color w:val="auto"/>
        </w:rPr>
      </w:pPr>
    </w:p>
    <w:p>
      <w:pPr>
        <w:ind w:left="6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9"/>
        <w:spacing w:after="0" w:line="261" w:lineRule="auto"/>
        <w:rPr>
          <w:sz w:val="20"/>
          <w:szCs w:val="20"/>
          <w:color w:val="auto"/>
        </w:rPr>
      </w:pPr>
      <w:r>
        <w:rPr>
          <w:rFonts w:ascii="Times New Roman" w:cs="Times New Roman" w:eastAsia="Times New Roman" w:hAnsi="Times New Roman"/>
          <w:sz w:val="18"/>
          <w:szCs w:val="18"/>
          <w:color w:val="auto"/>
        </w:rPr>
        <w:t>To test the Company’s accounting for inventory, we performed audit procedures that included, among others, performing physical observation and direct confirmations of inventory held at third-party suppliers, and testing a sample of inventory transactions and manufacturing costs incurred during the year to evaluate the cost of inventory.</w:t>
      </w:r>
    </w:p>
    <w:p>
      <w:pPr>
        <w:spacing w:after="0" w:line="180" w:lineRule="exact"/>
        <w:rPr>
          <w:sz w:val="20"/>
          <w:szCs w:val="20"/>
          <w:color w:val="auto"/>
        </w:rPr>
      </w:pPr>
    </w:p>
    <w:p>
      <w:pPr>
        <w:sectPr>
          <w:pgSz w:w="11900" w:h="16838" w:orient="portrait"/>
          <w:cols w:equalWidth="0" w:num="2">
            <w:col w:w="1060" w:space="560"/>
            <w:col w:w="7399"/>
          </w:cols>
          <w:pgMar w:left="1440" w:top="513" w:right="1440"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17"/>
          <w:szCs w:val="17"/>
          <w:color w:val="auto"/>
        </w:rPr>
        <w:t>/s/ Ernst &amp; Young LLP</w:t>
      </w:r>
    </w:p>
    <w:p>
      <w:pPr>
        <w:sectPr>
          <w:pgSz w:w="11900" w:h="16838" w:orient="portrait"/>
          <w:cols w:equalWidth="0" w:num="1">
            <w:col w:w="9019"/>
          </w:cols>
          <w:pgMar w:left="1440" w:top="513" w:right="1440" w:bottom="1440" w:gutter="0" w:footer="0" w:header="0"/>
          <w:type w:val="continuous"/>
        </w:sect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21,080,472 and 20,374,288 shares issued and outstanding as of December 31, 2023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Income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cost of sales</w:t>
            </w: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64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tcPr>
          <w:p>
            <w:pPr>
              <w:spacing w:after="0"/>
              <w:rPr>
                <w:sz w:val="22"/>
                <w:szCs w:val="22"/>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20,748,302</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21,367,304</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20,775,925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6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800" w:type="dxa"/>
            <w:vAlign w:val="bottom"/>
          </w:tcPr>
          <w:p>
            <w:pPr>
              <w:jc w:val="right"/>
              <w:ind w:right="12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19,858,460</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180,067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(152,831)</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27,238</w:t>
            </w:r>
          </w:p>
        </w:tc>
        <w:tc>
          <w:tcPr>
            <w:tcW w:w="0" w:type="dxa"/>
            <w:vAlign w:val="bottom"/>
          </w:tcPr>
          <w:p>
            <w:pPr>
              <w:spacing w:after="0"/>
              <w:rPr>
                <w:sz w:val="1"/>
                <w:szCs w:val="1"/>
                <w:color w:val="auto"/>
              </w:rPr>
            </w:pPr>
          </w:p>
        </w:tc>
      </w:tr>
      <w:tr>
        <w:trPr>
          <w:trHeight w:val="126"/>
        </w:trPr>
        <w:tc>
          <w:tcPr>
            <w:tcW w:w="41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 incentive plans and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515,828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889</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4,408</w:t>
            </w:r>
          </w:p>
        </w:tc>
        <w:tc>
          <w:tcPr>
            <w:tcW w:w="0" w:type="dxa"/>
            <w:vAlign w:val="bottom"/>
          </w:tcPr>
          <w:p>
            <w:pPr>
              <w:spacing w:after="0"/>
              <w:rPr>
                <w:sz w:val="1"/>
                <w:szCs w:val="1"/>
                <w:color w:val="auto"/>
              </w:rPr>
            </w:pPr>
          </w:p>
        </w:tc>
      </w:tr>
      <w:tr>
        <w:trPr>
          <w:trHeight w:val="16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6,129</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20,374,288</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(146,702)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38,664</w:t>
            </w:r>
          </w:p>
        </w:tc>
        <w:tc>
          <w:tcPr>
            <w:tcW w:w="0" w:type="dxa"/>
            <w:vAlign w:val="bottom"/>
          </w:tcPr>
          <w:p>
            <w:pPr>
              <w:spacing w:after="0"/>
              <w:rPr>
                <w:sz w:val="1"/>
                <w:szCs w:val="1"/>
                <w:color w:val="auto"/>
              </w:rPr>
            </w:pPr>
          </w:p>
        </w:tc>
      </w:tr>
      <w:tr>
        <w:trPr>
          <w:trHeight w:val="126"/>
        </w:trPr>
        <w:tc>
          <w:tcPr>
            <w:tcW w:w="41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 incentive plans and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705,948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 of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9,052</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21,080,472</w:t>
            </w:r>
          </w:p>
        </w:tc>
        <w:tc>
          <w:tcPr>
            <w:tcW w:w="38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191,569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(137,650)</w:t>
            </w:r>
          </w:p>
        </w:tc>
        <w:tc>
          <w:tcPr>
            <w:tcW w:w="100" w:type="dxa"/>
            <w:vAlign w:val="bottom"/>
          </w:tcPr>
          <w:p>
            <w:pPr>
              <w:spacing w:after="0"/>
              <w:rPr>
                <w:sz w:val="15"/>
                <w:szCs w:val="15"/>
                <w:color w:val="auto"/>
              </w:rPr>
            </w:pPr>
          </w:p>
        </w:tc>
        <w:tc>
          <w:tcPr>
            <w:tcW w:w="160" w:type="dxa"/>
            <w:vAlign w:val="bottom"/>
            <w:gridSpan w:val="2"/>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53,921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gridSpan w:val="2"/>
          </w:tcPr>
          <w:p>
            <w:pPr>
              <w:jc w:val="right"/>
              <w:ind w:right="6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9,052</w:t>
            </w:r>
          </w:p>
        </w:tc>
        <w:tc>
          <w:tcPr>
            <w:tcW w:w="220" w:type="dxa"/>
            <w:vAlign w:val="bottom"/>
          </w:tcPr>
          <w:p>
            <w:pPr>
              <w:spacing w:after="0"/>
              <w:rPr>
                <w:sz w:val="14"/>
                <w:szCs w:val="14"/>
                <w:color w:val="auto"/>
              </w:rPr>
            </w:pPr>
          </w:p>
        </w:tc>
        <w:tc>
          <w:tcPr>
            <w:tcW w:w="800" w:type="dxa"/>
            <w:vAlign w:val="bottom"/>
            <w:gridSpan w:val="2"/>
          </w:tcPr>
          <w:p>
            <w:pPr>
              <w:jc w:val="right"/>
              <w:ind w:right="6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6,129</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982</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Gain on sale of property and equipment</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(167)</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4,408</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Loss on prepayment and termination of credit facility</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Non-cash warrant revaluation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62"/>
        </w:trPr>
        <w:tc>
          <w:tcPr>
            <w:tcW w:w="5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(889)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(2,472)</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(384)</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158</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563</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62"/>
        </w:trPr>
        <w:tc>
          <w:tcPr>
            <w:tcW w:w="584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Lease liabilities, net</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182</w:t>
            </w:r>
          </w:p>
        </w:tc>
        <w:tc>
          <w:tcPr>
            <w:tcW w:w="0" w:type="dxa"/>
            <w:vAlign w:val="bottom"/>
          </w:tcPr>
          <w:p>
            <w:pPr>
              <w:spacing w:after="0"/>
              <w:rPr>
                <w:sz w:val="1"/>
                <w:szCs w:val="1"/>
                <w:color w:val="auto"/>
              </w:rPr>
            </w:pPr>
          </w:p>
        </w:tc>
      </w:tr>
      <w:tr>
        <w:trPr>
          <w:trHeight w:val="155"/>
        </w:trPr>
        <w:tc>
          <w:tcPr>
            <w:tcW w:w="584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13,128</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9,493</w:t>
            </w:r>
          </w:p>
        </w:tc>
        <w:tc>
          <w:tcPr>
            <w:tcW w:w="0" w:type="dxa"/>
            <w:vAlign w:val="bottom"/>
          </w:tcPr>
          <w:p>
            <w:pPr>
              <w:spacing w:after="0"/>
              <w:rPr>
                <w:sz w:val="1"/>
                <w:szCs w:val="1"/>
                <w:color w:val="auto"/>
              </w:rPr>
            </w:pPr>
          </w:p>
        </w:tc>
      </w:tr>
      <w:tr>
        <w:trPr>
          <w:trHeight w:val="156"/>
        </w:trPr>
        <w:tc>
          <w:tcPr>
            <w:tcW w:w="58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(1,404)</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(2,788)</w:t>
            </w:r>
          </w:p>
        </w:tc>
        <w:tc>
          <w:tcPr>
            <w:tcW w:w="0" w:type="dxa"/>
            <w:vAlign w:val="bottom"/>
          </w:tcPr>
          <w:p>
            <w:pPr>
              <w:spacing w:after="0"/>
              <w:rPr>
                <w:sz w:val="1"/>
                <w:szCs w:val="1"/>
                <w:color w:val="auto"/>
              </w:rPr>
            </w:pPr>
          </w:p>
        </w:tc>
      </w:tr>
      <w:tr>
        <w:trPr>
          <w:trHeight w:val="162"/>
        </w:trPr>
        <w:tc>
          <w:tcPr>
            <w:tcW w:w="584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Proceeds received from sale of property and equipment</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156"/>
        </w:trPr>
        <w:tc>
          <w:tcPr>
            <w:tcW w:w="584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2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(1,385)</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(2,586)</w:t>
            </w:r>
          </w:p>
        </w:tc>
        <w:tc>
          <w:tcPr>
            <w:tcW w:w="0" w:type="dxa"/>
            <w:vAlign w:val="bottom"/>
          </w:tcPr>
          <w:p>
            <w:pPr>
              <w:spacing w:after="0"/>
              <w:rPr>
                <w:sz w:val="1"/>
                <w:szCs w:val="1"/>
                <w:color w:val="auto"/>
              </w:rPr>
            </w:pPr>
          </w:p>
        </w:tc>
      </w:tr>
      <w:tr>
        <w:trPr>
          <w:trHeight w:val="155"/>
        </w:trPr>
        <w:tc>
          <w:tcPr>
            <w:tcW w:w="58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Payments on long-term debt</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(2,790)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w:t>
            </w:r>
          </w:p>
        </w:tc>
        <w:tc>
          <w:tcPr>
            <w:tcW w:w="0" w:type="dxa"/>
            <w:vAlign w:val="bottom"/>
          </w:tcPr>
          <w:p>
            <w:pPr>
              <w:spacing w:after="0"/>
              <w:rPr>
                <w:sz w:val="1"/>
                <w:szCs w:val="1"/>
                <w:color w:val="auto"/>
              </w:rPr>
            </w:pPr>
          </w:p>
        </w:tc>
      </w:tr>
      <w:tr>
        <w:trPr>
          <w:trHeight w:val="162"/>
        </w:trPr>
        <w:tc>
          <w:tcPr>
            <w:tcW w:w="5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of debt issuance costs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45"/>
        </w:trPr>
        <w:tc>
          <w:tcPr>
            <w:tcW w:w="58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w:t>
            </w:r>
          </w:p>
        </w:tc>
        <w:tc>
          <w:tcPr>
            <w:tcW w:w="26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EFF"/>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(1,592)</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(1,521)</w:t>
            </w:r>
          </w:p>
        </w:tc>
        <w:tc>
          <w:tcPr>
            <w:tcW w:w="0" w:type="dxa"/>
            <w:vAlign w:val="bottom"/>
          </w:tcPr>
          <w:p>
            <w:pPr>
              <w:spacing w:after="0"/>
              <w:rPr>
                <w:sz w:val="1"/>
                <w:szCs w:val="1"/>
                <w:color w:val="auto"/>
              </w:rPr>
            </w:pPr>
          </w:p>
        </w:tc>
      </w:tr>
      <w:tr>
        <w:trPr>
          <w:trHeight w:val="155"/>
        </w:trPr>
        <w:tc>
          <w:tcPr>
            <w:tcW w:w="58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increase in cash and cash equivalents</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10,151</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5,386</w:t>
            </w:r>
          </w:p>
        </w:tc>
        <w:tc>
          <w:tcPr>
            <w:tcW w:w="0" w:type="dxa"/>
            <w:vAlign w:val="bottom"/>
          </w:tcPr>
          <w:p>
            <w:pPr>
              <w:spacing w:after="0"/>
              <w:rPr>
                <w:sz w:val="1"/>
                <w:szCs w:val="1"/>
                <w:color w:val="auto"/>
              </w:rPr>
            </w:pPr>
          </w:p>
        </w:tc>
      </w:tr>
      <w:tr>
        <w:trPr>
          <w:trHeight w:val="162"/>
        </w:trPr>
        <w:tc>
          <w:tcPr>
            <w:tcW w:w="584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26,795</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21,409</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2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36,946</w:t>
            </w: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26,795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1040" w:type="dxa"/>
            <w:vAlign w:val="bottom"/>
            <w:gridSpan w:val="2"/>
            <w:shd w:val="clear" w:color="auto" w:fill="CCEEFF"/>
          </w:tcPr>
          <w:p>
            <w:pPr>
              <w:jc w:val="right"/>
              <w:ind w:right="6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right"/>
              <w:ind w:right="62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1,384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1,320</w:t>
            </w:r>
          </w:p>
        </w:tc>
        <w:tc>
          <w:tcPr>
            <w:tcW w:w="0" w:type="dxa"/>
            <w:vAlign w:val="bottom"/>
          </w:tcPr>
          <w:p>
            <w:pPr>
              <w:spacing w:after="0"/>
              <w:rPr>
                <w:sz w:val="1"/>
                <w:szCs w:val="1"/>
                <w:color w:val="auto"/>
              </w:rPr>
            </w:pPr>
          </w:p>
        </w:tc>
      </w:tr>
      <w:tr>
        <w:trPr>
          <w:trHeight w:val="143"/>
        </w:trPr>
        <w:tc>
          <w:tcPr>
            <w:tcW w:w="584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2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2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12</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operating lease liabilities</w:t>
            </w:r>
          </w:p>
        </w:tc>
        <w:tc>
          <w:tcPr>
            <w:tcW w:w="1040" w:type="dxa"/>
            <w:vAlign w:val="bottom"/>
            <w:gridSpan w:val="2"/>
            <w:shd w:val="clear" w:color="auto" w:fill="CCEEFF"/>
          </w:tcPr>
          <w:p>
            <w:pPr>
              <w:jc w:val="right"/>
              <w:ind w:right="6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6,837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right"/>
              <w:ind w:right="62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43"/>
        </w:trPr>
        <w:tc>
          <w:tcPr>
            <w:tcW w:w="584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2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2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446</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807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Cashless exercise of warrants</w:t>
            </w:r>
          </w:p>
        </w:tc>
        <w:tc>
          <w:tcPr>
            <w:tcW w:w="26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780" w:type="dxa"/>
            <w:vAlign w:val="bottom"/>
            <w:tcBorders>
              <w:bottom w:val="single" w:sz="8" w:color="auto"/>
            </w:tcBorders>
          </w:tcPr>
          <w:p>
            <w:pPr>
              <w:jc w:val="right"/>
              <w:ind w:right="62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left="60" w:right="99" w:firstLine="401"/>
        <w:spacing w:after="0" w:line="256"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119" w:firstLine="401"/>
        <w:spacing w:after="0" w:line="255"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left="60" w:right="219" w:firstLine="401"/>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who reviews financial information for purposes of allocating resources and evaluating financial performance for the entire Company. As a result, the Company has single operating and reportable segment.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159" w:firstLine="401"/>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with maturity dates of 90 days or less at the date of purchase to be cash equivalents. The Company’s cash equivalents consist solely of money market funds.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139" w:firstLine="401"/>
        <w:spacing w:after="0" w:line="253"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Company generally does not require collateral or other security in support of accounts receivable. Allowances would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would be charged off against the allowance after all means of collection have been exhausted and the potential for recovery is considered remote. The Company’s evaluation determined that no material allowance for doubtful accounts was necessary at December 31, 2023 and 2022.</w:t>
      </w:r>
    </w:p>
    <w:p>
      <w:pPr>
        <w:spacing w:after="0" w:line="194" w:lineRule="exact"/>
        <w:rPr>
          <w:sz w:val="20"/>
          <w:szCs w:val="20"/>
          <w:color w:val="auto"/>
        </w:rPr>
      </w:pPr>
    </w:p>
    <w:p>
      <w:pPr>
        <w:ind w:left="60" w:right="99" w:firstLine="401"/>
        <w:spacing w:after="0" w:line="281" w:lineRule="auto"/>
        <w:rPr>
          <w:sz w:val="20"/>
          <w:szCs w:val="20"/>
          <w:color w:val="auto"/>
        </w:rPr>
      </w:pPr>
      <w:r>
        <w:rPr>
          <w:rFonts w:ascii="Times New Roman" w:cs="Times New Roman" w:eastAsia="Times New Roman" w:hAnsi="Times New Roman"/>
          <w:sz w:val="17"/>
          <w:szCs w:val="17"/>
          <w:color w:val="auto"/>
        </w:rPr>
        <w:t>The unbilled accounts receivable is an estimate of consideration to which the Company expects to be entitled for uses of the Company’s intellectual property. Certain customers report on a lagged basis and actual information is not available timely. The estimates recorded are based on historical trends in the customer’s usage and current market conditions. At December 31, 2023 and 2022, the unbilled accounts receivable balance was $475,000 and $551,000, respectively.</w:t>
      </w:r>
    </w:p>
    <w:p>
      <w:pPr>
        <w:spacing w:after="0" w:line="164" w:lineRule="exact"/>
        <w:rPr>
          <w:sz w:val="20"/>
          <w:szCs w:val="20"/>
          <w:color w:val="auto"/>
        </w:rPr>
      </w:pPr>
    </w:p>
    <w:p>
      <w:pPr>
        <w:ind w:left="60" w:right="539" w:firstLine="401"/>
        <w:spacing w:after="0" w:line="289" w:lineRule="auto"/>
        <w:rPr>
          <w:sz w:val="20"/>
          <w:szCs w:val="20"/>
          <w:color w:val="auto"/>
        </w:rPr>
      </w:pPr>
      <w:r>
        <w:rPr>
          <w:rFonts w:ascii="Times New Roman" w:cs="Times New Roman" w:eastAsia="Times New Roman" w:hAnsi="Times New Roman"/>
          <w:sz w:val="17"/>
          <w:szCs w:val="17"/>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1" w:lineRule="auto"/>
        <w:rPr>
          <w:sz w:val="20"/>
          <w:szCs w:val="20"/>
          <w:color w:val="auto"/>
        </w:rPr>
      </w:pPr>
      <w:r>
        <w:rPr>
          <w:rFonts w:ascii="Times New Roman" w:cs="Times New Roman" w:eastAsia="Times New Roman" w:hAnsi="Times New Roman"/>
          <w:sz w:val="17"/>
          <w:szCs w:val="17"/>
          <w:color w:val="auto"/>
        </w:rPr>
        <w:t>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 At December 31, 2023 and 2022, the allowance for product returns and price adjustments was $410,000 and $384,000, respectively.</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09"/>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99" w:firstLine="401"/>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left="60" w:right="99" w:firstLine="401"/>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16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40" w:type="dxa"/>
            <w:vAlign w:val="bottom"/>
            <w:tcBorders>
              <w:top w:val="single" w:sz="8" w:color="auto"/>
              <w:bottom w:val="single" w:sz="8" w:color="auto"/>
            </w:tcBorders>
            <w:gridSpan w:val="4"/>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gridSpan w:val="3"/>
            <w:vMerge w:val="continue"/>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2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9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0" w:right="179" w:firstLine="401"/>
        <w:spacing w:after="0" w:line="256" w:lineRule="auto"/>
        <w:rPr>
          <w:sz w:val="20"/>
          <w:szCs w:val="20"/>
          <w:color w:val="auto"/>
        </w:rPr>
      </w:pPr>
      <w:r>
        <w:rPr>
          <w:rFonts w:ascii="Times New Roman" w:cs="Times New Roman" w:eastAsia="Times New Roman" w:hAnsi="Times New Roman"/>
          <w:sz w:val="18"/>
          <w:szCs w:val="18"/>
          <w:color w:val="auto"/>
        </w:rPr>
        <w:t>Inventory is valued at the lower of cost, using the first-in, first-out or net realizable value. The carrying value of inventory is adjusted for excess and obsolescence based on the Company’s evaluation which takes into consideration historical and expected future demand, the effect new products may have on the sale of existing products, technological obsolescence, and other factors including inventory age and shipment. At the point of loss recognition, a new lower cost basis for that inventory is established and subsequent changes in facts and circumstances do not result in the restoration or increase in that new cost basis.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39" w:firstLine="405"/>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for identical assets or liabilities in active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right="359"/>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other than quoted prices for identical assets or liabilities in active markets, which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and</w:t>
      </w:r>
    </w:p>
    <w:p>
      <w:pPr>
        <w:spacing w:after="0" w:line="158" w:lineRule="exact"/>
        <w:rPr>
          <w:sz w:val="20"/>
          <w:szCs w:val="20"/>
          <w:color w:val="auto"/>
        </w:rPr>
      </w:pPr>
    </w:p>
    <w:p>
      <w:pPr>
        <w:ind w:left="460" w:right="259"/>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 in which there is little or no market data requiring the reporting entity to develop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assumptions.</w:t>
      </w:r>
    </w:p>
    <w:p>
      <w:pPr>
        <w:spacing w:after="0" w:line="160" w:lineRule="exact"/>
        <w:rPr>
          <w:sz w:val="20"/>
          <w:szCs w:val="20"/>
          <w:color w:val="auto"/>
        </w:rPr>
      </w:pPr>
    </w:p>
    <w:p>
      <w:pPr>
        <w:ind w:left="60" w:right="99" w:firstLine="401"/>
        <w:spacing w:after="0" w:line="255"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consisted of warrants issued in connection with the 2019 Credit Facility (as defined in Note 6). These warrants were extinguished as of December 31, 2023. The change in the fair value of the warrant liability during the year ended December 31, 2023, was immaterial.</w:t>
      </w:r>
    </w:p>
    <w:p>
      <w:pPr>
        <w:spacing w:after="0" w:line="189" w:lineRule="exact"/>
        <w:rPr>
          <w:sz w:val="20"/>
          <w:szCs w:val="20"/>
          <w:color w:val="auto"/>
        </w:rPr>
      </w:pPr>
    </w:p>
    <w:p>
      <w:pPr>
        <w:ind w:left="60" w:right="259"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79" w:firstLine="401"/>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80" w:type="dxa"/>
            <w:vAlign w:val="bottom"/>
            <w:tcBorders>
              <w:bottom w:val="single" w:sz="8" w:color="CCEEFF"/>
            </w:tcBorders>
          </w:tcPr>
          <w:p>
            <w:pPr>
              <w:spacing w:after="0"/>
              <w:rPr>
                <w:sz w:val="15"/>
                <w:szCs w:val="15"/>
                <w:color w:val="auto"/>
              </w:rPr>
            </w:pPr>
          </w:p>
        </w:tc>
        <w:tc>
          <w:tcPr>
            <w:tcW w:w="4440" w:type="dxa"/>
            <w:vAlign w:val="bottom"/>
            <w:tcBorders>
              <w:bottom w:val="single" w:sz="8" w:color="auto"/>
            </w:tcBorders>
          </w:tcPr>
          <w:p>
            <w:pPr>
              <w:jc w:val="right"/>
              <w:ind w:right="1753"/>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7 years</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useful life of the asset or the remaining lease term</w:t>
            </w:r>
          </w:p>
        </w:tc>
      </w:tr>
    </w:tbl>
    <w:p>
      <w:pPr>
        <w:spacing w:after="0" w:line="198" w:lineRule="exact"/>
        <w:rPr>
          <w:sz w:val="20"/>
          <w:szCs w:val="20"/>
          <w:color w:val="auto"/>
        </w:rPr>
      </w:pPr>
    </w:p>
    <w:p>
      <w:pPr>
        <w:ind w:left="60" w:right="59" w:firstLine="401"/>
        <w:spacing w:after="0" w:line="258" w:lineRule="auto"/>
        <w:rPr>
          <w:sz w:val="20"/>
          <w:szCs w:val="20"/>
          <w:color w:val="auto"/>
        </w:rPr>
      </w:pPr>
      <w:r>
        <w:rPr>
          <w:rFonts w:ascii="Times New Roman" w:cs="Times New Roman" w:eastAsia="Times New Roman" w:hAnsi="Times New Roman"/>
          <w:sz w:val="18"/>
          <w:szCs w:val="18"/>
          <w:color w:val="auto"/>
        </w:rPr>
        <w:t>Costs incurred to develop software for internal use during the application development phase are capitalized and amortized over such software’s estimated useful life. Costs related to the design or maintenance of internal-use software are included in operating expenses as incurred. Upon sale or retirement of assets, the cost and related accumulated depreciation are removed from the balance sheet and any resulting gain or loss is reflected in operations. Amortization expense of assets acquired through finance leases is included in the statements of income and comprehensive income.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60" w:right="639" w:firstLine="401"/>
        <w:spacing w:after="0" w:line="312" w:lineRule="auto"/>
        <w:rPr>
          <w:sz w:val="20"/>
          <w:szCs w:val="20"/>
          <w:color w:val="auto"/>
        </w:rPr>
      </w:pPr>
      <w:r>
        <w:rPr>
          <w:rFonts w:ascii="Times New Roman" w:cs="Times New Roman" w:eastAsia="Times New Roman" w:hAnsi="Times New Roman"/>
          <w:sz w:val="17"/>
          <w:szCs w:val="17"/>
          <w:color w:val="auto"/>
        </w:rPr>
        <w:t>The Company evaluates its long-lived assets, including property and equipment, at the asset group level, for impairment whenever events or changes in circumstances indicate that the carrying value of these assets may not be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recoverable. If such events or changes in circumstances occur, for purposes of this assessment, long-lived assets are grouped with other assets and liabilities at the lowest level for which identifiable cash flows are largely independent of the cash flows of other assets and liabilities. Recoverability of these assets is measured by comparison of the carrying amount of each asset group to the future undiscounted cash flows the asset group is expected to generate over its remaining life. If the asset group is considered to be impaired, the amount of any impairment is measured as the difference between the carrying value and the fair value of the impaired asset. There have been no impairments of the Company’s long-lived assets during either of the periods presented.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79" w:firstLine="401"/>
        <w:spacing w:after="0" w:line="256" w:lineRule="auto"/>
        <w:rPr>
          <w:sz w:val="20"/>
          <w:szCs w:val="20"/>
          <w:color w:val="auto"/>
        </w:rPr>
      </w:pPr>
      <w:r>
        <w:rPr>
          <w:rFonts w:ascii="Times New Roman" w:cs="Times New Roman" w:eastAsia="Times New Roman" w:hAnsi="Times New Roman"/>
          <w:sz w:val="18"/>
          <w:szCs w:val="18"/>
          <w:color w:val="auto"/>
        </w:rPr>
        <w:t>The Company leases office, lab, manufacturing space and equipment in various locations with initial lease terms of up to seven years. These leases require monthly lease payments that may be subject to annual increases throughout the lease 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87" w:lineRule="exact"/>
        <w:rPr>
          <w:sz w:val="20"/>
          <w:szCs w:val="20"/>
          <w:color w:val="auto"/>
        </w:rPr>
      </w:pPr>
    </w:p>
    <w:p>
      <w:pPr>
        <w:ind w:left="60" w:right="159" w:firstLine="401"/>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pacing w:after="0" w:line="187" w:lineRule="exact"/>
        <w:rPr>
          <w:sz w:val="20"/>
          <w:szCs w:val="20"/>
          <w:color w:val="auto"/>
        </w:rPr>
      </w:pPr>
    </w:p>
    <w:p>
      <w:pPr>
        <w:ind w:left="60" w:right="139" w:firstLine="401"/>
        <w:spacing w:after="0" w:line="255"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has elected to separate lease and non-lease components for any leases involving manufacturing facility classes of assets. Further, the Company elected the short-term lease exception policy, permitting it to not apply the recognition requirements of this standard to leases with terms of 12 months or less (short-term leases) for all classes of assets. As of December 31, 2023, the Company did not have any short-term leases.</w:t>
      </w:r>
    </w:p>
    <w:p>
      <w:pPr>
        <w:spacing w:after="0" w:line="189" w:lineRule="exact"/>
        <w:rPr>
          <w:sz w:val="20"/>
          <w:szCs w:val="20"/>
          <w:color w:val="auto"/>
        </w:rPr>
      </w:pPr>
    </w:p>
    <w:p>
      <w:pPr>
        <w:ind w:left="60" w:right="199" w:firstLine="401"/>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right-of-use assets, lease liabilities, and lease liabilities, net of current portion in the Company’s balance sheet. Finance leases are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ind w:left="60" w:right="179" w:firstLine="405"/>
        <w:spacing w:after="0" w:line="261" w:lineRule="auto"/>
        <w:rPr>
          <w:sz w:val="20"/>
          <w:szCs w:val="20"/>
          <w:color w:val="auto"/>
        </w:rPr>
      </w:pPr>
      <w:r>
        <w:rPr>
          <w:rFonts w:ascii="Times New Roman" w:cs="Times New Roman" w:eastAsia="Times New Roman" w:hAnsi="Times New Roman"/>
          <w:sz w:val="18"/>
          <w:szCs w:val="18"/>
          <w:color w:val="auto"/>
        </w:rPr>
        <w:t>The Company deferred and amortized issuance costs, underwriting fees, end of term payments, and related expenses incurred in connection with the issuance of debt instruments using the effective interest method over the terms of the respective instruments. Debt issuance costs were reflected as a direct reduction of the carrying amount of the related debt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Tax Credits, Incentives and Grants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government funding in the form of tax credits, operating-related grants, capital-related grants, or other incentives to support various business activities, including capital development, research and development, and other activities as defined by the relevant government agency awarding the tax credit, incentive, or grant. The amount received is typically based on the amount of qualifying costs incurred. The Company typically has to meet certain requirements to retain the government funding. The Company records operating-related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grants and non-income related tax credits as other income in the statements of income and comprehensive income when there is reasonable assurance that the grant will be received, and the Company will comply with the conditions specified in the grant agreement.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received Employee Retention Tax Credit (“ERTC”) refunds from the United States Treasury totaling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 million, relating to the payroll periods from October 1, 2020 through September 30, 2021. The amounts were received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provisions within the Coronavirus Aid, Relief, and Economic Security Act (“CARES Act”), the Taxpayer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Certainty and Disaster Tax Relief Act of 2020 enacted as part of the Consolidated Appropriations Act, 2021 (“Relief Act”),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American Rescue Plan Act of 2021 (“ARPA”) which provide tax relief and other stimulus measures, including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ERTC. The ERTC program allows for employers to claim a refundable tax credit against a portion of the employer share of</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Social Security tax for qualified wages paid to employees from March 13, 2020 through September 30, 2021.</w:t>
      </w:r>
    </w:p>
    <w:p>
      <w:pPr>
        <w:spacing w:after="0" w:line="207" w:lineRule="exact"/>
        <w:rPr>
          <w:sz w:val="20"/>
          <w:szCs w:val="20"/>
          <w:color w:val="auto"/>
        </w:rPr>
      </w:pPr>
    </w:p>
    <w:p>
      <w:pPr>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The Company recognized the $2.0 million tax credit within other income, net in the statements of income and comprehensive income in the second quarter of 2023, which is when the amount was received and it was determined that those amounts were reasonably assured to be retained by the Company. The Company’s compliance with the program’s qualifications may be subject to audit through the year ended December 31, 2025, which is when the statute of limitation expires. The Company has received all expected ERTC refunds based on applications that have been submitted.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119" w:firstLine="401"/>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adjustments, and any taxes imposed on specific revenue-producing transactions, which are subsequently remitted to governmental authorities.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right="99" w:firstLine="401"/>
        <w:spacing w:after="0" w:line="255" w:lineRule="auto"/>
        <w:rPr>
          <w:sz w:val="20"/>
          <w:szCs w:val="20"/>
          <w:color w:val="auto"/>
        </w:rPr>
      </w:pPr>
      <w:r>
        <w:rPr>
          <w:rFonts w:ascii="Times New Roman" w:cs="Times New Roman" w:eastAsia="Times New Roman" w:hAnsi="Times New Roman"/>
          <w:sz w:val="18"/>
          <w:szCs w:val="18"/>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left="60" w:right="179" w:firstLine="401"/>
        <w:spacing w:after="0" w:line="261" w:lineRule="auto"/>
        <w:rPr>
          <w:sz w:val="20"/>
          <w:szCs w:val="20"/>
          <w:color w:val="auto"/>
        </w:rPr>
      </w:pPr>
      <w:r>
        <w:rPr>
          <w:rFonts w:ascii="Times New Roman" w:cs="Times New Roman" w:eastAsia="Times New Roman" w:hAnsi="Times New Roman"/>
          <w:sz w:val="18"/>
          <w:szCs w:val="18"/>
          <w:color w:val="auto"/>
        </w:rPr>
        <w:t>For products sold in their discrete form, the Company either sells its products directly to OEMs, ODMs and CMs, or through a network of distributors, who in turn sell to those customers. For sales directly to OEMs, ODMs and CMs, revenue is recognized when the OEM, ODM or CM obtains control of the product, which occurs at a point in time, generally upon shipment to the customer. Contracts for sales of products are generally less than one year.</w:t>
      </w:r>
    </w:p>
    <w:p>
      <w:pPr>
        <w:spacing w:after="0" w:line="180" w:lineRule="exact"/>
        <w:rPr>
          <w:sz w:val="20"/>
          <w:szCs w:val="20"/>
          <w:color w:val="auto"/>
        </w:rPr>
      </w:pPr>
    </w:p>
    <w:p>
      <w:pPr>
        <w:ind w:left="60" w:right="79" w:firstLine="401"/>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 such estimates in the same period the related revenue is recognized, resulting in a reduction of product revenue and the establishment of an allowance for price adjustments for amounts due to distributors. The Company estimates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401"/>
        <w:spacing w:after="0" w:line="258" w:lineRule="auto"/>
        <w:rPr>
          <w:sz w:val="20"/>
          <w:szCs w:val="20"/>
          <w:color w:val="auto"/>
        </w:rPr>
      </w:pPr>
      <w:r>
        <w:rPr>
          <w:rFonts w:ascii="Times New Roman" w:cs="Times New Roman" w:eastAsia="Times New Roman" w:hAnsi="Times New Roman"/>
          <w:sz w:val="18"/>
          <w:szCs w:val="18"/>
          <w:color w:val="auto"/>
        </w:rPr>
        <w:t>The Company estimates the amount of our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not be material.</w:t>
      </w:r>
    </w:p>
    <w:p>
      <w:pPr>
        <w:spacing w:after="0" w:line="183" w:lineRule="exact"/>
        <w:rPr>
          <w:sz w:val="20"/>
          <w:szCs w:val="20"/>
          <w:color w:val="auto"/>
        </w:rPr>
      </w:pPr>
    </w:p>
    <w:p>
      <w:pPr>
        <w:ind w:left="60" w:right="159" w:firstLine="401"/>
        <w:spacing w:after="0" w:line="261" w:lineRule="auto"/>
        <w:rPr>
          <w:sz w:val="20"/>
          <w:szCs w:val="20"/>
          <w:color w:val="auto"/>
        </w:rPr>
      </w:pPr>
      <w:r>
        <w:rPr>
          <w:rFonts w:ascii="Times New Roman" w:cs="Times New Roman" w:eastAsia="Times New Roman" w:hAnsi="Times New Roman"/>
          <w:sz w:val="18"/>
          <w:szCs w:val="18"/>
          <w:color w:val="auto"/>
        </w:rPr>
        <w:t>Upon the transfer of control, generally at shipment,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income and comprehensive income.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left="60" w:right="59" w:firstLine="401"/>
        <w:spacing w:after="0" w:line="256" w:lineRule="auto"/>
        <w:rPr>
          <w:sz w:val="20"/>
          <w:szCs w:val="20"/>
          <w:color w:val="auto"/>
        </w:rPr>
      </w:pPr>
      <w:r>
        <w:rPr>
          <w:rFonts w:ascii="Times New Roman" w:cs="Times New Roman" w:eastAsia="Times New Roman" w:hAnsi="Times New Roman"/>
          <w:sz w:val="18"/>
          <w:szCs w:val="18"/>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87" w:lineRule="exact"/>
        <w:rPr>
          <w:sz w:val="20"/>
          <w:szCs w:val="20"/>
          <w:color w:val="auto"/>
        </w:rPr>
      </w:pPr>
    </w:p>
    <w:p>
      <w:pPr>
        <w:ind w:left="60" w:right="139" w:firstLine="401"/>
        <w:spacing w:after="0" w:line="282" w:lineRule="auto"/>
        <w:rPr>
          <w:sz w:val="20"/>
          <w:szCs w:val="20"/>
          <w:color w:val="auto"/>
        </w:rPr>
      </w:pPr>
      <w:r>
        <w:rPr>
          <w:rFonts w:ascii="Times New Roman" w:cs="Times New Roman" w:eastAsia="Times New Roman" w:hAnsi="Times New Roman"/>
          <w:sz w:val="18"/>
          <w:szCs w:val="18"/>
          <w:color w:val="auto"/>
        </w:rPr>
        <w:t>Revenue from non-refundable upfront payments is recognized when the license is transferred to the customer and the Company has no other performance obligations.</w:t>
      </w:r>
    </w:p>
    <w:p>
      <w:pPr>
        <w:spacing w:after="0" w:line="162" w:lineRule="exact"/>
        <w:rPr>
          <w:sz w:val="20"/>
          <w:szCs w:val="20"/>
          <w:color w:val="auto"/>
        </w:rPr>
      </w:pPr>
    </w:p>
    <w:p>
      <w:pPr>
        <w:ind w:left="60" w:right="139" w:firstLine="401"/>
        <w:spacing w:after="0" w:line="269" w:lineRule="auto"/>
        <w:rPr>
          <w:sz w:val="20"/>
          <w:szCs w:val="20"/>
          <w:color w:val="auto"/>
        </w:rPr>
      </w:pPr>
      <w:r>
        <w:rPr>
          <w:rFonts w:ascii="Times New Roman" w:cs="Times New Roman" w:eastAsia="Times New Roman" w:hAnsi="Times New Roman"/>
          <w:sz w:val="17"/>
          <w:szCs w:val="17"/>
          <w:color w:val="auto"/>
        </w:rPr>
        <w:t>The Company entered into a contractual agreement with a customer in 2021 for the development of a RAD-Hard product, consisting of a technology license, a design license agreement and development contract, and separate contractual agreements with a customer in 2022 and 2023 for the development of a strategic radiation hardened field programmable gate array product, consisting of a technology license to provide design and development services under the contractual agreement. The Company applies a five-step approach in determining the amount and timing of revenue to be recognized:</w:t>
      </w:r>
    </w:p>
    <w:p>
      <w:pPr>
        <w:spacing w:after="0" w:line="3" w:lineRule="exact"/>
        <w:rPr>
          <w:sz w:val="20"/>
          <w:szCs w:val="20"/>
          <w:color w:val="auto"/>
        </w:rPr>
      </w:pPr>
    </w:p>
    <w:p>
      <w:pPr>
        <w:ind w:left="60" w:right="79" w:hanging="10"/>
        <w:spacing w:after="0" w:line="255"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86" w:lineRule="exact"/>
        <w:rPr>
          <w:sz w:val="20"/>
          <w:szCs w:val="20"/>
          <w:color w:val="auto"/>
        </w:rPr>
      </w:pPr>
    </w:p>
    <w:p>
      <w:pPr>
        <w:ind w:left="60" w:right="99" w:firstLine="401"/>
        <w:spacing w:after="0" w:line="274" w:lineRule="auto"/>
        <w:rPr>
          <w:sz w:val="20"/>
          <w:szCs w:val="20"/>
          <w:color w:val="auto"/>
        </w:rPr>
      </w:pPr>
      <w:r>
        <w:rPr>
          <w:rFonts w:ascii="Times New Roman" w:cs="Times New Roman" w:eastAsia="Times New Roman" w:hAnsi="Times New Roman"/>
          <w:sz w:val="17"/>
          <w:szCs w:val="17"/>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pacing w:after="0" w:line="173" w:lineRule="exact"/>
        <w:rPr>
          <w:sz w:val="20"/>
          <w:szCs w:val="20"/>
          <w:color w:val="auto"/>
        </w:rPr>
      </w:pPr>
    </w:p>
    <w:p>
      <w:pPr>
        <w:ind w:left="60" w:right="239" w:firstLine="405"/>
        <w:spacing w:after="0" w:line="266" w:lineRule="auto"/>
        <w:rPr>
          <w:sz w:val="20"/>
          <w:szCs w:val="20"/>
          <w:color w:val="auto"/>
        </w:rPr>
      </w:pPr>
      <w:r>
        <w:rPr>
          <w:rFonts w:ascii="Times New Roman" w:cs="Times New Roman" w:eastAsia="Times New Roman" w:hAnsi="Times New Roman"/>
          <w:sz w:val="18"/>
          <w:szCs w:val="18"/>
          <w:color w:val="auto"/>
        </w:rPr>
        <w:t>As a result, the Company is recognizing revenue related to the performance obligations over the duration of the contract using the input method based on costs incurred to date relative to the total expected costs of the contract over the contract period.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left="60" w:right="399" w:firstLine="401"/>
        <w:spacing w:after="0" w:line="282" w:lineRule="auto"/>
        <w:rPr>
          <w:sz w:val="20"/>
          <w:szCs w:val="20"/>
          <w:color w:val="auto"/>
        </w:rPr>
      </w:pPr>
      <w:r>
        <w:rPr>
          <w:rFonts w:ascii="Times New Roman" w:cs="Times New Roman" w:eastAsia="Times New Roman" w:hAnsi="Times New Roman"/>
          <w:sz w:val="18"/>
          <w:szCs w:val="18"/>
          <w:color w:val="auto"/>
        </w:rPr>
        <w:t>In an effort to monetize on its intellectual property, the Company may sell patents to customers. The performance obligations are satisfied at the point in time at which the customer obtains control of the patents.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sales-based royalties from licenses of the Company’s technology are recognized at the later of when</w:t>
      </w:r>
    </w:p>
    <w:p>
      <w:pPr>
        <w:spacing w:after="0" w:line="27" w:lineRule="exact"/>
        <w:rPr>
          <w:sz w:val="20"/>
          <w:szCs w:val="20"/>
          <w:color w:val="auto"/>
        </w:rPr>
      </w:pPr>
    </w:p>
    <w:p>
      <w:pPr>
        <w:ind w:left="60" w:right="299" w:hanging="10"/>
        <w:spacing w:after="0" w:line="255"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occurs or (2) the performance obligation to which some or all of the sales-based royalty has been allocated is satisfied (in whole or in part). The Company will record an unbilled receivable (within accounts receivable, net) for the portion of sales-based royalties that have been earned, but not invoiced at the end of each reporting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ind w:left="60" w:right="59" w:firstLine="401"/>
        <w:spacing w:after="0" w:line="258" w:lineRule="auto"/>
        <w:rPr>
          <w:sz w:val="20"/>
          <w:szCs w:val="20"/>
          <w:color w:val="auto"/>
        </w:rPr>
      </w:pPr>
      <w:r>
        <w:rPr>
          <w:rFonts w:ascii="Times New Roman" w:cs="Times New Roman" w:eastAsia="Times New Roman" w:hAnsi="Times New Roman"/>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3" w:lineRule="exact"/>
        <w:rPr>
          <w:sz w:val="20"/>
          <w:szCs w:val="20"/>
          <w:color w:val="auto"/>
        </w:rPr>
      </w:pPr>
    </w:p>
    <w:p>
      <w:pPr>
        <w:ind w:left="60" w:right="59" w:firstLine="401"/>
        <w:spacing w:after="0" w:line="255" w:lineRule="auto"/>
        <w:rPr>
          <w:sz w:val="20"/>
          <w:szCs w:val="20"/>
          <w:color w:val="auto"/>
        </w:rPr>
      </w:pPr>
      <w:r>
        <w:rPr>
          <w:rFonts w:ascii="Times New Roman" w:cs="Times New Roman" w:eastAsia="Times New Roman" w:hAnsi="Times New Roman"/>
          <w:sz w:val="18"/>
          <w:szCs w:val="18"/>
          <w:color w:val="auto"/>
        </w:rPr>
        <w:t>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29" w:lineRule="exact"/>
        <w:rPr>
          <w:sz w:val="20"/>
          <w:szCs w:val="20"/>
          <w:color w:val="auto"/>
        </w:rPr>
      </w:pPr>
    </w:p>
    <w:p>
      <w:pPr>
        <w:ind w:left="60" w:right="139" w:firstLine="401"/>
        <w:spacing w:after="0" w:line="277" w:lineRule="auto"/>
        <w:rPr>
          <w:sz w:val="20"/>
          <w:szCs w:val="20"/>
          <w:color w:val="auto"/>
        </w:rPr>
      </w:pPr>
      <w:r>
        <w:rPr>
          <w:rFonts w:ascii="Times New Roman" w:cs="Times New Roman" w:eastAsia="Times New Roman" w:hAnsi="Times New Roman"/>
          <w:sz w:val="17"/>
          <w:szCs w:val="17"/>
          <w:color w:val="auto"/>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 December 31, 2023 and 2022, as the estimated future warranty costs were not material based on the Company’s historical experience.</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19" w:firstLine="401"/>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incurred in support of internal development programs or as part of the Company’s joint development agreement with GLOBALFOUNDRIES (see Note 10).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79" w:firstLine="401"/>
        <w:spacing w:after="0" w:line="266" w:lineRule="auto"/>
        <w:rPr>
          <w:sz w:val="20"/>
          <w:szCs w:val="20"/>
          <w:color w:val="auto"/>
        </w:rPr>
      </w:pPr>
      <w:r>
        <w:rPr>
          <w:rFonts w:ascii="Times New Roman" w:cs="Times New Roman" w:eastAsia="Times New Roman" w:hAnsi="Times New Roman"/>
          <w:sz w:val="18"/>
          <w:szCs w:val="18"/>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76" w:lineRule="exact"/>
        <w:rPr>
          <w:sz w:val="20"/>
          <w:szCs w:val="20"/>
          <w:color w:val="auto"/>
        </w:rPr>
      </w:pPr>
    </w:p>
    <w:p>
      <w:pPr>
        <w:ind w:left="60" w:right="239" w:firstLine="401"/>
        <w:spacing w:after="0" w:line="261" w:lineRule="auto"/>
        <w:rPr>
          <w:sz w:val="20"/>
          <w:szCs w:val="20"/>
          <w:color w:val="auto"/>
        </w:rPr>
      </w:pPr>
      <w:r>
        <w:rPr>
          <w:rFonts w:ascii="Times New Roman" w:cs="Times New Roman" w:eastAsia="Times New Roman" w:hAnsi="Times New Roman"/>
          <w:sz w:val="18"/>
          <w:szCs w:val="18"/>
          <w:color w:val="auto"/>
        </w:rPr>
        <w:t>The Company uses RSUs with a service condition as its primary equity incentive compensation instrument for employees. Share-based compensation expense for RSUs is measured on the grant date based on the fair market value of the Company’s common stock and is recognized over the requisite service period using the straight-line method. The Company accounts for forfeitures as they occur.</w:t>
      </w:r>
    </w:p>
    <w:p>
      <w:pPr>
        <w:spacing w:after="0" w:line="180" w:lineRule="exact"/>
        <w:rPr>
          <w:sz w:val="20"/>
          <w:szCs w:val="20"/>
          <w:color w:val="auto"/>
        </w:rPr>
      </w:pPr>
    </w:p>
    <w:p>
      <w:pPr>
        <w:jc w:val="both"/>
        <w:ind w:left="60" w:right="339" w:firstLine="401"/>
        <w:spacing w:after="0" w:line="289" w:lineRule="auto"/>
        <w:rPr>
          <w:sz w:val="20"/>
          <w:szCs w:val="20"/>
          <w:color w:val="auto"/>
        </w:rPr>
      </w:pPr>
      <w:r>
        <w:rPr>
          <w:rFonts w:ascii="Times New Roman" w:cs="Times New Roman" w:eastAsia="Times New Roman" w:hAnsi="Times New Roman"/>
          <w:sz w:val="17"/>
          <w:szCs w:val="17"/>
          <w:color w:val="auto"/>
        </w:rPr>
        <w:t>The Company measures its stock option grants based on the estimated fair value of the options as of the grant date using the Black-Scholes option-pricing model. Stock-based compensation expense for stock option grants is recognized over the requisite service period using the straight-line method. The Company accounts for forfeitures as they occur.</w:t>
      </w:r>
    </w:p>
    <w:p>
      <w:pPr>
        <w:spacing w:after="0" w:line="372" w:lineRule="exact"/>
        <w:rPr>
          <w:sz w:val="20"/>
          <w:szCs w:val="20"/>
          <w:color w:val="auto"/>
        </w:rPr>
      </w:pPr>
    </w:p>
    <w:p>
      <w:pPr>
        <w:ind w:left="60" w:right="99"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determines the expected stock price volatility based on the historical volatility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common stock and the historical volatilities of a peer group. Industry peers consist of several public companies in the technology industry similar in size, stage of life cycle and financial leverage. If circumstances change such that the identified companies are no longer similar, the Company will revise its peer group to substitute more suitable companies in this calculation.</w:t>
      </w:r>
    </w:p>
    <w:p>
      <w:pPr>
        <w:spacing w:after="0" w:line="183" w:lineRule="exact"/>
        <w:rPr>
          <w:sz w:val="20"/>
          <w:szCs w:val="20"/>
          <w:color w:val="auto"/>
        </w:rPr>
      </w:pPr>
    </w:p>
    <w:p>
      <w:pPr>
        <w:ind w:left="60" w:right="519" w:firstLine="4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with a maturity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 in effect at the time of grant.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stock-based awards are expected to be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used the simplified method to determine the expected term, which is calculated as the average of the time to vesting and the contractual life of the options.</w:t>
      </w:r>
    </w:p>
    <w:p>
      <w:pPr>
        <w:spacing w:after="0" w:line="173" w:lineRule="exact"/>
        <w:rPr>
          <w:sz w:val="20"/>
          <w:szCs w:val="20"/>
          <w:color w:val="auto"/>
        </w:rPr>
      </w:pPr>
    </w:p>
    <w:p>
      <w:pPr>
        <w:ind w:left="60" w:right="99" w:firstLine="4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Company has never paid dividends on its common stock and is prohibited from paying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its common stock. Therefore, the Company used an expected dividend yield of zero.</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59" w:firstLine="401"/>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spacing w:after="0" w:line="183" w:lineRule="exact"/>
        <w:rPr>
          <w:sz w:val="20"/>
          <w:szCs w:val="20"/>
          <w:color w:val="auto"/>
        </w:rPr>
      </w:pPr>
    </w:p>
    <w:p>
      <w:pPr>
        <w:ind w:left="60" w:right="179" w:firstLine="401"/>
        <w:spacing w:after="0" w:line="261" w:lineRule="auto"/>
        <w:rPr>
          <w:sz w:val="20"/>
          <w:szCs w:val="20"/>
          <w:color w:val="auto"/>
        </w:rPr>
      </w:pPr>
      <w:r>
        <w:rPr>
          <w:rFonts w:ascii="Times New Roman" w:cs="Times New Roman" w:eastAsia="Times New Roman" w:hAnsi="Times New Roman"/>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229" w:lineRule="exact"/>
        <w:rPr>
          <w:sz w:val="20"/>
          <w:szCs w:val="20"/>
          <w:color w:val="auto"/>
        </w:rPr>
      </w:pPr>
    </w:p>
    <w:p>
      <w:pPr>
        <w:ind w:left="60" w:right="239" w:firstLine="401"/>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diluted net loss per common share is the same as basic net loss per common share since the effect of potentially dilutive securities is anti-dilutive.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Pronouncements</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2019-04, </w:t>
      </w:r>
      <w:r>
        <w:rPr>
          <w:rFonts w:ascii="Times New Roman" w:cs="Times New Roman" w:eastAsia="Times New Roman" w:hAnsi="Times New Roman"/>
          <w:sz w:val="18"/>
          <w:szCs w:val="18"/>
          <w:i w:val="1"/>
          <w:iCs w:val="1"/>
          <w:color w:val="auto"/>
        </w:rPr>
        <w:t>Codification Improvements Financial Instruments-Credit Losses (Topic 326)</w:t>
      </w:r>
      <w:r>
        <w:rPr>
          <w:rFonts w:ascii="Times New Roman" w:cs="Times New Roman" w:eastAsia="Times New Roman" w:hAnsi="Times New Roman"/>
          <w:sz w:val="18"/>
          <w:szCs w:val="18"/>
          <w:color w:val="auto"/>
        </w:rPr>
        <w:t>. ASU 2019-04 provides narrow-scope amendments to help apply ASU 2016-13, and is effective with the adoption of ASU 2016-</w:t>
      </w:r>
    </w:p>
    <w:p>
      <w:pPr>
        <w:spacing w:after="0" w:line="6" w:lineRule="exact"/>
        <w:rPr>
          <w:sz w:val="20"/>
          <w:szCs w:val="20"/>
          <w:color w:val="auto"/>
        </w:rPr>
      </w:pPr>
    </w:p>
    <w:p>
      <w:pPr>
        <w:ind w:left="60" w:right="79" w:hanging="10"/>
        <w:spacing w:after="0" w:line="260" w:lineRule="auto"/>
        <w:tabs>
          <w:tab w:leader="none" w:pos="3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ASU 2016-13 and ASU 2019-04 on January 1, 2023, and it did not have a material impact on its financial statements.</w:t>
      </w:r>
    </w:p>
    <w:p>
      <w:pPr>
        <w:spacing w:after="0" w:line="179" w:lineRule="exact"/>
        <w:rPr>
          <w:sz w:val="20"/>
          <w:szCs w:val="20"/>
          <w:color w:val="auto"/>
        </w:rPr>
      </w:pPr>
    </w:p>
    <w:p>
      <w:pPr>
        <w:ind w:left="60" w:right="139" w:firstLine="324"/>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improve an entity’s income tax disclosures, primarily through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an entity’s effective income tax rate reconciliation and additional disclosures regarding income taxes paid. ASU 2023-09 is effective for the Company’s annual reporting periods, and interim periods within those years, beginning after December 15, 2024, on a prospective basis. The Company is currently evaluating the impact that the standard will have on its financial statements.</w:t>
      </w:r>
    </w:p>
    <w:p>
      <w:pPr>
        <w:spacing w:after="0" w:line="184"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ind w:left="60" w:right="219" w:firstLine="401"/>
        <w:spacing w:after="0" w:line="266" w:lineRule="auto"/>
        <w:rPr>
          <w:sz w:val="20"/>
          <w:szCs w:val="20"/>
          <w:color w:val="auto"/>
        </w:rPr>
      </w:pPr>
      <w:r>
        <w:rPr>
          <w:rFonts w:ascii="Times New Roman" w:cs="Times New Roman" w:eastAsia="Times New Roman" w:hAnsi="Times New Roman"/>
          <w:sz w:val="18"/>
          <w:szCs w:val="18"/>
          <w:color w:val="auto"/>
        </w:rPr>
        <w:t>The Company evaluated events after December 31, 2023, and through the date the financial statements were issued, and determined any events or transactions occurring during this period that would require recognition or disclosure are appropriately addressed in these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jc w:val="both"/>
        <w:ind w:left="60" w:right="499" w:firstLine="401"/>
        <w:spacing w:after="0" w:line="266" w:lineRule="auto"/>
        <w:rPr>
          <w:sz w:val="20"/>
          <w:szCs w:val="20"/>
          <w:color w:val="auto"/>
        </w:rPr>
      </w:pPr>
      <w:r>
        <w:rPr>
          <w:rFonts w:ascii="Times New Roman" w:cs="Times New Roman" w:eastAsia="Times New Roman" w:hAnsi="Times New Roman"/>
          <w:sz w:val="18"/>
          <w:szCs w:val="18"/>
          <w:color w:val="auto"/>
        </w:rPr>
        <w:t>The Company sells products to its distributors, ODMs and OEMs. The Company also recognizes revenue under licensing, patent, and royalty agreements with some customers. The following table presents the Company’s revenues disaggregated by sales channel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w:t>
            </w: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56,675</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55,032</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licenses its intellectual property and is entitled to consideration based on the customer’s sales. The Company makes estimates in instances when the customer reports sales on a lagged basis and actual information is not available timely. The estimates are based on historical trends in the customer’s activity and current market conditions. In the year ended December 31, 2023, the Company recognized less than $0.1 million of royalty revenue related to activity occurring in the year ended December 31, 2022. In the year ended December 31, 2022, the Company recognized $0.3 million of royalty revenue related to activity occurring in the year ended December 31, 2021. This is a change in estimate and is based on actual information received from the customer. The amounts are reported in licensing, royalty, patent and other revenue in the statements of income and comprehensive income.</w:t>
      </w:r>
    </w:p>
    <w:p>
      <w:pPr>
        <w:spacing w:after="0" w:line="192" w:lineRule="exact"/>
        <w:rPr>
          <w:sz w:val="20"/>
          <w:szCs w:val="20"/>
          <w:color w:val="auto"/>
        </w:rPr>
      </w:pPr>
    </w:p>
    <w:p>
      <w:pPr>
        <w:ind w:left="60" w:right="399" w:firstLine="401"/>
        <w:spacing w:after="0" w:line="266" w:lineRule="auto"/>
        <w:rPr>
          <w:sz w:val="20"/>
          <w:szCs w:val="20"/>
          <w:color w:val="auto"/>
        </w:rPr>
      </w:pPr>
      <w:r>
        <w:rPr>
          <w:rFonts w:ascii="Times New Roman" w:cs="Times New Roman" w:eastAsia="Times New Roman" w:hAnsi="Times New Roman"/>
          <w:sz w:val="18"/>
          <w:szCs w:val="18"/>
          <w:color w:val="auto"/>
        </w:rPr>
        <w:t>We recognize revenue by geography based on the region in which our products are sold, and not to where the end products in which they are assembled are shipped. Our revenue by region for the periods indicated was as follows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35,631</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r>
      <w:tr>
        <w:trPr>
          <w:trHeight w:val="209"/>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59,985</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401"/>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during the years ended December 31, 2023 and 2022 was $1.2 million and $1.0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0"/>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executed contractual arrangements with a customer for the development of a RAD-Hard product, consisting of a technology license, design license agreement and development subcontract (RAD-Hard 1). The Company does not share in the rights to future revenues or royalties. The total arrangements are for $6.5 million in consideration.</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pacing w:after="0" w:line="183"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has billed $6.0 million for the performance under the RAD-Hard 1 contractual agreements. Under the input method of recognition, the Company has recognized $0.7 million in revenue for the year ending December 31, 2023, and $5.7 million in revenue since inception of the contractual agreements. As a result, the Company has recorded $0.3 million in deferred revenue as of December 31, 2023. The Company expects to recognize the remaining $0.8 million of the transaction price as services are performed throughout the contractual period and performance is expected to be complete in the year ended December 31, 2024.</w:t>
      </w:r>
    </w:p>
    <w:p>
      <w:pPr>
        <w:spacing w:after="0" w:line="187"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recorded $0.8 million in deferred revenue, of which $0.7 million was recognized as revenue during the year ending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299" w:firstLine="401"/>
        <w:spacing w:after="0" w:line="266" w:lineRule="auto"/>
        <w:rPr>
          <w:sz w:val="20"/>
          <w:szCs w:val="20"/>
          <w:color w:val="auto"/>
        </w:rPr>
      </w:pPr>
      <w:r>
        <w:rPr>
          <w:rFonts w:ascii="Times New Roman" w:cs="Times New Roman" w:eastAsia="Times New Roman" w:hAnsi="Times New Roman"/>
          <w:sz w:val="18"/>
          <w:szCs w:val="18"/>
          <w:color w:val="auto"/>
        </w:rPr>
        <w:t>Operating leases consist of fabrication, lab, and office space expiring at various dates through 2029. Finance leases relate to a server lease expiring in January 2025. The Company’s lease agreements do not contain any material residual value guarantees or material restrictive covenants.</w:t>
      </w:r>
    </w:p>
    <w:p>
      <w:pPr>
        <w:spacing w:after="0" w:line="176" w:lineRule="exact"/>
        <w:rPr>
          <w:sz w:val="20"/>
          <w:szCs w:val="20"/>
          <w:color w:val="auto"/>
        </w:rPr>
      </w:pPr>
    </w:p>
    <w:p>
      <w:pPr>
        <w:ind w:left="60" w:right="239" w:firstLine="401"/>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50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0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r>
    </w:tbl>
    <w:p>
      <w:pPr>
        <w:spacing w:after="0" w:line="179" w:lineRule="exact"/>
        <w:rPr>
          <w:sz w:val="20"/>
          <w:szCs w:val="20"/>
          <w:color w:val="auto"/>
        </w:rPr>
      </w:pPr>
    </w:p>
    <w:p>
      <w:pPr>
        <w:ind w:left="60" w:right="199" w:firstLine="401"/>
        <w:spacing w:after="0" w:line="266" w:lineRule="auto"/>
        <w:rPr>
          <w:sz w:val="20"/>
          <w:szCs w:val="20"/>
          <w:color w:val="auto"/>
        </w:rPr>
      </w:pPr>
      <w:r>
        <w:rPr>
          <w:rFonts w:ascii="Times New Roman" w:cs="Times New Roman" w:eastAsia="Times New Roman" w:hAnsi="Times New Roman"/>
          <w:sz w:val="18"/>
          <w:szCs w:val="18"/>
          <w:color w:val="auto"/>
        </w:rPr>
        <w:t>Lease costs for the Company’s operating leases were $1.4 million for the years ended December 31, 2023 and 2022, respectively. Lease costs for the Company’s finance lease were immaterial for the years ended December 31, 2023 and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299" w:firstLine="40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its business. Management is currently not aware of any matters that it expects will have a material adverse effect on the financial position, results of operations or cash flows of the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ind w:left="60" w:right="139" w:firstLine="401"/>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70"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March 2023, the 2019 Credit Facility, consisting of the Company’s Term Loan and Line of Credit, was paid in full, and there was no outstanding balance as of December 31, 2023. The Company paid an early termination and prepayment fee of $170,000, which was recorded within other income (expense) within the statements of income and comprehensive income for the year ended December 31, 2023. The Company was in compliance with all covenants throughout the 2019 Credit Facility payoff date in March 2023.</w:t>
      </w:r>
    </w:p>
    <w:p>
      <w:pPr>
        <w:spacing w:after="0" w:line="224"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the debt issuance costs and accretion of the debt discount is included in interest expense within the statements of income and comprehensive income and included in non-cash interest expense within the statement of cash flows.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carrying value of the Company’s 2019 Credit Facility at December 31, 2022, was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right="259" w:firstLine="401"/>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As of December 31, 2023, no dividends on common stock had been declared by the board of directors.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Reserved Shares of 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reserved shares of common stock for future issuance as follows:</w:t>
      </w:r>
    </w:p>
    <w:p>
      <w:pPr>
        <w:spacing w:after="0" w:line="22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1,793,485</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1,994,726</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option grants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598,397</w:t>
            </w: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689,472</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subject to future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656,646</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w:t>
            </w:r>
          </w:p>
        </w:tc>
      </w:tr>
      <w:tr>
        <w:trPr>
          <w:trHeight w:val="209"/>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3,316,124</w:t>
            </w:r>
          </w:p>
        </w:tc>
        <w:tc>
          <w:tcPr>
            <w:tcW w:w="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3,359,305</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0" w:right="99" w:firstLine="401"/>
        <w:spacing w:after="0" w:line="266" w:lineRule="auto"/>
        <w:rPr>
          <w:sz w:val="20"/>
          <w:szCs w:val="20"/>
          <w:color w:val="auto"/>
        </w:rPr>
      </w:pPr>
      <w:r>
        <w:rPr>
          <w:rFonts w:ascii="Times New Roman" w:cs="Times New Roman" w:eastAsia="Times New Roman" w:hAnsi="Times New Roman"/>
          <w:sz w:val="18"/>
          <w:szCs w:val="18"/>
          <w:color w:val="auto"/>
        </w:rPr>
        <w:t>In connection with the Company’s prior credit facility with Ares Venture Finance entered into in June 2015, the Company issued Ares Venture Finance a warrant to purchase 18,461 shares of the Company’s common stock at an exercise price of $26.00 per share. The warrant can be exercised at any time and expires on June 5,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2016 Employee Incentive Plan</w:t>
      </w:r>
    </w:p>
    <w:p>
      <w:pPr>
        <w:spacing w:after="0" w:line="229" w:lineRule="exact"/>
        <w:rPr>
          <w:sz w:val="20"/>
          <w:szCs w:val="20"/>
          <w:color w:val="auto"/>
        </w:rPr>
      </w:pPr>
    </w:p>
    <w:p>
      <w:pPr>
        <w:ind w:left="60" w:right="179" w:firstLine="401"/>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adopted the 2016 Equity Incentive Plan (the 2016 Plan) on April 25, 2016, which was subsequently approved on September 20, 2016 by the Company’s stockholders. The 2016 Plan became effective on October 7, 2016, the date the Company’s S-8 registration statement relating to the 2016 Plan was declared effective by the SEC.</w:t>
      </w:r>
    </w:p>
    <w:p>
      <w:pPr>
        <w:spacing w:after="0" w:line="180" w:lineRule="exact"/>
        <w:rPr>
          <w:sz w:val="20"/>
          <w:szCs w:val="20"/>
          <w:color w:val="auto"/>
        </w:rPr>
      </w:pPr>
    </w:p>
    <w:p>
      <w:pPr>
        <w:ind w:left="60" w:right="139" w:firstLine="401"/>
        <w:spacing w:after="0" w:line="261" w:lineRule="auto"/>
        <w:rPr>
          <w:sz w:val="20"/>
          <w:szCs w:val="20"/>
          <w:color w:val="auto"/>
        </w:rPr>
      </w:pPr>
      <w:r>
        <w:rPr>
          <w:rFonts w:ascii="Times New Roman" w:cs="Times New Roman" w:eastAsia="Times New Roman" w:hAnsi="Times New Roman"/>
          <w:sz w:val="18"/>
          <w:szCs w:val="18"/>
          <w:color w:val="auto"/>
        </w:rPr>
        <w:t>The Company’s 2016 Plan provides for the grant of incentive stock options,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80"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under the Company’s 2016 Plan was initially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 On May 20, 2021, the Company’s stockholders approved an amendment to the 2016 Plan to increase the total number of authorized shares of common stock available for grant thereunder by an additional 550,000 shares. At December 31, 2023, of the 3,297,663 shares of common stock reserved and available for grant under the 2016 Plan, 598,397 shares of common stock remain available for grant under the 2016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2008 Employee Incentive Plan</w:t>
      </w:r>
    </w:p>
    <w:p>
      <w:pPr>
        <w:spacing w:after="0" w:line="229" w:lineRule="exact"/>
        <w:rPr>
          <w:sz w:val="20"/>
          <w:szCs w:val="20"/>
          <w:color w:val="auto"/>
        </w:rPr>
      </w:pPr>
    </w:p>
    <w:p>
      <w:pPr>
        <w:ind w:left="60" w:right="859" w:firstLine="401"/>
        <w:spacing w:after="0" w:line="282" w:lineRule="auto"/>
        <w:rPr>
          <w:sz w:val="20"/>
          <w:szCs w:val="20"/>
          <w:color w:val="auto"/>
        </w:rPr>
      </w:pPr>
      <w:r>
        <w:rPr>
          <w:rFonts w:ascii="Times New Roman" w:cs="Times New Roman" w:eastAsia="Times New Roman" w:hAnsi="Times New Roman"/>
          <w:sz w:val="18"/>
          <w:szCs w:val="18"/>
          <w:color w:val="auto"/>
        </w:rPr>
        <w:t>The 2008 Equity Incentive Plan (the 2008 Plan) provided for the issuance of incentive stock options (ISO), nonqualified stock options, and other stock compensation awards.</w:t>
      </w:r>
    </w:p>
    <w:p>
      <w:pPr>
        <w:spacing w:after="0" w:line="162" w:lineRule="exact"/>
        <w:rPr>
          <w:sz w:val="20"/>
          <w:szCs w:val="20"/>
          <w:color w:val="auto"/>
        </w:rPr>
      </w:pPr>
    </w:p>
    <w:p>
      <w:pPr>
        <w:ind w:left="60" w:right="99" w:firstLine="401"/>
        <w:spacing w:after="0" w:line="258" w:lineRule="auto"/>
        <w:rPr>
          <w:sz w:val="20"/>
          <w:szCs w:val="20"/>
          <w:color w:val="auto"/>
        </w:rPr>
      </w:pPr>
      <w:r>
        <w:rPr>
          <w:rFonts w:ascii="Times New Roman" w:cs="Times New Roman" w:eastAsia="Times New Roman" w:hAnsi="Times New Roman"/>
          <w:sz w:val="18"/>
          <w:szCs w:val="18"/>
          <w:color w:val="auto"/>
        </w:rPr>
        <w:t>Due to the adoption of the 2016 Plan, no further grants will be made under the Company’s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2023, 35,943 options under the 2008 Plan remained outstanding.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stock option and award activity for all grants under the 2008 Plan and 2016 Plan: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8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000" w:type="dxa"/>
            <w:vAlign w:val="bottom"/>
            <w:gridSpan w:val="2"/>
            <w:vMerge w:val="continue"/>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689,472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611,228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(713,301)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cancelled/forfeited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 exercised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(161,121)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(12,177)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exercisable—December 31, 2023</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1,296,776</w:t>
            </w: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401"/>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granted options with a weighted-average grant date fair value of $3.85 and $5.40 per share, respectively.</w:t>
      </w:r>
    </w:p>
    <w:p>
      <w:pPr>
        <w:spacing w:after="0" w:line="162" w:lineRule="exact"/>
        <w:rPr>
          <w:sz w:val="20"/>
          <w:szCs w:val="20"/>
          <w:color w:val="auto"/>
        </w:rPr>
      </w:pPr>
    </w:p>
    <w:p>
      <w:pPr>
        <w:ind w:left="60" w:right="839" w:firstLine="401"/>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during the year was $2.0 million and $1.3 million, for the years ended December 31, 2023, and 2022, respectively.</w:t>
      </w:r>
    </w:p>
    <w:p>
      <w:pPr>
        <w:spacing w:after="0" w:line="162" w:lineRule="exact"/>
        <w:rPr>
          <w:sz w:val="20"/>
          <w:szCs w:val="20"/>
          <w:color w:val="auto"/>
        </w:rPr>
      </w:pPr>
    </w:p>
    <w:p>
      <w:pPr>
        <w:jc w:val="both"/>
        <w:ind w:left="60" w:right="359" w:firstLine="401"/>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$2.3 million of total unrecognized compensation expense related to unvested options which is expected to be recognized over a weighted-average period of 1.7 years. Compensation cost capitalized within inventory at December 31, 2023 and 2022 was not material.</w:t>
      </w:r>
    </w:p>
    <w:p>
      <w:pPr>
        <w:spacing w:after="0" w:line="176" w:lineRule="exact"/>
        <w:rPr>
          <w:sz w:val="20"/>
          <w:szCs w:val="20"/>
          <w:color w:val="auto"/>
        </w:rPr>
      </w:pPr>
    </w:p>
    <w:p>
      <w:pPr>
        <w:ind w:left="60" w:right="179" w:firstLine="401"/>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w:t>
      </w:r>
    </w:p>
    <w:p>
      <w:pPr>
        <w:spacing w:after="0" w:line="1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6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84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73.7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- 3.45 %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- 2.93 %</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- 6.08</w:t>
            </w:r>
          </w:p>
        </w:tc>
        <w:tc>
          <w:tcPr>
            <w:tcW w:w="180" w:type="dxa"/>
            <w:vAlign w:val="bottom"/>
            <w:shd w:val="clear" w:color="auto" w:fill="CCEEFF"/>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ind w:left="60" w:right="79" w:firstLine="401"/>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adopted the 2016 Employee Stock Purchase Plan (the ESPP) on April 25, 2016, which was subsequently approved on September 20, 2016 by the Company’s stockholders. The Company had 890,161 shares available for issuance under the Company’s ESPP as of December 31, 2023. Employees purchased 87,718 shares for $394,000 during the year ended December 31, 2023, and 77,221 shares for $342,000 during the year ended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right="159" w:firstLine="401"/>
        <w:spacing w:after="0" w:line="266" w:lineRule="auto"/>
        <w:rPr>
          <w:sz w:val="20"/>
          <w:szCs w:val="20"/>
          <w:color w:val="auto"/>
        </w:rPr>
      </w:pPr>
      <w:r>
        <w:rPr>
          <w:rFonts w:ascii="Times New Roman" w:cs="Times New Roman" w:eastAsia="Times New Roman" w:hAnsi="Times New Roman"/>
          <w:sz w:val="18"/>
          <w:szCs w:val="18"/>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value of the RSUs is recognized as expense ratably over the vesting period, as determined by the board of directors on the date of grant.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RSU activity for the year ended December 31, 2023:</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1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713,301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(457,109)</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401"/>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 As of December 31, 2023, there was $4.6 million of unrecognized stock-based compensation expense related to RSUs to be recognized over a weighted-average period of 1.8 years. Compensation cost capitalized within inventory at December 31, 2023 and 2022 was not material.</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401(k) Plan</w:t>
      </w:r>
    </w:p>
    <w:p>
      <w:pPr>
        <w:spacing w:after="0" w:line="229" w:lineRule="exact"/>
        <w:rPr>
          <w:sz w:val="20"/>
          <w:szCs w:val="20"/>
          <w:color w:val="auto"/>
        </w:rPr>
      </w:pPr>
    </w:p>
    <w:p>
      <w:pPr>
        <w:ind w:left="60" w:right="79" w:firstLine="401"/>
        <w:spacing w:after="0" w:line="289" w:lineRule="auto"/>
        <w:rPr>
          <w:sz w:val="20"/>
          <w:szCs w:val="20"/>
          <w:color w:val="auto"/>
        </w:rPr>
      </w:pPr>
      <w:r>
        <w:rPr>
          <w:rFonts w:ascii="Times New Roman" w:cs="Times New Roman" w:eastAsia="Times New Roman" w:hAnsi="Times New Roman"/>
          <w:sz w:val="17"/>
          <w:szCs w:val="17"/>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Significant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60" w:right="499" w:firstLine="401"/>
        <w:spacing w:after="0" w:line="277" w:lineRule="auto"/>
        <w:rPr>
          <w:sz w:val="20"/>
          <w:szCs w:val="20"/>
          <w:color w:val="auto"/>
        </w:rPr>
      </w:pPr>
      <w:r>
        <w:rPr>
          <w:rFonts w:ascii="Times New Roman" w:cs="Times New Roman" w:eastAsia="Times New Roman" w:hAnsi="Times New Roman"/>
          <w:sz w:val="17"/>
          <w:szCs w:val="17"/>
          <w:color w:val="auto"/>
        </w:rPr>
        <w:t>Since October 17, 2014, the Company has participated in a joint development agreement (JDA) with GLOBALFOUNDRIES Inc. (GF),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68" w:lineRule="exact"/>
        <w:rPr>
          <w:sz w:val="20"/>
          <w:szCs w:val="20"/>
          <w:color w:val="auto"/>
        </w:rPr>
      </w:pPr>
    </w:p>
    <w:p>
      <w:pPr>
        <w:ind w:left="60" w:right="279" w:firstLine="401"/>
        <w:spacing w:after="0" w:line="255"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left="60" w:right="79" w:firstLine="401"/>
        <w:spacing w:after="0" w:line="282" w:lineRule="auto"/>
        <w:rPr>
          <w:sz w:val="20"/>
          <w:szCs w:val="20"/>
          <w:color w:val="auto"/>
        </w:rPr>
      </w:pPr>
      <w:r>
        <w:rPr>
          <w:rFonts w:ascii="Times New Roman" w:cs="Times New Roman" w:eastAsia="Times New Roman" w:hAnsi="Times New Roman"/>
          <w:sz w:val="18"/>
          <w:szCs w:val="18"/>
          <w:color w:val="auto"/>
        </w:rPr>
        <w:t>If GF manufactures, sells, or transfers to customers wafers containing production quantified STT-MRAM devices that utilize certain design information, GF will be required to pay the Company a royalty.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Geographic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by country was as follows (in thousands):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401"/>
        <w:spacing w:after="0" w:line="282" w:lineRule="auto"/>
        <w:rPr>
          <w:sz w:val="20"/>
          <w:szCs w:val="20"/>
          <w:color w:val="auto"/>
        </w:rPr>
      </w:pPr>
      <w:r>
        <w:rPr>
          <w:rFonts w:ascii="Times New Roman" w:cs="Times New Roman" w:eastAsia="Times New Roman" w:hAnsi="Times New Roman"/>
          <w:sz w:val="18"/>
          <w:szCs w:val="18"/>
          <w:color w:val="auto"/>
        </w:rPr>
        <w:t>Revenue from customers is designated based on the geographic region or country to which the product is delivered or the licensee is located. Revenue by country was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60" w:right="839" w:firstLine="40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Company’s provision for income tax consisted of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9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9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6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is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401"/>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are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27,110</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Right of use liability</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32,123</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(30,328)</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use asset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401"/>
        <w:spacing w:after="0" w:line="253" w:lineRule="auto"/>
        <w:rPr>
          <w:sz w:val="20"/>
          <w:szCs w:val="20"/>
          <w:color w:val="auto"/>
        </w:rPr>
      </w:pPr>
      <w:r>
        <w:rPr>
          <w:rFonts w:ascii="Times New Roman" w:cs="Times New Roman" w:eastAsia="Times New Roman" w:hAnsi="Times New Roman"/>
          <w:sz w:val="18"/>
          <w:szCs w:val="18"/>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projected taxable income, the Company determined that, based on all available evidence, there was substantial certainty as to whether it will recover recorded net deferred taxes for certain state jurisdictions in future periods. However, as it pertains to the federal, Arizona, and Colorado net deferred tax assets, based on all the available evidence, there is substantial uncertainty as to whether it will recover recorded net deferred taxes in future periods. Accordingly, the Company recorded a partial and full valuation allowance against all of its net deferred tax assets as of December 31, 2023 and 2022, respectively. The net valuation allowance decreased by $2.6 million in 2023.</w:t>
      </w:r>
    </w:p>
    <w:p>
      <w:pPr>
        <w:spacing w:after="0" w:line="190" w:lineRule="exact"/>
        <w:rPr>
          <w:sz w:val="20"/>
          <w:szCs w:val="20"/>
          <w:color w:val="auto"/>
        </w:rPr>
      </w:pPr>
    </w:p>
    <w:p>
      <w:pPr>
        <w:ind w:left="60" w:right="59" w:firstLine="401"/>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federal net operating loss carryforwards of approximately $96.2 million, of which $55.8 million will expire in 2028 through 2037 if not utilized, and $40.5 million that will carryover indefinitely. In addition, the Company has state net operating loss carryforwards of approximately $48.7 million, of which $45.9 million will expire in 2028 through 2043 if not utilized, and $2.8 million that will carryover indefinitely.</w:t>
      </w:r>
    </w:p>
    <w:p>
      <w:pPr>
        <w:spacing w:after="0" w:line="180" w:lineRule="exact"/>
        <w:rPr>
          <w:sz w:val="20"/>
          <w:szCs w:val="20"/>
          <w:color w:val="auto"/>
        </w:rPr>
      </w:pPr>
    </w:p>
    <w:p>
      <w:pPr>
        <w:ind w:left="60" w:right="139" w:firstLine="401"/>
        <w:spacing w:after="0" w:line="261" w:lineRule="auto"/>
        <w:rPr>
          <w:sz w:val="20"/>
          <w:szCs w:val="20"/>
          <w:color w:val="auto"/>
        </w:rPr>
      </w:pPr>
      <w:r>
        <w:rPr>
          <w:rFonts w:ascii="Times New Roman" w:cs="Times New Roman" w:eastAsia="Times New Roman" w:hAnsi="Times New Roman"/>
          <w:sz w:val="18"/>
          <w:szCs w:val="18"/>
          <w:color w:val="auto"/>
        </w:rPr>
        <w:t>The Tax Reform Act of 1986 (the Act) provides for a limitation on the annual use of net operating loss carryforwards following certain ownership changes (as defined by the Act and codified under Section 382 of the U.S. Internal Revenue Code of 1986, as amended (the Code)) that could limit the Company’s ability to utilize these carryforwards. Further, a portion of the carryforwards may expire before utilized to reduce future income tax liabilities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6" w:lineRule="auto"/>
        <w:rPr>
          <w:sz w:val="20"/>
          <w:szCs w:val="20"/>
          <w:color w:val="auto"/>
        </w:rPr>
      </w:pPr>
      <w:r>
        <w:rPr>
          <w:rFonts w:ascii="Times New Roman" w:cs="Times New Roman" w:eastAsia="Times New Roman" w:hAnsi="Times New Roman"/>
          <w:sz w:val="17"/>
          <w:szCs w:val="17"/>
          <w:color w:val="auto"/>
        </w:rPr>
        <w:t>as a result of the annual limitation. The Company experienced an ownership change in October 2016 and as a result, $43.8 million ($9.2 million tax effected) of the federal NOLs are expected to expire unutilized due to limitation under Section</w:t>
      </w:r>
    </w:p>
    <w:p>
      <w:pPr>
        <w:spacing w:after="0" w:line="1"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382 of the Code. The NOLs expected to expire unutilized are included in the NOL carryforward amounts disclosed, subject to a valuation allowance.</w:t>
      </w:r>
    </w:p>
    <w:p>
      <w:pPr>
        <w:spacing w:after="0" w:line="181" w:lineRule="exact"/>
        <w:rPr>
          <w:sz w:val="20"/>
          <w:szCs w:val="20"/>
          <w:color w:val="auto"/>
        </w:rPr>
      </w:pPr>
    </w:p>
    <w:p>
      <w:pPr>
        <w:ind w:left="60" w:right="119" w:firstLine="405"/>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The Company is generally subject to U.S. federal and state income tax examination for all tax years beginning in 2008, due to the net operating losses that are carried forward.</w:t>
      </w:r>
    </w:p>
    <w:p>
      <w:pPr>
        <w:spacing w:after="0" w:line="176" w:lineRule="exact"/>
        <w:rPr>
          <w:sz w:val="20"/>
          <w:szCs w:val="20"/>
          <w:color w:val="auto"/>
        </w:rPr>
      </w:pPr>
    </w:p>
    <w:p>
      <w:pPr>
        <w:ind w:left="60" w:right="79" w:firstLine="401"/>
        <w:spacing w:after="0" w:line="282" w:lineRule="auto"/>
        <w:rPr>
          <w:sz w:val="20"/>
          <w:szCs w:val="20"/>
          <w:color w:val="auto"/>
        </w:rPr>
      </w:pPr>
      <w:r>
        <w:rPr>
          <w:rFonts w:ascii="Times New Roman" w:cs="Times New Roman" w:eastAsia="Times New Roman" w:hAnsi="Times New Roman"/>
          <w:sz w:val="18"/>
          <w:szCs w:val="18"/>
          <w:color w:val="auto"/>
        </w:rPr>
        <w:t>A summary of changes in the Company’s gross unrecognized tax benefits for the years ended December 31, 2023 and 2022 was as follows (in thousands):</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expense, beginning of the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expense, end of year</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98" w:lineRule="exact"/>
        <w:rPr>
          <w:sz w:val="20"/>
          <w:szCs w:val="20"/>
          <w:color w:val="auto"/>
        </w:rPr>
      </w:pPr>
    </w:p>
    <w:p>
      <w:pPr>
        <w:ind w:left="60" w:right="99" w:firstLine="405"/>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December 31, 2023, are $105,000 of tax benefit that, if recognized, would affect the effective tax rate. Included in the balance of uncertain tax benefits as of December 31, 2023 is $368,000 of tax benefits that, if recognized, would result in adjustments to deferred taxes.</w:t>
      </w:r>
    </w:p>
    <w:p>
      <w:pPr>
        <w:spacing w:after="0" w:line="176" w:lineRule="exact"/>
        <w:rPr>
          <w:sz w:val="20"/>
          <w:szCs w:val="20"/>
          <w:color w:val="auto"/>
        </w:rPr>
      </w:pPr>
    </w:p>
    <w:p>
      <w:pPr>
        <w:ind w:left="60" w:right="159" w:firstLine="405"/>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accrued on any unrecognized tax benefit as a component of income tax expense. The Company has accrued penalties and interest of $155,000, as of both December 31, 2023 and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Net Income Per Common Share</w:t>
      </w:r>
    </w:p>
    <w:p>
      <w:pPr>
        <w:spacing w:after="0" w:line="229" w:lineRule="exact"/>
        <w:rPr>
          <w:sz w:val="20"/>
          <w:szCs w:val="20"/>
          <w:color w:val="auto"/>
        </w:rPr>
      </w:pPr>
    </w:p>
    <w:p>
      <w:pPr>
        <w:ind w:left="60" w:right="239"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amounts):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20,748,302</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20,130,336</w:t>
            </w:r>
          </w:p>
        </w:tc>
      </w:tr>
      <w:tr>
        <w:trPr>
          <w:trHeight w:val="196"/>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common share, basic</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Diluted EPS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warrant liability fair value gain recognized</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income attributable to common stockholders, diluted</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20,748,302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RSUs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645,589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21,367,304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20,775,925</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common share, diluted</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401"/>
        <w:spacing w:after="0" w:line="312" w:lineRule="auto"/>
        <w:rPr>
          <w:sz w:val="20"/>
          <w:szCs w:val="20"/>
          <w:color w:val="auto"/>
        </w:rPr>
      </w:pPr>
      <w:r>
        <w:rPr>
          <w:rFonts w:ascii="Times New Roman" w:cs="Times New Roman" w:eastAsia="Times New Roman" w:hAnsi="Times New Roman"/>
          <w:sz w:val="17"/>
          <w:szCs w:val="17"/>
          <w:color w:val="auto"/>
        </w:rPr>
        <w:t>The following outstanding shares of potentially dilutive securities outstanding have been excluded from the computation of diluted net income per common share for the periods presented as their inclusion would be anti-dilutive:</w:t>
      </w:r>
    </w:p>
    <w:p>
      <w:pPr>
        <w:spacing w:after="0" w:line="147"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841,845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330,082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ESPP</w:t>
            </w:r>
          </w:p>
        </w:tc>
        <w:tc>
          <w:tcPr>
            <w:tcW w:w="10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962,195</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864,453</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199" w:firstLine="401"/>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Exchange Act) as of December 31, 2023.</w:t>
      </w:r>
    </w:p>
    <w:p>
      <w:pPr>
        <w:spacing w:after="0" w:line="176" w:lineRule="exact"/>
        <w:rPr>
          <w:sz w:val="20"/>
          <w:szCs w:val="20"/>
          <w:color w:val="auto"/>
        </w:rPr>
      </w:pPr>
    </w:p>
    <w:p>
      <w:pPr>
        <w:ind w:left="60" w:right="159" w:firstLine="401"/>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December 31, 2023.</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left="60" w:right="99" w:firstLine="401"/>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a report of management’s assessment regarding internal control over financial reporting (as defined in Rules 13a-15(f) and 15d-15(f) under the Exchange Act). This Annual Report on Form 10-K does not include an attestation report of our independent registered public accounting firm because, as a “smaller reporting company”, and non-accelerated filer, our independent registered public accounting firm is not required to issue such an attestation report.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report is provided by management in respect of our internal control over financial reporting:</w:t>
      </w:r>
    </w:p>
    <w:p>
      <w:pPr>
        <w:spacing w:after="0" w:line="225" w:lineRule="exact"/>
        <w:rPr>
          <w:sz w:val="20"/>
          <w:szCs w:val="20"/>
          <w:color w:val="auto"/>
        </w:rPr>
      </w:pPr>
    </w:p>
    <w:p>
      <w:pPr>
        <w:ind w:left="60" w:right="299" w:firstLine="401"/>
        <w:spacing w:after="0" w:line="28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Our management used the Committee of Sponsoring Organizations of the Treadway Commission’s Internal Control - Integrated Framework (2013), or the COSO framework, to evaluate the effectiveness of internal control over financial reporting. Management believes that the COSO framework is a suitable framework for its evaluation of financial</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2023, and has concluded that such internal control over financial reporting was effective.</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left="60" w:right="79" w:firstLine="40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year ended December 31, 2023, that materially affected, or are reasonably likely to materially affect, our internal control over financial reporting.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60" w:right="139" w:firstLine="401"/>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27" w:lineRule="exact"/>
        <w:rPr>
          <w:sz w:val="20"/>
          <w:szCs w:val="20"/>
          <w:color w:val="auto"/>
        </w:rPr>
      </w:pPr>
    </w:p>
    <w:p>
      <w:pPr>
        <w:ind w:left="60" w:right="219" w:firstLine="401"/>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December 31, 2023.</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Election of a Director.</w:t>
      </w:r>
    </w:p>
    <w:p>
      <w:pPr>
        <w:spacing w:after="0" w:line="227" w:lineRule="exact"/>
        <w:rPr>
          <w:sz w:val="20"/>
          <w:szCs w:val="20"/>
          <w:color w:val="auto"/>
        </w:rPr>
      </w:pPr>
    </w:p>
    <w:p>
      <w:pPr>
        <w:ind w:left="60" w:right="199" w:firstLine="401"/>
        <w:spacing w:after="0" w:line="256" w:lineRule="auto"/>
        <w:rPr>
          <w:sz w:val="20"/>
          <w:szCs w:val="20"/>
          <w:color w:val="auto"/>
        </w:rPr>
      </w:pPr>
      <w:r>
        <w:rPr>
          <w:rFonts w:ascii="Times New Roman" w:cs="Times New Roman" w:eastAsia="Times New Roman" w:hAnsi="Times New Roman"/>
          <w:sz w:val="18"/>
          <w:szCs w:val="18"/>
          <w:color w:val="auto"/>
        </w:rPr>
        <w:t>On February 26, 2024, Douglas Mitchell was elected as a member of our board of directors. Mr. Mitchell was appointed to serve on our Nominating and Corporate Governance Committee, effective immediately. There is no arrangement or understanding between Mr. Mitchell and any other person pursuant to which he was selected as a director. Mr. Mitchell does not have any direct or indirect material interest in any transaction required to be disclosed pursuant to Item 404(a) of Regulation S-K. We will enter into our standard indemnification and standard non-disclosure agreement with Mr. Mitchell.</w:t>
      </w:r>
    </w:p>
    <w:p>
      <w:pPr>
        <w:spacing w:after="0" w:line="187" w:lineRule="exact"/>
        <w:rPr>
          <w:sz w:val="20"/>
          <w:szCs w:val="20"/>
          <w:color w:val="auto"/>
        </w:rPr>
      </w:pPr>
    </w:p>
    <w:p>
      <w:pPr>
        <w:ind w:left="60" w:right="139" w:firstLine="225"/>
        <w:spacing w:after="0" w:line="261" w:lineRule="auto"/>
        <w:rPr>
          <w:sz w:val="20"/>
          <w:szCs w:val="20"/>
          <w:color w:val="auto"/>
        </w:rPr>
      </w:pPr>
      <w:r>
        <w:rPr>
          <w:rFonts w:ascii="Times New Roman" w:cs="Times New Roman" w:eastAsia="Times New Roman" w:hAnsi="Times New Roman"/>
          <w:sz w:val="18"/>
          <w:szCs w:val="18"/>
          <w:color w:val="auto"/>
        </w:rPr>
        <w:t>Mr. Mitchell will participate in our non-employee director compensation program. In connection with Mr. Mitchell’s election to our board of directors, Mr. Mitchell will be granted an initial RSU award with a grant value of $250,000, which will vest 50% on each of the first and second anniversary from the date of grant. Mr. Mitchell will also receive an annual cash retainer of $55,000 for his service on our board of directors.</w:t>
      </w: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299" w:firstLine="401"/>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in connection with our 2024 Annual Meeting of Stockholders, or the Proxy Statement, which will be filed not later than 120 days after the end of our fiscal year ended December 31, 2023, under the headings “Management,” “Proposal 1 - Election of Directors,” “Board Committees and Meetings,” and, to the extent applicable, “Delinquent Section 16(a) Reports,” and is incorporated herein by reference.</w:t>
      </w:r>
    </w:p>
    <w:p>
      <w:pPr>
        <w:spacing w:after="0" w:line="183" w:lineRule="exact"/>
        <w:rPr>
          <w:sz w:val="20"/>
          <w:szCs w:val="20"/>
          <w:color w:val="auto"/>
        </w:rPr>
      </w:pPr>
    </w:p>
    <w:p>
      <w:pPr>
        <w:ind w:left="60" w:right="79" w:firstLine="401"/>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679" w:firstLine="401"/>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by reference to the information set forth in the sections titled “Executive Compensation” and “Compensation of Non-Employee Board Members” in our Proxy Statement.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0" w:right="219" w:firstLine="401"/>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459" w:firstLine="401"/>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Party Transactions” and “Corporate Governance”, respectively, in our Proxy Statement.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99" w:firstLine="401"/>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00" w:hanging="250"/>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420" w:hanging="188"/>
        <w:spacing w:after="0"/>
        <w:tabs>
          <w:tab w:leader="none" w:pos="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Information in response to this Item is included in Part II, Item 8 of this Annual Report on Form 10-K.</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300" w:right="139"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8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0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80" w:type="dxa"/>
            <w:vAlign w:val="bottom"/>
            <w:gridSpan w:val="1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9"/>
                <w:szCs w:val="9"/>
                <w:color w:val="auto"/>
              </w:rPr>
            </w:pPr>
          </w:p>
        </w:tc>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80" w:type="dxa"/>
            <w:vAlign w:val="bottom"/>
            <w:vMerge w:val="restart"/>
          </w:tcPr>
          <w:p>
            <w:pPr>
              <w:spacing w:after="0"/>
              <w:rPr>
                <w:sz w:val="9"/>
                <w:szCs w:val="9"/>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vMerge w:val="restart"/>
          </w:tcPr>
          <w:p>
            <w:pPr>
              <w:spacing w:after="0"/>
              <w:rPr>
                <w:sz w:val="9"/>
                <w:szCs w:val="9"/>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19"/>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6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Amended and Restated Certificate of</w:t>
              </w:r>
            </w:hyperlink>
          </w:p>
        </w:tc>
        <w:tc>
          <w:tcPr>
            <w:tcW w:w="440" w:type="dxa"/>
            <w:vAlign w:val="bottom"/>
            <w:gridSpan w:val="8"/>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Incorporation.</w:t>
              </w:r>
            </w:hyperlink>
          </w:p>
        </w:tc>
        <w:tc>
          <w:tcPr>
            <w:tcW w:w="2080" w:type="dxa"/>
            <w:vAlign w:val="bottom"/>
            <w:gridSpan w:val="20"/>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Amendment to Amended and Restated</w:t>
              </w:r>
            </w:hyperlink>
          </w:p>
        </w:tc>
        <w:tc>
          <w:tcPr>
            <w:tcW w:w="3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Certificate of Incorporation.</w:t>
              </w:r>
            </w:hyperlink>
          </w:p>
        </w:tc>
        <w:tc>
          <w:tcPr>
            <w:tcW w:w="10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Amendment to Amended and Restated</w:t>
              </w:r>
            </w:hyperlink>
          </w:p>
        </w:tc>
        <w:tc>
          <w:tcPr>
            <w:tcW w:w="3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Incorporation.</w:t>
              </w:r>
            </w:hyperlink>
          </w:p>
        </w:tc>
        <w:tc>
          <w:tcPr>
            <w:tcW w:w="10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Amendment to Amended and Restated</w:t>
              </w:r>
            </w:hyperlink>
          </w:p>
        </w:tc>
        <w:tc>
          <w:tcPr>
            <w:tcW w:w="3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Incorporation</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3120" w:type="dxa"/>
            <w:vAlign w:val="bottom"/>
            <w:gridSpan w:val="22"/>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Amended and Restated Bylaws.</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Common Stock Certificate of</w:t>
              </w:r>
            </w:hyperlink>
          </w:p>
        </w:tc>
        <w:tc>
          <w:tcPr>
            <w:tcW w:w="340" w:type="dxa"/>
            <w:vAlign w:val="bottom"/>
            <w:gridSpan w:val="5"/>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registrant.</w:t>
              </w:r>
            </w:hyperlink>
          </w:p>
        </w:tc>
        <w:tc>
          <w:tcPr>
            <w:tcW w:w="2080" w:type="dxa"/>
            <w:vAlign w:val="bottom"/>
            <w:gridSpan w:val="20"/>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120" w:type="dxa"/>
            <w:vAlign w:val="bottom"/>
            <w:gridSpan w:val="22"/>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Warrant to</w:t>
              </w:r>
            </w:hyperlink>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11/08/2019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Purchase Common Stock, dated as of</w:t>
              </w:r>
            </w:hyperlink>
          </w:p>
        </w:tc>
        <w:tc>
          <w:tcPr>
            <w:tcW w:w="42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August 5, 2019, between the registrant</w:t>
              </w:r>
            </w:hyperlink>
          </w:p>
        </w:tc>
        <w:tc>
          <w:tcPr>
            <w:tcW w:w="3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and Silicon Valley Bank.</w:t>
              </w:r>
            </w:hyperlink>
          </w:p>
        </w:tc>
        <w:tc>
          <w:tcPr>
            <w:tcW w:w="132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27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Warrant to Purchase Common Stock,</w:t>
              </w:r>
            </w:hyperlink>
          </w:p>
        </w:tc>
        <w:tc>
          <w:tcPr>
            <w:tcW w:w="420" w:type="dxa"/>
            <w:vAlign w:val="bottom"/>
            <w:gridSpan w:val="7"/>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8/06/2020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dated as of July 15, 2020, between the</w:t>
              </w:r>
            </w:hyperlink>
          </w:p>
        </w:tc>
        <w:tc>
          <w:tcPr>
            <w:tcW w:w="3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registrant and Silicon Valley Bank.</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Description of Common Stock.</w:t>
              </w:r>
            </w:hyperlink>
          </w:p>
        </w:tc>
        <w:tc>
          <w:tcPr>
            <w:tcW w:w="220" w:type="dxa"/>
            <w:vAlign w:val="bottom"/>
            <w:tcBorders>
              <w:top w:val="single" w:sz="8" w:color="0000EE"/>
            </w:tcBorders>
            <w:gridSpan w:val="2"/>
          </w:tcPr>
          <w:p>
            <w:pPr>
              <w:spacing w:after="0"/>
              <w:rPr>
                <w:sz w:val="24"/>
                <w:szCs w:val="24"/>
                <w:color w:val="auto"/>
              </w:rPr>
            </w:pPr>
          </w:p>
        </w:tc>
        <w:tc>
          <w:tcPr>
            <w:tcW w:w="600" w:type="dxa"/>
            <w:vAlign w:val="bottom"/>
            <w:gridSpan w:val="12"/>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3/04/2021</w:t>
            </w: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120" w:type="dxa"/>
            <w:vAlign w:val="bottom"/>
            <w:gridSpan w:val="22"/>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Indemnity Agreement between</w:t>
              </w:r>
            </w:hyperlink>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the registrant and its directors and</w:t>
              </w:r>
            </w:hyperlink>
          </w:p>
        </w:tc>
        <w:tc>
          <w:tcPr>
            <w:tcW w:w="380" w:type="dxa"/>
            <w:vAlign w:val="bottom"/>
            <w:tcBorders>
              <w:top w:val="single" w:sz="8" w:color="0000EE"/>
            </w:tcBorders>
            <w:gridSpan w:val="11"/>
          </w:tcPr>
          <w:p>
            <w:pPr>
              <w:spacing w:after="0"/>
              <w:rPr>
                <w:sz w:val="17"/>
                <w:szCs w:val="17"/>
                <w:color w:val="auto"/>
              </w:rPr>
            </w:pPr>
          </w:p>
        </w:tc>
        <w:tc>
          <w:tcPr>
            <w:tcW w:w="2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officers.</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2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2008 Equity Incentive Plan, as</w:t>
              </w:r>
            </w:hyperlink>
          </w:p>
        </w:tc>
        <w:tc>
          <w:tcPr>
            <w:tcW w:w="900" w:type="dxa"/>
            <w:vAlign w:val="bottom"/>
            <w:gridSpan w:val="15"/>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amended, and Form of Stock Option</w:t>
              </w:r>
            </w:hyperlink>
          </w:p>
        </w:tc>
        <w:tc>
          <w:tcPr>
            <w:tcW w:w="48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Grant Notice, Option Agreement and</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Notice of Exercise.</w:t>
              </w:r>
            </w:hyperlink>
          </w:p>
        </w:tc>
        <w:tc>
          <w:tcPr>
            <w:tcW w:w="44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3120" w:type="dxa"/>
            <w:vAlign w:val="bottom"/>
            <w:gridSpan w:val="22"/>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Amended and Restated 2016 Equity</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Incentive Plan.</w:t>
              </w:r>
            </w:hyperlink>
          </w:p>
        </w:tc>
        <w:tc>
          <w:tcPr>
            <w:tcW w:w="52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tcBorders>
              <w:left w:val="single" w:sz="8" w:color="0000EE"/>
            </w:tcBorders>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First Amendment to the Amended and</w:t>
              </w:r>
            </w:hyperlink>
          </w:p>
        </w:tc>
        <w:tc>
          <w:tcPr>
            <w:tcW w:w="340" w:type="dxa"/>
            <w:vAlign w:val="bottom"/>
            <w:gridSpan w:val="5"/>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Restated 2016 Equity Incentive Plan.</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6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Stock Option Grant Notice,</w:t>
              </w:r>
            </w:hyperlink>
          </w:p>
        </w:tc>
        <w:tc>
          <w:tcPr>
            <w:tcW w:w="60" w:type="dxa"/>
            <w:vAlign w:val="bottom"/>
            <w:tcBorders>
              <w:top w:val="single" w:sz="8" w:color="0000EE"/>
            </w:tcBorders>
            <w:gridSpan w:val="2"/>
          </w:tcPr>
          <w:p>
            <w:pPr>
              <w:spacing w:after="0"/>
              <w:rPr>
                <w:sz w:val="24"/>
                <w:szCs w:val="24"/>
                <w:color w:val="auto"/>
              </w:rPr>
            </w:pPr>
          </w:p>
        </w:tc>
        <w:tc>
          <w:tcPr>
            <w:tcW w:w="440" w:type="dxa"/>
            <w:vAlign w:val="bottom"/>
            <w:gridSpan w:val="8"/>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Option Agreement and Form of Notice</w:t>
              </w:r>
            </w:hyperlink>
          </w:p>
        </w:tc>
        <w:tc>
          <w:tcPr>
            <w:tcW w:w="3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of Exercise used with the 2016 Equity</w:t>
              </w:r>
            </w:hyperlink>
          </w:p>
        </w:tc>
        <w:tc>
          <w:tcPr>
            <w:tcW w:w="36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Incentive Plan.</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tcBorders>
              <w:left w:val="single" w:sz="8" w:color="0000EE"/>
            </w:tcBorders>
            <w:gridSpan w:val="7"/>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120" w:type="dxa"/>
            <w:vAlign w:val="bottom"/>
            <w:gridSpan w:val="22"/>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Restricted Stock Unit Award</w:t>
              </w:r>
            </w:hyperlink>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3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11/13/2017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Agreement under the 2016 Equity</w:t>
              </w:r>
            </w:hyperlink>
          </w:p>
        </w:tc>
        <w:tc>
          <w:tcPr>
            <w:tcW w:w="220" w:type="dxa"/>
            <w:vAlign w:val="bottom"/>
            <w:tcBorders>
              <w:top w:val="single" w:sz="8" w:color="0000EE"/>
            </w:tcBorders>
            <w:gridSpan w:val="6"/>
          </w:tcPr>
          <w:p>
            <w:pPr>
              <w:spacing w:after="0"/>
              <w:rPr>
                <w:sz w:val="17"/>
                <w:szCs w:val="17"/>
                <w:color w:val="auto"/>
              </w:rPr>
            </w:pPr>
          </w:p>
        </w:tc>
        <w:tc>
          <w:tcPr>
            <w:tcW w:w="42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Incentive Plan</w:t>
              </w:r>
              <w:r>
                <w:rPr>
                  <w:rFonts w:ascii="Times New Roman" w:cs="Times New Roman" w:eastAsia="Times New Roman" w:hAnsi="Times New Roman"/>
                  <w:sz w:val="18"/>
                  <w:szCs w:val="18"/>
                  <w:color w:val="000000"/>
                </w:rPr>
                <w:t>.</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2016 Employee Stock Purchase Plan.</w:t>
              </w:r>
            </w:hyperlink>
          </w:p>
        </w:tc>
        <w:tc>
          <w:tcPr>
            <w:tcW w:w="180" w:type="dxa"/>
            <w:vAlign w:val="bottom"/>
            <w:gridSpan w:val="6"/>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9/26/2016</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8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Lease, dated as of June 6, 2008, by and</w:t>
              </w:r>
            </w:hyperlink>
          </w:p>
        </w:tc>
        <w:tc>
          <w:tcPr>
            <w:tcW w:w="40" w:type="dxa"/>
            <w:vAlign w:val="bottom"/>
            <w:gridSpan w:val="2"/>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between the registrant and Freescale</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Semiconductor, Inc.</w:t>
              </w:r>
            </w:hyperlink>
          </w:p>
        </w:tc>
        <w:tc>
          <w:tcPr>
            <w:tcW w:w="1160" w:type="dxa"/>
            <w:vAlign w:val="bottom"/>
            <w:tcBorders>
              <w:top w:val="single" w:sz="8" w:color="0000EE"/>
            </w:tcBorders>
            <w:gridSpan w:val="5"/>
          </w:tcPr>
          <w:p>
            <w:pPr>
              <w:spacing w:after="0"/>
              <w:rPr>
                <w:sz w:val="17"/>
                <w:szCs w:val="17"/>
                <w:color w:val="auto"/>
              </w:rPr>
            </w:pPr>
          </w:p>
        </w:tc>
        <w:tc>
          <w:tcPr>
            <w:tcW w:w="28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2900" w:type="dxa"/>
            <w:vAlign w:val="bottom"/>
            <w:gridSpan w:val="16"/>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Amendment No. 1 to Lease, dated as of</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96"/>
        </w:trPr>
        <w:tc>
          <w:tcPr>
            <w:tcW w:w="1020" w:type="dxa"/>
            <w:vAlign w:val="bottom"/>
          </w:tcPr>
          <w:p>
            <w:pPr>
              <w:spacing w:after="0"/>
              <w:rPr>
                <w:sz w:val="17"/>
                <w:szCs w:val="17"/>
                <w:color w:val="auto"/>
              </w:rPr>
            </w:pPr>
          </w:p>
        </w:tc>
        <w:tc>
          <w:tcPr>
            <w:tcW w:w="28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February 2, 2009, by and between the</w:t>
              </w:r>
            </w:hyperlink>
          </w:p>
        </w:tc>
        <w:tc>
          <w:tcPr>
            <w:tcW w:w="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registrant and Freescale Semiconductor,</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Inc.</w:t>
              </w:r>
            </w:hyperlink>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2900" w:type="dxa"/>
            <w:vAlign w:val="bottom"/>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Amendment No. 2 to Lease, dated as of</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96"/>
        </w:trPr>
        <w:tc>
          <w:tcPr>
            <w:tcW w:w="10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February 18, 2010, by and between the</w:t>
              </w:r>
            </w:hyperlink>
          </w:p>
        </w:tc>
        <w:tc>
          <w:tcPr>
            <w:tcW w:w="2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registrant and Freescale Semiconductor,</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Inc.</w:t>
              </w:r>
            </w:hyperlink>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2900" w:type="dxa"/>
            <w:vAlign w:val="bottom"/>
            <w:gridSpan w:val="16"/>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Amendment No. 3 to Lease, dated as of</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96"/>
        </w:trPr>
        <w:tc>
          <w:tcPr>
            <w:tcW w:w="1020" w:type="dxa"/>
            <w:vAlign w:val="bottom"/>
          </w:tcPr>
          <w:p>
            <w:pPr>
              <w:spacing w:after="0"/>
              <w:rPr>
                <w:sz w:val="17"/>
                <w:szCs w:val="17"/>
                <w:color w:val="auto"/>
              </w:rPr>
            </w:pPr>
          </w:p>
        </w:tc>
        <w:tc>
          <w:tcPr>
            <w:tcW w:w="28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July 20, 2011, by and between the</w:t>
              </w:r>
            </w:hyperlink>
          </w:p>
        </w:tc>
        <w:tc>
          <w:tcPr>
            <w:tcW w:w="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registrant and Freescale Semiconductor,</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w:t>
              </w:r>
            </w:hyperlink>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2900" w:type="dxa"/>
            <w:vAlign w:val="bottom"/>
            <w:gridSpan w:val="16"/>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Amendment No. 4 to Lease, dated as of</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96"/>
        </w:trPr>
        <w:tc>
          <w:tcPr>
            <w:tcW w:w="1020" w:type="dxa"/>
            <w:vAlign w:val="bottom"/>
          </w:tcPr>
          <w:p>
            <w:pPr>
              <w:spacing w:after="0"/>
              <w:rPr>
                <w:sz w:val="17"/>
                <w:szCs w:val="17"/>
                <w:color w:val="auto"/>
              </w:rPr>
            </w:pPr>
          </w:p>
        </w:tc>
        <w:tc>
          <w:tcPr>
            <w:tcW w:w="28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June, 2014 by and between the</w:t>
              </w:r>
            </w:hyperlink>
          </w:p>
        </w:tc>
        <w:tc>
          <w:tcPr>
            <w:tcW w:w="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registrant and Freescale Semiconductor,</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w:t>
              </w:r>
            </w:hyperlink>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2900" w:type="dxa"/>
            <w:vAlign w:val="bottom"/>
            <w:gridSpan w:val="1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Amendment No. 5 to Lease, dated as of</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3/28/2017</w:t>
            </w:r>
          </w:p>
        </w:tc>
      </w:tr>
      <w:tr>
        <w:trPr>
          <w:trHeight w:val="196"/>
        </w:trPr>
        <w:tc>
          <w:tcPr>
            <w:tcW w:w="10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March 22, 2017 by and between the</w:t>
              </w:r>
            </w:hyperlink>
          </w:p>
        </w:tc>
        <w:tc>
          <w:tcPr>
            <w:tcW w:w="26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registrant and Freescale Semiconductor,</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w:t>
              </w:r>
            </w:hyperlink>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2900" w:type="dxa"/>
            <w:vAlign w:val="bottom"/>
            <w:gridSpan w:val="1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Amendment No. 6 to Lease, dated as of</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10.40</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3/15/2018</w:t>
            </w:r>
          </w:p>
        </w:tc>
      </w:tr>
      <w:tr>
        <w:trPr>
          <w:trHeight w:val="196"/>
        </w:trPr>
        <w:tc>
          <w:tcPr>
            <w:tcW w:w="1020" w:type="dxa"/>
            <w:vAlign w:val="bottom"/>
          </w:tcPr>
          <w:p>
            <w:pPr>
              <w:spacing w:after="0"/>
              <w:rPr>
                <w:sz w:val="17"/>
                <w:szCs w:val="17"/>
                <w:color w:val="auto"/>
              </w:rPr>
            </w:pPr>
          </w:p>
        </w:tc>
        <w:tc>
          <w:tcPr>
            <w:tcW w:w="28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October 31, 2017 by and between the</w:t>
              </w:r>
            </w:hyperlink>
          </w:p>
        </w:tc>
        <w:tc>
          <w:tcPr>
            <w:tcW w:w="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registrant and NXP USA, Inc. (formerly</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Freescale Semiconductor, Inc.</w:t>
              </w:r>
              <w:r>
                <w:rPr>
                  <w:rFonts w:ascii="Times New Roman" w:cs="Times New Roman" w:eastAsia="Times New Roman" w:hAnsi="Times New Roman"/>
                  <w:sz w:val="18"/>
                  <w:szCs w:val="18"/>
                  <w:color w:val="000000"/>
                </w:rPr>
                <w:t>).</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2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Amendment No. 7 to Lease, effective as</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11/14/2018</w:t>
            </w: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of June 30, 2018 by and between the</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registrant and NXP USA, Inc. (formerly</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Freescale Semiconductor, Inc.)</w:t>
              </w:r>
              <w:r>
                <w:rPr>
                  <w:rFonts w:ascii="Times New Roman" w:cs="Times New Roman" w:eastAsia="Times New Roman" w:hAnsi="Times New Roman"/>
                  <w:sz w:val="18"/>
                  <w:szCs w:val="18"/>
                  <w:color w:val="000000"/>
                </w:rPr>
                <w:t>.</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10.7.8</w:t>
            </w:r>
          </w:p>
        </w:tc>
        <w:tc>
          <w:tcPr>
            <w:tcW w:w="2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Amendment No. 8 to Lease, effective as</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3/13/2020</w:t>
            </w:r>
          </w:p>
        </w:tc>
      </w:tr>
      <w:tr>
        <w:trPr>
          <w:trHeight w:val="196"/>
        </w:trPr>
        <w:tc>
          <w:tcPr>
            <w:tcW w:w="102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of November 30, 2019 by and between</w:t>
              </w:r>
            </w:hyperlink>
          </w:p>
        </w:tc>
        <w:tc>
          <w:tcPr>
            <w:tcW w:w="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the registrant and NXP USA, Inc.</w:t>
              </w:r>
            </w:hyperlink>
          </w:p>
        </w:tc>
        <w:tc>
          <w:tcPr>
            <w:tcW w:w="44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(formerly Freescale Semiconductor,</w:t>
              </w:r>
            </w:hyperlink>
          </w:p>
        </w:tc>
        <w:tc>
          <w:tcPr>
            <w:tcW w:w="30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Inc.).</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10.7.9</w:t>
            </w:r>
          </w:p>
        </w:tc>
        <w:tc>
          <w:tcPr>
            <w:tcW w:w="2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Amendment No. 9 to Lease, effective as</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8/06/2020</w:t>
            </w: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of March 31, 2020 by and between the</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54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registrant and NXP USA, Inc. (formerly</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900" w:type="dxa"/>
            <w:vAlign w:val="bottom"/>
            <w:gridSpan w:val="16"/>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Freescale Semiconductor, Inc.).</w:t>
              </w:r>
            </w:hyperlink>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10.7.10</w:t>
            </w:r>
          </w:p>
        </w:tc>
        <w:tc>
          <w:tcPr>
            <w:tcW w:w="2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Amendment No. 10 to Lease, effective</w:t>
              </w:r>
            </w:hyperlink>
          </w:p>
        </w:tc>
        <w:tc>
          <w:tcPr>
            <w:tcW w:w="240" w:type="dxa"/>
            <w:vAlign w:val="bottom"/>
            <w:gridSpan w:val="6"/>
          </w:tcPr>
          <w:p>
            <w:pPr>
              <w:spacing w:after="0"/>
              <w:rPr>
                <w:sz w:val="17"/>
                <w:szCs w:val="17"/>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10.7.10</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3/2/2023</w:t>
            </w:r>
          </w:p>
        </w:tc>
      </w:tr>
      <w:tr>
        <w:trPr>
          <w:trHeight w:val="196"/>
        </w:trPr>
        <w:tc>
          <w:tcPr>
            <w:tcW w:w="1020" w:type="dxa"/>
            <w:vAlign w:val="bottom"/>
          </w:tcPr>
          <w:p>
            <w:pPr>
              <w:spacing w:after="0"/>
              <w:rPr>
                <w:sz w:val="17"/>
                <w:szCs w:val="17"/>
                <w:color w:val="auto"/>
              </w:rPr>
            </w:pPr>
          </w:p>
        </w:tc>
        <w:tc>
          <w:tcPr>
            <w:tcW w:w="2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as of February 12, 2022 by and between</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registrant and NXP USA, Inc.</w:t>
              </w:r>
            </w:hyperlink>
          </w:p>
        </w:tc>
        <w:tc>
          <w:tcPr>
            <w:tcW w:w="5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(formerly Freescale Semiconductor,</w:t>
              </w:r>
            </w:hyperlink>
          </w:p>
        </w:tc>
        <w:tc>
          <w:tcPr>
            <w:tcW w:w="44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Amended and Restated Loan and</w:t>
              </w:r>
            </w:hyperlink>
          </w:p>
        </w:tc>
        <w:tc>
          <w:tcPr>
            <w:tcW w:w="640" w:type="dxa"/>
            <w:vAlign w:val="bottom"/>
            <w:gridSpan w:val="19"/>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11/08/2019</w:t>
            </w:r>
          </w:p>
        </w:tc>
      </w:tr>
      <w:tr>
        <w:trPr>
          <w:trHeight w:val="196"/>
        </w:trPr>
        <w:tc>
          <w:tcPr>
            <w:tcW w:w="1020" w:type="dxa"/>
            <w:vAlign w:val="bottom"/>
          </w:tcPr>
          <w:p>
            <w:pPr>
              <w:spacing w:after="0"/>
              <w:rPr>
                <w:sz w:val="17"/>
                <w:szCs w:val="17"/>
                <w:color w:val="auto"/>
              </w:rPr>
            </w:pPr>
          </w:p>
        </w:tc>
        <w:tc>
          <w:tcPr>
            <w:tcW w:w="2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Security Agreement, dated as of August</w:t>
              </w:r>
            </w:hyperlink>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5, 2019, between the registrant and</w:t>
              </w:r>
            </w:hyperlink>
          </w:p>
        </w:tc>
        <w:tc>
          <w:tcPr>
            <w:tcW w:w="48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Silicon Valley Bank.</w:t>
              </w:r>
            </w:hyperlink>
          </w:p>
        </w:tc>
        <w:tc>
          <w:tcPr>
            <w:tcW w:w="154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3040" w:type="dxa"/>
            <w:vAlign w:val="bottom"/>
            <w:gridSpan w:val="29"/>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First Amendment to Amended and</w:t>
              </w:r>
            </w:hyperlink>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8/06/2020</w:t>
            </w:r>
          </w:p>
        </w:tc>
      </w:tr>
      <w:tr>
        <w:trPr>
          <w:trHeight w:val="20"/>
        </w:trPr>
        <w:tc>
          <w:tcPr>
            <w:tcW w:w="10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Restated Loan and Security Agreement,</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dated as of July 15, 2020, by and</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between the registrant and Silicon</w:t>
              </w:r>
            </w:hyperlink>
          </w:p>
        </w:tc>
        <w:tc>
          <w:tcPr>
            <w:tcW w:w="5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09">
              <w:r>
                <w:rPr>
                  <w:rFonts w:ascii="Times New Roman" w:cs="Times New Roman" w:eastAsia="Times New Roman" w:hAnsi="Times New Roman"/>
                  <w:sz w:val="18"/>
                  <w:szCs w:val="18"/>
                  <w:color w:val="0000EE"/>
                  <w:w w:val="96"/>
                </w:rPr>
                <w:t>Valley Bank.</w:t>
              </w:r>
            </w:hyperlink>
          </w:p>
        </w:tc>
        <w:tc>
          <w:tcPr>
            <w:tcW w:w="2100" w:type="dxa"/>
            <w:vAlign w:val="bottom"/>
            <w:gridSpan w:val="25"/>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27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Second Amendment to Amended and</w:t>
              </w:r>
            </w:hyperlink>
          </w:p>
        </w:tc>
        <w:tc>
          <w:tcPr>
            <w:tcW w:w="320" w:type="dxa"/>
            <w:vAlign w:val="bottom"/>
            <w:gridSpan w:val="9"/>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8/12/2021</w:t>
            </w: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Restated Loan and Security Agreement,</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dated as of July 28, 2021, by and</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between the registrant and Silicon</w:t>
              </w:r>
            </w:hyperlink>
          </w:p>
        </w:tc>
        <w:tc>
          <w:tcPr>
            <w:tcW w:w="5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10">
              <w:r>
                <w:rPr>
                  <w:rFonts w:ascii="Times New Roman" w:cs="Times New Roman" w:eastAsia="Times New Roman" w:hAnsi="Times New Roman"/>
                  <w:sz w:val="18"/>
                  <w:szCs w:val="18"/>
                  <w:color w:val="0000EE"/>
                  <w:w w:val="96"/>
                </w:rPr>
                <w:t>Valley Bank.</w:t>
              </w:r>
            </w:hyperlink>
          </w:p>
        </w:tc>
        <w:tc>
          <w:tcPr>
            <w:tcW w:w="2100" w:type="dxa"/>
            <w:vAlign w:val="bottom"/>
            <w:gridSpan w:val="25"/>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10.8.3</w:t>
            </w:r>
          </w:p>
        </w:tc>
        <w:tc>
          <w:tcPr>
            <w:tcW w:w="2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Third Amendment to Amended and</w:t>
              </w:r>
            </w:hyperlink>
          </w:p>
        </w:tc>
        <w:tc>
          <w:tcPr>
            <w:tcW w:w="460" w:type="dxa"/>
            <w:vAlign w:val="bottom"/>
            <w:gridSpan w:val="13"/>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8/12/2022</w:t>
            </w: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Restated Loan and Security Agreement,</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dated as of July 22, 2022, by and</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between the registrant and Silicon</w:t>
              </w:r>
            </w:hyperlink>
          </w:p>
        </w:tc>
        <w:tc>
          <w:tcPr>
            <w:tcW w:w="5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11">
              <w:r>
                <w:rPr>
                  <w:rFonts w:ascii="Times New Roman" w:cs="Times New Roman" w:eastAsia="Times New Roman" w:hAnsi="Times New Roman"/>
                  <w:sz w:val="18"/>
                  <w:szCs w:val="18"/>
                  <w:color w:val="0000EE"/>
                  <w:w w:val="97"/>
                </w:rPr>
                <w:t>Valley Bank</w:t>
              </w:r>
            </w:hyperlink>
          </w:p>
        </w:tc>
        <w:tc>
          <w:tcPr>
            <w:tcW w:w="2140" w:type="dxa"/>
            <w:vAlign w:val="bottom"/>
            <w:gridSpan w:val="2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1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Commercial Industrial Lease</w:t>
              </w:r>
            </w:hyperlink>
          </w:p>
        </w:tc>
        <w:tc>
          <w:tcPr>
            <w:tcW w:w="940" w:type="dxa"/>
            <w:vAlign w:val="bottom"/>
            <w:gridSpan w:val="22"/>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Agreement, dated as of May 18, 2012</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by and between the registrant and</w:t>
              </w:r>
            </w:hyperlink>
          </w:p>
        </w:tc>
        <w:tc>
          <w:tcPr>
            <w:tcW w:w="280" w:type="dxa"/>
            <w:vAlign w:val="bottom"/>
            <w:tcBorders>
              <w:top w:val="single" w:sz="8" w:color="0000EE"/>
            </w:tcBorders>
            <w:gridSpan w:val="9"/>
          </w:tcPr>
          <w:p>
            <w:pPr>
              <w:spacing w:after="0"/>
              <w:rPr>
                <w:sz w:val="17"/>
                <w:szCs w:val="17"/>
                <w:color w:val="auto"/>
              </w:rPr>
            </w:pPr>
          </w:p>
        </w:tc>
        <w:tc>
          <w:tcPr>
            <w:tcW w:w="32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Principal Life Insurance Company.</w:t>
              </w:r>
            </w:hyperlink>
          </w:p>
        </w:tc>
        <w:tc>
          <w:tcPr>
            <w:tcW w:w="50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10.9.1</w:t>
            </w:r>
          </w:p>
        </w:tc>
        <w:tc>
          <w:tcPr>
            <w:tcW w:w="2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Amendment No. 1 to Commercial</w:t>
              </w:r>
            </w:hyperlink>
          </w:p>
        </w:tc>
        <w:tc>
          <w:tcPr>
            <w:tcW w:w="560" w:type="dxa"/>
            <w:vAlign w:val="bottom"/>
            <w:gridSpan w:val="17"/>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Industrial Lease Agreement, dated</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August 12, 2016 by and between the</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7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registrant and Legacy Stonelake JV-T,</w:t>
              </w:r>
            </w:hyperlink>
          </w:p>
        </w:tc>
        <w:tc>
          <w:tcPr>
            <w:tcW w:w="2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LLC, successor in interest to Principal</w:t>
              </w:r>
            </w:hyperlink>
          </w:p>
        </w:tc>
        <w:tc>
          <w:tcPr>
            <w:tcW w:w="26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Life Insurance Company.</w:t>
              </w:r>
            </w:hyperlink>
          </w:p>
        </w:tc>
        <w:tc>
          <w:tcPr>
            <w:tcW w:w="1200" w:type="dxa"/>
            <w:vAlign w:val="bottom"/>
            <w:gridSpan w:val="23"/>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Sublease Agreement, dated January 31,</w:t>
              </w:r>
            </w:hyperlink>
          </w:p>
        </w:tc>
        <w:tc>
          <w:tcPr>
            <w:tcW w:w="180" w:type="dxa"/>
            <w:vAlign w:val="bottom"/>
            <w:gridSpan w:val="4"/>
          </w:tcPr>
          <w:p>
            <w:pPr>
              <w:spacing w:after="0"/>
              <w:rPr>
                <w:sz w:val="24"/>
                <w:szCs w:val="24"/>
                <w:color w:val="auto"/>
              </w:rPr>
            </w:pPr>
          </w:p>
        </w:tc>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3/28/2017</w:t>
            </w:r>
          </w:p>
        </w:tc>
      </w:tr>
      <w:tr>
        <w:trPr>
          <w:trHeight w:val="196"/>
        </w:trPr>
        <w:tc>
          <w:tcPr>
            <w:tcW w:w="1020" w:type="dxa"/>
            <w:vAlign w:val="bottom"/>
          </w:tcPr>
          <w:p>
            <w:pPr>
              <w:spacing w:after="0"/>
              <w:rPr>
                <w:sz w:val="17"/>
                <w:szCs w:val="17"/>
                <w:color w:val="auto"/>
              </w:rPr>
            </w:pPr>
          </w:p>
        </w:tc>
        <w:tc>
          <w:tcPr>
            <w:tcW w:w="2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2017 by and between the registrant and</w:t>
              </w:r>
            </w:hyperlink>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NXP USA, Inc. and Consent to of</w:t>
              </w:r>
            </w:hyperlink>
          </w:p>
        </w:tc>
        <w:tc>
          <w:tcPr>
            <w:tcW w:w="5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Landlord to Sublease, dated March 10,</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2017, by and among the registrant,</w:t>
              </w:r>
            </w:hyperlink>
          </w:p>
        </w:tc>
        <w:tc>
          <w:tcPr>
            <w:tcW w:w="280" w:type="dxa"/>
            <w:vAlign w:val="bottom"/>
            <w:tcBorders>
              <w:top w:val="single" w:sz="8" w:color="0000EE"/>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NXP USA, Inc. and VWP-BV CM</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5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5670, LLC.</w:t>
              </w:r>
            </w:hyperlink>
          </w:p>
        </w:tc>
        <w:tc>
          <w:tcPr>
            <w:tcW w:w="52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10.10.1</w:t>
            </w:r>
          </w:p>
        </w:tc>
        <w:tc>
          <w:tcPr>
            <w:tcW w:w="3040" w:type="dxa"/>
            <w:vAlign w:val="bottom"/>
            <w:gridSpan w:val="29"/>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First Amendment to Sublease</w:t>
              </w:r>
            </w:hyperlink>
          </w:p>
        </w:tc>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3/28/2017</w:t>
            </w:r>
          </w:p>
        </w:tc>
      </w:tr>
      <w:tr>
        <w:trPr>
          <w:trHeight w:val="20"/>
        </w:trPr>
        <w:tc>
          <w:tcPr>
            <w:tcW w:w="1020" w:type="dxa"/>
            <w:vAlign w:val="bottom"/>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Agreement, dated February 13, 2017,</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gridSpan w:val="19"/>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by and between the registrant and NXP</w:t>
              </w:r>
            </w:hyperlink>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USA, Inc. and Consent of Landlord to</w:t>
              </w:r>
            </w:hyperlink>
          </w:p>
        </w:tc>
        <w:tc>
          <w:tcPr>
            <w:tcW w:w="2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to Sublease, dated March</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60" w:type="dxa"/>
            <w:vAlign w:val="bottom"/>
            <w:gridSpan w:val="2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9"/>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 2017, by and among the registrant,</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NXP USA, Inc. and VWP-BV CM</w:t>
              </w:r>
            </w:hyperlink>
          </w:p>
        </w:tc>
        <w:tc>
          <w:tcPr>
            <w:tcW w:w="26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5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5670, LLC.</w:t>
              </w:r>
            </w:hyperlink>
          </w:p>
        </w:tc>
        <w:tc>
          <w:tcPr>
            <w:tcW w:w="52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10.10.2</w:t>
            </w:r>
          </w:p>
        </w:tc>
        <w:tc>
          <w:tcPr>
            <w:tcW w:w="3040" w:type="dxa"/>
            <w:vAlign w:val="bottom"/>
            <w:gridSpan w:val="24"/>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Second Amendment to Sublease</w:t>
              </w:r>
            </w:hyperlink>
          </w:p>
        </w:tc>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3/28/2017</w:t>
            </w: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Agreement dated March 2, 2017 by and</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between the registrant and NXP USA,</w:t>
              </w:r>
            </w:hyperlink>
          </w:p>
        </w:tc>
        <w:tc>
          <w:tcPr>
            <w:tcW w:w="2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 and Consent of Landlord to</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Sublease, dated March 10, 2017, by and</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among the registrant, NXP USA, Inc.</w:t>
              </w:r>
            </w:hyperlink>
          </w:p>
        </w:tc>
        <w:tc>
          <w:tcPr>
            <w:tcW w:w="32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and VWP-BV CM 5670, LLC.</w:t>
              </w:r>
            </w:hyperlink>
          </w:p>
        </w:tc>
        <w:tc>
          <w:tcPr>
            <w:tcW w:w="80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10.10.3</w:t>
            </w:r>
          </w:p>
        </w:tc>
        <w:tc>
          <w:tcPr>
            <w:tcW w:w="22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Third Amendment to Sublease</w:t>
              </w:r>
            </w:hyperlink>
          </w:p>
        </w:tc>
        <w:tc>
          <w:tcPr>
            <w:tcW w:w="820" w:type="dxa"/>
            <w:vAlign w:val="bottom"/>
            <w:gridSpan w:val="17"/>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3/15/2018</w:t>
            </w:r>
          </w:p>
        </w:tc>
      </w:tr>
      <w:tr>
        <w:trPr>
          <w:trHeight w:val="196"/>
        </w:trPr>
        <w:tc>
          <w:tcPr>
            <w:tcW w:w="102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Agreement, dated October 17, 2017 by</w:t>
              </w:r>
            </w:hyperlink>
          </w:p>
        </w:tc>
        <w:tc>
          <w:tcPr>
            <w:tcW w:w="20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and between the registrant and NXP</w:t>
              </w:r>
            </w:hyperlink>
          </w:p>
        </w:tc>
        <w:tc>
          <w:tcPr>
            <w:tcW w:w="40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USA, Inc. and Consent of Landlord to</w:t>
              </w:r>
            </w:hyperlink>
          </w:p>
        </w:tc>
        <w:tc>
          <w:tcPr>
            <w:tcW w:w="2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Sublease, dated March 10, 2017, by and</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among the registrant, NXP USA, Inc.</w:t>
              </w:r>
            </w:hyperlink>
          </w:p>
        </w:tc>
        <w:tc>
          <w:tcPr>
            <w:tcW w:w="32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and VWP-BV CM 5670, LLC.</w:t>
              </w:r>
            </w:hyperlink>
          </w:p>
        </w:tc>
        <w:tc>
          <w:tcPr>
            <w:tcW w:w="80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STT-MRAM Joint Development</w:t>
              </w:r>
            </w:hyperlink>
          </w:p>
        </w:tc>
        <w:tc>
          <w:tcPr>
            <w:tcW w:w="680" w:type="dxa"/>
            <w:vAlign w:val="bottom"/>
            <w:gridSpan w:val="13"/>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11/2/2023</w:t>
            </w:r>
          </w:p>
        </w:tc>
      </w:tr>
      <w:tr>
        <w:trPr>
          <w:trHeight w:val="196"/>
        </w:trPr>
        <w:tc>
          <w:tcPr>
            <w:tcW w:w="102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Agreement, dated as of October 17,</w:t>
              </w:r>
            </w:hyperlink>
          </w:p>
        </w:tc>
        <w:tc>
          <w:tcPr>
            <w:tcW w:w="46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2014 by and between the registrant and</w:t>
              </w:r>
            </w:hyperlink>
          </w:p>
        </w:tc>
        <w:tc>
          <w:tcPr>
            <w:tcW w:w="20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GLOBALFOUNDRIES Inc.</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No. 1 to the STT-MRAM</w:t>
              </w:r>
            </w:hyperlink>
          </w:p>
        </w:tc>
        <w:tc>
          <w:tcPr>
            <w:tcW w:w="260" w:type="dxa"/>
            <w:vAlign w:val="bottom"/>
            <w:gridSpan w:val="7"/>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11/2/2023</w:t>
            </w:r>
          </w:p>
        </w:tc>
      </w:tr>
      <w:tr>
        <w:trPr>
          <w:trHeight w:val="196"/>
        </w:trPr>
        <w:tc>
          <w:tcPr>
            <w:tcW w:w="1020" w:type="dxa"/>
            <w:vAlign w:val="bottom"/>
          </w:tcPr>
          <w:p>
            <w:pPr>
              <w:spacing w:after="0"/>
              <w:rPr>
                <w:sz w:val="17"/>
                <w:szCs w:val="17"/>
                <w:color w:val="auto"/>
              </w:rPr>
            </w:pPr>
          </w:p>
        </w:tc>
        <w:tc>
          <w:tcPr>
            <w:tcW w:w="2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Joint Development Agreement, dated as</w:t>
              </w:r>
            </w:hyperlink>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of May 27, 2016 by and between the</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registrant and GLOBALFOUNDRIES</w:t>
              </w:r>
            </w:hyperlink>
          </w:p>
        </w:tc>
        <w:tc>
          <w:tcPr>
            <w:tcW w:w="24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10.11.2++</w:t>
            </w:r>
          </w:p>
        </w:tc>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No. 2 to the STT-MRAM</w:t>
              </w:r>
            </w:hyperlink>
          </w:p>
        </w:tc>
        <w:tc>
          <w:tcPr>
            <w:tcW w:w="260" w:type="dxa"/>
            <w:vAlign w:val="bottom"/>
            <w:gridSpan w:val="7"/>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3/04/2021</w:t>
            </w: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Joint Development Agreement,</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effective as of July 25, 2017 by and</w:t>
              </w:r>
            </w:hyperlink>
          </w:p>
        </w:tc>
        <w:tc>
          <w:tcPr>
            <w:tcW w:w="46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between the registrant and</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GLOBALFOUNDRIES Inc.</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10.11.3++</w:t>
            </w:r>
          </w:p>
        </w:tc>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Amendment No. 3 to the STT-MRAM</w:t>
              </w:r>
            </w:hyperlink>
          </w:p>
        </w:tc>
        <w:tc>
          <w:tcPr>
            <w:tcW w:w="260" w:type="dxa"/>
            <w:vAlign w:val="bottom"/>
            <w:gridSpan w:val="7"/>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11/2/2023</w:t>
            </w: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Joint Development Agreement,</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effective as of January 1, 2018 by and</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between the registrant and</w:t>
              </w:r>
            </w:hyperlink>
          </w:p>
        </w:tc>
        <w:tc>
          <w:tcPr>
            <w:tcW w:w="30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GLOBALFOUNDRIES Inc.</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10.11.4++</w:t>
            </w:r>
          </w:p>
        </w:tc>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Amendment No. 4 to the STT-MRAM</w:t>
              </w:r>
            </w:hyperlink>
          </w:p>
        </w:tc>
        <w:tc>
          <w:tcPr>
            <w:tcW w:w="260" w:type="dxa"/>
            <w:vAlign w:val="bottom"/>
            <w:gridSpan w:val="7"/>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3/04/2021</w:t>
            </w: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Joint Development Agreement,</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effective as of December 31, 2019 by</w:t>
              </w:r>
            </w:hyperlink>
          </w:p>
        </w:tc>
        <w:tc>
          <w:tcPr>
            <w:tcW w:w="32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and between the registrant and</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GLOBALFOUNDRIES, Inc.</w:t>
              </w:r>
            </w:hyperlink>
          </w:p>
        </w:tc>
        <w:tc>
          <w:tcPr>
            <w:tcW w:w="80" w:type="dxa"/>
            <w:vAlign w:val="bottom"/>
            <w:tcBorders>
              <w:top w:val="single" w:sz="8" w:color="0000EE"/>
            </w:tcBorders>
          </w:tcPr>
          <w:p>
            <w:pPr>
              <w:spacing w:after="0"/>
              <w:rPr>
                <w:sz w:val="17"/>
                <w:szCs w:val="17"/>
                <w:color w:val="auto"/>
              </w:rPr>
            </w:pPr>
          </w:p>
        </w:tc>
        <w:tc>
          <w:tcPr>
            <w:tcW w:w="84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8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Manufacturing Agreement, dated as of</w:t>
              </w:r>
            </w:hyperlink>
          </w:p>
        </w:tc>
        <w:tc>
          <w:tcPr>
            <w:tcW w:w="220" w:type="dxa"/>
            <w:vAlign w:val="bottom"/>
            <w:gridSpan w:val="5"/>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9/09/2016</w:t>
            </w: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October 23, 2014 by and between the</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40" w:type="dxa"/>
            <w:vAlign w:val="bottom"/>
            <w:tcBorders>
              <w:right w:val="single" w:sz="8" w:color="0000EE"/>
            </w:tcBorders>
            <w:gridSpan w:val="11"/>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registrant and GLOBALFOUNDRIES</w:t>
              </w:r>
            </w:hyperlink>
          </w:p>
        </w:tc>
        <w:tc>
          <w:tcPr>
            <w:tcW w:w="24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Singapore Pte. Ltd.</w:t>
              </w:r>
            </w:hyperlink>
          </w:p>
        </w:tc>
        <w:tc>
          <w:tcPr>
            <w:tcW w:w="1640" w:type="dxa"/>
            <w:vAlign w:val="bottom"/>
            <w:gridSpan w:val="22"/>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Restricted Stock Purchase Agreement,</w:t>
              </w:r>
            </w:hyperlink>
          </w:p>
        </w:tc>
        <w:tc>
          <w:tcPr>
            <w:tcW w:w="260" w:type="dxa"/>
            <w:vAlign w:val="bottom"/>
            <w:gridSpan w:val="7"/>
          </w:tcPr>
          <w:p>
            <w:pPr>
              <w:spacing w:after="0"/>
              <w:rPr>
                <w:sz w:val="24"/>
                <w:szCs w:val="24"/>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9/09/2016</w:t>
            </w:r>
          </w:p>
        </w:tc>
      </w:tr>
      <w:tr>
        <w:trPr>
          <w:trHeight w:val="196"/>
        </w:trPr>
        <w:tc>
          <w:tcPr>
            <w:tcW w:w="1020" w:type="dxa"/>
            <w:vAlign w:val="bottom"/>
          </w:tcPr>
          <w:p>
            <w:pPr>
              <w:spacing w:after="0"/>
              <w:rPr>
                <w:sz w:val="17"/>
                <w:szCs w:val="17"/>
                <w:color w:val="auto"/>
              </w:rPr>
            </w:pPr>
          </w:p>
        </w:tc>
        <w:tc>
          <w:tcPr>
            <w:tcW w:w="2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dated as of October 21, 2014 by and</w:t>
              </w:r>
            </w:hyperlink>
          </w:p>
        </w:tc>
        <w:tc>
          <w:tcPr>
            <w:tcW w:w="40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between the registrant and</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140" w:type="dxa"/>
            <w:vAlign w:val="bottom"/>
            <w:gridSpan w:val="2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40" w:type="dxa"/>
            <w:vAlign w:val="bottom"/>
            <w:gridSpan w:val="2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GLOBALFOUNDRIES Inc.</w:t>
              </w:r>
            </w:hyperlink>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Common Stock Purchase Agreement,</w:t>
              </w:r>
            </w:hyperlink>
          </w:p>
        </w:tc>
        <w:tc>
          <w:tcPr>
            <w:tcW w:w="300" w:type="dxa"/>
            <w:vAlign w:val="bottom"/>
            <w:gridSpan w:val="8"/>
          </w:tcPr>
          <w:p>
            <w:pPr>
              <w:spacing w:after="0"/>
              <w:rPr>
                <w:sz w:val="17"/>
                <w:szCs w:val="17"/>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9/26/2016</w:t>
            </w:r>
          </w:p>
        </w:tc>
      </w:tr>
      <w:tr>
        <w:trPr>
          <w:trHeight w:val="196"/>
        </w:trPr>
        <w:tc>
          <w:tcPr>
            <w:tcW w:w="1020" w:type="dxa"/>
            <w:vAlign w:val="bottom"/>
          </w:tcPr>
          <w:p>
            <w:pPr>
              <w:spacing w:after="0"/>
              <w:rPr>
                <w:sz w:val="17"/>
                <w:szCs w:val="17"/>
                <w:color w:val="auto"/>
              </w:rPr>
            </w:pPr>
          </w:p>
        </w:tc>
        <w:tc>
          <w:tcPr>
            <w:tcW w:w="28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dated as of September 23, 2016 by and</w:t>
              </w:r>
            </w:hyperlink>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between the registrant and GigaDevice</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(HK) Limited.</w:t>
              </w:r>
            </w:hyperlink>
          </w:p>
        </w:tc>
        <w:tc>
          <w:tcPr>
            <w:tcW w:w="22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020" w:type="dxa"/>
            <w:vAlign w:val="bottom"/>
            <w:gridSpan w:val="30"/>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Subcontract Agreement, dated as of</w:t>
              </w:r>
            </w:hyperlink>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11/10/2022</w:t>
            </w: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October 3, 2022, by and between the</w:t>
              </w:r>
            </w:hyperlink>
          </w:p>
        </w:tc>
        <w:tc>
          <w:tcPr>
            <w:tcW w:w="34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registrant and QuickLogic Corporation.</w:t>
              </w:r>
            </w:hyperlink>
          </w:p>
        </w:tc>
        <w:tc>
          <w:tcPr>
            <w:tcW w:w="1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8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Non-employee Director Compensation</w:t>
              </w:r>
            </w:hyperlink>
          </w:p>
        </w:tc>
        <w:tc>
          <w:tcPr>
            <w:tcW w:w="200" w:type="dxa"/>
            <w:vAlign w:val="bottom"/>
            <w:gridSpan w:val="4"/>
          </w:tcPr>
          <w:p>
            <w:pPr>
              <w:spacing w:after="0"/>
              <w:rPr>
                <w:sz w:val="24"/>
                <w:szCs w:val="24"/>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5/4/2023</w:t>
            </w:r>
          </w:p>
        </w:tc>
      </w:tr>
      <w:tr>
        <w:trPr>
          <w:trHeight w:val="196"/>
        </w:trPr>
        <w:tc>
          <w:tcPr>
            <w:tcW w:w="102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Program, as Amended.</w:t>
              </w:r>
            </w:hyperlink>
          </w:p>
        </w:tc>
        <w:tc>
          <w:tcPr>
            <w:tcW w:w="1360" w:type="dxa"/>
            <w:vAlign w:val="bottom"/>
            <w:gridSpan w:val="23"/>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020" w:type="dxa"/>
            <w:vAlign w:val="bottom"/>
            <w:gridSpan w:val="30"/>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Offer Letter, dated December 30, 2020,</w:t>
              </w:r>
            </w:hyperlink>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3/04/2021</w:t>
            </w: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by and between the registrant and Darin</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Billerbeck.</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Executive Employment Agreement,</w:t>
              </w:r>
            </w:hyperlink>
          </w:p>
        </w:tc>
        <w:tc>
          <w:tcPr>
            <w:tcW w:w="420" w:type="dxa"/>
            <w:vAlign w:val="bottom"/>
            <w:gridSpan w:val="13"/>
          </w:tcPr>
          <w:p>
            <w:pPr>
              <w:spacing w:after="0"/>
              <w:rPr>
                <w:sz w:val="24"/>
                <w:szCs w:val="2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7/22/2021</w:t>
            </w:r>
          </w:p>
        </w:tc>
      </w:tr>
      <w:tr>
        <w:trPr>
          <w:trHeight w:val="196"/>
        </w:trPr>
        <w:tc>
          <w:tcPr>
            <w:tcW w:w="1020" w:type="dxa"/>
            <w:vAlign w:val="bottom"/>
          </w:tcPr>
          <w:p>
            <w:pPr>
              <w:spacing w:after="0"/>
              <w:rPr>
                <w:sz w:val="17"/>
                <w:szCs w:val="17"/>
                <w:color w:val="auto"/>
              </w:rPr>
            </w:pPr>
          </w:p>
        </w:tc>
        <w:tc>
          <w:tcPr>
            <w:tcW w:w="2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effective as of April 3, 2021, by and</w:t>
              </w:r>
            </w:hyperlink>
          </w:p>
        </w:tc>
        <w:tc>
          <w:tcPr>
            <w:tcW w:w="40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between the registrant and Sanjeev</w:t>
              </w:r>
            </w:hyperlink>
          </w:p>
        </w:tc>
        <w:tc>
          <w:tcPr>
            <w:tcW w:w="50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Aggarwal</w:t>
              </w:r>
              <w:r>
                <w:rPr>
                  <w:rFonts w:ascii="Times New Roman" w:cs="Times New Roman" w:eastAsia="Times New Roman" w:hAnsi="Times New Roman"/>
                  <w:sz w:val="18"/>
                  <w:szCs w:val="18"/>
                  <w:color w:val="000000"/>
                </w:rPr>
                <w:t>.</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Executive Employment Agreement,</w:t>
              </w:r>
            </w:hyperlink>
          </w:p>
        </w:tc>
        <w:tc>
          <w:tcPr>
            <w:tcW w:w="420" w:type="dxa"/>
            <w:vAlign w:val="bottom"/>
            <w:gridSpan w:val="13"/>
          </w:tcPr>
          <w:p>
            <w:pPr>
              <w:spacing w:after="0"/>
              <w:rPr>
                <w:sz w:val="24"/>
                <w:szCs w:val="2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7/22/2021</w:t>
            </w: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effective as of July 2, 2021, by and</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5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between the registrant and Anuj</w:t>
              </w:r>
            </w:hyperlink>
          </w:p>
        </w:tc>
        <w:tc>
          <w:tcPr>
            <w:tcW w:w="50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Aggarwal</w:t>
              </w:r>
              <w:r>
                <w:rPr>
                  <w:rFonts w:ascii="Times New Roman" w:cs="Times New Roman" w:eastAsia="Times New Roman" w:hAnsi="Times New Roman"/>
                  <w:sz w:val="18"/>
                  <w:szCs w:val="18"/>
                  <w:color w:val="000000"/>
                </w:rPr>
                <w:t>.</w:t>
              </w:r>
            </w:hyperlink>
          </w:p>
        </w:tc>
        <w:tc>
          <w:tcPr>
            <w:tcW w:w="72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First Amendment to Executive</w:t>
              </w:r>
            </w:hyperlink>
          </w:p>
        </w:tc>
        <w:tc>
          <w:tcPr>
            <w:tcW w:w="780" w:type="dxa"/>
            <w:vAlign w:val="bottom"/>
            <w:gridSpan w:val="20"/>
          </w:tcPr>
          <w:p>
            <w:pPr>
              <w:spacing w:after="0"/>
              <w:rPr>
                <w:sz w:val="24"/>
                <w:szCs w:val="2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3/02/2022</w:t>
            </w: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Employment Agreement, effective as of</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March 14, 2022, by and between the</w:t>
              </w:r>
            </w:hyperlink>
          </w:p>
        </w:tc>
        <w:tc>
          <w:tcPr>
            <w:tcW w:w="22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registrant and Sanjeev Aggarwal.</w:t>
              </w:r>
            </w:hyperlink>
          </w:p>
        </w:tc>
        <w:tc>
          <w:tcPr>
            <w:tcW w:w="600" w:type="dxa"/>
            <w:vAlign w:val="bottom"/>
            <w:gridSpan w:val="16"/>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020" w:type="dxa"/>
            <w:vAlign w:val="bottom"/>
            <w:gridSpan w:val="30"/>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First Amendment to Offer Letter,</w:t>
              </w:r>
            </w:hyperlink>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3/02/2022</w:t>
            </w:r>
          </w:p>
        </w:tc>
      </w:tr>
      <w:tr>
        <w:trPr>
          <w:trHeight w:val="20"/>
        </w:trPr>
        <w:tc>
          <w:tcPr>
            <w:tcW w:w="10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effective as of March 14, 2022, by and</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between the registrant and Darin</w:t>
              </w:r>
            </w:hyperlink>
          </w:p>
        </w:tc>
        <w:tc>
          <w:tcPr>
            <w:tcW w:w="380" w:type="dxa"/>
            <w:vAlign w:val="bottom"/>
            <w:tcBorders>
              <w:top w:val="single" w:sz="8" w:color="0000EE"/>
            </w:tcBorders>
            <w:gridSpan w:val="11"/>
          </w:tcPr>
          <w:p>
            <w:pPr>
              <w:spacing w:after="0"/>
              <w:rPr>
                <w:sz w:val="17"/>
                <w:szCs w:val="17"/>
                <w:color w:val="auto"/>
              </w:rPr>
            </w:pPr>
          </w:p>
        </w:tc>
        <w:tc>
          <w:tcPr>
            <w:tcW w:w="2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Billerbeck.</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First Amendment to Executive</w:t>
              </w:r>
            </w:hyperlink>
          </w:p>
        </w:tc>
        <w:tc>
          <w:tcPr>
            <w:tcW w:w="780" w:type="dxa"/>
            <w:vAlign w:val="bottom"/>
            <w:gridSpan w:val="20"/>
          </w:tcPr>
          <w:p>
            <w:pPr>
              <w:spacing w:after="0"/>
              <w:rPr>
                <w:sz w:val="24"/>
                <w:szCs w:val="2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3/02/2022</w:t>
            </w: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Agreement, effective as of</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March 14, 2022, by and between the</w:t>
              </w:r>
            </w:hyperlink>
          </w:p>
        </w:tc>
        <w:tc>
          <w:tcPr>
            <w:tcW w:w="22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registrant and Anuj Aggarwal.</w:t>
              </w:r>
            </w:hyperlink>
          </w:p>
        </w:tc>
        <w:tc>
          <w:tcPr>
            <w:tcW w:w="82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2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Executive Severance and Change in</w:t>
              </w:r>
            </w:hyperlink>
          </w:p>
        </w:tc>
        <w:tc>
          <w:tcPr>
            <w:tcW w:w="420" w:type="dxa"/>
            <w:vAlign w:val="bottom"/>
            <w:gridSpan w:val="13"/>
          </w:tcPr>
          <w:p>
            <w:pPr>
              <w:spacing w:after="0"/>
              <w:rPr>
                <w:sz w:val="24"/>
                <w:szCs w:val="2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3/02/2022</w:t>
            </w: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Control Plan.</w:t>
              </w:r>
            </w:hyperlink>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020" w:type="dxa"/>
            <w:vAlign w:val="bottom"/>
            <w:gridSpan w:val="30"/>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Restricted Stock Unit Grants to</w:t>
              </w:r>
            </w:hyperlink>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5.02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5/12/2022</w:t>
            </w:r>
          </w:p>
        </w:tc>
      </w:tr>
      <w:tr>
        <w:trPr>
          <w:trHeight w:val="20"/>
        </w:trPr>
        <w:tc>
          <w:tcPr>
            <w:tcW w:w="10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Executive Chairman, CEO and CFO</w:t>
              </w:r>
            </w:hyperlink>
          </w:p>
        </w:tc>
        <w:tc>
          <w:tcPr>
            <w:tcW w:w="38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w:t>
            </w:r>
          </w:p>
        </w:tc>
        <w:tc>
          <w:tcPr>
            <w:tcW w:w="80" w:type="dxa"/>
            <w:vAlign w:val="bottom"/>
            <w:tcBorders>
              <w:top w:val="single" w:sz="8" w:color="0000EE"/>
            </w:tcBorders>
            <w:gridSpan w:val="3"/>
          </w:tcPr>
          <w:p>
            <w:pPr>
              <w:spacing w:after="0"/>
              <w:rPr>
                <w:sz w:val="17"/>
                <w:szCs w:val="17"/>
                <w:color w:val="auto"/>
              </w:rPr>
            </w:pPr>
          </w:p>
        </w:tc>
        <w:tc>
          <w:tcPr>
            <w:tcW w:w="72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Power of Attorney (included on the</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20" w:type="dxa"/>
            <w:vAlign w:val="bottom"/>
            <w:gridSpan w:val="11"/>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Signatures page of this Annual Report</w:t>
            </w: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on Form 10-K).</w:t>
            </w:r>
          </w:p>
        </w:tc>
        <w:tc>
          <w:tcPr>
            <w:tcW w:w="26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30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r>
      <w:tr>
        <w:trPr>
          <w:trHeight w:val="196"/>
        </w:trPr>
        <w:tc>
          <w:tcPr>
            <w:tcW w:w="1020" w:type="dxa"/>
            <w:vAlign w:val="bottom"/>
          </w:tcPr>
          <w:p>
            <w:pPr>
              <w:spacing w:after="0"/>
              <w:rPr>
                <w:sz w:val="17"/>
                <w:szCs w:val="17"/>
                <w:color w:val="auto"/>
              </w:rPr>
            </w:pPr>
          </w:p>
        </w:tc>
        <w:tc>
          <w:tcPr>
            <w:tcW w:w="2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w:t>
            </w:r>
          </w:p>
        </w:tc>
        <w:tc>
          <w:tcPr>
            <w:tcW w:w="6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6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280" w:type="dxa"/>
            <w:vAlign w:val="bottom"/>
            <w:gridSpan w:val="4"/>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r>
      <w:tr>
        <w:trPr>
          <w:trHeight w:val="196"/>
        </w:trPr>
        <w:tc>
          <w:tcPr>
            <w:tcW w:w="1020" w:type="dxa"/>
            <w:vAlign w:val="bottom"/>
          </w:tcPr>
          <w:p>
            <w:pPr>
              <w:spacing w:after="0"/>
              <w:rPr>
                <w:sz w:val="17"/>
                <w:szCs w:val="17"/>
                <w:color w:val="auto"/>
              </w:rPr>
            </w:pPr>
          </w:p>
        </w:tc>
        <w:tc>
          <w:tcPr>
            <w:tcW w:w="2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w:t>
            </w:r>
          </w:p>
        </w:tc>
        <w:tc>
          <w:tcPr>
            <w:tcW w:w="6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5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20" w:type="dxa"/>
            <w:vAlign w:val="bottom"/>
            <w:tcBorders>
              <w:top w:val="single" w:sz="8" w:color="0000EE"/>
            </w:tcBorders>
          </w:tcPr>
          <w:p>
            <w:pPr>
              <w:spacing w:after="0"/>
              <w:rPr>
                <w:sz w:val="24"/>
                <w:szCs w:val="24"/>
                <w:color w:val="auto"/>
              </w:rPr>
            </w:pPr>
          </w:p>
        </w:tc>
        <w:tc>
          <w:tcPr>
            <w:tcW w:w="28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Officer and Principal Financial Officer</w:t>
            </w: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w:t>
            </w: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w:t>
            </w:r>
          </w:p>
        </w:tc>
      </w:tr>
      <w:tr>
        <w:trPr>
          <w:trHeight w:val="196"/>
        </w:trPr>
        <w:tc>
          <w:tcPr>
            <w:tcW w:w="1020" w:type="dxa"/>
            <w:vAlign w:val="bottom"/>
          </w:tcPr>
          <w:p>
            <w:pPr>
              <w:spacing w:after="0"/>
              <w:rPr>
                <w:sz w:val="17"/>
                <w:szCs w:val="17"/>
                <w:color w:val="auto"/>
              </w:rPr>
            </w:pPr>
          </w:p>
        </w:tc>
        <w:tc>
          <w:tcPr>
            <w:tcW w:w="28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Incentive Compensation Recoupment</w:t>
            </w:r>
          </w:p>
        </w:tc>
        <w:tc>
          <w:tcPr>
            <w:tcW w:w="16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Policy</w:t>
            </w: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r>
      <w:tr>
        <w:trPr>
          <w:trHeight w:val="216"/>
        </w:trPr>
        <w:tc>
          <w:tcPr>
            <w:tcW w:w="102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instance document does not appear in</w:t>
            </w:r>
          </w:p>
        </w:tc>
      </w:tr>
      <w:tr>
        <w:trPr>
          <w:trHeight w:val="216"/>
        </w:trPr>
        <w:tc>
          <w:tcPr>
            <w:tcW w:w="102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Interactive Data File because its</w:t>
            </w:r>
          </w:p>
        </w:tc>
      </w:tr>
      <w:tr>
        <w:trPr>
          <w:trHeight w:val="216"/>
        </w:trPr>
        <w:tc>
          <w:tcPr>
            <w:tcW w:w="102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tags are embedded within the</w:t>
            </w:r>
          </w:p>
        </w:tc>
      </w:tr>
      <w:tr>
        <w:trPr>
          <w:trHeight w:val="234"/>
        </w:trPr>
        <w:tc>
          <w:tcPr>
            <w:tcW w:w="102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Label Linkbase Document.</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216"/>
        </w:trPr>
        <w:tc>
          <w:tcPr>
            <w:tcW w:w="102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(formatted as Inline XBRL and</w:t>
            </w:r>
          </w:p>
        </w:tc>
      </w:tr>
      <w:tr>
        <w:trPr>
          <w:trHeight w:val="234"/>
        </w:trPr>
        <w:tc>
          <w:tcPr>
            <w:tcW w:w="102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414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72" w:lineRule="exact"/>
        <w:rPr>
          <w:sz w:val="20"/>
          <w:szCs w:val="20"/>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80" w:right="79" w:hanging="330"/>
        <w:spacing w:after="0" w:line="258"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3"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certain portions of this exhibit.</w:t>
      </w:r>
    </w:p>
    <w:p>
      <w:pPr>
        <w:spacing w:after="0" w:line="225" w:lineRule="exact"/>
        <w:rPr>
          <w:sz w:val="20"/>
          <w:szCs w:val="20"/>
          <w:color w:val="auto"/>
        </w:rPr>
      </w:pPr>
    </w:p>
    <w:p>
      <w:pPr>
        <w:ind w:left="380" w:right="179" w:hanging="330"/>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would likely cause competitive harm if publicly disclosed.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25" w:lineRule="exact"/>
        <w:rPr>
          <w:sz w:val="20"/>
          <w:szCs w:val="20"/>
          <w:color w:val="auto"/>
        </w:rPr>
      </w:pPr>
    </w:p>
    <w:p>
      <w:pPr>
        <w:ind w:left="60" w:right="979" w:hanging="10"/>
        <w:spacing w:after="0" w:line="282" w:lineRule="auto"/>
        <w:tabs>
          <w:tab w:leader="none" w:pos="3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or incorporated into this Annual Report on Form 10-K by reference, the exhibits listed on the Exhibit Index immediately above.</w:t>
      </w:r>
    </w:p>
    <w:p>
      <w:pPr>
        <w:spacing w:after="0" w:line="161" w:lineRule="exact"/>
        <w:rPr>
          <w:rFonts w:ascii="Times New Roman" w:cs="Times New Roman" w:eastAsia="Times New Roman" w:hAnsi="Times New Roman"/>
          <w:sz w:val="18"/>
          <w:szCs w:val="18"/>
          <w:color w:val="auto"/>
        </w:rPr>
      </w:pPr>
    </w:p>
    <w:p>
      <w:pPr>
        <w:ind w:left="940" w:hanging="242"/>
        <w:spacing w:after="0"/>
        <w:tabs>
          <w:tab w:leader="none" w:pos="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15(a)2 above.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759" w:firstLine="40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February 29, 2024.</w:t>
      </w:r>
    </w:p>
    <w:p>
      <w:pPr>
        <w:spacing w:after="0" w:line="1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Anuj Aggarwal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01"/>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Sanjeev Aggarwal and Anuj Aggarwal, and each of them, as his true and lawful attorneys-in-fact and agents, each with the full power of substitution, for him and in his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88" w:lineRule="exact"/>
        <w:rPr>
          <w:sz w:val="20"/>
          <w:szCs w:val="20"/>
          <w:color w:val="auto"/>
        </w:rPr>
      </w:pPr>
    </w:p>
    <w:p>
      <w:pPr>
        <w:ind w:left="60" w:right="139" w:firstLine="40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46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Sanjeev Aggarwal</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Sanjeev Aggarwal</w:t>
            </w:r>
          </w:p>
        </w:tc>
        <w:tc>
          <w:tcPr>
            <w:tcW w:w="2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2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Anuj Aggarwal</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Anuj Aggarwal</w:t>
            </w:r>
          </w:p>
        </w:tc>
        <w:tc>
          <w:tcPr>
            <w:tcW w:w="2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2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Darin G. Billerbeck</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Darin G. Billerbeck</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G. Finch</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Lawrence G. Finch</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 Ribar</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Ribar</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Tara Long</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Tara Long</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Glen Hawk</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Glen Hawk</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Douglas Mitchell</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Mitchell</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7" w:lineRule="exact"/>
        <w:rPr>
          <w:sz w:val="20"/>
          <w:szCs w:val="20"/>
          <w:color w:val="auto"/>
        </w:rPr>
      </w:pPr>
    </w:p>
    <w:p>
      <w:pPr>
        <w:ind w:left="700" w:right="399" w:hanging="326"/>
        <w:spacing w:after="0" w:line="258"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333-214018) pertaining to the Everspin Technologies, Inc. 2008 Equity Incentive Plan, 2016 Equity Incentive Plan and the 2016 Employee Stock Purchase Plan,</w:t>
      </w:r>
    </w:p>
    <w:p>
      <w:pPr>
        <w:ind w:left="700" w:right="399" w:hanging="326"/>
        <w:spacing w:after="0" w:line="258"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333-219938) pertaining to the Everspin Technologies, Inc. 2016 Equity Incentive Plan and the 2016 Employee Stock Purchase Plan,</w:t>
      </w:r>
    </w:p>
    <w:p>
      <w:pPr>
        <w:ind w:left="700" w:right="399" w:hanging="326"/>
        <w:spacing w:after="0" w:line="258"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333-225119) pertaining to the Everspin Technologies, Inc. 2016 Equity Incentive Plan and the 2016 Employee Stock Purchase Plan,</w:t>
      </w:r>
    </w:p>
    <w:p>
      <w:pPr>
        <w:ind w:left="700" w:right="399" w:hanging="326"/>
        <w:spacing w:after="0" w:line="258"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333-230349) pertaining to the Everspin Technologies, Inc. 2016 Equity Incentive Plan and the 2016 Employee Stock Purchase Plan,</w:t>
      </w:r>
    </w:p>
    <w:p>
      <w:pPr>
        <w:ind w:left="700" w:right="399" w:hanging="326"/>
        <w:spacing w:after="0" w:line="258"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333-237146) pertaining to the Everspin Technologies, Inc. 2016 Equity Incentive Plan and the 2016 Employee Stock Purchase Plan,</w:t>
      </w:r>
    </w:p>
    <w:p>
      <w:pPr>
        <w:ind w:left="700" w:right="399" w:hanging="326"/>
        <w:spacing w:after="0" w:line="258"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333-253884) pertaining to the Everspin Technologies, Inc. 2016 Equity Incentive Plan and the 2016 Employee Stock Purchase Plan,</w:t>
      </w:r>
    </w:p>
    <w:p>
      <w:pPr>
        <w:ind w:left="700" w:right="279" w:hanging="326"/>
        <w:spacing w:after="0" w:line="258"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333-258794) pertaining to the Everspin Technologies, Inc. Amended and Restated 2016 Equity Incentive Plan,</w:t>
      </w:r>
    </w:p>
    <w:p>
      <w:pPr>
        <w:ind w:left="700" w:right="279" w:hanging="326"/>
        <w:spacing w:after="0" w:line="273" w:lineRule="auto"/>
        <w:tabs>
          <w:tab w:leader="none" w:pos="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333-263404) pertaining to the Everspin Technologies, Inc. Amended and Restated 2016 Equity Incentive Plan and Everspin Technologies, Inc. 2016 Employee Stock Purchase Plan,</w:t>
      </w:r>
    </w:p>
    <w:p>
      <w:pPr>
        <w:jc w:val="both"/>
        <w:ind w:left="700" w:right="279" w:hanging="326"/>
        <w:spacing w:after="0" w:line="273" w:lineRule="auto"/>
        <w:tabs>
          <w:tab w:leader="none" w:pos="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333-270242) pertaining to the Everspin Technologies, Inc. Amended and Restated 2016 Equity Incentive Plan and Everspin Technologies, Inc. 2016 Employee Stock Purchase Plan, and</w:t>
      </w:r>
    </w:p>
    <w:p>
      <w:pPr>
        <w:ind w:left="700" w:hanging="32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333-275585) of Everspin Technologies, Inc.;</w:t>
      </w:r>
    </w:p>
    <w:p>
      <w:pPr>
        <w:spacing w:after="0" w:line="153"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of our report dated February 29, 2024, with respect to the financial statements of Everspin Technologies, Inc. included in this Annual Report (Form 10-K) for the year ended December 31,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7" w:name="page78"/>
    <w:bookmarkEnd w:id="7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198" w:lineRule="exact"/>
        <w:rPr>
          <w:sz w:val="20"/>
          <w:szCs w:val="20"/>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Everspin Technologies, Inc.;</w:t>
      </w:r>
    </w:p>
    <w:p>
      <w:pPr>
        <w:spacing w:after="0" w:line="211" w:lineRule="exact"/>
        <w:rPr>
          <w:rFonts w:ascii="Times New Roman" w:cs="Times New Roman" w:eastAsia="Times New Roman" w:hAnsi="Times New Roman"/>
          <w:sz w:val="18"/>
          <w:szCs w:val="18"/>
          <w:color w:val="auto"/>
        </w:rPr>
      </w:pPr>
    </w:p>
    <w:p>
      <w:pPr>
        <w:jc w:val="both"/>
        <w:ind w:left="380" w:right="119" w:hanging="330"/>
        <w:spacing w:after="0" w:line="258"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380" w:right="219" w:hanging="330"/>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380" w:right="59" w:hanging="6"/>
        <w:spacing w:after="0" w:line="261" w:lineRule="auto"/>
        <w:tabs>
          <w:tab w:leader="none" w:pos="6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380" w:right="59" w:hanging="6"/>
        <w:spacing w:after="0" w:line="261" w:lineRule="auto"/>
        <w:tabs>
          <w:tab w:leader="none" w:pos="64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-127635</wp:posOffset>
            </wp:positionV>
            <wp:extent cx="25031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8" w:name="page79"/>
    <w:bookmarkEnd w:id="7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Anuj Aggarwal, certify that:</w:t>
      </w:r>
    </w:p>
    <w:p>
      <w:pPr>
        <w:spacing w:after="0" w:line="225" w:lineRule="exact"/>
        <w:rPr>
          <w:sz w:val="20"/>
          <w:szCs w:val="20"/>
          <w:color w:val="auto"/>
        </w:rPr>
      </w:pPr>
    </w:p>
    <w:p>
      <w:pPr>
        <w:ind w:left="380" w:hanging="330"/>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Anuj Aggarwal</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820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9" w:name="page80"/>
    <w:bookmarkEnd w:id="7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Annual Report of Everspin Technologies, Inc. (the “Company”) on Form 10-K for the year ended December 31, 2023 (the “Report”), Sanjeev Aggarwal, Chief Executive Officer of the Company, and Anuj Aggarwal,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89" w:lineRule="exact"/>
        <w:rPr>
          <w:sz w:val="20"/>
          <w:szCs w:val="20"/>
          <w:color w:val="auto"/>
        </w:rPr>
      </w:pPr>
    </w:p>
    <w:p>
      <w:pPr>
        <w:ind w:left="380" w:hanging="330"/>
        <w:spacing w:after="0"/>
        <w:tabs>
          <w:tab w:leader="none" w:pos="3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225" w:lineRule="exact"/>
        <w:rPr>
          <w:rFonts w:ascii="Times New Roman" w:cs="Times New Roman" w:eastAsia="Times New Roman" w:hAnsi="Times New Roman"/>
          <w:sz w:val="18"/>
          <w:szCs w:val="18"/>
          <w:b w:val="1"/>
          <w:bCs w:val="1"/>
          <w:color w:val="auto"/>
        </w:rPr>
      </w:pPr>
    </w:p>
    <w:p>
      <w:pPr>
        <w:ind w:left="380" w:right="239" w:hanging="330"/>
        <w:spacing w:after="0" w:line="282" w:lineRule="auto"/>
        <w:tabs>
          <w:tab w:leader="none" w:pos="3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2515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1">
                      <a:extLst>
                        <a:ext uri="{28A0092B-C50C-407E-A947-70E740481C1C}"/>
                      </a:extLst>
                    </a:blip>
                    <a:srcRect/>
                    <a:stretch>
                      <a:fillRect/>
                    </a:stretch>
                  </pic:blipFill>
                  <pic:spPr bwMode="auto">
                    <a:xfrm>
                      <a:off x="0" y="0"/>
                      <a:ext cx="5648960" cy="125158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Anuj Aggarwal</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Anuj Aggarwal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0" w:name="page81"/>
    <w:bookmarkEnd w:id="8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verspin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echnologies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ind w:left="860" w:hanging="651"/>
        <w:spacing w:after="0"/>
        <w:tabs>
          <w:tab w:leader="none" w:pos="8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6"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Everspin Technologies,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7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860" w:hanging="651"/>
        <w:spacing w:after="0"/>
        <w:tabs>
          <w:tab w:leader="none" w:pos="86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56" w:lineRule="exact"/>
        <w:rPr>
          <w:sz w:val="20"/>
          <w:szCs w:val="20"/>
          <w:color w:val="auto"/>
        </w:rPr>
      </w:pPr>
    </w:p>
    <w:p>
      <w:pPr>
        <w:ind w:left="860" w:hanging="651"/>
        <w:spacing w:after="0"/>
        <w:tabs>
          <w:tab w:leader="none" w:pos="8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02" w:lineRule="exact"/>
        <w:rPr>
          <w:sz w:val="20"/>
          <w:szCs w:val="20"/>
          <w:color w:val="auto"/>
        </w:rPr>
      </w:pPr>
    </w:p>
    <w:p>
      <w:pPr>
        <w:jc w:val="both"/>
        <w:ind w:left="200" w:right="219" w:firstLine="72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5"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Board.</w:t>
      </w:r>
    </w:p>
    <w:p>
      <w:pPr>
        <w:spacing w:after="0" w:line="176"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1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359410</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55"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67" w:lineRule="exact"/>
        <w:rPr>
          <w:sz w:val="20"/>
          <w:szCs w:val="20"/>
          <w:color w:val="auto"/>
        </w:rPr>
      </w:pPr>
    </w:p>
    <w:p>
      <w:pPr>
        <w:jc w:val="both"/>
        <w:ind w:left="200" w:right="23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53"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860" w:hanging="651"/>
        <w:spacing w:after="0"/>
        <w:tabs>
          <w:tab w:leader="none" w:pos="8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5" w:lineRule="exact"/>
        <w:rPr>
          <w:rFonts w:ascii="Times New Roman" w:cs="Times New Roman" w:eastAsia="Times New Roman" w:hAnsi="Times New Roman"/>
          <w:sz w:val="20"/>
          <w:szCs w:val="20"/>
          <w:b w:val="1"/>
          <w:bCs w:val="1"/>
          <w:color w:val="auto"/>
        </w:rPr>
      </w:pPr>
    </w:p>
    <w:p>
      <w:pPr>
        <w:jc w:val="both"/>
        <w:ind w:left="200" w:right="219" w:firstLine="657"/>
        <w:spacing w:after="0" w:line="241" w:lineRule="auto"/>
        <w:tabs>
          <w:tab w:leader="none" w:pos="1496"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jc w:val="both"/>
        <w:ind w:left="200" w:right="219" w:firstLine="657"/>
        <w:spacing w:after="0" w:line="243" w:lineRule="auto"/>
        <w:tabs>
          <w:tab w:leader="none" w:pos="149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98"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w:t>
      </w:r>
    </w:p>
    <w:p>
      <w:pPr>
        <w:spacing w:after="0" w:line="25" w:lineRule="exact"/>
        <w:rPr>
          <w:rFonts w:ascii="Times New Roman" w:cs="Times New Roman" w:eastAsia="Times New Roman" w:hAnsi="Times New Roman"/>
          <w:sz w:val="20"/>
          <w:szCs w:val="20"/>
          <w:b w:val="1"/>
          <w:bCs w:val="1"/>
          <w:color w:val="auto"/>
        </w:rPr>
      </w:pPr>
    </w:p>
    <w:p>
      <w:pPr>
        <w:ind w:left="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only if:</w:t>
      </w:r>
    </w:p>
    <w:p>
      <w:pPr>
        <w:jc w:val="both"/>
        <w:ind w:left="860" w:right="219" w:firstLine="645"/>
        <w:spacing w:after="0" w:line="239" w:lineRule="auto"/>
        <w:tabs>
          <w:tab w:leader="none" w:pos="2156"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3" w:lineRule="exact"/>
        <w:rPr>
          <w:rFonts w:ascii="Times New Roman" w:cs="Times New Roman" w:eastAsia="Times New Roman" w:hAnsi="Times New Roman"/>
          <w:sz w:val="20"/>
          <w:szCs w:val="20"/>
          <w:color w:val="auto"/>
        </w:rPr>
      </w:pPr>
    </w:p>
    <w:p>
      <w:pPr>
        <w:jc w:val="both"/>
        <w:ind w:left="860" w:right="219" w:firstLine="645"/>
        <w:spacing w:after="0" w:line="241" w:lineRule="auto"/>
        <w:tabs>
          <w:tab w:leader="none" w:pos="2156"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97" w:lineRule="exact"/>
        <w:rPr>
          <w:rFonts w:ascii="Times New Roman" w:cs="Times New Roman" w:eastAsia="Times New Roman" w:hAnsi="Times New Roman"/>
          <w:sz w:val="20"/>
          <w:szCs w:val="20"/>
          <w:color w:val="auto"/>
        </w:rPr>
      </w:pPr>
    </w:p>
    <w:p>
      <w:pPr>
        <w:jc w:val="both"/>
        <w:ind w:left="200" w:right="219" w:firstLine="657"/>
        <w:spacing w:after="0" w:line="241" w:lineRule="auto"/>
        <w:tabs>
          <w:tab w:leader="none" w:pos="149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206" w:lineRule="exact"/>
        <w:rPr>
          <w:rFonts w:ascii="Times New Roman" w:cs="Times New Roman" w:eastAsia="Times New Roman" w:hAnsi="Times New Roman"/>
          <w:sz w:val="20"/>
          <w:szCs w:val="20"/>
          <w:b w:val="1"/>
          <w:bCs w:val="1"/>
          <w:color w:val="auto"/>
        </w:rPr>
      </w:pPr>
    </w:p>
    <w:p>
      <w:pPr>
        <w:jc w:val="both"/>
        <w:ind w:left="200" w:right="219" w:firstLine="657"/>
        <w:spacing w:after="0" w:line="246" w:lineRule="auto"/>
        <w:tabs>
          <w:tab w:leader="none" w:pos="149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92" w:lineRule="exact"/>
        <w:rPr>
          <w:rFonts w:ascii="Times New Roman" w:cs="Times New Roman" w:eastAsia="Times New Roman" w:hAnsi="Times New Roman"/>
          <w:sz w:val="20"/>
          <w:szCs w:val="20"/>
          <w:b w:val="1"/>
          <w:bCs w:val="1"/>
          <w:color w:val="auto"/>
        </w:rPr>
      </w:pPr>
    </w:p>
    <w:p>
      <w:pPr>
        <w:jc w:val="both"/>
        <w:ind w:left="200" w:right="219" w:firstLine="657"/>
        <w:spacing w:after="0" w:line="256" w:lineRule="auto"/>
        <w:tabs>
          <w:tab w:leader="none" w:pos="149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members of the Board who assist in the administration of this Policy, shall not be personally liable for any action, determination or interpretation made with respect to this Policy and shall be indemnified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3" w:name="page84"/>
    <w:bookmarkEnd w:id="83"/>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86" w:lineRule="exact"/>
        <w:rPr>
          <w:sz w:val="20"/>
          <w:szCs w:val="20"/>
          <w:color w:val="auto"/>
        </w:rPr>
      </w:pPr>
    </w:p>
    <w:p>
      <w:pPr>
        <w:jc w:val="both"/>
        <w:ind w:left="200" w:right="219" w:firstLine="657"/>
        <w:spacing w:after="0" w:line="247" w:lineRule="auto"/>
        <w:tabs>
          <w:tab w:leader="none" w:pos="1496"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93" w:lineRule="exact"/>
        <w:rPr>
          <w:rFonts w:ascii="Times New Roman" w:cs="Times New Roman" w:eastAsia="Times New Roman" w:hAnsi="Times New Roman"/>
          <w:sz w:val="20"/>
          <w:szCs w:val="20"/>
          <w:b w:val="1"/>
          <w:bCs w:val="1"/>
          <w:color w:val="auto"/>
        </w:rPr>
      </w:pPr>
    </w:p>
    <w:p>
      <w:pPr>
        <w:ind w:left="860" w:hanging="651"/>
        <w:spacing w:after="0"/>
        <w:tabs>
          <w:tab w:leader="none" w:pos="8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6"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71" w:lineRule="exact"/>
        <w:rPr>
          <w:sz w:val="20"/>
          <w:szCs w:val="20"/>
          <w:color w:val="auto"/>
        </w:rPr>
      </w:pPr>
    </w:p>
    <w:p>
      <w:pPr>
        <w:ind w:left="860" w:hanging="651"/>
        <w:spacing w:after="0"/>
        <w:tabs>
          <w:tab w:leader="none" w:pos="86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56" w:lineRule="exact"/>
        <w:rPr>
          <w:sz w:val="20"/>
          <w:szCs w:val="20"/>
          <w:color w:val="auto"/>
        </w:rPr>
      </w:pPr>
    </w:p>
    <w:p>
      <w:pPr>
        <w:ind w:left="860" w:hanging="651"/>
        <w:spacing w:after="0"/>
        <w:tabs>
          <w:tab w:leader="none" w:pos="8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0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80" w:lineRule="exact"/>
        <w:rPr>
          <w:sz w:val="20"/>
          <w:szCs w:val="20"/>
          <w:color w:val="auto"/>
        </w:rPr>
      </w:pPr>
    </w:p>
    <w:p>
      <w:pPr>
        <w:ind w:left="860" w:hanging="651"/>
        <w:spacing w:after="0"/>
        <w:tabs>
          <w:tab w:leader="none" w:pos="86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26"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4" w:name="page85"/>
    <w:bookmarkEnd w:id="84"/>
    <w:p>
      <w:pPr>
        <w:ind w:left="860" w:hanging="651"/>
        <w:spacing w:after="0"/>
        <w:tabs>
          <w:tab w:leader="none" w:pos="8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5" w:lineRule="exact"/>
        <w:rPr>
          <w:sz w:val="20"/>
          <w:szCs w:val="20"/>
          <w:color w:val="auto"/>
        </w:rPr>
      </w:pPr>
    </w:p>
    <w:p>
      <w:pPr>
        <w:jc w:val="both"/>
        <w:ind w:left="200" w:right="239" w:firstLine="648"/>
        <w:spacing w:after="0" w:line="242"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69" w:lineRule="exact"/>
        <w:rPr>
          <w:sz w:val="20"/>
          <w:szCs w:val="20"/>
          <w:color w:val="auto"/>
        </w:rPr>
      </w:pPr>
    </w:p>
    <w:p>
      <w:pPr>
        <w:ind w:left="860" w:hanging="651"/>
        <w:spacing w:after="0"/>
        <w:tabs>
          <w:tab w:leader="none" w:pos="8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193"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46" w:lineRule="exact"/>
        <w:rPr>
          <w:sz w:val="20"/>
          <w:szCs w:val="20"/>
          <w:color w:val="auto"/>
        </w:rPr>
      </w:pPr>
    </w:p>
    <w:p>
      <w:pPr>
        <w:ind w:left="3160"/>
        <w:spacing w:after="0"/>
        <w:tabs>
          <w:tab w:leader="none" w:pos="3780" w:val="left"/>
          <w:tab w:leader="none" w:pos="4440" w:val="left"/>
          <w:tab w:leader="none" w:pos="5080" w:val="left"/>
          <w:tab w:leader="none" w:pos="57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verspin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echnologies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Everspin Technologies,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Everspin Technologies,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530860</wp:posOffset>
            </wp:positionV>
            <wp:extent cx="24650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8">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-10795</wp:posOffset>
            </wp:positionV>
            <wp:extent cx="20942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9">
                      <a:extLst>
                        <a:ext uri="{28A0092B-C50C-407E-A947-70E740481C1C}"/>
                      </a:extLst>
                    </a:blip>
                    <a:srcRect/>
                    <a:stretch>
                      <a:fillRect/>
                    </a:stretch>
                  </pic:blipFill>
                  <pic:spPr bwMode="auto">
                    <a:xfrm>
                      <a:off x="0" y="0"/>
                      <a:ext cx="209423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-10795</wp:posOffset>
            </wp:positionV>
            <wp:extent cx="21558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0">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2157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1">
                      <a:extLst>
                        <a:ext uri="{28A0092B-C50C-407E-A947-70E740481C1C}"/>
                      </a:extLst>
                    </a:blip>
                    <a:srcRect/>
                    <a:stretch>
                      <a:fillRect/>
                    </a:stretch>
                  </pic:blipFill>
                  <pic:spPr bwMode="auto">
                    <a:xfrm>
                      <a:off x="0" y="0"/>
                      <a:ext cx="215709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86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3"/>
    </w:lvl>
  </w:abstractNum>
  <w:abstractNum w:abstractNumId="25">
    <w:nsid w:val="77465F01"/>
    <w:multiLevelType w:val="hybridMultilevel"/>
    <w:lvl w:ilvl="0">
      <w:lvlJc w:val="left"/>
      <w:lvlText w:val="(%1)"/>
      <w:numFmt w:val="lowerLetter"/>
      <w:start w:val="1"/>
    </w:lvl>
    <w:lvl w:ilvl="1">
      <w:lvlJc w:val="left"/>
      <w:lvlText w:val="%2."/>
      <w:numFmt w:val="decimal"/>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2"/>
    </w:lvl>
    <w:lvl w:ilvl="1">
      <w:lvlJc w:val="left"/>
      <w:lvlText w:val="(%2)"/>
      <w:numFmt w:val="lowerLetter"/>
      <w:start w:val="3"/>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lvl w:ilvl="1">
      <w:lvlJc w:val="left"/>
      <w:lvlText w:val="(%2)"/>
      <w:numFmt w:val="lowerLetter"/>
      <w:start w:val="1"/>
    </w:lvl>
  </w:abstractNum>
  <w:abstractNum w:abstractNumId="34">
    <w:nsid w:val="3855585C"/>
    <w:multiLevelType w:val="hybridMultilevel"/>
    <w:lvl w:ilvl="0">
      <w:lvlJc w:val="left"/>
      <w:lvlText w:val="%1."/>
      <w:numFmt w:val="decimal"/>
      <w:start w:val="1"/>
    </w:lvl>
    <w:lvl w:ilvl="1">
      <w:lvlJc w:val="left"/>
      <w:lvlText w:val="(%2)"/>
      <w:numFmt w:val="lowerLetter"/>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4"/>
    </w:lvl>
    <w:lvl w:ilvl="1">
      <w:lvlJc w:val="left"/>
      <w:lvlText w:val="(%2)"/>
      <w:numFmt w:val="lowerLetter"/>
      <w:start w:val="1"/>
    </w:lvl>
  </w:abstractNum>
  <w:abstractNum w:abstractNumId="40">
    <w:nsid w:val="2CD89A32"/>
    <w:multiLevelType w:val="hybridMultilevel"/>
    <w:lvl w:ilvl="0">
      <w:lvlJc w:val="left"/>
      <w:lvlText w:val="(%1)"/>
      <w:numFmt w:val="lowerLetter"/>
      <w:start w:val="2"/>
    </w:lvl>
    <w:lvl w:ilvl="1">
      <w:lvlJc w:val="left"/>
      <w:lvlText w:val="(%2)"/>
      <w:numFmt w:val="lowerRoman"/>
      <w:start w:val="1"/>
    </w:lvl>
  </w:abstractNum>
  <w:abstractNum w:abstractNumId="41">
    <w:nsid w:val="57E4CCAF"/>
    <w:multiLevelType w:val="hybridMultilevel"/>
    <w:lvl w:ilvl="0">
      <w:lvlJc w:val="left"/>
      <w:lvlText w:val="%1"/>
      <w:numFmt w:val="decimal"/>
      <w:start w:val="1"/>
    </w:lvl>
    <w:lvl w:ilvl="1">
      <w:lvlJc w:val="left"/>
      <w:lvlText w:val="(%2)"/>
      <w:numFmt w:val="lowerLetter"/>
      <w:start w:val="7"/>
    </w:lvl>
  </w:abstractNum>
  <w:abstractNum w:abstractNumId="42">
    <w:nsid w:val="7A6D8D3C"/>
    <w:multiLevelType w:val="hybridMultilevel"/>
    <w:lvl w:ilvl="0">
      <w:lvlJc w:val="left"/>
      <w:lvlText w:val="%1."/>
      <w:numFmt w:val="decimal"/>
      <w:start w:val="5"/>
    </w:lvl>
    <w:lvl w:ilvl="1">
      <w:lvlJc w:val="left"/>
      <w:lvlText w:val="%2"/>
      <w:numFmt w:val="lowerLetter"/>
      <w:start w:val="1"/>
    </w:lvl>
  </w:abstractNum>
  <w:abstractNum w:abstractNumId="43">
    <w:nsid w:val="4B588F54"/>
    <w:multiLevelType w:val="hybridMultilevel"/>
    <w:lvl w:ilvl="0">
      <w:lvlJc w:val="left"/>
      <w:lvlText w:val="%1."/>
      <w:numFmt w:val="decimal"/>
      <w:start w:val="6"/>
    </w:lvl>
  </w:abstractNum>
  <w:abstractNum w:abstractNumId="44">
    <w:nsid w:val="542289EC"/>
    <w:multiLevelType w:val="hybridMultilevel"/>
    <w:lvl w:ilvl="0">
      <w:lvlJc w:val="left"/>
      <w:lvlText w:val="%1."/>
      <w:numFmt w:val="decimal"/>
      <w:start w:val="7"/>
    </w:lvl>
  </w:abstractNum>
  <w:abstractNum w:abstractNumId="45">
    <w:nsid w:val="6DE91B18"/>
    <w:multiLevelType w:val="hybridMultilevel"/>
    <w:lvl w:ilvl="0">
      <w:lvlJc w:val="left"/>
      <w:lvlText w:val="%1."/>
      <w:numFmt w:val="decimal"/>
      <w:start w:val="8"/>
    </w:lvl>
  </w:abstractNum>
  <w:abstractNum w:abstractNumId="46">
    <w:nsid w:val="38437FDB"/>
    <w:multiLevelType w:val="hybridMultilevel"/>
    <w:lvl w:ilvl="0">
      <w:lvlJc w:val="left"/>
      <w:lvlText w:val="%1."/>
      <w:numFmt w:val="decimal"/>
      <w:start w:val="9"/>
    </w:lvl>
  </w:abstractNum>
  <w:abstractNum w:abstractNumId="47">
    <w:nsid w:val="7644A45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4" Type="http://schemas.openxmlformats.org/officeDocument/2006/relationships/image" Target="media/image72.png"/><Relationship Id="rId106" Type="http://schemas.openxmlformats.org/officeDocument/2006/relationships/image" Target="media/image73.png"/><Relationship Id="rId116" Type="http://schemas.openxmlformats.org/officeDocument/2006/relationships/image" Target="media/image74.png"/><Relationship Id="rId126" Type="http://schemas.openxmlformats.org/officeDocument/2006/relationships/image" Target="media/image75.png"/><Relationship Id="rId138" Type="http://schemas.openxmlformats.org/officeDocument/2006/relationships/image" Target="media/image76.png"/><Relationship Id="rId139" Type="http://schemas.openxmlformats.org/officeDocument/2006/relationships/image" Target="media/image77.png"/><Relationship Id="rId140" Type="http://schemas.openxmlformats.org/officeDocument/2006/relationships/image" Target="media/image78.png"/><Relationship Id="rId141" Type="http://schemas.openxmlformats.org/officeDocument/2006/relationships/image" Target="media/image79.png"/><Relationship Id="rId142" Type="http://schemas.openxmlformats.org/officeDocument/2006/relationships/image" Target="media/image80.png"/><Relationship Id="rId143" Type="http://schemas.openxmlformats.org/officeDocument/2006/relationships/image" Target="media/image81.png"/><Relationship Id="rId144" Type="http://schemas.openxmlformats.org/officeDocument/2006/relationships/image" Target="media/image82.png"/><Relationship Id="rId145" Type="http://schemas.openxmlformats.org/officeDocument/2006/relationships/image" Target="media/image83.png"/><Relationship Id="rId146" Type="http://schemas.openxmlformats.org/officeDocument/2006/relationships/image" Target="media/image84.png"/><Relationship Id="rId147" Type="http://schemas.openxmlformats.org/officeDocument/2006/relationships/image" Target="media/image85.png"/><Relationship Id="rId148" Type="http://schemas.openxmlformats.org/officeDocument/2006/relationships/image" Target="media/image86.png"/><Relationship Id="rId149" Type="http://schemas.openxmlformats.org/officeDocument/2006/relationships/image" Target="media/image87.png"/><Relationship Id="rId150" Type="http://schemas.openxmlformats.org/officeDocument/2006/relationships/image" Target="media/image88.png"/><Relationship Id="rId151" Type="http://schemas.openxmlformats.org/officeDocument/2006/relationships/image" Target="media/image89.png"/><Relationship Id="rId152" Type="http://schemas.openxmlformats.org/officeDocument/2006/relationships/image" Target="media/image90.png"/><Relationship Id="rId153" Type="http://schemas.openxmlformats.org/officeDocument/2006/relationships/image" Target="media/image91.png"/><Relationship Id="rId154" Type="http://schemas.openxmlformats.org/officeDocument/2006/relationships/image" Target="media/image92.png"/><Relationship Id="rId155" Type="http://schemas.openxmlformats.org/officeDocument/2006/relationships/image" Target="media/image93.png"/><Relationship Id="rId156" Type="http://schemas.openxmlformats.org/officeDocument/2006/relationships/image" Target="media/image94.png"/><Relationship Id="rId157" Type="http://schemas.openxmlformats.org/officeDocument/2006/relationships/image" Target="media/image95.png"/><Relationship Id="rId158" Type="http://schemas.openxmlformats.org/officeDocument/2006/relationships/image" Target="media/image96.png"/><Relationship Id="rId159" Type="http://schemas.openxmlformats.org/officeDocument/2006/relationships/image" Target="media/image97.png"/><Relationship Id="rId160" Type="http://schemas.openxmlformats.org/officeDocument/2006/relationships/image" Target="media/image98.png"/><Relationship Id="rId161" Type="http://schemas.openxmlformats.org/officeDocument/2006/relationships/image" Target="media/image99.png"/><Relationship Id="rId162" Type="http://schemas.openxmlformats.org/officeDocument/2006/relationships/image" Target="media/image100.png"/><Relationship Id="rId79" Type="http://schemas.openxmlformats.org/officeDocument/2006/relationships/hyperlink" Target="http://www.sec.gov/Archives/edgar/data/1438423/000119312516737688/d271840dex31.htm" TargetMode="External"/><Relationship Id="rId80" Type="http://schemas.openxmlformats.org/officeDocument/2006/relationships/hyperlink" Target="http://www.sec.gov/Archives/edgar/data/1438423/000119312519154165/d752899dex31.htm" TargetMode="External"/><Relationship Id="rId81" Type="http://schemas.openxmlformats.org/officeDocument/2006/relationships/hyperlink" Target="https://www.sec.gov/Archives/edgar/data/1438423/000119312520153247/d936625dex31.htm" TargetMode="External"/><Relationship Id="rId82" Type="http://schemas.openxmlformats.org/officeDocument/2006/relationships/hyperlink" Target="https://www.sec.gov/Archives/edgar/data/1438423/000110465923064640/tm2316966d1_ex3-1.htm" TargetMode="External"/><Relationship Id="rId83" Type="http://schemas.openxmlformats.org/officeDocument/2006/relationships/hyperlink" Target="https://www.sec.gov/Archives/edgar/data/1438423/000119312519154165/d752899dex32.htm" TargetMode="External"/><Relationship Id="rId84" Type="http://schemas.openxmlformats.org/officeDocument/2006/relationships/hyperlink" Target="http://www.sec.gov/Archives/edgar/data/1438423/000119312516706479/d180963dex41.htm" TargetMode="External"/><Relationship Id="rId85" Type="http://schemas.openxmlformats.org/officeDocument/2006/relationships/hyperlink" Target="http://www.sec.gov/Archives/edgar/data/1438423/000155837019010452/mram-20190930ex424b334ff.htm" TargetMode="External"/><Relationship Id="rId86" Type="http://schemas.openxmlformats.org/officeDocument/2006/relationships/hyperlink" Target="https://www.sec.gov/Archives/edgar/data/1438423/000155837020009726/mram-20200630xex4d3.htm" TargetMode="External"/><Relationship Id="rId87" Type="http://schemas.openxmlformats.org/officeDocument/2006/relationships/hyperlink" Target="https://www.sec.gov/Archives/edgar/data/1438423/000155837021002369/mram-20201231xex4d4.htm" TargetMode="External"/><Relationship Id="rId88" Type="http://schemas.openxmlformats.org/officeDocument/2006/relationships/hyperlink" Target="http://www.sec.gov/Archives/edgar/data/1438423/000119312516706479/d180963dex101.htm" TargetMode="External"/><Relationship Id="rId89" Type="http://schemas.openxmlformats.org/officeDocument/2006/relationships/hyperlink" Target="http://www.sec.gov/Archives/edgar/data/1438423/000119312516718974/d180963dex102.htm" TargetMode="External"/><Relationship Id="rId90" Type="http://schemas.openxmlformats.org/officeDocument/2006/relationships/hyperlink" Target="http://www.sec.gov/Archives/edgar/data/1438423/000119312518170723/d591823dex101.htm" TargetMode="External"/><Relationship Id="rId91" Type="http://schemas.openxmlformats.org/officeDocument/2006/relationships/hyperlink" Target="https://www.sec.gov/Archives/edgar/data/1438423/000110465921071785/tm2117465d1_10-1.htm" TargetMode="External"/><Relationship Id="rId92" Type="http://schemas.openxmlformats.org/officeDocument/2006/relationships/hyperlink" Target="http://www.sec.gov/Archives/edgar/data/1438423/000119312516718974/d180963dex103.htm" TargetMode="External"/><Relationship Id="rId93" Type="http://schemas.openxmlformats.org/officeDocument/2006/relationships/hyperlink" Target="http://www.sec.gov/Archives/edgar/data/1438423/000155837017008862/mram-20170930ex103cdc87e.htm" TargetMode="External"/><Relationship Id="rId95" Type="http://schemas.openxmlformats.org/officeDocument/2006/relationships/hyperlink" Target="http://www.sec.gov/Archives/edgar/data/1438423/000119312516718974/d180963dex104.htm" TargetMode="External"/><Relationship Id="rId96" Type="http://schemas.openxmlformats.org/officeDocument/2006/relationships/hyperlink" Target="http://www.sec.gov/Archives/edgar/data/1438423/000119312516706479/d180963dex105.htm" TargetMode="External"/><Relationship Id="rId97" Type="http://schemas.openxmlformats.org/officeDocument/2006/relationships/hyperlink" Target="http://www.sec.gov/Archives/edgar/data/1438423/000119312516706479/d180963dex106.htm" TargetMode="External"/><Relationship Id="rId98" Type="http://schemas.openxmlformats.org/officeDocument/2006/relationships/hyperlink" Target="http://www.sec.gov/Archives/edgar/data/1438423/000119312516706479/d180963dex107.htm" TargetMode="External"/><Relationship Id="rId99" Type="http://schemas.openxmlformats.org/officeDocument/2006/relationships/hyperlink" Target="http://www.sec.gov/Archives/edgar/data/1438423/000119312516706479/d180963dex108.htm" TargetMode="External"/><Relationship Id="rId100" Type="http://schemas.openxmlformats.org/officeDocument/2006/relationships/hyperlink" Target="http://www.sec.gov/Archives/edgar/data/1438423/000119312516706479/d180963dex109.htm" TargetMode="External"/><Relationship Id="rId101" Type="http://schemas.openxmlformats.org/officeDocument/2006/relationships/hyperlink" Target="http://www.sec.gov/Archives/edgar/data/1438423/000119312517099843/d309079dex101.htm" TargetMode="External"/><Relationship Id="rId102" Type="http://schemas.openxmlformats.org/officeDocument/2006/relationships/hyperlink" Target="http://www.sec.gov/Archives/edgar/data/1438423/000155837018002138/mram-20171231ex10404e19d.htm" TargetMode="External"/><Relationship Id="rId103" Type="http://schemas.openxmlformats.org/officeDocument/2006/relationships/hyperlink" Target="http://www.sec.gov/Archives/edgar/data/1438423/000155837018009316/mram-20180930ex101843130.htm" TargetMode="External"/><Relationship Id="rId104" Type="http://schemas.openxmlformats.org/officeDocument/2006/relationships/hyperlink" Target="https://www.sec.gov/Archives/edgar/data/1438423/000155837020002576/mram-20191231ex1015b3826.htm" TargetMode="External"/><Relationship Id="rId105" Type="http://schemas.openxmlformats.org/officeDocument/2006/relationships/hyperlink" Target="https://www.sec.gov/Archives/edgar/data/1438423/000155837020009726/mram-20200630xex10d2.htm" TargetMode="External"/><Relationship Id="rId107" Type="http://schemas.openxmlformats.org/officeDocument/2006/relationships/hyperlink" Target="https://www.sec.gov/Archives/edgar/data/1438423/000155837023002697/mram-20221231xex10d710.htm" TargetMode="External"/><Relationship Id="rId108" Type="http://schemas.openxmlformats.org/officeDocument/2006/relationships/hyperlink" Target="http://www.sec.gov/Archives/edgar/data/1438423/000155837019010452/mram-20190930ex101645494.htm" TargetMode="External"/><Relationship Id="rId109" Type="http://schemas.openxmlformats.org/officeDocument/2006/relationships/hyperlink" Target="https://www.sec.gov/Archives/edgar/data/1438423/000155837020009726/mram-20200630xex10d3.htm" TargetMode="External"/><Relationship Id="rId110" Type="http://schemas.openxmlformats.org/officeDocument/2006/relationships/hyperlink" Target="https://www.sec.gov/Archives/edgar/data/1438423/000155837021011516/mram-20210630xex10d5.htm" TargetMode="External"/><Relationship Id="rId111" Type="http://schemas.openxmlformats.org/officeDocument/2006/relationships/hyperlink" Target="https://www.sec.gov/Archives/edgar/data/1438423/000155837022013465/mram-20220630xex10d1.htm" TargetMode="External"/><Relationship Id="rId112" Type="http://schemas.openxmlformats.org/officeDocument/2006/relationships/hyperlink" Target="http://www.sec.gov/Archives/edgar/data/1438423/000119312516706479/d180963dex1017.htm" TargetMode="External"/><Relationship Id="rId113" Type="http://schemas.openxmlformats.org/officeDocument/2006/relationships/hyperlink" Target="http://www.sec.gov/Archives/edgar/data/1438423/000119312516706479/d180963dex1022.htm" TargetMode="External"/><Relationship Id="rId114" Type="http://schemas.openxmlformats.org/officeDocument/2006/relationships/hyperlink" Target="http://www.sec.gov/Archives/edgar/data/1438423/000119312517099844/d365467dex101.htm" TargetMode="External"/><Relationship Id="rId115" Type="http://schemas.openxmlformats.org/officeDocument/2006/relationships/hyperlink" Target="https://www.sec.gov/Archives/edgar/data/1438423/000119312517099844/d365467dex102.htm" TargetMode="External"/><Relationship Id="rId117" Type="http://schemas.openxmlformats.org/officeDocument/2006/relationships/hyperlink" Target="https://www.sec.gov/Archives/edgar/data/1438423/000119312517099844/d365467dex103.htm" TargetMode="External"/><Relationship Id="rId118" Type="http://schemas.openxmlformats.org/officeDocument/2006/relationships/hyperlink" Target="http://www.sec.gov/Archives/edgar/data/1438423/000155837018002138/mram-20171231ex10398040a.htm" TargetMode="External"/><Relationship Id="rId119" Type="http://schemas.openxmlformats.org/officeDocument/2006/relationships/hyperlink" Target="https://www.sec.gov/Archives/edgar/data/1438423/000155837023017399/mram-20230930xex10d1.htm" TargetMode="External"/><Relationship Id="rId120" Type="http://schemas.openxmlformats.org/officeDocument/2006/relationships/hyperlink" Target="https://www.sec.gov/Archives/edgar/data/1438423/000155837023017399/mram-20230930xex10d2.htm" TargetMode="External"/><Relationship Id="rId121" Type="http://schemas.openxmlformats.org/officeDocument/2006/relationships/hyperlink" Target="https://www.sec.gov/Archives/edgar/data/1438423/000155837021002369/mram-20201231xex10d11d2.htm" TargetMode="External"/><Relationship Id="rId122" Type="http://schemas.openxmlformats.org/officeDocument/2006/relationships/hyperlink" Target="https://www.sec.gov/Archives/edgar/data/1438423/000155837023017399/mram-20230930xex10d3.htm" TargetMode="External"/><Relationship Id="rId123" Type="http://schemas.openxmlformats.org/officeDocument/2006/relationships/hyperlink" Target="https://www.sec.gov/Archives/edgar/data/1438423/000155837021002369/mram-20201231xex10d11d4.htm" TargetMode="External"/><Relationship Id="rId124" Type="http://schemas.openxmlformats.org/officeDocument/2006/relationships/hyperlink" Target="http://www.sec.gov/Archives/edgar/data/1438423/000119312516706479/d180963dex1020.htm" TargetMode="External"/><Relationship Id="rId125" Type="http://schemas.openxmlformats.org/officeDocument/2006/relationships/hyperlink" Target="http://www.sec.gov/Archives/edgar/data/1438423/000119312516706479/d180963dex1021.htm" TargetMode="External"/><Relationship Id="rId127" Type="http://schemas.openxmlformats.org/officeDocument/2006/relationships/hyperlink" Target="https://www.sec.gov/Archives/edgar/data/1438423/000119312516718974/d180963dex1023.htm" TargetMode="External"/><Relationship Id="rId128" Type="http://schemas.openxmlformats.org/officeDocument/2006/relationships/hyperlink" Target="https://www.sec.gov/Archives/edgar/data/1438423/000155837022017466/mram-20220930xex10d2.htm" TargetMode="External"/><Relationship Id="rId129" Type="http://schemas.openxmlformats.org/officeDocument/2006/relationships/hyperlink" Target="https://www.sec.gov/Archives/edgar/data/1438423/000155837023008054/mram-20230331xex10d1.htm" TargetMode="External"/><Relationship Id="rId130" Type="http://schemas.openxmlformats.org/officeDocument/2006/relationships/hyperlink" Target="https://www.sec.gov/Archives/edgar/data/1438423/000155837021002369/mram-20201231xex10d26.htm" TargetMode="External"/><Relationship Id="rId131" Type="http://schemas.openxmlformats.org/officeDocument/2006/relationships/hyperlink" Target="https://www.sec.gov/Archives/edgar/data/1438423/000110465921094559/tm2122756d1_ex10-1.htm" TargetMode="External"/><Relationship Id="rId132" Type="http://schemas.openxmlformats.org/officeDocument/2006/relationships/hyperlink" Target="https://www.sec.gov/Archives/edgar/data/1438423/000110465921094559/tm2122756d1_ex10-2.htm" TargetMode="External"/><Relationship Id="rId133" Type="http://schemas.openxmlformats.org/officeDocument/2006/relationships/hyperlink" Target="https://www.sec.gov/Archives/edgar/data/1438423/000110465922029376/tm228006d1_ex10-1.htm" TargetMode="External"/><Relationship Id="rId134" Type="http://schemas.openxmlformats.org/officeDocument/2006/relationships/hyperlink" Target="https://www.sec.gov/Archives/edgar/data/1438423/000110465922029376/tm228006d1_ex10-2.htm" TargetMode="External"/><Relationship Id="rId135" Type="http://schemas.openxmlformats.org/officeDocument/2006/relationships/hyperlink" Target="https://www.sec.gov/Archives/edgar/data/1438423/000110465922029376/tm228006d1_ex10-3.htm" TargetMode="External"/><Relationship Id="rId136" Type="http://schemas.openxmlformats.org/officeDocument/2006/relationships/hyperlink" Target="https://www.sec.gov/Archives/edgar/data/1438423/000110465922029376/tm228006d1_ex10-4.htm" TargetMode="External"/><Relationship Id="rId137" Type="http://schemas.openxmlformats.org/officeDocument/2006/relationships/hyperlink" Target="https://www.sec.gov/ix?doc=/Archives/edgar/data/0001438423/000110465922059468/tm2215349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2024-03-01T05:31:18Z</dcterms:created>
  <dcterms:modified xsi:type="dcterms:W3CDTF">2024-03-01T05:31:18Z</dcterms:modified>
</cp:coreProperties>
</file>