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51435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1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74295</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w:t>
      </w:r>
    </w:p>
    <w:p>
      <w:pPr>
        <w:spacing w:after="0" w:line="17" w:lineRule="exact"/>
        <w:rPr>
          <w:sz w:val="24"/>
          <w:szCs w:val="24"/>
          <w:color w:val="auto"/>
        </w:rPr>
      </w:pPr>
    </w:p>
    <w:p>
      <w:pPr>
        <w:ind w:left="400"/>
        <w:spacing w:after="0"/>
        <w:tabs>
          <w:tab w:leader="none" w:pos="5900" w:val="left"/>
        </w:tabs>
        <w:rPr>
          <w:sz w:val="20"/>
          <w:szCs w:val="20"/>
          <w:color w:val="auto"/>
        </w:rPr>
      </w:pPr>
      <w:r>
        <w:rPr>
          <w:rFonts w:ascii="Arial" w:cs="Arial" w:eastAsia="Arial" w:hAnsi="Arial"/>
          <w:sz w:val="20"/>
          <w:szCs w:val="20"/>
          <w:b w:val="1"/>
          <w:bCs w:val="1"/>
          <w:color w:val="auto"/>
        </w:rPr>
        <w:t>OF 1934 FOR THE TRANSITION PERIOD FROM</w:t>
      </w:r>
      <w:r>
        <w:rPr>
          <w:sz w:val="20"/>
          <w:szCs w:val="20"/>
          <w:color w:val="auto"/>
        </w:rPr>
        <w:tab/>
      </w:r>
      <w:r>
        <w:rPr>
          <w:rFonts w:ascii="Arial" w:cs="Arial" w:eastAsia="Arial" w:hAnsi="Arial"/>
          <w:sz w:val="20"/>
          <w:szCs w:val="20"/>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50165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Everspin Technologies,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34925</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ectPr>
          <w:pgSz w:w="11900" w:h="16838" w:orient="portrait"/>
          <w:cols w:equalWidth="0" w:num="1">
            <w:col w:w="10460"/>
          </w:cols>
          <w:pgMar w:left="720" w:top="665" w:right="719" w:bottom="1440" w:gutter="0" w:footer="0" w:header="0"/>
        </w:sectPr>
      </w:pPr>
    </w:p>
    <w:p>
      <w:pPr>
        <w:spacing w:after="0" w:line="95"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26-2640654</w:t>
      </w:r>
    </w:p>
    <w:p>
      <w:pPr>
        <w:spacing w:after="0" w:line="36" w:lineRule="exact"/>
        <w:rPr>
          <w:sz w:val="24"/>
          <w:szCs w:val="24"/>
          <w:color w:val="auto"/>
        </w:rPr>
      </w:pPr>
    </w:p>
    <w:p>
      <w:pPr>
        <w:sectPr>
          <w:pgSz w:w="11900" w:h="16838" w:orient="portrait"/>
          <w:cols w:equalWidth="0" w:num="2">
            <w:col w:w="6720" w:space="720"/>
            <w:col w:w="3020"/>
          </w:cols>
          <w:pgMar w:left="720" w:top="665" w:right="719" w:bottom="1440" w:gutter="0" w:footer="0" w:header="0"/>
          <w:type w:val="continuous"/>
        </w:sectPr>
      </w:pPr>
    </w:p>
    <w:p>
      <w:pPr>
        <w:jc w:val="center"/>
        <w:ind w:right="1320"/>
        <w:spacing w:after="0"/>
        <w:rPr>
          <w:sz w:val="20"/>
          <w:szCs w:val="20"/>
          <w:color w:val="auto"/>
        </w:rPr>
      </w:pPr>
      <w:r>
        <w:rPr>
          <w:rFonts w:ascii="Arial" w:cs="Arial" w:eastAsia="Arial" w:hAnsi="Arial"/>
          <w:sz w:val="14"/>
          <w:szCs w:val="14"/>
          <w:b w:val="1"/>
          <w:bCs w:val="1"/>
          <w:color w:val="auto"/>
        </w:rPr>
        <w:t>(State or other jurisdiction</w:t>
      </w:r>
    </w:p>
    <w:p>
      <w:pPr>
        <w:jc w:val="center"/>
        <w:ind w:right="13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7" w:lineRule="exact"/>
        <w:rPr>
          <w:sz w:val="24"/>
          <w:szCs w:val="24"/>
          <w:color w:val="auto"/>
        </w:rPr>
      </w:pPr>
    </w:p>
    <w:p>
      <w:pPr>
        <w:sectPr>
          <w:pgSz w:w="11900" w:h="16838" w:orient="portrait"/>
          <w:cols w:equalWidth="0" w:num="2">
            <w:col w:w="6560" w:space="720"/>
            <w:col w:w="3180"/>
          </w:cols>
          <w:pgMar w:left="720" w:top="665" w:right="7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5670 W. Chandler Boulevard, Suite 100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Chandler, Arizona 85226</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460"/>
          </w:cols>
          <w:pgMar w:left="720" w:top="665" w:right="719" w:bottom="1440" w:gutter="0" w:footer="0" w:header="0"/>
          <w:type w:val="continuous"/>
        </w:sectPr>
      </w:pPr>
    </w:p>
    <w:p>
      <w:pPr>
        <w:spacing w:after="0" w:line="30"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29845</wp:posOffset>
            </wp:positionV>
            <wp:extent cx="1663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34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Name of the exchange on which registered</w:t>
            </w:r>
          </w:p>
        </w:tc>
        <w:tc>
          <w:tcPr>
            <w:tcW w:w="0" w:type="dxa"/>
            <w:vAlign w:val="bottom"/>
          </w:tcPr>
          <w:p>
            <w:pPr>
              <w:spacing w:after="0"/>
              <w:rPr>
                <w:sz w:val="1"/>
                <w:szCs w:val="1"/>
                <w:color w:val="auto"/>
              </w:rPr>
            </w:pPr>
          </w:p>
        </w:tc>
      </w:tr>
      <w:tr>
        <w:trPr>
          <w:trHeight w:val="169"/>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$0.0001</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MRAM</w:t>
            </w:r>
          </w:p>
        </w:tc>
        <w:tc>
          <w:tcPr>
            <w:tcW w:w="3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25"/>
        </w:trPr>
        <w:tc>
          <w:tcPr>
            <w:tcW w:w="700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400" w:type="dxa"/>
            <w:vAlign w:val="bottom"/>
          </w:tcPr>
          <w:p>
            <w:pPr>
              <w:spacing w:after="0"/>
              <w:rPr>
                <w:sz w:val="19"/>
                <w:szCs w:val="19"/>
                <w:color w:val="auto"/>
              </w:rPr>
            </w:pPr>
          </w:p>
        </w:tc>
        <w:tc>
          <w:tcPr>
            <w:tcW w:w="3060" w:type="dxa"/>
            <w:vAlign w:val="bottom"/>
            <w:vMerge w:val="restart"/>
          </w:tcPr>
          <w:p>
            <w:pPr>
              <w:ind w:left="100"/>
              <w:spacing w:after="0" w:line="196"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62"/>
        </w:trPr>
        <w:tc>
          <w:tcPr>
            <w:tcW w:w="7400" w:type="dxa"/>
            <w:vAlign w:val="bottom"/>
            <w:gridSpan w:val="3"/>
          </w:tcPr>
          <w:p>
            <w:pPr>
              <w:spacing w:after="0" w:line="188"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w w:val="95"/>
              </w:rPr>
              <w:t>☐</w:t>
            </w:r>
          </w:p>
        </w:tc>
        <w:tc>
          <w:tcPr>
            <w:tcW w:w="3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000" w:type="dxa"/>
            <w:vAlign w:val="bottom"/>
            <w:gridSpan w:val="2"/>
          </w:tcPr>
          <w:p>
            <w:pPr>
              <w:spacing w:after="0" w:line="188"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15(d) of the Act. YES </w:t>
            </w:r>
            <w:r>
              <w:rPr>
                <w:rFonts w:ascii="Arial Unicode MS" w:cs="Arial Unicode MS" w:eastAsia="Arial Unicode MS" w:hAnsi="Arial Unicode MS"/>
                <w:sz w:val="14"/>
                <w:szCs w:val="14"/>
                <w:color w:val="auto"/>
                <w:w w:val="95"/>
              </w:rPr>
              <w:t>☐</w:t>
            </w:r>
          </w:p>
        </w:tc>
        <w:tc>
          <w:tcPr>
            <w:tcW w:w="400" w:type="dxa"/>
            <w:vAlign w:val="bottom"/>
          </w:tcPr>
          <w:p>
            <w:pPr>
              <w:ind w:left="160"/>
              <w:spacing w:after="0"/>
              <w:rPr>
                <w:sz w:val="20"/>
                <w:szCs w:val="20"/>
                <w:color w:val="auto"/>
              </w:rPr>
            </w:pPr>
            <w:r>
              <w:rPr>
                <w:rFonts w:ascii="Arial" w:cs="Arial" w:eastAsia="Arial" w:hAnsi="Arial"/>
                <w:sz w:val="14"/>
                <w:szCs w:val="14"/>
                <w:color w:val="auto"/>
              </w:rPr>
              <w:t>NO</w:t>
            </w:r>
          </w:p>
        </w:tc>
        <w:tc>
          <w:tcPr>
            <w:tcW w:w="30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right="400"/>
        <w:spacing w:after="0" w:line="24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118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2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920" w:type="dxa"/>
            <w:vAlign w:val="bottom"/>
          </w:tcPr>
          <w:p>
            <w:pPr>
              <w:ind w:left="304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12"/>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2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920" w:type="dxa"/>
            <w:vAlign w:val="bottom"/>
          </w:tcPr>
          <w:p>
            <w:pPr>
              <w:ind w:left="304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96"/>
        </w:trPr>
        <w:tc>
          <w:tcPr>
            <w:tcW w:w="1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920" w:type="dxa"/>
            <w:vAlign w:val="bottom"/>
          </w:tcPr>
          <w:p>
            <w:pPr>
              <w:ind w:left="304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ind w:right="46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1" w:lineRule="exact"/>
        <w:rPr>
          <w:sz w:val="24"/>
          <w:szCs w:val="24"/>
          <w:color w:val="auto"/>
        </w:rPr>
      </w:pPr>
    </w:p>
    <w:p>
      <w:pPr>
        <w:ind w:right="6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88" w:lineRule="exact"/>
        <w:tabs>
          <w:tab w:leader="none" w:pos="73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ind w:right="60"/>
        <w:spacing w:after="0" w:line="255" w:lineRule="auto"/>
        <w:rPr>
          <w:sz w:val="20"/>
          <w:szCs w:val="20"/>
          <w:color w:val="auto"/>
        </w:rPr>
      </w:pPr>
      <w:r>
        <w:rPr>
          <w:rFonts w:ascii="Arial" w:cs="Arial" w:eastAsia="Arial" w:hAnsi="Arial"/>
          <w:sz w:val="13"/>
          <w:szCs w:val="13"/>
          <w:color w:val="auto"/>
        </w:rPr>
        <w:t>As of June 30, 2021, the last business day of the Registrant’s most recently completed second fiscal quarter, the aggregate market value of the common stock of the Registrant held by non-affiliates, based upon the closing sales price for the Registrant’s common stock for such date, as quoted on the Nasdaq Global Market, was approximately $118.4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7, 2022 was 19,892,838.</w:t>
      </w:r>
    </w:p>
    <w:p>
      <w:pPr>
        <w:spacing w:after="0" w:line="55" w:lineRule="exact"/>
        <w:rPr>
          <w:sz w:val="24"/>
          <w:szCs w:val="24"/>
          <w:color w:val="auto"/>
        </w:rPr>
      </w:pPr>
    </w:p>
    <w:p>
      <w:pPr>
        <w:ind w:left="366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320"/>
        <w:spacing w:after="0" w:line="290" w:lineRule="auto"/>
        <w:rPr>
          <w:sz w:val="20"/>
          <w:szCs w:val="20"/>
          <w:color w:val="auto"/>
        </w:rPr>
      </w:pPr>
      <w:r>
        <w:rPr>
          <w:rFonts w:ascii="Arial" w:cs="Arial" w:eastAsia="Arial" w:hAnsi="Arial"/>
          <w:sz w:val="13"/>
          <w:szCs w:val="13"/>
          <w:color w:val="auto"/>
        </w:rPr>
        <w:t>Portions of the Registrant’s Definitive Proxy Statement relating to the 2022 Annual Meeting of Stockholders, which will be filed with the Securities and Exchange Commission within 120 days after the end of the Registrant’s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66351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10460"/>
          </w:cols>
          <w:pgMar w:left="720" w:top="665" w:right="7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20" w:type="dxa"/>
            <w:vAlign w:val="bottom"/>
            <w:gridSpan w:val="11"/>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 w:type="dxa"/>
            <w:vAlign w:val="bottom"/>
            <w:gridSpan w:val="2"/>
            <w:vMerge w:val="restart"/>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200" w:type="dxa"/>
            <w:vAlign w:val="bottom"/>
            <w:gridSpan w:val="5"/>
            <w:vMerge w:val="restart"/>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gridSpan w:val="2"/>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5">
              <w:r>
                <w:rPr>
                  <w:rFonts w:ascii="Arial" w:cs="Arial" w:eastAsia="Arial" w:hAnsi="Arial"/>
                  <w:sz w:val="18"/>
                  <w:szCs w:val="18"/>
                  <w:color w:val="0000EE"/>
                  <w:w w:val="83"/>
                </w:rPr>
                <w:t>Item 1.</w:t>
              </w:r>
            </w:hyperlink>
          </w:p>
        </w:tc>
        <w:tc>
          <w:tcPr>
            <w:tcW w:w="280" w:type="dxa"/>
            <w:vAlign w:val="bottom"/>
            <w:gridSpan w:val="6"/>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04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10">
              <w:r>
                <w:rPr>
                  <w:rFonts w:ascii="Arial" w:cs="Arial" w:eastAsia="Arial" w:hAnsi="Arial"/>
                  <w:sz w:val="18"/>
                  <w:szCs w:val="18"/>
                  <w:color w:val="0000EE"/>
                  <w:w w:val="83"/>
                </w:rPr>
                <w:t>Item 1A.</w:t>
              </w:r>
            </w:hyperlink>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29">
              <w:r>
                <w:rPr>
                  <w:rFonts w:ascii="Arial" w:cs="Arial" w:eastAsia="Arial" w:hAnsi="Arial"/>
                  <w:sz w:val="18"/>
                  <w:szCs w:val="18"/>
                  <w:color w:val="0000EE"/>
                  <w:w w:val="83"/>
                </w:rPr>
                <w:t>Item 1B.</w:t>
              </w:r>
            </w:hyperlink>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83"/>
              </w:rPr>
            </w:pPr>
            <w:hyperlink w:anchor="page29">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17"/>
                <w:szCs w:val="17"/>
                <w:color w:val="auto"/>
              </w:rPr>
            </w:pPr>
          </w:p>
        </w:tc>
        <w:tc>
          <w:tcPr>
            <w:tcW w:w="180" w:type="dxa"/>
            <w:vAlign w:val="bottom"/>
            <w:gridSpan w:val="4"/>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56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29">
              <w:r>
                <w:rPr>
                  <w:rFonts w:ascii="Arial" w:cs="Arial" w:eastAsia="Arial" w:hAnsi="Arial"/>
                  <w:sz w:val="18"/>
                  <w:szCs w:val="18"/>
                  <w:color w:val="0000EE"/>
                  <w:w w:val="83"/>
                </w:rPr>
                <w:t>Item 3.</w:t>
              </w:r>
            </w:hyperlink>
          </w:p>
        </w:tc>
        <w:tc>
          <w:tcPr>
            <w:tcW w:w="280" w:type="dxa"/>
            <w:vAlign w:val="bottom"/>
            <w:gridSpan w:val="6"/>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63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68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12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7680" w:type="dxa"/>
            <w:vAlign w:val="bottom"/>
            <w:gridSpan w:val="23"/>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Market for Registrant’s Common Equity, Related Stockholder Matters and Issuer Purchases of Equity</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Securities</w:t>
              </w:r>
            </w:hyperlink>
          </w:p>
        </w:tc>
        <w:tc>
          <w:tcPr>
            <w:tcW w:w="3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30">
              <w:r>
                <w:rPr>
                  <w:rFonts w:ascii="Arial" w:cs="Arial" w:eastAsia="Arial" w:hAnsi="Arial"/>
                  <w:sz w:val="18"/>
                  <w:szCs w:val="18"/>
                  <w:color w:val="0000EE"/>
                  <w:w w:val="83"/>
                </w:rPr>
                <w:t>Item 6.</w:t>
              </w:r>
            </w:hyperlink>
          </w:p>
        </w:tc>
        <w:tc>
          <w:tcPr>
            <w:tcW w:w="280" w:type="dxa"/>
            <w:vAlign w:val="bottom"/>
            <w:gridSpan w:val="6"/>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[Reserved]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31">
              <w:r>
                <w:rPr>
                  <w:rFonts w:ascii="Arial" w:cs="Arial" w:eastAsia="Arial" w:hAnsi="Arial"/>
                  <w:sz w:val="18"/>
                  <w:szCs w:val="18"/>
                  <w:color w:val="0000EE"/>
                  <w:w w:val="83"/>
                </w:rPr>
                <w:t>Item 7.</w:t>
              </w:r>
            </w:hyperlink>
          </w:p>
        </w:tc>
        <w:tc>
          <w:tcPr>
            <w:tcW w:w="280" w:type="dxa"/>
            <w:vAlign w:val="bottom"/>
            <w:gridSpan w:val="6"/>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12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41">
              <w:r>
                <w:rPr>
                  <w:rFonts w:ascii="Arial" w:cs="Arial" w:eastAsia="Arial" w:hAnsi="Arial"/>
                  <w:sz w:val="18"/>
                  <w:szCs w:val="18"/>
                  <w:color w:val="0000EE"/>
                  <w:w w:val="83"/>
                </w:rPr>
                <w:t>Item 7A.</w:t>
              </w:r>
            </w:hyperlink>
          </w:p>
        </w:tc>
        <w:tc>
          <w:tcPr>
            <w:tcW w:w="180" w:type="dxa"/>
            <w:vAlign w:val="bottom"/>
            <w:gridSpan w:val="4"/>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332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42">
              <w:r>
                <w:rPr>
                  <w:rFonts w:ascii="Arial" w:cs="Arial" w:eastAsia="Arial" w:hAnsi="Arial"/>
                  <w:sz w:val="18"/>
                  <w:szCs w:val="18"/>
                  <w:color w:val="0000EE"/>
                  <w:w w:val="83"/>
                </w:rPr>
                <w:t>Item 8.</w:t>
              </w:r>
            </w:hyperlink>
          </w:p>
        </w:tc>
        <w:tc>
          <w:tcPr>
            <w:tcW w:w="280" w:type="dxa"/>
            <w:vAlign w:val="bottom"/>
            <w:gridSpan w:val="6"/>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69">
              <w:r>
                <w:rPr>
                  <w:rFonts w:ascii="Arial" w:cs="Arial" w:eastAsia="Arial" w:hAnsi="Arial"/>
                  <w:sz w:val="18"/>
                  <w:szCs w:val="18"/>
                  <w:color w:val="0000EE"/>
                  <w:w w:val="83"/>
                </w:rPr>
                <w:t>Item 9.</w:t>
              </w:r>
            </w:hyperlink>
          </w:p>
        </w:tc>
        <w:tc>
          <w:tcPr>
            <w:tcW w:w="280" w:type="dxa"/>
            <w:vAlign w:val="bottom"/>
            <w:gridSpan w:val="6"/>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69">
              <w:r>
                <w:rPr>
                  <w:rFonts w:ascii="Arial" w:cs="Arial" w:eastAsia="Arial" w:hAnsi="Arial"/>
                  <w:sz w:val="18"/>
                  <w:szCs w:val="18"/>
                  <w:color w:val="0000EE"/>
                  <w:w w:val="83"/>
                </w:rPr>
                <w:t>Item 9A.</w:t>
              </w:r>
            </w:hyperlink>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3"/>
              </w:rPr>
            </w:pPr>
            <w:hyperlink w:anchor="page70">
              <w:r>
                <w:rPr>
                  <w:rFonts w:ascii="Arial" w:cs="Arial" w:eastAsia="Arial" w:hAnsi="Arial"/>
                  <w:sz w:val="18"/>
                  <w:szCs w:val="18"/>
                  <w:color w:val="0000EE"/>
                  <w:w w:val="83"/>
                </w:rPr>
                <w:t>Item 9B.</w:t>
              </w:r>
            </w:hyperlink>
          </w:p>
        </w:tc>
        <w:tc>
          <w:tcPr>
            <w:tcW w:w="180" w:type="dxa"/>
            <w:vAlign w:val="bottom"/>
            <w:gridSpan w:val="4"/>
          </w:tcPr>
          <w:p>
            <w:pPr>
              <w:spacing w:after="0"/>
              <w:rPr>
                <w:sz w:val="17"/>
                <w:szCs w:val="17"/>
                <w:color w:val="auto"/>
              </w:rPr>
            </w:pP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59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9C.</w:t>
              </w:r>
            </w:hyperlink>
          </w:p>
        </w:tc>
        <w:tc>
          <w:tcPr>
            <w:tcW w:w="768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Disclosure Regarding Foreign Jurisdictions that Prevent Inspections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71">
              <w:r>
                <w:rPr>
                  <w:rFonts w:ascii="Arial" w:cs="Arial" w:eastAsia="Arial" w:hAnsi="Arial"/>
                  <w:sz w:val="18"/>
                  <w:szCs w:val="18"/>
                  <w:color w:val="0000EE"/>
                  <w:w w:val="86"/>
                </w:rPr>
                <w:t>Item 10.</w:t>
              </w:r>
            </w:hyperlink>
          </w:p>
        </w:tc>
        <w:tc>
          <w:tcPr>
            <w:tcW w:w="180" w:type="dxa"/>
            <w:vAlign w:val="bottom"/>
            <w:gridSpan w:val="4"/>
          </w:tcPr>
          <w:p>
            <w:pPr>
              <w:spacing w:after="0"/>
              <w:rPr>
                <w:sz w:val="24"/>
                <w:szCs w:val="24"/>
                <w:color w:val="auto"/>
              </w:rPr>
            </w:pPr>
          </w:p>
        </w:tc>
        <w:tc>
          <w:tcPr>
            <w:tcW w:w="4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Directors, Executive Officers and Corporate Governance</w:t>
              </w:r>
            </w:hyperlink>
          </w:p>
        </w:tc>
        <w:tc>
          <w:tcPr>
            <w:tcW w:w="35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11.</w:t>
              </w:r>
            </w:hyperlink>
          </w:p>
        </w:tc>
        <w:tc>
          <w:tcPr>
            <w:tcW w:w="7680" w:type="dxa"/>
            <w:vAlign w:val="bottom"/>
            <w:gridSpan w:val="2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Item 12.</w:t>
              </w:r>
            </w:hyperlink>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Security Ownership of Certain Beneficial Owners and Management and Related Stockholder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Item 13.</w:t>
              </w:r>
            </w:hyperlink>
          </w:p>
        </w:tc>
        <w:tc>
          <w:tcPr>
            <w:tcW w:w="180" w:type="dxa"/>
            <w:vAlign w:val="bottom"/>
            <w:gridSpan w:val="4"/>
          </w:tcPr>
          <w:p>
            <w:pPr>
              <w:spacing w:after="0"/>
              <w:rPr>
                <w:sz w:val="17"/>
                <w:szCs w:val="17"/>
                <w:color w:val="auto"/>
              </w:rPr>
            </w:pPr>
          </w:p>
        </w:tc>
        <w:tc>
          <w:tcPr>
            <w:tcW w:w="7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4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Item 14.</w:t>
              </w:r>
            </w:hyperlink>
          </w:p>
        </w:tc>
        <w:tc>
          <w:tcPr>
            <w:tcW w:w="180" w:type="dxa"/>
            <w:vAlign w:val="bottom"/>
            <w:gridSpan w:val="4"/>
          </w:tcPr>
          <w:p>
            <w:pPr>
              <w:spacing w:after="0"/>
              <w:rPr>
                <w:sz w:val="17"/>
                <w:szCs w:val="17"/>
                <w:color w:val="auto"/>
              </w:rPr>
            </w:pPr>
          </w:p>
        </w:tc>
        <w:tc>
          <w:tcPr>
            <w:tcW w:w="2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Principal Accountant Fees and Services</w:t>
              </w:r>
            </w:hyperlink>
          </w:p>
        </w:tc>
        <w:tc>
          <w:tcPr>
            <w:tcW w:w="2580" w:type="dxa"/>
            <w:vAlign w:val="bottom"/>
            <w:tcBorders>
              <w:top w:val="single" w:sz="8" w:color="0000EE"/>
            </w:tcBorders>
            <w:gridSpan w:val="6"/>
          </w:tcPr>
          <w:p>
            <w:pPr>
              <w:spacing w:after="0"/>
              <w:rPr>
                <w:sz w:val="17"/>
                <w:szCs w:val="17"/>
                <w:color w:val="auto"/>
              </w:rPr>
            </w:pPr>
          </w:p>
        </w:tc>
        <w:tc>
          <w:tcPr>
            <w:tcW w:w="22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780" w:type="dxa"/>
            <w:vAlign w:val="bottom"/>
            <w:gridSpan w:val="7"/>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72">
              <w:r>
                <w:rPr>
                  <w:rFonts w:ascii="Arial" w:cs="Arial" w:eastAsia="Arial" w:hAnsi="Arial"/>
                  <w:sz w:val="18"/>
                  <w:szCs w:val="18"/>
                  <w:color w:val="0000EE"/>
                  <w:w w:val="86"/>
                </w:rPr>
                <w:t>Item 15.</w:t>
              </w:r>
            </w:hyperlink>
          </w:p>
        </w:tc>
        <w:tc>
          <w:tcPr>
            <w:tcW w:w="10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Exhibits and Financial Statement Schedules</w:t>
              </w:r>
            </w:hyperlink>
          </w:p>
        </w:tc>
        <w:tc>
          <w:tcPr>
            <w:tcW w:w="452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Item 16.</w:t>
              </w:r>
            </w:hyperlink>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Form 10-K Summary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SIGNATURES</w:t>
              </w:r>
            </w:hyperlink>
          </w:p>
        </w:tc>
        <w:tc>
          <w:tcPr>
            <w:tcW w:w="736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60" w:right="139" w:firstLine="401"/>
        <w:spacing w:after="0" w:line="270" w:lineRule="auto"/>
        <w:rPr>
          <w:sz w:val="20"/>
          <w:szCs w:val="20"/>
          <w:color w:val="auto"/>
        </w:rPr>
      </w:pPr>
      <w:r>
        <w:rPr>
          <w:rFonts w:ascii="Arial" w:cs="Arial" w:eastAsia="Arial" w:hAnsi="Arial"/>
          <w:sz w:val="17"/>
          <w:szCs w:val="17"/>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forward-looking statements can be identified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181" w:lineRule="exact"/>
        <w:rPr>
          <w:sz w:val="20"/>
          <w:szCs w:val="20"/>
          <w:color w:val="auto"/>
        </w:rPr>
      </w:pPr>
    </w:p>
    <w:p>
      <w:pPr>
        <w:ind w:left="800" w:hanging="33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future revenue, expenses, capital requirements and our needs for additional financing;</w:t>
      </w:r>
    </w:p>
    <w:p>
      <w:pPr>
        <w:spacing w:after="0" w:line="128" w:lineRule="exact"/>
        <w:rPr>
          <w:rFonts w:ascii="Arial" w:cs="Arial" w:eastAsia="Arial" w:hAnsi="Arial"/>
          <w:sz w:val="17"/>
          <w:szCs w:val="17"/>
          <w:color w:val="auto"/>
        </w:rPr>
      </w:pPr>
    </w:p>
    <w:p>
      <w:pPr>
        <w:ind w:left="800" w:hanging="331"/>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products, technologies and businesses;</w:t>
      </w:r>
    </w:p>
    <w:p>
      <w:pPr>
        <w:spacing w:after="0" w:line="140" w:lineRule="exact"/>
        <w:rPr>
          <w:rFonts w:ascii="Arial" w:cs="Arial" w:eastAsia="Arial" w:hAnsi="Arial"/>
          <w:sz w:val="16"/>
          <w:szCs w:val="16"/>
          <w:color w:val="auto"/>
        </w:rPr>
      </w:pPr>
    </w:p>
    <w:p>
      <w:pPr>
        <w:ind w:left="800" w:right="179" w:hanging="331"/>
        <w:spacing w:after="0" w:line="26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impacts from the novel coronavirus (COVID-19) global pandemic on the Company, including to our business, results of operations, cash flows and financial position, as well as our future responses to the COVID-19 pandemic;</w:t>
      </w:r>
    </w:p>
    <w:p>
      <w:pPr>
        <w:spacing w:after="0" w:line="75"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current supply constraints;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17" w:lineRule="exact"/>
        <w:rPr>
          <w:rFonts w:ascii="Arial" w:cs="Arial" w:eastAsia="Arial" w:hAnsi="Arial"/>
          <w:sz w:val="18"/>
          <w:szCs w:val="18"/>
          <w:color w:val="auto"/>
        </w:rPr>
      </w:pPr>
    </w:p>
    <w:p>
      <w:pPr>
        <w:ind w:left="800" w:right="399" w:hanging="33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by expanding our sales to existing customers or introducing our products to new customers;</w:t>
      </w:r>
    </w:p>
    <w:p>
      <w:pPr>
        <w:spacing w:after="0" w:line="62" w:lineRule="exact"/>
        <w:rPr>
          <w:rFonts w:ascii="Arial" w:cs="Arial" w:eastAsia="Arial" w:hAnsi="Arial"/>
          <w:sz w:val="18"/>
          <w:szCs w:val="18"/>
          <w:color w:val="auto"/>
        </w:rPr>
      </w:pPr>
    </w:p>
    <w:p>
      <w:pPr>
        <w:ind w:left="800" w:right="499" w:hanging="33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(IP) protection for our products or avoid claims of infringement;</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MRAM market opportunity; and</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share price.</w:t>
      </w:r>
    </w:p>
    <w:p>
      <w:pPr>
        <w:spacing w:after="0" w:line="225" w:lineRule="exact"/>
        <w:rPr>
          <w:sz w:val="20"/>
          <w:szCs w:val="20"/>
          <w:color w:val="auto"/>
        </w:rPr>
      </w:pPr>
    </w:p>
    <w:p>
      <w:pPr>
        <w:ind w:left="60" w:right="99" w:firstLine="401"/>
        <w:spacing w:after="0" w:line="286"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Additionally, there may be other risks that are otherwise described from time to time in the reports that we file with the Securities and Exchange Commission (SEC).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225"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188" w:lineRule="exact"/>
        <w:rPr>
          <w:sz w:val="20"/>
          <w:szCs w:val="20"/>
          <w:color w:val="auto"/>
        </w:rPr>
      </w:pPr>
    </w:p>
    <w:p>
      <w:pPr>
        <w:ind w:left="800" w:right="15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we cannot be certain that we will sustain profitability.</w:t>
      </w:r>
    </w:p>
    <w:p>
      <w:pPr>
        <w:spacing w:after="0" w:line="117" w:lineRule="exact"/>
        <w:rPr>
          <w:rFonts w:ascii="Arial" w:cs="Arial" w:eastAsia="Arial" w:hAnsi="Arial"/>
          <w:sz w:val="18"/>
          <w:szCs w:val="18"/>
          <w:color w:val="auto"/>
        </w:rPr>
      </w:pPr>
    </w:p>
    <w:p>
      <w:pPr>
        <w:ind w:left="800" w:right="119" w:hanging="331"/>
        <w:spacing w:after="0" w:line="31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40" w:lineRule="exact"/>
        <w:rPr>
          <w:rFonts w:ascii="Arial" w:cs="Arial" w:eastAsia="Arial" w:hAnsi="Arial"/>
          <w:sz w:val="16"/>
          <w:szCs w:val="16"/>
          <w:color w:val="auto"/>
        </w:rPr>
      </w:pPr>
    </w:p>
    <w:p>
      <w:pPr>
        <w:ind w:left="800" w:right="61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800" w:right="17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75" w:lineRule="exact"/>
        <w:rPr>
          <w:rFonts w:ascii="Arial" w:cs="Arial" w:eastAsia="Arial" w:hAnsi="Arial"/>
          <w:sz w:val="18"/>
          <w:szCs w:val="18"/>
          <w:color w:val="auto"/>
        </w:rPr>
      </w:pPr>
    </w:p>
    <w:p>
      <w:pPr>
        <w:ind w:left="800" w:right="219" w:hanging="331"/>
        <w:spacing w:after="0" w:line="34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we expand into new potential markets, we expect to face intense competition, including from our customers and potential customers, and may not be able to compete effectively, which could harm our business.</w:t>
      </w:r>
    </w:p>
    <w:p>
      <w:pPr>
        <w:spacing w:after="0" w:line="15" w:lineRule="exact"/>
        <w:rPr>
          <w:rFonts w:ascii="Arial" w:cs="Arial" w:eastAsia="Arial" w:hAnsi="Arial"/>
          <w:sz w:val="16"/>
          <w:szCs w:val="16"/>
          <w:color w:val="auto"/>
        </w:rPr>
      </w:pPr>
    </w:p>
    <w:p>
      <w:pPr>
        <w:ind w:left="800" w:right="119" w:hanging="331"/>
        <w:spacing w:after="0" w:line="286"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57" w:lineRule="exact"/>
        <w:rPr>
          <w:rFonts w:ascii="Arial" w:cs="Arial" w:eastAsia="Arial" w:hAnsi="Arial"/>
          <w:sz w:val="17"/>
          <w:szCs w:val="17"/>
          <w:color w:val="auto"/>
        </w:rPr>
      </w:pPr>
    </w:p>
    <w:p>
      <w:pPr>
        <w:ind w:left="800" w:right="13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supply chain may adversely impact our ability to fulfill customer demand which, in turn, may adversely impact our business, results of operations, and financial condition.</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800" w:right="13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semiconductor memory products is characterized by declines in average selling prices, which we expect to continue, and which could negatively affect our revenue and margins.</w:t>
      </w:r>
    </w:p>
    <w:p>
      <w:pPr>
        <w:spacing w:after="0" w:line="62" w:lineRule="exact"/>
        <w:rPr>
          <w:rFonts w:ascii="Arial" w:cs="Arial" w:eastAsia="Arial" w:hAnsi="Arial"/>
          <w:sz w:val="18"/>
          <w:szCs w:val="18"/>
          <w:color w:val="auto"/>
        </w:rPr>
      </w:pPr>
    </w:p>
    <w:p>
      <w:pPr>
        <w:ind w:left="800" w:right="13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75" w:lineRule="exact"/>
        <w:rPr>
          <w:rFonts w:ascii="Arial" w:cs="Arial" w:eastAsia="Arial" w:hAnsi="Arial"/>
          <w:sz w:val="18"/>
          <w:szCs w:val="18"/>
          <w:color w:val="auto"/>
        </w:rPr>
      </w:pPr>
    </w:p>
    <w:p>
      <w:pPr>
        <w:ind w:left="800" w:right="319" w:hanging="331"/>
        <w:spacing w:after="0" w:line="31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800" w:right="41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pacing w:after="0" w:line="62" w:lineRule="exact"/>
        <w:rPr>
          <w:rFonts w:ascii="Arial" w:cs="Arial" w:eastAsia="Arial" w:hAnsi="Arial"/>
          <w:sz w:val="18"/>
          <w:szCs w:val="18"/>
          <w:color w:val="auto"/>
        </w:rPr>
      </w:pPr>
    </w:p>
    <w:p>
      <w:pPr>
        <w:ind w:left="800" w:right="85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800" w:right="77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pacing w:after="0" w:line="62" w:lineRule="exact"/>
        <w:rPr>
          <w:rFonts w:ascii="Arial" w:cs="Arial" w:eastAsia="Arial" w:hAnsi="Arial"/>
          <w:sz w:val="18"/>
          <w:szCs w:val="18"/>
          <w:color w:val="auto"/>
        </w:rPr>
      </w:pPr>
    </w:p>
    <w:p>
      <w:pPr>
        <w:ind w:left="800" w:right="37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75" w:lineRule="exact"/>
        <w:rPr>
          <w:rFonts w:ascii="Arial" w:cs="Arial" w:eastAsia="Arial" w:hAnsi="Arial"/>
          <w:sz w:val="18"/>
          <w:szCs w:val="18"/>
          <w:color w:val="auto"/>
        </w:rPr>
      </w:pPr>
    </w:p>
    <w:p>
      <w:pPr>
        <w:ind w:left="800" w:right="39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of the United States which exposes us to significant risks.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For a more complete discussion of the material risk factors applicable to us, see “Risk Factors” in Part I, Item 1A of this report.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33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218"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original equipment manufacturers (OEMs) and original design manufacturers (ODMs).</w:t>
      </w:r>
    </w:p>
    <w:p>
      <w:pPr>
        <w:spacing w:after="0" w:line="211" w:lineRule="exact"/>
        <w:rPr>
          <w:sz w:val="20"/>
          <w:szCs w:val="20"/>
          <w:color w:val="auto"/>
        </w:rPr>
      </w:pPr>
    </w:p>
    <w:p>
      <w:pPr>
        <w:ind w:left="60" w:right="179" w:firstLine="401"/>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6" w:lineRule="exact"/>
        <w:rPr>
          <w:sz w:val="20"/>
          <w:szCs w:val="20"/>
          <w:color w:val="auto"/>
        </w:rPr>
      </w:pPr>
    </w:p>
    <w:p>
      <w:pPr>
        <w:ind w:left="60" w:right="79" w:firstLine="401"/>
        <w:spacing w:after="0" w:line="259" w:lineRule="auto"/>
        <w:rPr>
          <w:sz w:val="20"/>
          <w:szCs w:val="20"/>
          <w:color w:val="auto"/>
        </w:rPr>
      </w:pPr>
      <w:r>
        <w:rPr>
          <w:rFonts w:ascii="Arial" w:cs="Arial" w:eastAsia="Arial" w:hAnsi="Arial"/>
          <w:sz w:val="18"/>
          <w:szCs w:val="18"/>
          <w:color w:val="auto"/>
        </w:rPr>
        <w:t>For the years ended December 31, 2021 and 2020, we recorded revenue of $55.1 million and $42.0 million, gross margin of 60.0% and 43.0%, and net income of $4.3 million and net loss of $8.5 million, respectively. Our headquarters is located in Chandler, Arizona. Our principal design center is in Austin, Texas, and we have additional sales operations in the Americas, Europe, and Asia-Pacific regions.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Overview</w:t>
      </w:r>
    </w:p>
    <w:p>
      <w:pPr>
        <w:spacing w:after="0" w:line="229" w:lineRule="exact"/>
        <w:rPr>
          <w:sz w:val="20"/>
          <w:szCs w:val="20"/>
          <w:color w:val="auto"/>
        </w:rPr>
      </w:pPr>
    </w:p>
    <w:p>
      <w:pPr>
        <w:ind w:left="60" w:right="79" w:firstLine="401"/>
        <w:spacing w:after="0" w:line="263" w:lineRule="auto"/>
        <w:rPr>
          <w:sz w:val="20"/>
          <w:szCs w:val="20"/>
          <w:color w:val="auto"/>
        </w:rPr>
      </w:pPr>
      <w:r>
        <w:rPr>
          <w:rFonts w:ascii="Arial" w:cs="Arial" w:eastAsia="Arial" w:hAnsi="Arial"/>
          <w:sz w:val="18"/>
          <w:szCs w:val="18"/>
          <w:color w:val="auto"/>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Toggle MRAM</w:t>
      </w:r>
    </w:p>
    <w:p>
      <w:pPr>
        <w:spacing w:after="0" w:line="225" w:lineRule="exact"/>
        <w:rPr>
          <w:sz w:val="20"/>
          <w:szCs w:val="20"/>
          <w:color w:val="auto"/>
        </w:rPr>
      </w:pPr>
    </w:p>
    <w:p>
      <w:pPr>
        <w:ind w:left="60" w:right="219" w:firstLine="401"/>
        <w:spacing w:after="0" w:line="291" w:lineRule="auto"/>
        <w:rPr>
          <w:sz w:val="20"/>
          <w:szCs w:val="20"/>
          <w:color w:val="auto"/>
        </w:rPr>
      </w:pPr>
      <w:r>
        <w:rPr>
          <w:rFonts w:ascii="Arial" w:cs="Arial" w:eastAsia="Arial" w:hAnsi="Arial"/>
          <w:sz w:val="16"/>
          <w:szCs w:val="16"/>
          <w:color w:val="auto"/>
        </w:rPr>
        <w:t>Our Toggle MRAM products have been in production since 2008 and are currently shipping in 128kb to 32Mb densities. These high performance, non-volatile memories are designed primarily to address applications in the industrial, medical, automotive/transportation, and data center markets. We offer these products with industry standard interfaces, including Parallel, Serial Peripheral Interface (SPI) and Quad SPI (QSPI) interfaces, enabling our customers to easily replace legacy memory components like Static Random Access Memory (SRAM) and Ferroelectric Random Access Memory (FRAM) with Toggle MRAM. We have never had an end of life event for any of our Toggle MRAM products which enables our customers to design in a product with the assurance that it will be available for many years to come.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Spin-transfer Torque MRAM</w:t>
      </w:r>
    </w:p>
    <w:p>
      <w:pPr>
        <w:spacing w:after="0" w:line="225" w:lineRule="exact"/>
        <w:rPr>
          <w:sz w:val="20"/>
          <w:szCs w:val="20"/>
          <w:color w:val="auto"/>
        </w:rPr>
      </w:pPr>
    </w:p>
    <w:p>
      <w:pPr>
        <w:ind w:left="60" w:right="79" w:firstLine="401"/>
        <w:spacing w:after="0" w:line="275" w:lineRule="auto"/>
        <w:rPr>
          <w:sz w:val="20"/>
          <w:szCs w:val="20"/>
          <w:color w:val="auto"/>
        </w:rPr>
      </w:pPr>
      <w:r>
        <w:rPr>
          <w:rFonts w:ascii="Arial" w:cs="Arial" w:eastAsia="Arial" w:hAnsi="Arial"/>
          <w:sz w:val="17"/>
          <w:szCs w:val="17"/>
          <w:color w:val="auto"/>
        </w:rPr>
        <w:t>Our STT-MRAM products started production in 2017 and are currently shipping in 256Mb and 1Gb densities. These high density, high performance persistent memories are delivering significant value to SSD, Persistent Memory Cards, Fabric Accelerator, and other applications in the data center market. We offer these products with DDR3 and DDR4 derivative interfaces, facilitating the replacement of battery-backed Dynamic Random Access Memory (DRAM) with STT-MRAM. In addition to having the capability to deliver STT-MRAM products into both SRAM and DRAM</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applications that require more robust data retention, STT-MRAM products can be used in traditional NOR markets with standardized SPI, QSPI, and Parallel interfaces. Due to the limitations of NOR scaling past 45nm and the fact that STT-MRAM is already available on a 22nm technology, we believe there is potential for STT-MRAM to enter multiple non-volatile memory (NVM) markets where fast reads/writes, high cycle counts and extended data retention are required. Today, no viable single chip solution exists except STT-MRAM.</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TMR Sensors</w:t>
      </w:r>
    </w:p>
    <w:p>
      <w:pPr>
        <w:spacing w:after="0" w:line="225" w:lineRule="exact"/>
        <w:rPr>
          <w:sz w:val="20"/>
          <w:szCs w:val="20"/>
          <w:color w:val="auto"/>
        </w:rPr>
      </w:pPr>
    </w:p>
    <w:p>
      <w:pPr>
        <w:ind w:left="60" w:right="199" w:firstLine="401"/>
        <w:spacing w:after="0" w:line="286" w:lineRule="auto"/>
        <w:rPr>
          <w:sz w:val="20"/>
          <w:szCs w:val="20"/>
          <w:color w:val="auto"/>
        </w:rPr>
      </w:pPr>
      <w:r>
        <w:rPr>
          <w:rFonts w:ascii="Arial" w:cs="Arial" w:eastAsia="Arial" w:hAnsi="Arial"/>
          <w:sz w:val="17"/>
          <w:szCs w:val="17"/>
          <w:color w:val="auto"/>
        </w:rPr>
        <w:t>Our 3D Tunnel Magneto Resistance (TMR) sensors provide extremely high magnetic sensitivity in a single component that performs 3D magnetic field measurements in a monolithic solution. We offer these die-level devices to be integrated into consumer electronic applications that utilize a high sensitivity 3D compass function.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Licensing, Royalty, and Patent Overview</w:t>
      </w:r>
    </w:p>
    <w:p>
      <w:pPr>
        <w:spacing w:after="0" w:line="229" w:lineRule="exact"/>
        <w:rPr>
          <w:sz w:val="20"/>
          <w:szCs w:val="20"/>
          <w:color w:val="auto"/>
        </w:rPr>
      </w:pPr>
    </w:p>
    <w:p>
      <w:pPr>
        <w:ind w:left="60" w:right="159" w:firstLine="401"/>
        <w:spacing w:after="0" w:line="263" w:lineRule="auto"/>
        <w:rPr>
          <w:sz w:val="20"/>
          <w:szCs w:val="20"/>
          <w:color w:val="auto"/>
        </w:rPr>
      </w:pPr>
      <w:r>
        <w:rPr>
          <w:rFonts w:ascii="Arial" w:cs="Arial" w:eastAsia="Arial" w:hAnsi="Arial"/>
          <w:sz w:val="18"/>
          <w:szCs w:val="18"/>
          <w:color w:val="auto"/>
        </w:rPr>
        <w:t>We leverage our broad IP portfolio to enable licensing, royalty revenue streams, and patent sales from non-core applications that can derive valuable differentiation through the use of Everspin MRAM and TMR sensor IP. For example, this includes the following:</w:t>
      </w:r>
    </w:p>
    <w:p>
      <w:pPr>
        <w:spacing w:after="0" w:line="184" w:lineRule="exact"/>
        <w:rPr>
          <w:sz w:val="20"/>
          <w:szCs w:val="20"/>
          <w:color w:val="auto"/>
        </w:rPr>
      </w:pPr>
    </w:p>
    <w:p>
      <w:pPr>
        <w:ind w:left="800" w:right="139" w:hanging="33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licensed GLOBALFOUNDRIES to offer embedded MRAM in the solutions they manufacture for their customers providing high-performance non-volatile embedded memory.</w:t>
      </w:r>
    </w:p>
    <w:p>
      <w:pPr>
        <w:spacing w:after="0" w:line="62" w:lineRule="exact"/>
        <w:rPr>
          <w:rFonts w:ascii="Arial" w:cs="Arial" w:eastAsia="Arial" w:hAnsi="Arial"/>
          <w:sz w:val="18"/>
          <w:szCs w:val="18"/>
          <w:color w:val="auto"/>
        </w:rPr>
      </w:pPr>
    </w:p>
    <w:p>
      <w:pPr>
        <w:ind w:left="800" w:right="259" w:hanging="33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licensed base MRAM design technology (EAR99) for use in radiation tolerant aerospace applications to customers for their custom designs.</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licensed TMR sensor IP in 3D magnetic field sensing.</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evaluated patent sales by transferring, assigning, and delivering patents to customers.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Foundry Services Overview</w:t>
      </w:r>
    </w:p>
    <w:p>
      <w:pPr>
        <w:spacing w:after="0" w:line="229"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In our Chandler facility, we perform BEOL manufacturing services for customers who want to add MRAM and TMR sensor functionality to their memory or application base circuits. These services allow aerospace and satellite electronic system manufacturers to integrate our EAR99 technology that is able to withstand exposure to the levels of radiation encountered in avionics and space applications by virtue of such technology being magnetic rather than electrical charge based which would be susceptible to alpha particles.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401"/>
        <w:spacing w:after="0" w:line="275" w:lineRule="auto"/>
        <w:rPr>
          <w:sz w:val="20"/>
          <w:szCs w:val="20"/>
          <w:color w:val="auto"/>
        </w:rPr>
      </w:pPr>
      <w:r>
        <w:rPr>
          <w:rFonts w:ascii="Arial" w:cs="Arial" w:eastAsia="Arial" w:hAnsi="Arial"/>
          <w:sz w:val="17"/>
          <w:szCs w:val="17"/>
          <w:color w:val="auto"/>
        </w:rPr>
        <w:t>We sell our products through a direct sales channel and a network of representatives and distributors. The majority of our customers, and their associated contract manufacturers, buy our products through our distributors. We maintain sales, support, supply chain and logistics operations and have distributors in Asia to service the production needs of contract manufacturers. We also maintain direct selling relationships with several strategic customers. Our direct sales representatives are located in North America, Germany, Italy, Japan, Hong Kong, and Taiwan.</w:t>
      </w:r>
    </w:p>
    <w:p>
      <w:pPr>
        <w:spacing w:after="0" w:line="176"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of our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78" w:lineRule="exact"/>
        <w:rPr>
          <w:sz w:val="20"/>
          <w:szCs w:val="20"/>
          <w:color w:val="auto"/>
        </w:rPr>
      </w:pPr>
    </w:p>
    <w:p>
      <w:pPr>
        <w:ind w:left="60" w:right="399" w:firstLine="401"/>
        <w:spacing w:after="0" w:line="311" w:lineRule="auto"/>
        <w:rPr>
          <w:sz w:val="20"/>
          <w:szCs w:val="20"/>
          <w:color w:val="auto"/>
        </w:rPr>
      </w:pPr>
      <w:r>
        <w:rPr>
          <w:rFonts w:ascii="Arial" w:cs="Arial" w:eastAsia="Arial" w:hAnsi="Arial"/>
          <w:sz w:val="16"/>
          <w:szCs w:val="16"/>
          <w:color w:val="auto"/>
        </w:rPr>
        <w:t>We have established relationships with several storage controller and Field Programmable Gate Array (FPGA) companies, including Phison Electronics, Sage Micro, and Xilinx as well as IP core companies, including Cadence and Northwest Logic, to facilitate the integration of our MRAM solutions into our customers’ end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401"/>
        <w:spacing w:after="0" w:line="263" w:lineRule="auto"/>
        <w:rPr>
          <w:sz w:val="20"/>
          <w:szCs w:val="20"/>
          <w:color w:val="auto"/>
        </w:rPr>
      </w:pPr>
      <w:r>
        <w:rPr>
          <w:rFonts w:ascii="Arial" w:cs="Arial" w:eastAsia="Arial" w:hAnsi="Arial"/>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84" w:lineRule="exact"/>
        <w:rPr>
          <w:sz w:val="20"/>
          <w:szCs w:val="20"/>
          <w:color w:val="auto"/>
        </w:rPr>
      </w:pPr>
    </w:p>
    <w:p>
      <w:pPr>
        <w:ind w:left="60" w:right="159" w:firstLine="401"/>
        <w:spacing w:after="0" w:line="275" w:lineRule="auto"/>
        <w:rPr>
          <w:sz w:val="20"/>
          <w:szCs w:val="20"/>
          <w:color w:val="auto"/>
        </w:rPr>
      </w:pPr>
      <w:r>
        <w:rPr>
          <w:rFonts w:ascii="Arial" w:cs="Arial" w:eastAsia="Arial" w:hAnsi="Arial"/>
          <w:sz w:val="17"/>
          <w:szCs w:val="17"/>
          <w:color w:val="auto"/>
        </w:rPr>
        <w:t>We consider our customer to be an end customer purchasing either directly from a distributor or a contract manufacturer, or a customer purchasing directly from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76" w:lineRule="exact"/>
        <w:rPr>
          <w:sz w:val="20"/>
          <w:szCs w:val="20"/>
          <w:color w:val="auto"/>
        </w:rPr>
      </w:pPr>
    </w:p>
    <w:p>
      <w:pPr>
        <w:ind w:left="60" w:right="199" w:firstLine="401"/>
        <w:spacing w:after="0" w:line="275" w:lineRule="auto"/>
        <w:rPr>
          <w:sz w:val="20"/>
          <w:szCs w:val="20"/>
          <w:color w:val="auto"/>
        </w:rPr>
      </w:pPr>
      <w:r>
        <w:rPr>
          <w:rFonts w:ascii="Arial" w:cs="Arial" w:eastAsia="Arial" w:hAnsi="Arial"/>
          <w:sz w:val="17"/>
          <w:szCs w:val="17"/>
          <w:color w:val="auto"/>
        </w:rPr>
        <w:t>During the year ended December 31, 2021, more than 1,221 end customers purchased our products. Our four largest end customers together accounted for 47% of our total revenue for the year ended December 31, 2021, and one of these customers accounted for more than 10% of our revenue during that period. Our four largest end customers together accounted for 45% of our total revenue for the year ended December 31, 2020, and one of these customers individually accounted for more than 10% of our total revenue during the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We rely on third-party suppliers for most phases of the manufacturing process, including initial fabrication, final test, and assembly.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Wafer Manufacturing</w:t>
      </w:r>
    </w:p>
    <w:p>
      <w:pPr>
        <w:spacing w:after="0" w:line="225" w:lineRule="exact"/>
        <w:rPr>
          <w:sz w:val="20"/>
          <w:szCs w:val="20"/>
          <w:color w:val="auto"/>
        </w:rPr>
      </w:pPr>
    </w:p>
    <w:p>
      <w:pPr>
        <w:ind w:left="60" w:right="139" w:firstLine="401"/>
        <w:spacing w:after="0" w:line="257" w:lineRule="auto"/>
        <w:rPr>
          <w:sz w:val="20"/>
          <w:szCs w:val="20"/>
          <w:color w:val="auto"/>
        </w:rPr>
      </w:pPr>
      <w:r>
        <w:rPr>
          <w:rFonts w:ascii="Arial" w:cs="Arial" w:eastAsia="Arial" w:hAnsi="Arial"/>
          <w:sz w:val="18"/>
          <w:szCs w:val="18"/>
          <w:color w:val="auto"/>
        </w:rPr>
        <w:t>We perform BEOL manufacturing for our Toggle MRAM products and provide foundry services for embedded MRAM, licensed MRAM products and Magnetic Tunnel Junction (MTJ)-based sensors in our 200mm manufacturing facility. Our facility is in an ISO-4 clean room and our manufacturing line is ISO 9001:2015 certified. We actively manage inventory, including automated process flows, process controls and recipe management, and we use standard equipment to manufacture our products.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STT-MRAM products are produced in 300mm fabrication facilities operated by GLOBALFOUNDRIES.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Assembly and Test</w:t>
      </w:r>
    </w:p>
    <w:p>
      <w:pPr>
        <w:spacing w:after="0" w:line="225" w:lineRule="exact"/>
        <w:rPr>
          <w:sz w:val="20"/>
          <w:szCs w:val="20"/>
          <w:color w:val="auto"/>
        </w:rPr>
      </w:pPr>
    </w:p>
    <w:p>
      <w:pPr>
        <w:ind w:left="60" w:right="919" w:firstLine="401"/>
        <w:spacing w:after="0" w:line="277" w:lineRule="auto"/>
        <w:rPr>
          <w:sz w:val="20"/>
          <w:szCs w:val="20"/>
          <w:color w:val="auto"/>
        </w:rPr>
      </w:pPr>
      <w:r>
        <w:rPr>
          <w:rFonts w:ascii="Arial" w:cs="Arial" w:eastAsia="Arial" w:hAnsi="Arial"/>
          <w:sz w:val="18"/>
          <w:szCs w:val="18"/>
          <w:color w:val="auto"/>
        </w:rPr>
        <w:t>Our product and test engineering teams develop and implement wafer-level and final test programs for the manufacture of our MRAM devices.</w:t>
      </w:r>
    </w:p>
    <w:p>
      <w:pPr>
        <w:spacing w:after="0" w:line="170"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utilize third-party industry-leading assembly and test sub-contractors, including Amkor, OSE, GTC, ChipMos and UTAC. We have successfully qualified our MRAM devices in various packages at temperatures ranging from commercial to automotive grade. As part of our commitment to quality, our quality management system has been certified to ISO 9001:2015 and ISO 14001:2015 standards. Our foundry vendors and sub-contractors are also ISO 9001 and ISO 14001 certified.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Arrangements with GLOBALFOUNDRIES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Joint Development Agreement</w:t>
      </w:r>
    </w:p>
    <w:p>
      <w:pPr>
        <w:spacing w:after="0" w:line="225" w:lineRule="exact"/>
        <w:rPr>
          <w:sz w:val="20"/>
          <w:szCs w:val="20"/>
          <w:color w:val="auto"/>
        </w:rPr>
      </w:pPr>
    </w:p>
    <w:p>
      <w:pPr>
        <w:ind w:left="60" w:right="199" w:firstLine="401"/>
        <w:spacing w:after="0" w:line="275" w:lineRule="auto"/>
        <w:rPr>
          <w:sz w:val="20"/>
          <w:szCs w:val="20"/>
          <w:color w:val="auto"/>
        </w:rPr>
      </w:pPr>
      <w:r>
        <w:rPr>
          <w:rFonts w:ascii="Arial" w:cs="Arial" w:eastAsia="Arial" w:hAnsi="Arial"/>
          <w:sz w:val="17"/>
          <w:szCs w:val="17"/>
          <w:color w:val="auto"/>
        </w:rPr>
        <w:t>Since October 17, 2014, we have participated in a joint development agreement with GLOBALFOUNDRIES Inc.,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76"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“Manufacturing Agreement”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401"/>
        <w:spacing w:after="0" w:line="254" w:lineRule="auto"/>
        <w:rPr>
          <w:sz w:val="20"/>
          <w:szCs w:val="20"/>
          <w:color w:val="auto"/>
        </w:rPr>
      </w:pPr>
      <w:r>
        <w:rPr>
          <w:rFonts w:ascii="Arial" w:cs="Arial" w:eastAsia="Arial" w:hAnsi="Arial"/>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92" w:lineRule="exact"/>
        <w:rPr>
          <w:sz w:val="20"/>
          <w:szCs w:val="20"/>
          <w:color w:val="auto"/>
        </w:rPr>
      </w:pPr>
    </w:p>
    <w:p>
      <w:pPr>
        <w:ind w:left="60" w:right="159" w:firstLine="401"/>
        <w:spacing w:after="0" w:line="263" w:lineRule="auto"/>
        <w:rPr>
          <w:sz w:val="20"/>
          <w:szCs w:val="20"/>
          <w:color w:val="auto"/>
        </w:rPr>
      </w:pPr>
      <w:r>
        <w:rPr>
          <w:rFonts w:ascii="Arial" w:cs="Arial" w:eastAsia="Arial" w:hAnsi="Arial"/>
          <w:sz w:val="18"/>
          <w:szCs w:val="18"/>
          <w:color w:val="auto"/>
        </w:rPr>
        <w:t>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84" w:lineRule="exact"/>
        <w:rPr>
          <w:sz w:val="20"/>
          <w:szCs w:val="20"/>
          <w:color w:val="auto"/>
        </w:rPr>
      </w:pPr>
    </w:p>
    <w:p>
      <w:pPr>
        <w:jc w:val="both"/>
        <w:ind w:left="60" w:right="179" w:firstLine="401"/>
        <w:spacing w:after="0" w:line="296"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 Factors” for further discussion of our agreements with GLOBALFOUNDRIES.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225" w:lineRule="exact"/>
        <w:rPr>
          <w:sz w:val="20"/>
          <w:szCs w:val="20"/>
          <w:color w:val="auto"/>
        </w:rPr>
      </w:pPr>
    </w:p>
    <w:p>
      <w:pPr>
        <w:ind w:left="60" w:right="159" w:firstLine="401"/>
        <w:spacing w:after="0" w:line="288" w:lineRule="auto"/>
        <w:rPr>
          <w:sz w:val="20"/>
          <w:szCs w:val="20"/>
          <w:color w:val="auto"/>
        </w:rPr>
      </w:pPr>
      <w:r>
        <w:rPr>
          <w:rFonts w:ascii="Arial" w:cs="Arial" w:eastAsia="Arial" w:hAnsi="Arial"/>
          <w:sz w:val="16"/>
          <w:szCs w:val="16"/>
          <w:color w:val="auto"/>
        </w:rPr>
        <w:t>On October 23, 2014, we entered into a manufacturing agreement with GLOBALFOUNDRIES Singapore Pte. Ltd. that sets forth the specific terms and conditions for the production and supply of wafers manufactured using our STT-MRAM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 year periods thereafter unless either party provides sufficient advance notice of non-renewal.</w:t>
      </w:r>
    </w:p>
    <w:p>
      <w:pPr>
        <w:spacing w:after="0" w:line="168" w:lineRule="exact"/>
        <w:rPr>
          <w:sz w:val="20"/>
          <w:szCs w:val="20"/>
          <w:color w:val="auto"/>
        </w:rPr>
      </w:pPr>
    </w:p>
    <w:p>
      <w:pPr>
        <w:ind w:left="60" w:right="99" w:firstLine="401"/>
        <w:spacing w:after="0" w:line="254" w:lineRule="auto"/>
        <w:rPr>
          <w:sz w:val="20"/>
          <w:szCs w:val="20"/>
          <w:color w:val="auto"/>
        </w:rPr>
      </w:pPr>
      <w:r>
        <w:rPr>
          <w:rFonts w:ascii="Arial" w:cs="Arial" w:eastAsia="Arial" w:hAnsi="Arial"/>
          <w:sz w:val="18"/>
          <w:szCs w:val="18"/>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12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As of December 31, 2021, our backlog was $47.4 million, compared to $17.7 million as of December 31, 2020, and includes all purchase orders scheduled for delivery within the subsequent 12 months. Our business and, to a large extent, that of the entire semiconductor industry, is characterized by short-term orders and shipment schedules. Orders constituting our current backlog are subject to changes in delivery schedules, or to cancellation at the customer's option without significant penalty. Thus, while backlog is useful for scheduling production, backlog as of any particular date may not be a reliable measure of sales for any future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left="60" w:right="279" w:firstLine="401"/>
        <w:spacing w:after="0" w:line="301" w:lineRule="auto"/>
        <w:rPr>
          <w:sz w:val="20"/>
          <w:szCs w:val="20"/>
          <w:color w:val="auto"/>
        </w:rPr>
      </w:pPr>
      <w:r>
        <w:rPr>
          <w:rFonts w:ascii="Arial" w:cs="Arial" w:eastAsia="Arial" w:hAnsi="Arial"/>
          <w:sz w:val="16"/>
          <w:szCs w:val="16"/>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firstLine="401"/>
        <w:spacing w:after="0" w:line="277" w:lineRule="auto"/>
        <w:rPr>
          <w:sz w:val="20"/>
          <w:szCs w:val="20"/>
          <w:color w:val="auto"/>
        </w:rPr>
      </w:pPr>
      <w:r>
        <w:rPr>
          <w:rFonts w:ascii="Arial" w:cs="Arial" w:eastAsia="Arial" w:hAnsi="Arial"/>
          <w:sz w:val="18"/>
          <w:szCs w:val="18"/>
          <w:color w:val="auto"/>
        </w:rPr>
        <w:t>As an emerging specialty memory product supplier, we face intense competition from a wide variety of other memory technology manufacturers.</w:t>
      </w:r>
    </w:p>
    <w:p>
      <w:pPr>
        <w:spacing w:after="0" w:line="170" w:lineRule="exact"/>
        <w:rPr>
          <w:sz w:val="20"/>
          <w:szCs w:val="20"/>
          <w:color w:val="auto"/>
        </w:rPr>
      </w:pPr>
    </w:p>
    <w:p>
      <w:pPr>
        <w:ind w:left="60" w:right="219" w:firstLine="401"/>
        <w:spacing w:after="0" w:line="254" w:lineRule="auto"/>
        <w:rPr>
          <w:sz w:val="20"/>
          <w:szCs w:val="20"/>
          <w:color w:val="auto"/>
        </w:rPr>
      </w:pPr>
      <w:r>
        <w:rPr>
          <w:rFonts w:ascii="Arial" w:cs="Arial" w:eastAsia="Arial" w:hAnsi="Arial"/>
          <w:sz w:val="18"/>
          <w:szCs w:val="18"/>
          <w:color w:val="auto"/>
        </w:rPr>
        <w:t>Our principal competitors to our Toggle MRAM products include companies that offer nonvolatile SRAM (NVSRAM), SRAM, and FRAM products, such as Infineon, Fujitsu, Integrated Silicon Solution (ISSI), Macronix, Microchip, Micron, Renesas, Samsung and Toshiba. Our STT-MRAM products replace DRAM and SRAM where persistence is required and thus compete with DRAM and SRAM suppliers such as Hynix, Micron, Samsung, and several other smaller companies. In the future we may also face competition from companies developing MRAM technologies, such as Avalanche, Samsung and other larger and smaller semiconductor companies. We may also face indirect competition from resistive random-access memory (RRAM), NOR and NAND Flash manufacturers in some market applications.</w:t>
      </w:r>
    </w:p>
    <w:p>
      <w:pPr>
        <w:spacing w:after="0" w:line="192" w:lineRule="exact"/>
        <w:rPr>
          <w:sz w:val="20"/>
          <w:szCs w:val="20"/>
          <w:color w:val="auto"/>
        </w:rPr>
      </w:pPr>
    </w:p>
    <w:p>
      <w:pPr>
        <w:jc w:val="both"/>
        <w:ind w:left="60" w:right="459" w:firstLine="401"/>
        <w:spacing w:after="0" w:line="263" w:lineRule="auto"/>
        <w:rPr>
          <w:sz w:val="20"/>
          <w:szCs w:val="20"/>
          <w:color w:val="auto"/>
        </w:rPr>
      </w:pPr>
      <w:r>
        <w:rPr>
          <w:rFonts w:ascii="Arial" w:cs="Arial" w:eastAsia="Arial" w:hAnsi="Arial"/>
          <w:sz w:val="18"/>
          <w:szCs w:val="18"/>
          <w:color w:val="auto"/>
        </w:rPr>
        <w:t>Our sensor products compete with giant magnetoresistive (GMR), anisotropic magnetoresistive (AMR) and Hall effect sensors supplied by Alps, Asahi Kasei Microdevices, Crocus, Fairchild, Invensys (now Schneider), Kionix and Micronix and TMR sensors from TDK.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ability to compete successfully in the market for our products is based on a number of factors, including:</w:t>
      </w:r>
    </w:p>
    <w:p>
      <w:pPr>
        <w:spacing w:after="0" w:line="237" w:lineRule="exact"/>
        <w:rPr>
          <w:sz w:val="20"/>
          <w:szCs w:val="20"/>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attributes and specifications;</w:t>
      </w:r>
    </w:p>
    <w:p>
      <w:pPr>
        <w:spacing w:after="0" w:line="117" w:lineRule="exact"/>
        <w:rPr>
          <w:rFonts w:ascii="Arial" w:cs="Arial" w:eastAsia="Arial" w:hAnsi="Arial"/>
          <w:sz w:val="18"/>
          <w:szCs w:val="18"/>
          <w:color w:val="auto"/>
        </w:rPr>
      </w:pPr>
    </w:p>
    <w:p>
      <w:pPr>
        <w:ind w:left="800" w:right="359" w:hanging="33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adoption of MRAM technology despite the price per bit premium of our products versus competing technologies;</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controller supplier and customer engagements throughout the product life cycle;</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quality and reliability as measured by our customers;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supplier status at numerous customers and ODMs;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expertise and strength;</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manufacturing yield analysis and testing;</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capacity and allocation;</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 and strength of customer relationships;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pricing in the market against the competition while maintaining our gross margin profile; and</w:t>
      </w:r>
    </w:p>
    <w:p>
      <w:pPr>
        <w:spacing w:after="0" w:line="128" w:lineRule="exact"/>
        <w:rPr>
          <w:rFonts w:ascii="Arial" w:cs="Arial" w:eastAsia="Arial" w:hAnsi="Arial"/>
          <w:sz w:val="17"/>
          <w:szCs w:val="17"/>
          <w:color w:val="auto"/>
        </w:rPr>
      </w:pPr>
    </w:p>
    <w:p>
      <w:pPr>
        <w:ind w:left="800" w:right="639" w:hanging="33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meeting the needs of future customer requirements through continued development of new products.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19" w:firstLine="401"/>
        <w:spacing w:after="0" w:line="254" w:lineRule="auto"/>
        <w:rPr>
          <w:sz w:val="20"/>
          <w:szCs w:val="20"/>
          <w:color w:val="auto"/>
        </w:rPr>
      </w:pPr>
      <w:r>
        <w:rPr>
          <w:rFonts w:ascii="Arial" w:cs="Arial" w:eastAsia="Arial" w:hAnsi="Arial"/>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2021, we held 534 issued patents that expire at various times between January 2022 and December 2038 and had 124 patent applications pending. Included in our issued patents and pending applications are patents/applications in the United States, China, Europe, France, Germany, Ireland, Italy, Japan, the Netherlands, the Republic of Korea, Singapore, Taiwan, and the United Kingdom.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401"/>
        <w:spacing w:after="0" w:line="291" w:lineRule="auto"/>
        <w:rPr>
          <w:sz w:val="20"/>
          <w:szCs w:val="20"/>
          <w:color w:val="auto"/>
        </w:rPr>
      </w:pPr>
      <w:r>
        <w:rPr>
          <w:rFonts w:ascii="Arial" w:cs="Arial" w:eastAsia="Arial" w:hAnsi="Arial"/>
          <w:sz w:val="16"/>
          <w:szCs w:val="16"/>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66" w:lineRule="exact"/>
        <w:rPr>
          <w:sz w:val="20"/>
          <w:szCs w:val="20"/>
          <w:color w:val="auto"/>
        </w:rPr>
      </w:pPr>
    </w:p>
    <w:p>
      <w:pPr>
        <w:jc w:val="both"/>
        <w:ind w:left="60" w:right="259" w:firstLine="401"/>
        <w:spacing w:after="0" w:line="263" w:lineRule="auto"/>
        <w:rPr>
          <w:sz w:val="20"/>
          <w:szCs w:val="20"/>
          <w:color w:val="auto"/>
        </w:rPr>
      </w:pPr>
      <w:r>
        <w:rPr>
          <w:rFonts w:ascii="Arial" w:cs="Arial" w:eastAsia="Arial" w:hAnsi="Arial"/>
          <w:sz w:val="18"/>
          <w:szCs w:val="18"/>
          <w:color w:val="auto"/>
        </w:rPr>
        <w:t>We seek to enforce our IP and to monetize our patent portfolio through licensing of third parties and patent sales in return for cash remuneration, patent cross licenses or both. See “Licensing, Royalty, and Patent Overview” for additional information.</w:t>
      </w:r>
    </w:p>
    <w:p>
      <w:pPr>
        <w:spacing w:after="0" w:line="184"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intellectual property.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ind w:left="60" w:right="79" w:firstLine="401"/>
        <w:spacing w:after="0" w:line="293" w:lineRule="auto"/>
        <w:rPr>
          <w:sz w:val="20"/>
          <w:szCs w:val="20"/>
          <w:color w:val="auto"/>
        </w:rPr>
      </w:pPr>
      <w:r>
        <w:rPr>
          <w:rFonts w:ascii="Arial" w:cs="Arial" w:eastAsia="Arial" w:hAnsi="Arial"/>
          <w:sz w:val="16"/>
          <w:szCs w:val="16"/>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At December 31, 2021, we had 75 total employees in the United States, all of which were full-time employees, and 16 full-time equivalent and 3 part-time equivalent contractors and consultants in China, Germany, Italy, Japan, Singapore, and Taiwan. None of our employees are either represented by a labor union or subject to a collective bargaining agreement. We have not experienced any work stoppages, and we consider our relations with our employees and contractors to be good.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 xml:space="preserve">We were incorporated in Delaware in May 2008. In June 2008, Freescale Semiconductor, Inc. (now a wholly-owned subsidiary of NXP Semiconductors N.V.), spun-out its MRAM business as Everspin. Our offices are located at 5670 W. Chandler Boulevard, Suite 130, Chandler, Arizona 85226. Our telephone number is (480) 347-1111. Our corporate website is at </w:t>
      </w:r>
      <w:r>
        <w:rPr>
          <w:rFonts w:ascii="Arial" w:cs="Arial" w:eastAsia="Arial" w:hAnsi="Arial"/>
          <w:sz w:val="18"/>
          <w:szCs w:val="18"/>
          <w:i w:val="1"/>
          <w:iCs w:val="1"/>
          <w:color w:val="auto"/>
        </w:rPr>
        <w:t>www.Everspin.com</w:t>
      </w:r>
      <w:r>
        <w:rPr>
          <w:rFonts w:ascii="Arial" w:cs="Arial" w:eastAsia="Arial" w:hAnsi="Arial"/>
          <w:sz w:val="18"/>
          <w:szCs w:val="18"/>
          <w:color w:val="auto"/>
        </w:rPr>
        <w: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79" w:firstLine="401"/>
        <w:spacing w:after="0" w:line="296"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Securities Exchange Act of 1934, as amended (Exchange Act), are available free of charge on our website, as soon as reasonably practicable after we electronically file them with, or furnish them to, the SEC. The information contained on or that can be accessed through our website is not incorporated by reference into this report, and information on our website should not be considered to be part of this report.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i w:val="1"/>
          <w:iCs w:val="1"/>
          <w:color w:val="auto"/>
        </w:rPr>
        <w:t>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60" w:right="239" w:firstLine="324"/>
        <w:spacing w:after="0" w:line="288" w:lineRule="auto"/>
        <w:rPr>
          <w:sz w:val="20"/>
          <w:szCs w:val="20"/>
          <w:color w:val="auto"/>
        </w:rPr>
      </w:pPr>
      <w:r>
        <w:rPr>
          <w:rFonts w:ascii="Arial" w:cs="Arial" w:eastAsia="Arial" w:hAnsi="Arial"/>
          <w:sz w:val="16"/>
          <w:szCs w:val="16"/>
          <w:color w:val="auto"/>
        </w:rPr>
        <w:t>Our total revenue was approximately $55.1 million for the year ended December 31, 2021, and $42.0 million for the year ended December 31, 2020. As of December 31, 2021, we had cash and cash equivalents of approximately $21.4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8"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losses, and we cannot be certain that we will sustain profitability.</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Although we generated net income of $4.3 million for the year ended December 31, 2021, we have historically incurred net losses since our inception. For the year ended December 31, 2020, we incurred a net loss of $8.5 million. As of December 31, 2021, we had an accumulated deficit of $152.8 million. 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business activities or expand or fully pursue our business strategies. For example, our existing credit facility prohibits our ability to, among other things:</w:t>
      </w:r>
    </w:p>
    <w:p>
      <w:pPr>
        <w:spacing w:after="0" w:line="170" w:lineRule="exact"/>
        <w:rPr>
          <w:sz w:val="20"/>
          <w:szCs w:val="20"/>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00" w:lineRule="exact"/>
        <w:rPr>
          <w:sz w:val="20"/>
          <w:szCs w:val="20"/>
          <w:color w:val="auto"/>
        </w:rPr>
      </w:pPr>
    </w:p>
    <w:p>
      <w:pPr>
        <w:spacing w:after="0" w:line="241"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b w:val="1"/>
          <w:bCs w:val="1"/>
          <w:i w:val="1"/>
          <w:iCs w:val="1"/>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4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could be negatively impacted by the widespread outbreak of an illness, any other communicable disease or any other public health crisis that results in economic and trade disruptions, including the disruption of global supply chains. In late 2019, there was an outbreak of a new strain of coronavirus, COVID-19, which has since spread globally. On March 11, 2020, the World Health Organization declared COVID-19 a pandemic. Further,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such as the Omicron variant, that are significantly more contagious than previous strains have emerged. The spread of these new strains have caused many government authorities and businesses to reimplement the aforementioned measures to try to reduce the spread that had become less prevalent. The COVID-19 pandemic and its variants have negatively impacted the global economy, disrupted global supply chains and workforce participation, and initially created significant volatility and disruption of financial markets.</w:t>
      </w:r>
    </w:p>
    <w:p>
      <w:pPr>
        <w:spacing w:after="0" w:line="179"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As a result of the COVID-19 pandemic and the related responses from government authorities, our business, results of operations and financial condition have been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 work in our manufacturing and laboratory locations.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3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7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117"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slowdowns, stoppages or other limitations in the supply chain for our products, in addition to higher costs, such as due to suppliers raising prices;</w:t>
      </w:r>
    </w:p>
    <w:p>
      <w:pPr>
        <w:spacing w:after="0" w:line="62"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employee resources and availability, including due to sickness, government restrictions, labor supply shortages, and the desire of employees to avoid contact with large groups of people or mass transit disruptions;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continuation or worsening of general economic conditions, including increased inflation;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140" w:lineRule="exact"/>
        <w:rPr>
          <w:rFonts w:ascii="Arial" w:cs="Arial" w:eastAsia="Arial" w:hAnsi="Arial"/>
          <w:sz w:val="16"/>
          <w:szCs w:val="16"/>
          <w:color w:val="auto"/>
        </w:rPr>
      </w:pPr>
    </w:p>
    <w:p>
      <w:pPr>
        <w:ind w:left="1040" w:right="1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7"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The emergence of different variants of COVID-19 and the prevalence of breakthrough cases of infection among fully vaccinated people adds additional uncertainty and could result in further impacts to our business and operations, including those discussed above.</w:t>
      </w:r>
    </w:p>
    <w:p>
      <w:pPr>
        <w:spacing w:after="0" w:line="184"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and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supply chain constraints, or the capacity constraints of our suppliers, which could adversely affect our operating results.</w:t>
      </w:r>
    </w:p>
    <w:p>
      <w:pPr>
        <w:spacing w:after="0" w:line="184"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390"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6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are located in China, Taiwan and other Asian countries. We also use standard CMOS wafers from third-party foundries, which we process at our Chandler, Arizona facility.</w:t>
      </w:r>
    </w:p>
    <w:p>
      <w:pPr>
        <w:spacing w:after="0" w:line="170"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40" w:right="219" w:hanging="266"/>
        <w:spacing w:after="0" w:line="263"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 or supply constraints;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increases in prices including due to inflation.</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8"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Disruptions in our supply chain may adversely impact our ability to fulfill customer demand which, in turn, may adversely impact our business, results of operations and financial condition.</w:t>
      </w:r>
    </w:p>
    <w:p>
      <w:pPr>
        <w:spacing w:after="0" w:line="170" w:lineRule="exact"/>
        <w:rPr>
          <w:sz w:val="20"/>
          <w:szCs w:val="20"/>
          <w:color w:val="auto"/>
        </w:rPr>
      </w:pPr>
    </w:p>
    <w:p>
      <w:pPr>
        <w:ind w:left="60" w:right="339" w:firstLine="324"/>
        <w:spacing w:after="0" w:line="257" w:lineRule="auto"/>
        <w:rPr>
          <w:sz w:val="20"/>
          <w:szCs w:val="20"/>
          <w:color w:val="auto"/>
        </w:rPr>
      </w:pPr>
      <w:r>
        <w:rPr>
          <w:rFonts w:ascii="Arial" w:cs="Arial" w:eastAsia="Arial" w:hAnsi="Arial"/>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or other supply disruption were to occur, including as a result of the COVID-19 pandemic, at any of our main suppliers.</w:t>
      </w:r>
    </w:p>
    <w:p>
      <w:pPr>
        <w:spacing w:after="0" w:line="18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particular,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71" w:lineRule="exact"/>
        <w:rPr>
          <w:sz w:val="20"/>
          <w:szCs w:val="20"/>
          <w:color w:val="auto"/>
        </w:rPr>
      </w:pPr>
    </w:p>
    <w:p>
      <w:pPr>
        <w:ind w:left="640" w:right="219" w:hanging="266"/>
        <w:spacing w:after="0" w:line="263"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40" w:right="279" w:hanging="266"/>
        <w:spacing w:after="0" w:line="277"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40" w:right="639" w:hanging="266"/>
        <w:spacing w:after="0" w:line="308" w:lineRule="auto"/>
        <w:tabs>
          <w:tab w:leader="none" w:pos="6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40" w:right="79" w:hanging="266"/>
        <w:spacing w:after="0" w:line="277"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term of the agreement, as amended, is the completion, termination, or expiration of the last statement of work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entered into pursuant to the joint development agreement.</w:t>
      </w:r>
    </w:p>
    <w:p>
      <w:pPr>
        <w:spacing w:after="0" w:line="22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71"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60" w:right="81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jc w:val="both"/>
        <w:ind w:left="60" w:right="259" w:firstLine="324"/>
        <w:spacing w:after="0" w:line="311" w:lineRule="auto"/>
        <w:rPr>
          <w:sz w:val="20"/>
          <w:szCs w:val="20"/>
          <w:color w:val="auto"/>
        </w:rPr>
      </w:pPr>
      <w:r>
        <w:rPr>
          <w:rFonts w:ascii="Arial" w:cs="Arial" w:eastAsia="Arial" w:hAnsi="Arial"/>
          <w:sz w:val="16"/>
          <w:szCs w:val="16"/>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78"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47% of our total revenue for the year ended December 31, 2021, and one of these customers accounted for more than 10% of our revenue during that period. Our four largest end customers together accounted for 45% of our total revenue for the year ended December 31, 2020,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40" w:right="539" w:hanging="266"/>
        <w:spacing w:after="0" w:line="277"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1"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6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65" w:lineRule="exact"/>
        <w:rPr>
          <w:sz w:val="20"/>
          <w:szCs w:val="20"/>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88"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7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60" w:right="539" w:firstLine="324"/>
        <w:spacing w:after="0" w:line="342"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or our international operations are subject to numerous risks and uncertainties, many of which are outside of our control, such as the following:</w:t>
      </w:r>
    </w:p>
    <w:p>
      <w:pPr>
        <w:spacing w:after="0" w:line="178" w:lineRule="exact"/>
        <w:rPr>
          <w:sz w:val="20"/>
          <w:szCs w:val="20"/>
          <w:color w:val="auto"/>
        </w:rPr>
      </w:pPr>
    </w:p>
    <w:p>
      <w:pPr>
        <w:jc w:val="both"/>
        <w:ind w:left="640" w:right="599" w:hanging="266"/>
        <w:spacing w:after="0" w:line="263"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40" w:right="579" w:hanging="266"/>
        <w:spacing w:after="0" w:line="277"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40" w:right="519" w:hanging="266"/>
        <w:spacing w:after="0" w:line="277"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40" w:right="139" w:hanging="266"/>
        <w:spacing w:after="0" w:line="277"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40" w:right="99" w:hanging="266"/>
        <w:spacing w:after="0" w:line="342" w:lineRule="auto"/>
        <w:tabs>
          <w:tab w:leader="none" w:pos="6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currency exchange rates, which could increase the prices of our products to customers outside of the United States, increase the expenses of our international operations by reducing the purchasing power of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219"/>
        <w:spacing w:after="0" w:line="277" w:lineRule="auto"/>
        <w:rPr>
          <w:sz w:val="20"/>
          <w:szCs w:val="20"/>
          <w:color w:val="auto"/>
        </w:rPr>
      </w:pPr>
      <w:r>
        <w:rPr>
          <w:rFonts w:ascii="Arial" w:cs="Arial" w:eastAsia="Arial" w:hAnsi="Arial"/>
          <w:sz w:val="18"/>
          <w:szCs w:val="18"/>
          <w:color w:val="auto"/>
        </w:rPr>
        <w:t>U.S. dollar and expose us to foreign currency exchange rate risk if, in the future, we denominate our international sales in currencies other than the U.S. dollar;</w:t>
      </w:r>
    </w:p>
    <w:p>
      <w:pPr>
        <w:spacing w:after="0" w:line="170" w:lineRule="exact"/>
        <w:rPr>
          <w:sz w:val="20"/>
          <w:szCs w:val="20"/>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640" w:right="219" w:hanging="266"/>
        <w:spacing w:after="0" w:line="27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terrorism and acts of war, such as the recent Russian invasion of Ukraine, which could have a negative impact on sales throughout Europe and Asia.</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We may not successfully manage the transitions associated with certain of our executive officers, which could have an adverse impact on us.</w:t>
      </w:r>
    </w:p>
    <w:p>
      <w:pPr>
        <w:spacing w:after="0" w:line="17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In December 2020, Kevin Conley notified our board of directors of his decision to resign as President and Chief Executive Officer of the Company. In connection with Mr. Conley’s resignation, our board of directors appointed Darin Billerbeck to serve as Interim Chief Executive Officer of the Company until a permanent successor could be named. On February 28, 2022, our board of directors appointed Sanjeev Aggarwal to serve as the Company’s permanent President and Chief Executive Officer, effective March 14, 2022. Sanjeev Aggarwal current serves as Chief Technology Officer and Vice President, Operations &amp; Technology R&amp;D.</w:t>
      </w:r>
    </w:p>
    <w:p>
      <w:pPr>
        <w:spacing w:after="0" w:line="192"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Although our board of directors is confident in the leadership of Sanjeev Aggarwal, leadership transitions can be inherently difficult to manage. An inadequate transition to a permanent Chief Executive Officer or with respect to other executive officer transitions, including the appointment of Anuj Aggarwal as the Company’s permanent Chief Financial Officer in September 2021, may cause disruption within the Company. Additionally, our financial performance and ability to meet operational goals and strategic plans may be adversely impacted, as well as our ability to retain and hire other key members of management.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jc w:val="both"/>
        <w:ind w:left="60" w:right="259" w:firstLine="324"/>
        <w:spacing w:after="0" w:line="296" w:lineRule="auto"/>
        <w:rPr>
          <w:sz w:val="20"/>
          <w:szCs w:val="20"/>
          <w:color w:val="auto"/>
        </w:rPr>
      </w:pPr>
      <w:r>
        <w:rPr>
          <w:rFonts w:ascii="Arial" w:cs="Arial" w:eastAsia="Arial" w:hAnsi="Arial"/>
          <w:sz w:val="16"/>
          <w:szCs w:val="16"/>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61"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counterclaims against us. Our failure to secure, protect and enforce our intellectual property rights could materially harm our business.</w:t>
      </w:r>
    </w:p>
    <w:p>
      <w:pPr>
        <w:spacing w:after="0" w:line="170"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2"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8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40" w:right="559" w:hanging="266"/>
        <w:spacing w:after="0" w:line="27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40" w:right="1059" w:hanging="266"/>
        <w:spacing w:after="0" w:line="27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40" w:right="239" w:hanging="266"/>
        <w:spacing w:after="0" w:line="27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40" w:right="359" w:hanging="266"/>
        <w:spacing w:after="0" w:line="27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We have made and will continue to make significant investments in research and development of new technologies and products, including new and more technically advanced versions of our MRAM technology.</w:t>
      </w:r>
    </w:p>
    <w:p>
      <w:pPr>
        <w:spacing w:after="0" w:line="146"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realize substantial revenue from our significant investments in research and development could harm our operating results and distract management, harming our business.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or reputation,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2021, we had gross federal net operating loss carryforwards of approximately $136.0 million, of which $95.2 million will expire in 2028 through 2037 if not utilized, and $40.8 million that will carryover indefinitely. The Company experienced an ownership change in October 2016 and as a result, $43.8 million of the federal NOLs are expected to expire unutilized due to limitation under Section 382 of the Code. Consistent with prior years, the NOLs expected to expire unutilized are included in the NOL carryforward amounts disclosed, subject to a valuation allowance. As of December 31, 2021, we had state net operating loss carryforwards of approximately $52.1 million, of which $49.3 million will expire in 2023 through 2042 if not utilized, and $2.8 million that will carry 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Future changes in our stock ownership, many of which are outside of our control, could result in additional ownership changes under Section 382 of the Code. The ability to utilize our net operating losses and tax credits could also be impaired under state law. As a result, we might not be able to utilize a material portion of our state NOLs and tax credits.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40" w:right="119" w:hanging="266"/>
        <w:spacing w:after="0" w:line="277"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40" w:right="259" w:hanging="266"/>
        <w:spacing w:after="0" w:line="277"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hanging="28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senior management, board members, or key personnel;</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40" w:right="559" w:hanging="266"/>
        <w:spacing w:after="0" w:line="263"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w:t>
      </w:r>
    </w:p>
    <w:p>
      <w:pPr>
        <w:spacing w:after="0" w:line="184"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8" w:lineRule="exact"/>
        <w:rPr>
          <w:sz w:val="20"/>
          <w:szCs w:val="20"/>
          <w:color w:val="auto"/>
        </w:rPr>
      </w:pPr>
    </w:p>
    <w:p>
      <w:pPr>
        <w:ind w:left="6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40" w:right="119" w:hanging="266"/>
        <w:spacing w:after="0" w:line="263"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40" w:right="179" w:hanging="266"/>
        <w:spacing w:after="0" w:line="257"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40" w:right="519" w:hanging="266"/>
        <w:spacing w:after="0" w:line="277"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159" w:hanging="266"/>
        <w:spacing w:after="0" w:line="257"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40" w:right="199" w:hanging="266"/>
        <w:spacing w:after="0" w:line="279" w:lineRule="auto"/>
        <w:tabs>
          <w:tab w:leader="none" w:pos="6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40" w:right="159" w:hanging="266"/>
        <w:spacing w:after="0" w:line="286" w:lineRule="auto"/>
        <w:tabs>
          <w:tab w:leader="none" w:pos="6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8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 w:lineRule="exact"/>
        <w:rPr>
          <w:rFonts w:ascii="Arial" w:cs="Arial" w:eastAsia="Arial" w:hAnsi="Arial"/>
          <w:sz w:val="18"/>
          <w:szCs w:val="18"/>
          <w:color w:val="auto"/>
        </w:rPr>
      </w:pPr>
    </w:p>
    <w:p>
      <w:pPr>
        <w:ind w:left="620" w:right="199" w:hanging="246"/>
        <w:spacing w:after="0" w:line="250"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ind w:left="620" w:right="399" w:hanging="246"/>
        <w:spacing w:after="0" w:line="250"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8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of 1933, as amended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w:t>
      </w:r>
      <w:r>
        <w:rPr>
          <w:rFonts w:ascii="Arial" w:cs="Arial" w:eastAsia="Arial" w:hAnsi="Arial"/>
          <w:sz w:val="16"/>
          <w:szCs w:val="16"/>
          <w:color w:val="auto"/>
        </w:rPr>
        <w:t xml:space="preserve"> </w:t>
      </w:r>
      <w:r>
        <w:rPr>
          <w:rFonts w:ascii="Arial" w:cs="Arial" w:eastAsia="Arial" w:hAnsi="Arial"/>
          <w:sz w:val="16"/>
          <w:szCs w:val="16"/>
          <w:color w:val="212529"/>
        </w:rPr>
        <w:t>unless we consent in 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Effective December 31, 2021, we ceased to be an “emerging growth company,” and certain reduced reporting requirements applicable to emerging growth companies no longer apply us, which is expected to increase our costs as a public company and place additional demands on management.</w:t>
      </w:r>
    </w:p>
    <w:p>
      <w:pPr>
        <w:spacing w:after="0" w:line="18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Effective December 31, 2021, we ceased to be classified as an “emerging growth company” as defined in the Jumpstart Our Business Startups Act (the JOBS Act). We have previously taken advantage of certain reduced reporting requirements pursuant to the JOBS Act specifically applicable to emerging growth companies, including exemptions from the requirements of holding advisory “say-on-pay” and the related “say-on frequency” votes on executive compensation. Since we are no longer classified as an emerging growth company, we are now required to comply with those additional reporting requirements for which we were previously exempt. For example, we will be required to hold a say-on-pay vote and a say-on frequency vote at our 2022 annual meeting of stockholders. As a result, we expect that we will require additional attention from management with respect to our additional reporting requirements and will incur increased costs, which could include higher legal fees, accounting fees, consultant fees and fees associated with investor relations activities, among others.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Unfavorable economic, market and geopolitical conditions, domestically and internationally, may adversely affect our business, financial condition, results of operations and cash flows.</w:t>
      </w:r>
    </w:p>
    <w:p>
      <w:pPr>
        <w:spacing w:after="0" w:line="17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We have significant customer sales both in the United States and internationally. We also rely on domestic and international suppliers, manufacturing partners and distributors. We are therefore susceptible to adverse U.S. and international economic, market and geopolitical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general economic, market and geopolitical factors that are beyond our control, including, but not limited to, housing markets, recession, inflation, deflation, consumer credit activity, consumer debt levels, fuel and energy costs, interest rates, tax rates and policy, unemployment trends, the impact of natural disasters such as pandemics, civil disturbances, terrorist activities and acts of war, including the recent Russian invasion of Ukraine, may adversely impact consumer spending, which may adversely impact our customers’ spending and demand for our products. Any of the foregoing could adversely affect our business, financial condition, results of operations and cash flows.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terrorism; acts of war;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199" w:firstLine="401"/>
        <w:spacing w:after="0" w:line="277" w:lineRule="auto"/>
        <w:rPr>
          <w:sz w:val="20"/>
          <w:szCs w:val="20"/>
          <w:color w:val="auto"/>
        </w:rPr>
      </w:pPr>
      <w:r>
        <w:rPr>
          <w:rFonts w:ascii="Arial" w:cs="Arial" w:eastAsia="Arial" w:hAnsi="Arial"/>
          <w:sz w:val="18"/>
          <w:szCs w:val="18"/>
          <w:color w:val="auto"/>
        </w:rPr>
        <w:t>We lease office space for our corporate headquarters located in Chandler, Arizona and for our design facility located in Austin, Texas.</w:t>
      </w:r>
    </w:p>
    <w:p>
      <w:pPr>
        <w:spacing w:after="0" w:line="170"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The Chandler, Arizona lease is for 18,815 square feet of office and laboratory space. The prior lease for the Chandler, Arizona facility expired in January 2022, upon which a new lease was entered into , with an initial term that ends on January 31, 2029 and an option to renew the lease through January 31, 2034.The Austin, Texas lease is for 6,171 square feet of space for our design facility. The prior lease for the Austin, Texas facility expired in January 2022, upon which a new lease was entered into with an initial term that ends on April 15, 2027 and an option to renew the lease through April 15, 2030.</w:t>
      </w:r>
    </w:p>
    <w:p>
      <w:pPr>
        <w:spacing w:after="0" w:line="192" w:lineRule="exact"/>
        <w:rPr>
          <w:sz w:val="20"/>
          <w:szCs w:val="20"/>
          <w:color w:val="auto"/>
        </w:rPr>
      </w:pPr>
    </w:p>
    <w:p>
      <w:pPr>
        <w:ind w:left="60" w:right="239" w:firstLine="401"/>
        <w:spacing w:after="0" w:line="277" w:lineRule="auto"/>
        <w:rPr>
          <w:sz w:val="20"/>
          <w:szCs w:val="20"/>
          <w:color w:val="auto"/>
        </w:rPr>
      </w:pPr>
      <w:r>
        <w:rPr>
          <w:rFonts w:ascii="Arial" w:cs="Arial" w:eastAsia="Arial" w:hAnsi="Arial"/>
          <w:sz w:val="18"/>
          <w:szCs w:val="18"/>
          <w:color w:val="auto"/>
        </w:rPr>
        <w:t>We believe our existing facilities are well maintained and in good operating condition and they are adequate for our foreseeable business needs.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Trading Market for our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has been listed on the Nasdaq Global Market under the symbol “MRAM” since October 7, 2016.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60" w:right="99" w:firstLine="405"/>
        <w:spacing w:after="0" w:line="259" w:lineRule="auto"/>
        <w:rPr>
          <w:sz w:val="20"/>
          <w:szCs w:val="20"/>
          <w:color w:val="auto"/>
        </w:rPr>
      </w:pPr>
      <w:r>
        <w:rPr>
          <w:rFonts w:ascii="Arial" w:cs="Arial" w:eastAsia="Arial" w:hAnsi="Arial"/>
          <w:sz w:val="18"/>
          <w:szCs w:val="18"/>
          <w:color w:val="auto"/>
        </w:rPr>
        <w:t>As of March 7, 2022, we had 24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79" w:firstLine="405"/>
        <w:spacing w:after="0" w:line="254"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In addition, our existing credit facility prohibits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59" w:firstLine="40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an overview of our business, see “Part I – Item 1. Business.”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70" w:lineRule="exact"/>
        <w:rPr>
          <w:sz w:val="20"/>
          <w:szCs w:val="20"/>
          <w:color w:val="auto"/>
        </w:rPr>
      </w:pPr>
    </w:p>
    <w:p>
      <w:pPr>
        <w:ind w:left="60" w:right="239" w:firstLine="324"/>
        <w:spacing w:after="0" w:line="291"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generally accepted accounting principles in the United States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spacing w:after="0" w:line="207"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The following table presents a reconciliation of net income (loss), the most directly comparable GAAP measure, to Adjusted EBITDA for the periods indicated:</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reconciliation:</w:t>
            </w:r>
          </w:p>
        </w:tc>
        <w:tc>
          <w:tcPr>
            <w:tcW w:w="1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401"/>
        <w:spacing w:after="0" w:line="293" w:lineRule="auto"/>
        <w:rPr>
          <w:sz w:val="20"/>
          <w:szCs w:val="20"/>
          <w:color w:val="auto"/>
        </w:rPr>
      </w:pPr>
      <w:r>
        <w:rPr>
          <w:rFonts w:ascii="Arial" w:cs="Arial" w:eastAsia="Arial" w:hAnsi="Arial"/>
          <w:sz w:val="16"/>
          <w:szCs w:val="16"/>
          <w:i w:val="1"/>
          <w:iCs w:val="1"/>
          <w:color w:val="auto"/>
        </w:rPr>
        <w:t>Design wins</w:t>
      </w:r>
      <w:r>
        <w:rPr>
          <w:rFonts w:ascii="Arial" w:cs="Arial" w:eastAsia="Arial" w:hAnsi="Arial"/>
          <w:sz w:val="16"/>
          <w:szCs w:val="16"/>
          <w:color w:val="auto"/>
        </w:rPr>
        <w:t>. To continue to grow our revenue, we must continue to achieve design wins for our MRAM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each successive quarter of 2021 were 40, 37, 40, and 64, respectively, compared to 37, 43, 52, and 43 in each successive quarter of 2020, respectively.</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such as the Omicron variant, that are more contagious than previous strains have emerged. The spread of these new strains have caused many government authorities and businesses to reimplement the aforementioned measures to try to reduce the spread that had become less prevalent. The COVID-19 pandemic and its variants have negatively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impacted the global economy, disrupted global supply chains and workforce participation, and initially created significant volatility and disruption of financial markets.</w:t>
      </w:r>
    </w:p>
    <w:p>
      <w:pPr>
        <w:spacing w:after="0" w:line="170"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Overall, our business remains operational in the midst of the pandemic. However, as a result of the ongoing COVID-19 outbreak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66"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operations given delays in data gathering, analysis and inefficiencies of teams solving technical problems via remote-only means, which has impacted, and continues to impact, our cost of sales.</w:t>
      </w:r>
    </w:p>
    <w:p>
      <w:pPr>
        <w:spacing w:after="0" w:line="164"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The emergence of different variants of COVID-19 and the prevalence of breakthrough cases of infection among fully vaccinated people adds additional uncertainty and could result in further impacts to our business and operations, including those discussed above and in “Risk Factors” in Part II, Item 1A of this report.</w:t>
      </w:r>
    </w:p>
    <w:p>
      <w:pPr>
        <w:spacing w:after="0" w:line="18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87"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and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Below are factors we want to highlight for understanding our 2021 annual results and year over year comparison with proper historical perspective:</w:t>
      </w:r>
    </w:p>
    <w:p>
      <w:pPr>
        <w:spacing w:after="0" w:line="170" w:lineRule="exact"/>
        <w:rPr>
          <w:sz w:val="20"/>
          <w:szCs w:val="20"/>
          <w:color w:val="auto"/>
        </w:rPr>
      </w:pPr>
    </w:p>
    <w:p>
      <w:pPr>
        <w:ind w:left="800" w:right="79" w:hanging="331"/>
        <w:spacing w:after="0" w:line="263"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2021 represented a year of broad semiconductor market demand challenges driven by factors that included challenges from the COVID-19 pandemic and international trade conflicts, which had a significant impact on our results;</w:t>
      </w:r>
    </w:p>
    <w:p>
      <w:pPr>
        <w:spacing w:after="0" w:line="75" w:lineRule="exact"/>
        <w:rPr>
          <w:rFonts w:ascii="Arial" w:cs="Arial" w:eastAsia="Arial" w:hAnsi="Arial"/>
          <w:sz w:val="18"/>
          <w:szCs w:val="18"/>
          <w:color w:val="auto"/>
        </w:rPr>
      </w:pPr>
    </w:p>
    <w:p>
      <w:pPr>
        <w:ind w:left="800" w:right="119" w:hanging="33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manufacturing yields improved throughout 2021 resulting in significantly higher product margins compared to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7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43,931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39,848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80 %</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Licensing, royalty, patent, and other revenue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11,215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55,146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42,031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product 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23,746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Cost of licensing, royalty, patent, and other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22,074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23,942</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18,089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10,949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10,773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28,037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25,652</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(8,252)</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line="182" w:lineRule="exact"/>
              <w:rPr>
                <w:sz w:val="20"/>
                <w:szCs w:val="20"/>
                <w:color w:val="auto"/>
              </w:rPr>
            </w:pPr>
            <w:r>
              <w:rPr>
                <w:rFonts w:ascii="Arial" w:cs="Arial" w:eastAsia="Arial" w:hAnsi="Arial"/>
                <w:sz w:val="18"/>
                <w:szCs w:val="18"/>
                <w:color w:val="auto"/>
                <w:w w:val="91"/>
              </w:rPr>
              <w:t>Net income (loss) and comprehensive income</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4,343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8"/>
              </w:rPr>
              <w:t>(8,512)</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8 %</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3380" w:type="dxa"/>
            <w:vAlign w:val="bottom"/>
            <w:gridSpan w:val="2"/>
          </w:tcPr>
          <w:p>
            <w:pPr>
              <w:spacing w:after="0"/>
              <w:rPr>
                <w:sz w:val="20"/>
                <w:szCs w:val="20"/>
                <w:color w:val="auto"/>
              </w:rPr>
            </w:pPr>
            <w:r>
              <w:rPr>
                <w:rFonts w:ascii="Arial" w:cs="Arial" w:eastAsia="Arial" w:hAnsi="Arial"/>
                <w:sz w:val="18"/>
                <w:szCs w:val="18"/>
                <w:color w:val="auto"/>
              </w:rPr>
              <w:t>(loss)</w:t>
            </w:r>
          </w:p>
        </w:tc>
        <w:tc>
          <w:tcPr>
            <w:tcW w:w="2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We generated 66% and 62% of our revenue from products sold through distributors for the years ended December 31, 2021 and 2020, respectively.</w:t>
      </w:r>
    </w:p>
    <w:p>
      <w:pPr>
        <w:spacing w:after="0" w:line="170"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We have organized our sales team and representatives into three primary regions: Asia-Pacific (APAC); North America; and Europe, Middle East and Africa (EMEA). We recognize revenue by geography based on the region in which our products are sold, and not to where the end products in which they are assembled are shipped. Our revenue by region for the periods indicated was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North America</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8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20" w:type="dxa"/>
            <w:vAlign w:val="bottom"/>
            <w:vMerge w:val="restart"/>
          </w:tcPr>
          <w:p>
            <w:pPr>
              <w:jc w:val="right"/>
              <w:ind w:right="137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10.2 %</w:t>
            </w: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6"/>
              </w:rPr>
              <w:t>Licensing, royalty, patent, and other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9,032</w:t>
            </w:r>
          </w:p>
        </w:tc>
        <w:tc>
          <w:tcPr>
            <w:tcW w:w="3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413.7 %</w:t>
            </w:r>
          </w:p>
        </w:tc>
      </w:tr>
      <w:tr>
        <w:trPr>
          <w:trHeight w:val="209"/>
        </w:trPr>
        <w:tc>
          <w:tcPr>
            <w:tcW w:w="2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31.2 %</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401"/>
        <w:spacing w:after="0" w:line="311" w:lineRule="auto"/>
        <w:rPr>
          <w:sz w:val="20"/>
          <w:szCs w:val="20"/>
          <w:color w:val="auto"/>
        </w:rPr>
      </w:pPr>
      <w:r>
        <w:rPr>
          <w:rFonts w:ascii="Arial" w:cs="Arial" w:eastAsia="Arial" w:hAnsi="Arial"/>
          <w:sz w:val="16"/>
          <w:szCs w:val="16"/>
          <w:color w:val="auto"/>
        </w:rPr>
        <w:t>Total revenue increased by $13.1 million, or 31.2%, from $42.0 million during the year ended December 31, 2020, to $55.1 million during the year ended December 31, 2021. Product sales increased by $4.1 million or 10.2%, from $39.8 million to $43.9 million. The increase was primarily driven by a higher volume of Toggle MRAM product sales.</w:t>
      </w:r>
    </w:p>
    <w:p>
      <w:pPr>
        <w:spacing w:after="0" w:line="149" w:lineRule="exact"/>
        <w:rPr>
          <w:sz w:val="20"/>
          <w:szCs w:val="20"/>
          <w:color w:val="auto"/>
        </w:rPr>
      </w:pPr>
    </w:p>
    <w:p>
      <w:pPr>
        <w:ind w:left="60" w:right="119" w:firstLine="401"/>
        <w:spacing w:after="0" w:line="291" w:lineRule="auto"/>
        <w:rPr>
          <w:sz w:val="20"/>
          <w:szCs w:val="20"/>
          <w:color w:val="auto"/>
        </w:rPr>
      </w:pPr>
      <w:r>
        <w:rPr>
          <w:rFonts w:ascii="Arial" w:cs="Arial" w:eastAsia="Arial" w:hAnsi="Arial"/>
          <w:sz w:val="16"/>
          <w:szCs w:val="16"/>
          <w:color w:val="auto"/>
        </w:rPr>
        <w:t>Licensing, royalty, patent, and other revenue is a highly variable revenue item characterized by a small number of transactions annually with revenue based on size and terms of each transaction. Licensing, royalty, patent, and other revenue increased by $9.0 million, from $2.2 million during the year ended December 31, 2020 to $11.2 million during the year ended December 31, 2021. The increase was primarily due to the intellectual property monetization deal to sell five patents to a customer for a total contract value of $5.3 million combined with $3.7 million in license revenues from a contractual agreement with a customer for the development of a RAD-Hard product, consisting of a technology license, a design license agreement and development contract entered into during the year ended December 31, 2021.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Sales and Gross Margin</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0"/>
              </w:rPr>
              <w:t>Amount</w:t>
            </w:r>
          </w:p>
        </w:tc>
        <w:tc>
          <w:tcPr>
            <w:tcW w:w="7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5"/>
          </w:tcPr>
          <w:p>
            <w:pPr>
              <w:jc w:val="right"/>
              <w:ind w:right="196"/>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$ 21,045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$ 23,746</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6"/>
              </w:rPr>
              <w:t>Cost of licensing, royalty, patent, and other</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425.0 %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$ 22,074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$ 23,942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9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99" w:firstLine="401"/>
        <w:spacing w:after="0" w:line="279" w:lineRule="auto"/>
        <w:rPr>
          <w:sz w:val="20"/>
          <w:szCs w:val="20"/>
          <w:color w:val="auto"/>
        </w:rPr>
      </w:pPr>
      <w:r>
        <w:rPr>
          <w:rFonts w:ascii="Arial" w:cs="Arial" w:eastAsia="Arial" w:hAnsi="Arial"/>
          <w:sz w:val="17"/>
          <w:szCs w:val="17"/>
          <w:color w:val="auto"/>
        </w:rPr>
        <w:t>Cost of product sales decreased by $2.7 million, or 11.4%, from $23.7 million during the year ended December 31, 2020, to $21.0 million during the year ended December 31, 2021. The decrease primarily reflects improved toggle manufacturing yields during the year ended December 31, 2021, and a reduction due to a $1.9 million reserve charge for excess and obsolete inventory for the year ended December 31, 2020.</w:t>
      </w:r>
    </w:p>
    <w:p>
      <w:pPr>
        <w:spacing w:after="0" w:line="171"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Cost of licensing, royalty, patent, and other revenue increased by $0.8 million, or 425.0%, from $0.2 million during the year ended December 31, 2020, to $1.0 million during the year ended December 31, 2021. The increase was due primarily to increases in foundry and licensing activities.</w:t>
      </w:r>
    </w:p>
    <w:p>
      <w:pPr>
        <w:spacing w:after="0" w:line="184" w:lineRule="exact"/>
        <w:rPr>
          <w:sz w:val="20"/>
          <w:szCs w:val="20"/>
          <w:color w:val="auto"/>
        </w:rPr>
      </w:pPr>
    </w:p>
    <w:p>
      <w:pPr>
        <w:ind w:left="60" w:right="159" w:firstLine="401"/>
        <w:spacing w:after="0" w:line="296" w:lineRule="auto"/>
        <w:rPr>
          <w:sz w:val="20"/>
          <w:szCs w:val="20"/>
          <w:color w:val="auto"/>
        </w:rPr>
      </w:pPr>
      <w:r>
        <w:rPr>
          <w:rFonts w:ascii="Arial" w:cs="Arial" w:eastAsia="Arial" w:hAnsi="Arial"/>
          <w:sz w:val="16"/>
          <w:szCs w:val="16"/>
          <w:color w:val="auto"/>
        </w:rPr>
        <w:t>Our gross margin increased from 43.0% during the year ended December 31, 2020 to 60.0% during the year ended December 31, 2021. Our product margins increased as a result of improvements of manufacturing yields throughout 2021, along with an increase in licensing, royalty, patent, and other revenue, which typically have higher margins than our product sales. We continually look for alternative uses for previously reserved inventory and in certain instances we may receive discounted wafers based on product yields, which could impact individual product margin.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0" w:right="199" w:firstLine="401"/>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401"/>
        <w:spacing w:after="0" w:line="29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consist primarily of personnel-related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are also incurring costs associated with our new 28nm product development. We recognize research and development expenses as they are incurred.</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00" w:type="dxa"/>
            <w:vAlign w:val="bottom"/>
            <w:gridSpan w:val="4"/>
          </w:tcPr>
          <w:p>
            <w:pPr>
              <w:jc w:val="right"/>
              <w:ind w:right="44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$ 12,628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$ 10,896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9"/>
              </w:rPr>
              <w:t>$ 1,732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Research and development as a % of revenue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199" w:firstLine="401"/>
        <w:spacing w:after="0" w:line="263" w:lineRule="auto"/>
        <w:rPr>
          <w:sz w:val="20"/>
          <w:szCs w:val="20"/>
          <w:color w:val="auto"/>
        </w:rPr>
      </w:pPr>
      <w:r>
        <w:rPr>
          <w:rFonts w:ascii="Arial" w:cs="Arial" w:eastAsia="Arial" w:hAnsi="Arial"/>
          <w:sz w:val="18"/>
          <w:szCs w:val="18"/>
          <w:color w:val="auto"/>
        </w:rPr>
        <w:t>Research and development expenses increased by $1.7 million, or 15.9%, from $10.9 million during the year ended December 31, 2020, to $12.6 million during the year ended December 31, 2021. The increase was primarily due to higher expenses relating to the development of our 28 nm product.</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74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gridSpan w:val="5"/>
          </w:tcPr>
          <w:p>
            <w:pPr>
              <w:ind w:lef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$ 10,949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$ 10,773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$ 176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8"/>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401"/>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$0.2 million, or 1.6%, from</w:t>
      </w:r>
      <w:r>
        <w:rPr>
          <w:rFonts w:ascii="Arial" w:cs="Arial" w:eastAsia="Arial" w:hAnsi="Arial"/>
          <w:sz w:val="16"/>
          <w:szCs w:val="16"/>
          <w:i w:val="1"/>
          <w:iCs w:val="1"/>
          <w:color w:val="auto"/>
        </w:rPr>
        <w:t xml:space="preserve"> </w:t>
      </w:r>
      <w:r>
        <w:rPr>
          <w:rFonts w:ascii="Arial" w:cs="Arial" w:eastAsia="Arial" w:hAnsi="Arial"/>
          <w:sz w:val="16"/>
          <w:szCs w:val="16"/>
          <w:color w:val="auto"/>
        </w:rPr>
        <w:t>$10.8 million during the year ended December 31, 2020, to $10.9 million during the year ended December 31, 2021. The increase was primarily due to increases in expenses related to profit sharing and professional service fees.</w:t>
      </w:r>
    </w:p>
    <w:p>
      <w:pPr>
        <w:spacing w:after="0" w:line="14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2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80" w:type="dxa"/>
            <w:vAlign w:val="bottom"/>
            <w:gridSpan w:val="5"/>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$ 4,460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$ 3,983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$ 477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$0.5 million, or 12.0%, from $4.0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2020, to $4.5 million during the year ended December 31, 2021. The increase was primarily due to an increase in variable compensation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60" w:type="dxa"/>
            <w:vAlign w:val="bottom"/>
          </w:tcPr>
          <w:p>
            <w:pPr>
              <w:spacing w:after="0"/>
              <w:rPr>
                <w:sz w:val="14"/>
                <w:szCs w:val="14"/>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4"/>
          </w:tcPr>
          <w:p>
            <w:pPr>
              <w:jc w:val="center"/>
              <w:ind w:right="18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r>
    </w:tbl>
    <w:p>
      <w:pPr>
        <w:spacing w:after="0" w:line="202" w:lineRule="exact"/>
        <w:rPr>
          <w:sz w:val="20"/>
          <w:szCs w:val="20"/>
          <w:color w:val="auto"/>
        </w:rPr>
      </w:pPr>
    </w:p>
    <w:p>
      <w:pPr>
        <w:ind w:left="60" w:right="79" w:firstLine="401"/>
        <w:spacing w:after="0" w:line="263" w:lineRule="auto"/>
        <w:rPr>
          <w:sz w:val="20"/>
          <w:szCs w:val="20"/>
          <w:color w:val="auto"/>
        </w:rPr>
      </w:pPr>
      <w:r>
        <w:rPr>
          <w:rFonts w:ascii="Arial" w:cs="Arial" w:eastAsia="Arial" w:hAnsi="Arial"/>
          <w:sz w:val="18"/>
          <w:szCs w:val="18"/>
          <w:color w:val="auto"/>
        </w:rPr>
        <w:t>Interest expense decreased by $0.1 million, or 17.7%, from $0.7 million during the year ended December 31, 2020, to $0.5 million during the year ended December 31, 2021. The decrease was due to lower outstanding balances under the credit facility during the year resulting in less interest incurred.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900" w:type="dxa"/>
            <w:vAlign w:val="bottom"/>
            <w:gridSpan w:val="5"/>
          </w:tcPr>
          <w:p>
            <w:pPr>
              <w:ind w:left="126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Pr>
          <w:p>
            <w:pPr>
              <w:spacing w:after="0"/>
              <w:rPr>
                <w:sz w:val="14"/>
                <w:szCs w:val="14"/>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(Dollars in</w:t>
            </w:r>
          </w:p>
        </w:tc>
        <w:tc>
          <w:tcPr>
            <w:tcW w:w="140" w:type="dxa"/>
            <w:vAlign w:val="bottom"/>
          </w:tcPr>
          <w:p>
            <w:pPr>
              <w:spacing w:after="0"/>
              <w:rPr>
                <w:sz w:val="12"/>
                <w:szCs w:val="12"/>
                <w:color w:val="auto"/>
              </w:rPr>
            </w:pPr>
          </w:p>
        </w:tc>
        <w:tc>
          <w:tcPr>
            <w:tcW w:w="680" w:type="dxa"/>
            <w:vAlign w:val="bottom"/>
          </w:tcPr>
          <w:p>
            <w:pPr>
              <w:jc w:val="center"/>
              <w:ind w:right="90"/>
              <w:spacing w:after="0" w:line="142" w:lineRule="exact"/>
              <w:rPr>
                <w:sz w:val="20"/>
                <w:szCs w:val="20"/>
                <w:color w:val="auto"/>
              </w:rPr>
            </w:pPr>
            <w:r>
              <w:rPr>
                <w:rFonts w:ascii="Arial" w:cs="Arial" w:eastAsia="Arial" w:hAnsi="Arial"/>
                <w:sz w:val="13"/>
                <w:szCs w:val="13"/>
                <w:b w:val="1"/>
                <w:bCs w:val="1"/>
                <w:color w:val="auto"/>
                <w:w w:val="74"/>
              </w:rPr>
              <w:t>thousands)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 (117)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487.5 %</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405"/>
        <w:spacing w:after="0" w:line="259" w:lineRule="auto"/>
        <w:rPr>
          <w:sz w:val="20"/>
          <w:szCs w:val="20"/>
          <w:color w:val="auto"/>
        </w:rPr>
      </w:pPr>
      <w:r>
        <w:rPr>
          <w:rFonts w:ascii="Arial" w:cs="Arial" w:eastAsia="Arial" w:hAnsi="Arial"/>
          <w:sz w:val="18"/>
          <w:szCs w:val="18"/>
          <w:color w:val="auto"/>
        </w:rPr>
        <w:t>Other expense, net increased by $117,000, or 487.5%, from $24,000 during the year ended December 31, 2020 to $141,000 during the year ended December 31, 2021. The increase was primarily due to a decrease in interest income earned on our cash balances during the year from the lower interest rate environment, along with increases in non-income-based tax charges.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79" w:firstLine="401"/>
        <w:spacing w:after="0" w:line="296" w:lineRule="auto"/>
        <w:rPr>
          <w:sz w:val="20"/>
          <w:szCs w:val="20"/>
          <w:color w:val="auto"/>
        </w:rPr>
      </w:pPr>
      <w:r>
        <w:rPr>
          <w:rFonts w:ascii="Arial" w:cs="Arial" w:eastAsia="Arial" w:hAnsi="Arial"/>
          <w:sz w:val="16"/>
          <w:szCs w:val="16"/>
          <w:color w:val="auto"/>
        </w:rPr>
        <w:t>As of December 31, 2021, and as of March 9, 2022 we believe that our existing cash and cash equivalents, coupled with the amount available under our credit facility and our anticipated growth and sales levels, will be sufficient to meet our anticipated cash requirements for at least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w:t>
      </w:r>
    </w:p>
    <w:p>
      <w:pPr>
        <w:spacing w:after="0" w:line="161" w:lineRule="exact"/>
        <w:rPr>
          <w:sz w:val="20"/>
          <w:szCs w:val="20"/>
          <w:color w:val="auto"/>
        </w:rPr>
      </w:pPr>
    </w:p>
    <w:p>
      <w:pPr>
        <w:ind w:left="60" w:right="279" w:firstLine="401"/>
        <w:spacing w:after="0" w:line="293" w:lineRule="auto"/>
        <w:rPr>
          <w:sz w:val="20"/>
          <w:szCs w:val="20"/>
          <w:color w:val="auto"/>
        </w:rPr>
      </w:pPr>
      <w:r>
        <w:rPr>
          <w:rFonts w:ascii="Arial" w:cs="Arial" w:eastAsia="Arial" w:hAnsi="Arial"/>
          <w:sz w:val="16"/>
          <w:szCs w:val="16"/>
          <w:color w:val="auto"/>
        </w:rPr>
        <w:t>We have generated significant losses since our inception and had an accumulated deficit of $152.8 million as of December 31, 2021. We have historically financed our operations primarily through the sale of our common stock in our initial public offering (IPO) and follow-on public offering, sales of our common stock under our at-the-market sales agreement, sales of our redeemable convertible preferred stock, debt financing and the sale of our products. As of December 31, 2021, we had $21.4 million of cash and cash equivalents, compared to $14.6 million as of December 31, 2020. For the year ended December 31, 2021, we also generated cash flows from operations of $9.4 million.</w:t>
      </w:r>
    </w:p>
    <w:p>
      <w:pPr>
        <w:spacing w:after="0" w:line="164" w:lineRule="exact"/>
        <w:rPr>
          <w:sz w:val="20"/>
          <w:szCs w:val="20"/>
          <w:color w:val="auto"/>
        </w:rPr>
      </w:pPr>
    </w:p>
    <w:p>
      <w:pPr>
        <w:ind w:left="60" w:right="159" w:firstLine="401"/>
        <w:spacing w:after="0" w:line="253" w:lineRule="auto"/>
        <w:rPr>
          <w:sz w:val="20"/>
          <w:szCs w:val="20"/>
          <w:color w:val="auto"/>
        </w:rPr>
      </w:pPr>
      <w:r>
        <w:rPr>
          <w:rFonts w:ascii="Arial" w:cs="Arial" w:eastAsia="Arial" w:hAnsi="Arial"/>
          <w:sz w:val="18"/>
          <w:szCs w:val="18"/>
          <w:color w:val="auto"/>
        </w:rPr>
        <w:t>In August 2019, we entered into an open market sale agreement (2019 Sales Agreement) with Jefferies, LLC (Jefferies) for the offer and sale of shares of our common stock having an aggregate offering of up to $25.0 million from time to time through Jefferies, acting as sales agent. The issuance and sale of these shares by us pursuant to the 2019 Sales Agreement were deemed an “at-the-market” (ATM) offering under the Securities Act. Under the 2019 Sales Agreement, we agreed to pay Jefferies a commission of up to 3% of the gross proceeds of any sales made pursuant to the 2019 Sales Agreement. During the year ended December 31, 2020, we received net proceeds of $2.1 million after deducting commissions and expenses payable by us, from the sale of 468,427 shares of common stock pursuant to the 2019 Sales Agreement. We suspended sales under the 2019 Sales Agreement in March 2020 and terminated the ATM program in November 2020.</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see “Credit Facilities” below for information regarding our debt financing.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Year Ended</w:t>
      </w:r>
    </w:p>
    <w:p>
      <w:pPr>
        <w:ind w:left="6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60" w:right="99" w:firstLine="401"/>
        <w:spacing w:after="0" w:line="288" w:lineRule="auto"/>
        <w:rPr>
          <w:sz w:val="20"/>
          <w:szCs w:val="20"/>
          <w:color w:val="auto"/>
        </w:rPr>
      </w:pPr>
      <w:r>
        <w:rPr>
          <w:rFonts w:ascii="Arial" w:cs="Arial" w:eastAsia="Arial" w:hAnsi="Arial"/>
          <w:sz w:val="16"/>
          <w:szCs w:val="16"/>
          <w:color w:val="auto"/>
        </w:rPr>
        <w:t>During the year ended December 31, 2021, cash provided by operating activities was $9.4 million, which primarily consisted of net income of $4.3 million, adjusted by non-cash charges of $5.0 million and a change of $4,000 in our net operating assets and liabilities. The non-cash charges primarily consisted of stock-based compensation of $3.2 million, depreciation and amortization of $1.5 million, and non-cash interest expense of $0.3 million. The change in our net operating assets and liabilities was primarily due to an increase of $1.7 million of accrued liabilities and an increase in deferred revenue of $0.8 million related to timing of RAD-Hard licensing revenue recognition. These were offset by a decrease of $0.7 million in inventory, an increase of $0.5 million in prepaid expenses and other current assets, an increase of $0.6 million in accounts receivable due to increased sales volume and timing of cash receipts for outstanding balances, a decrease of $0.6 million in accounts payable due to the increased cash flow and increased efforts on timely payments, a decrease of $0.2 million in lease liabilities, and an increase of $11,000 in other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401"/>
        <w:spacing w:after="0" w:line="290" w:lineRule="auto"/>
        <w:rPr>
          <w:sz w:val="20"/>
          <w:szCs w:val="20"/>
          <w:color w:val="auto"/>
        </w:rPr>
      </w:pPr>
      <w:r>
        <w:rPr>
          <w:rFonts w:ascii="Arial" w:cs="Arial" w:eastAsia="Arial" w:hAnsi="Arial"/>
          <w:sz w:val="16"/>
          <w:szCs w:val="16"/>
          <w:color w:val="auto"/>
        </w:rPr>
        <w:t>During the year ended December 31, 2020, cash used in operating activities was $2.9 million, which primarily consisted of a net loss of $8.5 million, adjusted by non-cash charges of $6.3 million and a change of $0.7 million in our net operating assets and liabilities. The non-cash charges primarily consisted of stock-based compensation of $4.0 million, depreciation and amortization of $2.0 million, and non-cash interest expense of $0.3 million. The change in our net operating assets and liabilities was primarily due to an increase of $1.8 million in accounts receivable due to increased sales volume and timing of cash receipts for outstanding balances, an increase of $2.1 million in inventory to meet demand of future sales and growing backlog, a decrease of $0.8 million in accounts payable due to the timing of payments, and a decrease of $0.3 million in accrued liabilities primarily due to timing of payments on inventory purchases.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Cash used in investing activities during the years ended December 31, 2021 and 2020 was $1.1 million and $0.3 million, respectively, which consisted of capital expenditures primarily for the purchase of manufacturing equipment and purchased software.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0" w:right="119" w:firstLine="401"/>
        <w:spacing w:after="0" w:line="263" w:lineRule="auto"/>
        <w:rPr>
          <w:sz w:val="20"/>
          <w:szCs w:val="20"/>
          <w:color w:val="auto"/>
        </w:rPr>
      </w:pPr>
      <w:r>
        <w:rPr>
          <w:rFonts w:ascii="Arial" w:cs="Arial" w:eastAsia="Arial" w:hAnsi="Arial"/>
          <w:sz w:val="18"/>
          <w:szCs w:val="18"/>
          <w:color w:val="auto"/>
        </w:rPr>
        <w:t>During the year ended December 31, 2021, cash used in financing activities was $1.5 million, which primarily consisted of $3.4 million in payments on long-term debt offset by $1.9 million in proceeds from stock option exercises and purchases of shares under our employee stock purchase plan.</w:t>
      </w:r>
    </w:p>
    <w:p>
      <w:pPr>
        <w:spacing w:after="0" w:line="184" w:lineRule="exact"/>
        <w:rPr>
          <w:sz w:val="20"/>
          <w:szCs w:val="20"/>
          <w:color w:val="auto"/>
        </w:rPr>
      </w:pPr>
    </w:p>
    <w:p>
      <w:pPr>
        <w:ind w:left="60" w:right="279" w:firstLine="401"/>
        <w:spacing w:after="0" w:line="259" w:lineRule="auto"/>
        <w:rPr>
          <w:sz w:val="20"/>
          <w:szCs w:val="20"/>
          <w:color w:val="auto"/>
        </w:rPr>
      </w:pPr>
      <w:r>
        <w:rPr>
          <w:rFonts w:ascii="Arial" w:cs="Arial" w:eastAsia="Arial" w:hAnsi="Arial"/>
          <w:sz w:val="18"/>
          <w:szCs w:val="18"/>
          <w:color w:val="auto"/>
        </w:rPr>
        <w:t>During the year ended December 31, 2020, cash provided by financing activities was $3.4 million, which primarily consisted of $2.1 million in net proceeds from the sale of our common stock through our ATM program under the 2019 Sales Agreement, and $1.3 million in proceeds from stock option exercises and purchases of shares under our employee stock purchase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639" w:firstLine="401"/>
        <w:spacing w:after="0" w:line="277" w:lineRule="auto"/>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In May 2017, we executed a Loan and Security Agreement (2017 Credit Facility) with Silicon Valley Bank (SVB) for a $12.0 million term loan, which we subsequently amended in January 2019 and June 2019. In August 2019, we executed an Amended and Restated Loan and Security Agreement (2019 Credit Facility), which amended and restated the 2017 Credit Facility, providing for a formula revolving line of credit (Line of Credit) and a term loan (2019 Term Loan) with SVB to refinance in full the outstanding principal balance of $8.0 million under the 2017 Credit Facility.</w:t>
      </w:r>
    </w:p>
    <w:p>
      <w:pPr>
        <w:spacing w:after="0" w:line="161" w:lineRule="exact"/>
        <w:rPr>
          <w:sz w:val="20"/>
          <w:szCs w:val="20"/>
          <w:color w:val="auto"/>
        </w:rPr>
      </w:pPr>
    </w:p>
    <w:p>
      <w:pPr>
        <w:jc w:val="both"/>
        <w:ind w:left="60" w:right="99" w:firstLine="401"/>
        <w:spacing w:after="0" w:line="259" w:lineRule="auto"/>
        <w:rPr>
          <w:sz w:val="20"/>
          <w:szCs w:val="20"/>
          <w:color w:val="auto"/>
        </w:rPr>
      </w:pPr>
      <w:r>
        <w:rPr>
          <w:rFonts w:ascii="Arial" w:cs="Arial" w:eastAsia="Arial" w:hAnsi="Arial"/>
          <w:sz w:val="18"/>
          <w:szCs w:val="18"/>
          <w:color w:val="auto"/>
        </w:rPr>
        <w:t>In July 2020, we executed the first amendment to the 2019 Credit Facility with SVB. The amendment, among other things, extended the initial 12-month interest-only period for the term loan to a 16-month interest-only period and lowered the floor interest rate. The floor interest rates for 2019 Term Loan and the Line of Credit Facility were reduced from 4.75% and 6.75% to 3.75% and 4.75%, respectively.</w:t>
      </w:r>
    </w:p>
    <w:p>
      <w:pPr>
        <w:spacing w:after="0" w:line="187"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The amended Line of Credit allows for a maximum draw of $5.0 million, subject to a formula borrowing base, has a two-year term and bears interest at a floating rate equal to the Wall Street Journal (WSJ) prime rate plus 1.5%, per annum, subject to a floor of 4.75%. Currently, $4.0 million remains available under the Line of Credit, subject to borrowing base availability. As of December 31, 2021, the effective interest rate under the Line of Credit was 10.18% and the outstanding balance was $1.0 million. The Line of Credit was set to mature on August 5, 2021. The second amendment entered into on July 28, 2021 extended the maturity date of the Line of Credit to August 5, 2022.</w:t>
      </w:r>
    </w:p>
    <w:p>
      <w:pPr>
        <w:spacing w:after="0" w:line="178"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The amended 2019 Term Loan provides for a $6.0 million term loan. The amended 2019 Term Loan has a term of 46 months, and a 16-month interest-only period followed by 30 months of equal principal payments, plus accrued interest. The 2019 Term Loan bears interest at a floating rate equal to the WSJ prime rate minus 0.75%, subject to a floor of 3.75%. As of December 31, 2021, the effective interest rate under the 2019 Term Loan was 7.85% and the outstanding balance was $4.0 million. The 2019 Term Loan matures on June 1,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401"/>
        <w:spacing w:after="0" w:line="289" w:lineRule="auto"/>
        <w:rPr>
          <w:sz w:val="20"/>
          <w:szCs w:val="20"/>
          <w:color w:val="auto"/>
        </w:rPr>
      </w:pPr>
      <w:r>
        <w:rPr>
          <w:rFonts w:ascii="Arial" w:cs="Arial" w:eastAsia="Arial" w:hAnsi="Arial"/>
          <w:sz w:val="16"/>
          <w:szCs w:val="16"/>
          <w:color w:val="auto"/>
        </w:rPr>
        <w:t>In conjunction with entering into the 2019 Credit Facility, on August 5, 2019, we and SVB amended and restated the warrant issued to SVB in connection with the first amendment to the 2017 Credit Facility, which was a warrant to purchase 9,375 shares of our common stock at an exercise price of $8.91 per share, to add an option by SVB to put the warrant back to us for $50,000 upon expiration or a liquidity event, to be prorated if SVB exercises a portion of the warrant. The warrant expires on July 6, 2023. Additionally, in conjunction with entering into the first amendment to the 2019 Credit Facility, on July 15, 2020, we issued an additional warrant to SVB to purchase 21,500 shares of our common stock at an exercise price of $0.01 per share, which was to expire on July 15, 2025. The warrant was classified as equity and was recorded as a debt discount that was amortized to interest expense using the effective interest method. The fair value of the warrant was $152,000 on the date of issuance using the Black-Scholes option-pricing model.</w:t>
      </w:r>
    </w:p>
    <w:p>
      <w:pPr>
        <w:spacing w:after="0" w:line="166" w:lineRule="exact"/>
        <w:rPr>
          <w:sz w:val="20"/>
          <w:szCs w:val="20"/>
          <w:color w:val="auto"/>
        </w:rPr>
      </w:pPr>
    </w:p>
    <w:p>
      <w:pPr>
        <w:jc w:val="both"/>
        <w:ind w:left="60" w:right="619" w:firstLine="401"/>
        <w:spacing w:after="0" w:line="263" w:lineRule="auto"/>
        <w:rPr>
          <w:sz w:val="20"/>
          <w:szCs w:val="20"/>
          <w:color w:val="auto"/>
        </w:rPr>
      </w:pPr>
      <w:r>
        <w:rPr>
          <w:rFonts w:ascii="Arial" w:cs="Arial" w:eastAsia="Arial" w:hAnsi="Arial"/>
          <w:sz w:val="18"/>
          <w:szCs w:val="18"/>
          <w:color w:val="auto"/>
        </w:rPr>
        <w:t>On July 22, 2021, SVB elected to exercise the warrant associated with the first amendment to the 2019 Credit Facility, which resulted in a net cashless exercise of the warrant and the issuance of 21,463 shares of the Company’s common stock.</w:t>
      </w:r>
    </w:p>
    <w:p>
      <w:pPr>
        <w:spacing w:after="0" w:line="184" w:lineRule="exact"/>
        <w:rPr>
          <w:sz w:val="20"/>
          <w:szCs w:val="20"/>
          <w:color w:val="auto"/>
        </w:rPr>
      </w:pPr>
    </w:p>
    <w:p>
      <w:pPr>
        <w:ind w:left="60" w:right="119" w:firstLine="401"/>
        <w:spacing w:after="0" w:line="288" w:lineRule="auto"/>
        <w:rPr>
          <w:sz w:val="20"/>
          <w:szCs w:val="20"/>
          <w:color w:val="auto"/>
        </w:rPr>
      </w:pPr>
      <w:r>
        <w:rPr>
          <w:rFonts w:ascii="Arial" w:cs="Arial" w:eastAsia="Arial" w:hAnsi="Arial"/>
          <w:sz w:val="16"/>
          <w:szCs w:val="16"/>
          <w:color w:val="auto"/>
        </w:rPr>
        <w:t>Collateral for the 2019 Credit Facility includes all of our assets except for intellectual property. We are required to comply with certain covenants under the 2019 Credit Facility, including requirements to maintain a minimum cash balance and availability under the Line of Credit, and restrictions on certain actions without the consent of the lender, such as limitations on our ability to engage in mergers or acquisitions, sell assets, incur indebtedness, or grant liens or negative pledges on our assets, make loans or make other investments. Under these covenants, we are prohibited from paying cash dividends with respect to our capital stock. We were in compliance with all covenants at December 31, 2021. The 2019 Credit Facility contains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2019 Term Loan. As of December 31, 2021, we do not believe that it is probable that the clause will be triggered within the next 12 months.</w:t>
      </w:r>
    </w:p>
    <w:p>
      <w:pPr>
        <w:spacing w:after="0" w:line="168" w:lineRule="exact"/>
        <w:rPr>
          <w:sz w:val="20"/>
          <w:szCs w:val="20"/>
          <w:color w:val="auto"/>
        </w:rPr>
      </w:pPr>
    </w:p>
    <w:p>
      <w:pPr>
        <w:ind w:left="60" w:right="239" w:firstLine="401"/>
        <w:spacing w:after="0" w:line="277" w:lineRule="auto"/>
        <w:rPr>
          <w:sz w:val="20"/>
          <w:szCs w:val="20"/>
          <w:color w:val="auto"/>
        </w:rPr>
      </w:pPr>
      <w:r>
        <w:rPr>
          <w:rFonts w:ascii="Arial" w:cs="Arial" w:eastAsia="Arial" w:hAnsi="Arial"/>
          <w:sz w:val="18"/>
          <w:szCs w:val="18"/>
          <w:color w:val="auto"/>
        </w:rPr>
        <w:t>For additional information about the 2019 Credit Facility, see Note 6 to our financial statements in Part II, Item 8 of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419" w:firstLine="401"/>
        <w:spacing w:after="0" w:line="25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imposed on revenue transactions, which are subsequently remitted to governmental authorities.</w:t>
      </w:r>
    </w:p>
    <w:p>
      <w:pPr>
        <w:spacing w:after="0" w:line="187"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We incur incremental costs of obtaining contracts and expense such costs as incurred because the life of the underlying contract for product sales is typically less than one year and incremental costs to obtain contracts for licenses, royalties and patent sales are not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right="159" w:firstLine="401"/>
        <w:spacing w:after="0" w:line="301" w:lineRule="auto"/>
        <w:rPr>
          <w:sz w:val="20"/>
          <w:szCs w:val="20"/>
          <w:color w:val="auto"/>
        </w:rPr>
      </w:pPr>
      <w:r>
        <w:rPr>
          <w:rFonts w:ascii="Arial" w:cs="Arial" w:eastAsia="Arial" w:hAnsi="Arial"/>
          <w:sz w:val="16"/>
          <w:szCs w:val="16"/>
          <w:color w:val="auto"/>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from products sold using our technology occurs, sales of backend foundry services over time, and design services to third parties either at a point in time or over time, depending on the nature of the services.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left="60" w:right="139" w:firstLine="401"/>
        <w:spacing w:after="0" w:line="259" w:lineRule="auto"/>
        <w:rPr>
          <w:sz w:val="20"/>
          <w:szCs w:val="20"/>
          <w:color w:val="auto"/>
        </w:rPr>
      </w:pPr>
      <w:r>
        <w:rPr>
          <w:rFonts w:ascii="Arial" w:cs="Arial" w:eastAsia="Arial" w:hAnsi="Arial"/>
          <w:sz w:val="18"/>
          <w:szCs w:val="18"/>
          <w:color w:val="auto"/>
        </w:rPr>
        <w:t>For products sold in their discrete form, we either sell our products directly to OEMs,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spacing w:after="0" w:line="187" w:lineRule="exact"/>
        <w:rPr>
          <w:sz w:val="20"/>
          <w:szCs w:val="20"/>
          <w:color w:val="auto"/>
        </w:rPr>
      </w:pPr>
    </w:p>
    <w:p>
      <w:pPr>
        <w:ind w:left="60" w:right="79" w:firstLine="401"/>
        <w:spacing w:after="0" w:line="286" w:lineRule="auto"/>
        <w:rPr>
          <w:sz w:val="20"/>
          <w:szCs w:val="20"/>
          <w:color w:val="auto"/>
        </w:rPr>
      </w:pPr>
      <w:r>
        <w:rPr>
          <w:rFonts w:ascii="Arial" w:cs="Arial" w:eastAsia="Arial" w:hAnsi="Arial"/>
          <w:sz w:val="16"/>
          <w:szCs w:val="16"/>
          <w:color w:val="auto"/>
        </w:rPr>
        <w:t>We sell a majority of our products to our distributors at a uniform list price. However, distributors may resell our products to end customers at a very broad range of individually negotiated price points. From time to time, we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the Company’s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adjustments for amounts due to distributors. We estimate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spacing w:after="0" w:line="174" w:lineRule="exact"/>
        <w:rPr>
          <w:sz w:val="20"/>
          <w:szCs w:val="20"/>
          <w:color w:val="auto"/>
        </w:rPr>
      </w:pPr>
    </w:p>
    <w:p>
      <w:pPr>
        <w:ind w:left="60" w:right="139" w:firstLine="401"/>
        <w:spacing w:after="0" w:line="301"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57"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Upon the transfer of control, generally at shipment,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left="60" w:right="259" w:firstLine="401"/>
        <w:spacing w:after="0" w:line="273" w:lineRule="auto"/>
        <w:rPr>
          <w:sz w:val="20"/>
          <w:szCs w:val="20"/>
          <w:color w:val="auto"/>
        </w:rPr>
      </w:pPr>
      <w:r>
        <w:rPr>
          <w:rFonts w:ascii="Arial" w:cs="Arial" w:eastAsia="Arial" w:hAnsi="Arial"/>
          <w:sz w:val="17"/>
          <w:szCs w:val="17"/>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78" w:lineRule="exact"/>
        <w:rPr>
          <w:sz w:val="20"/>
          <w:szCs w:val="20"/>
          <w:color w:val="auto"/>
        </w:rPr>
      </w:pPr>
    </w:p>
    <w:p>
      <w:pPr>
        <w:ind w:left="60" w:right="179" w:firstLine="401"/>
        <w:spacing w:after="0" w:line="277" w:lineRule="auto"/>
        <w:rPr>
          <w:sz w:val="20"/>
          <w:szCs w:val="20"/>
          <w:color w:val="auto"/>
        </w:rPr>
      </w:pPr>
      <w:r>
        <w:rPr>
          <w:rFonts w:ascii="Arial" w:cs="Arial" w:eastAsia="Arial" w:hAnsi="Arial"/>
          <w:sz w:val="18"/>
          <w:szCs w:val="18"/>
          <w:color w:val="auto"/>
        </w:rPr>
        <w:t>We recognize revenue from non-refundable upfront payments when the license is transferred to the customer and we have no other performance obligations.</w:t>
      </w:r>
    </w:p>
    <w:p>
      <w:pPr>
        <w:spacing w:after="0" w:line="170"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We also entered into a contractual agreement with a customer during the year ended December 31, 2021 for the development of a RAD-Hard product, consisting of a technology license, a design license agreement and development contract. We applied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78"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We concluded these contractual arrangements represent one arrangement and evaluated our promises to the customer and whether the performance obligations granted under the arrangement were distinct. The licenses provided to the customer are not transferable, are of limited value without the promised development services, and the customer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311" w:lineRule="auto"/>
        <w:rPr>
          <w:sz w:val="20"/>
          <w:szCs w:val="20"/>
          <w:color w:val="auto"/>
        </w:rPr>
      </w:pPr>
      <w:r>
        <w:rPr>
          <w:rFonts w:ascii="Arial" w:cs="Arial" w:eastAsia="Arial" w:hAnsi="Arial"/>
          <w:sz w:val="16"/>
          <w:szCs w:val="16"/>
          <w:color w:val="auto"/>
        </w:rPr>
        <w:t>cannot benefit from the license agreements without the specific obligated services in the development subcontract, as there is strong interdependency between the licenses and the development subcontract. Accordingly, we determined the licenses were not distinct within the context of the contract and combined the license with other performance obligations.</w:t>
      </w:r>
    </w:p>
    <w:p>
      <w:pPr>
        <w:spacing w:after="0" w:line="149" w:lineRule="exact"/>
        <w:rPr>
          <w:sz w:val="20"/>
          <w:szCs w:val="20"/>
          <w:color w:val="auto"/>
        </w:rPr>
      </w:pPr>
    </w:p>
    <w:p>
      <w:pPr>
        <w:jc w:val="both"/>
        <w:ind w:left="60" w:right="139" w:firstLine="324"/>
        <w:spacing w:after="0" w:line="342" w:lineRule="auto"/>
        <w:rPr>
          <w:sz w:val="20"/>
          <w:szCs w:val="20"/>
          <w:color w:val="auto"/>
        </w:rPr>
      </w:pPr>
      <w:r>
        <w:rPr>
          <w:rFonts w:ascii="Arial" w:cs="Arial" w:eastAsia="Arial" w:hAnsi="Arial"/>
          <w:sz w:val="16"/>
          <w:szCs w:val="16"/>
          <w:color w:val="auto"/>
        </w:rPr>
        <w:t>As a result, we are recognizing revenue related to the performance obligations over time using the input method based on costs incurred to date relative to the total expected costs of the contract over the performance obligation period.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left="60" w:right="839" w:firstLine="648"/>
        <w:spacing w:after="0" w:line="342" w:lineRule="auto"/>
        <w:rPr>
          <w:sz w:val="20"/>
          <w:szCs w:val="20"/>
          <w:color w:val="auto"/>
        </w:rPr>
      </w:pPr>
      <w:r>
        <w:rPr>
          <w:rFonts w:ascii="Arial" w:cs="Arial" w:eastAsia="Arial" w:hAnsi="Arial"/>
          <w:sz w:val="16"/>
          <w:szCs w:val="16"/>
          <w:color w:val="auto"/>
        </w:rPr>
        <w:t>In an effort to monetize on our intellectual property, we may sell patents to customers. The performance obligations are satisfied at the point in time at which the customer obtains control of the patents.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left="60" w:right="59" w:firstLine="401"/>
        <w:spacing w:after="0" w:line="272" w:lineRule="auto"/>
        <w:rPr>
          <w:sz w:val="20"/>
          <w:szCs w:val="20"/>
          <w:color w:val="auto"/>
        </w:rPr>
      </w:pPr>
      <w:r>
        <w:rPr>
          <w:rFonts w:ascii="Arial" w:cs="Arial" w:eastAsia="Arial" w:hAnsi="Arial"/>
          <w:sz w:val="17"/>
          <w:szCs w:val="17"/>
          <w:color w:val="auto"/>
        </w:rPr>
        <w:t>We recognize revenue from sales-based royalties from licenses of our technology at the later of when (1) the sale occurs or (2) the performance obligation to which some or all of the sales-based royalty has been allocated is satisfied (in whole or in part). We record an unbilled receivable (within accounts receivable, net) for the portion of sales-based royalties that have been earned, but not invoiced at the end of each reporting period. The unbilled accounts receivable is an estimate of consideration to which we expect to be entitled for uses of our intellectual property. Certain customers report on a lagged basis and actual information is not available timely. The estimates recorded are based on historical trends in the customer’s usage and current market conditions.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60" w:right="219" w:firstLine="401"/>
        <w:spacing w:after="0" w:line="301" w:lineRule="auto"/>
        <w:rPr>
          <w:sz w:val="20"/>
          <w:szCs w:val="20"/>
          <w:color w:val="auto"/>
        </w:rPr>
      </w:pPr>
      <w:r>
        <w:rPr>
          <w:rFonts w:ascii="Arial" w:cs="Arial" w:eastAsia="Arial" w:hAnsi="Arial"/>
          <w:sz w:val="16"/>
          <w:szCs w:val="16"/>
          <w:color w:val="auto"/>
        </w:rPr>
        <w:t>For certain revenue streams, we recognize revenue based on the pattern of transfer of the services. We use the input method of measuring costs incurred to date compared to total estimated costs to be incurred under the contract as this method most faithfully depicts its performance. We record an unbilled receivable (within accounts receivable, net) for the portion of the work that has been completed but not invoiced at the end of each reporting period.</w:t>
      </w:r>
    </w:p>
    <w:p>
      <w:pPr>
        <w:spacing w:after="0" w:line="157" w:lineRule="exact"/>
        <w:rPr>
          <w:sz w:val="20"/>
          <w:szCs w:val="20"/>
          <w:color w:val="auto"/>
        </w:rPr>
      </w:pPr>
    </w:p>
    <w:p>
      <w:pPr>
        <w:ind w:left="60" w:right="179" w:firstLine="401"/>
        <w:spacing w:after="0" w:line="272" w:lineRule="auto"/>
        <w:rPr>
          <w:sz w:val="20"/>
          <w:szCs w:val="20"/>
          <w:color w:val="auto"/>
        </w:rPr>
      </w:pPr>
      <w:r>
        <w:rPr>
          <w:rFonts w:ascii="Arial" w:cs="Arial" w:eastAsia="Arial" w:hAnsi="Arial"/>
          <w:sz w:val="17"/>
          <w:szCs w:val="17"/>
          <w:color w:val="auto"/>
        </w:rPr>
        <w:t>At the inception of each agreement that includes milestone payments, we evaluate whether the milestones are considered probable of being reached and estimate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we re-evaluate the probability or achievement of each such milestone and any related constraint, and if necessary, adjust our estimate of the overall transaction price. Any such adjustments are recorded on a cumulative catch-up basis, which would affect revenues and earnings in the period of adjustment.</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79" w:firstLine="405"/>
        <w:spacing w:after="0" w:line="271" w:lineRule="auto"/>
        <w:rPr>
          <w:sz w:val="20"/>
          <w:szCs w:val="20"/>
          <w:color w:val="auto"/>
        </w:rPr>
      </w:pPr>
      <w:r>
        <w:rPr>
          <w:rFonts w:ascii="Arial" w:cs="Arial" w:eastAsia="Arial" w:hAnsi="Arial"/>
          <w:sz w:val="17"/>
          <w:szCs w:val="17"/>
          <w:color w:val="auto"/>
        </w:rPr>
        <w:t>We record inventories at the lower of cost, determined on a first-in, first-out basis or net realizable value. We write down inventory for estimated excess or obsolete inventory equal to the difference between cost and estimated net realizable value. Inventory write downs establish a new cost basis for inventory and charges are not subsequently reversed even if circumstances subsequently indicate that increased carrying amounts are recoverable. In estimating these reserves, our evaluation takes into consideration historical and expected future demand considering current market conditions and trends, the effect new products may have on the sale of existing products, technological obsolescence, and other factors. We record inventory write-downs for the valuation of inventory when required based on our analyses and any write-downs result in a new cost basis for the affected item.</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color w:val="auto"/>
        </w:rPr>
        <w:t>See Note 2 to our financial statements for more information about recent accounting pronouncements, the timing of their adoption, and our assessment, to the extent we have made one yet, of their potential impact on our financial condition of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required for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00" w:type="dxa"/>
            <w:vAlign w:val="bottom"/>
            <w:gridSpan w:val="8"/>
            <w:vMerge w:val="restart"/>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8500" w:type="dxa"/>
            <w:vAlign w:val="bottom"/>
            <w:gridSpan w:val="8"/>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6"/>
        </w:trPr>
        <w:tc>
          <w:tcPr>
            <w:tcW w:w="4220" w:type="dxa"/>
            <w:vAlign w:val="bottom"/>
            <w:tcBorders>
              <w:top w:val="single" w:sz="8" w:color="0000EE"/>
            </w:tcBorders>
            <w:gridSpan w:val="6"/>
          </w:tcPr>
          <w:p>
            <w:pPr>
              <w:ind w:left="260"/>
              <w:spacing w:after="0"/>
              <w:rPr>
                <w:sz w:val="20"/>
                <w:szCs w:val="20"/>
                <w:color w:val="auto"/>
              </w:rPr>
            </w:pPr>
            <w:r>
              <w:rPr>
                <w:rFonts w:ascii="Arial" w:cs="Arial" w:eastAsia="Arial" w:hAnsi="Arial"/>
                <w:sz w:val="18"/>
                <w:szCs w:val="18"/>
                <w:color w:val="auto"/>
              </w:rPr>
              <w:t>Financial Statements:</w:t>
            </w:r>
          </w:p>
        </w:tc>
        <w:tc>
          <w:tcPr>
            <w:tcW w:w="428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7980" w:type="dxa"/>
            <w:vAlign w:val="bottom"/>
            <w:gridSpan w:val="7"/>
          </w:tcPr>
          <w:p>
            <w:pPr>
              <w:spacing w:after="0" w:line="190" w:lineRule="exact"/>
              <w:rPr>
                <w:rFonts w:ascii="Arial" w:cs="Arial" w:eastAsia="Arial" w:hAnsi="Arial"/>
                <w:sz w:val="18"/>
                <w:szCs w:val="18"/>
                <w:color w:val="0000EE"/>
              </w:rPr>
            </w:pPr>
            <w:hyperlink w:anchor="page45">
              <w:r>
                <w:rPr>
                  <w:rFonts w:ascii="Arial" w:cs="Arial" w:eastAsia="Arial" w:hAnsi="Arial"/>
                  <w:sz w:val="18"/>
                  <w:szCs w:val="18"/>
                  <w:color w:val="0000EE"/>
                </w:rPr>
                <w:t>Balance Sheets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980" w:type="dxa"/>
            <w:vAlign w:val="bottom"/>
            <w:gridSpan w:val="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Statements of Operations and Comprehensive Income (Loss</w:t>
              </w:r>
            </w:hyperlink>
            <w:r>
              <w:rPr>
                <w:rFonts w:ascii="Arial" w:cs="Arial" w:eastAsia="Arial" w:hAnsi="Arial"/>
                <w:sz w:val="18"/>
                <w:szCs w:val="18"/>
                <w:color w:val="000000"/>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Statements of Stockholders’ Equity</w:t>
              </w:r>
            </w:hyperlink>
          </w:p>
        </w:tc>
        <w:tc>
          <w:tcPr>
            <w:tcW w:w="3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Statements of Cash Flows</w:t>
              </w:r>
            </w:hyperlink>
          </w:p>
        </w:tc>
        <w:tc>
          <w:tcPr>
            <w:tcW w:w="54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98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Everspin Technologies,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have audited the accompanying balance sheets of Everspin Technologies, Inc. (the Company) as of December 31, 2021 and 2020, the related statements of operations and comprehensive income (loss),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for Inventory</w:t>
      </w:r>
    </w:p>
    <w:p>
      <w:pPr>
        <w:spacing w:after="0" w:line="229"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2 to the financial statements, Inventory is valued at the lower of cost or net</w:t>
      </w:r>
    </w:p>
    <w:p>
      <w:pPr>
        <w:sectPr>
          <w:pgSz w:w="11900" w:h="16838" w:orient="portrait"/>
          <w:cols w:equalWidth="0" w:num="1">
            <w:col w:w="9019"/>
          </w:cols>
          <w:pgMar w:left="1440" w:top="517"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Matter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79"/>
        <w:spacing w:after="0" w:line="260" w:lineRule="auto"/>
        <w:rPr>
          <w:sz w:val="20"/>
          <w:szCs w:val="20"/>
          <w:color w:val="auto"/>
        </w:rPr>
      </w:pPr>
      <w:r>
        <w:rPr>
          <w:rFonts w:ascii="Arial" w:cs="Arial" w:eastAsia="Arial" w:hAnsi="Arial"/>
          <w:sz w:val="18"/>
          <w:szCs w:val="18"/>
          <w:color w:val="auto"/>
        </w:rPr>
        <w:t>realizable value using the first-in, first-out method. At December 31, 2021 the Company’s inventory balance was $6.4 million.</w:t>
      </w:r>
    </w:p>
    <w:p>
      <w:pPr>
        <w:spacing w:after="0" w:line="185" w:lineRule="exact"/>
        <w:rPr>
          <w:sz w:val="20"/>
          <w:szCs w:val="20"/>
          <w:color w:val="auto"/>
        </w:rPr>
      </w:pPr>
    </w:p>
    <w:p>
      <w:pPr>
        <w:sectPr>
          <w:pgSz w:w="11900" w:h="16838" w:orient="portrait"/>
          <w:cols w:equalWidth="0" w:num="2">
            <w:col w:w="900" w:space="720"/>
            <w:col w:w="7399"/>
          </w:cols>
          <w:pgMar w:left="1440" w:top="517" w:right="1440" w:bottom="1440" w:gutter="0" w:footer="0" w:header="0"/>
          <w:type w:val="continuous"/>
        </w:sectPr>
      </w:pPr>
    </w:p>
    <w:p>
      <w:pPr>
        <w:ind w:left="1620" w:right="99"/>
        <w:spacing w:after="0" w:line="257" w:lineRule="auto"/>
        <w:rPr>
          <w:sz w:val="20"/>
          <w:szCs w:val="20"/>
          <w:color w:val="auto"/>
        </w:rPr>
      </w:pPr>
      <w:r>
        <w:rPr>
          <w:rFonts w:ascii="Arial" w:cs="Arial" w:eastAsia="Arial" w:hAnsi="Arial"/>
          <w:sz w:val="18"/>
          <w:szCs w:val="18"/>
          <w:color w:val="auto"/>
        </w:rPr>
        <w:t>Auditing the Company's accounting for inventory was challenging and complex primarily due to the high volume of transactions and multiple data sources involved in the Company’s process which uses several data sources in the initiation, processing, and recording of inventory transactions. The data sources include information received from the Company’s several third-party suppliers involved in the manufacturing process.</w:t>
      </w:r>
    </w:p>
    <w:p>
      <w:pPr>
        <w:sectPr>
          <w:pgSz w:w="11900" w:h="16838" w:orient="portrait"/>
          <w:cols w:equalWidth="0" w:num="1">
            <w:col w:w="9019"/>
          </w:cols>
          <w:pgMar w:left="1440" w:top="517" w:right="1440" w:bottom="1440" w:gutter="0" w:footer="0" w:header="0"/>
          <w:type w:val="continuous"/>
        </w:sectPr>
      </w:pPr>
    </w:p>
    <w:p>
      <w:pPr>
        <w:spacing w:after="0" w:line="188" w:lineRule="exact"/>
        <w:rPr>
          <w:sz w:val="20"/>
          <w:szCs w:val="20"/>
          <w:color w:val="auto"/>
        </w:rPr>
      </w:pPr>
    </w:p>
    <w:p>
      <w:pPr>
        <w:ind w:left="6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479"/>
        <w:spacing w:after="0" w:line="263" w:lineRule="auto"/>
        <w:rPr>
          <w:sz w:val="20"/>
          <w:szCs w:val="20"/>
          <w:color w:val="auto"/>
        </w:rPr>
      </w:pPr>
      <w:r>
        <w:rPr>
          <w:rFonts w:ascii="Arial" w:cs="Arial" w:eastAsia="Arial" w:hAnsi="Arial"/>
          <w:sz w:val="18"/>
          <w:szCs w:val="18"/>
          <w:color w:val="auto"/>
        </w:rPr>
        <w:t>To test the Company’s accounting for inventory, we performed audit procedures that included, among others, direct confirmations of inventory held at third-party suppliers, testing a sample of inventory transactions and performing physical observations.</w:t>
      </w:r>
    </w:p>
    <w:p>
      <w:pPr>
        <w:spacing w:after="0" w:line="400" w:lineRule="exact"/>
        <w:rPr>
          <w:sz w:val="20"/>
          <w:szCs w:val="20"/>
          <w:color w:val="auto"/>
        </w:rPr>
      </w:pPr>
    </w:p>
    <w:p>
      <w:pPr>
        <w:sectPr>
          <w:pgSz w:w="11900" w:h="16838" w:orient="portrait"/>
          <w:cols w:equalWidth="0" w:num="2">
            <w:col w:w="1060" w:space="560"/>
            <w:col w:w="7399"/>
          </w:cols>
          <w:pgMar w:left="1440" w:top="517" w:right="1440" w:bottom="1440" w:gutter="0" w:footer="0" w:header="0"/>
          <w:type w:val="continuous"/>
        </w:sectPr>
      </w:pPr>
    </w:p>
    <w:p>
      <w:pPr>
        <w:ind w:left="4500"/>
        <w:spacing w:after="0"/>
        <w:rPr>
          <w:sz w:val="20"/>
          <w:szCs w:val="20"/>
          <w:color w:val="auto"/>
        </w:rPr>
      </w:pPr>
      <w:r>
        <w:rPr>
          <w:rFonts w:ascii="Arial" w:cs="Arial" w:eastAsia="Arial" w:hAnsi="Arial"/>
          <w:sz w:val="16"/>
          <w:szCs w:val="16"/>
          <w:color w:val="auto"/>
        </w:rPr>
        <w:t>/s/ Ernst &amp; Young LLP</w:t>
      </w:r>
    </w:p>
    <w:p>
      <w:pPr>
        <w:sectPr>
          <w:pgSz w:w="11900" w:h="16838" w:orient="portrait"/>
          <w:cols w:equalWidth="0" w:num="1">
            <w:col w:w="9019"/>
          </w:cols>
          <w:pgMar w:left="1440" w:top="517" w:right="1440" w:bottom="1440" w:gutter="0" w:footer="0" w:header="0"/>
          <w:type w:val="continuous"/>
        </w:sect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9,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21,409</w:t>
            </w:r>
          </w:p>
        </w:tc>
        <w:tc>
          <w:tcPr>
            <w:tcW w:w="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8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issued and outstanding as of December 31, 2021 and 2020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19,858,460 and 19,031,556 shares issued and outstanding as of December 31, 2021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2020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180,067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EVERSPIN TECHNOLOGIES, INC. Statements of Operations and Comprehensive Income (Loss) (In thousands, except share and per share amounts)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w w:val="95"/>
              </w:rPr>
              <w:t>Year Ended 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73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patent, and other revenue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product sales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21,045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Cost of licensing, royalty, patent, and other revenue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cost of sales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50"/>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(loss) and comprehensive income (loss)</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common share:</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2"/>
                <w:szCs w:val="22"/>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Weighted average common shares used to compute net income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(loss) per common share: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19,400,124</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18,782,287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19,972,145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18,782,287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3"/>
          </w:tcPr>
          <w:p>
            <w:pPr>
              <w:spacing w:after="0" w:line="216" w:lineRule="exact"/>
              <w:rPr>
                <w:sz w:val="20"/>
                <w:szCs w:val="20"/>
                <w:color w:val="auto"/>
              </w:rPr>
            </w:pPr>
            <w:r>
              <w:rPr>
                <w:rFonts w:ascii="Arial" w:cs="Arial" w:eastAsia="Arial" w:hAnsi="Arial"/>
                <w:sz w:val="25"/>
                <w:szCs w:val="25"/>
                <w:color w:val="auto"/>
                <w:w w:val="95"/>
                <w:vertAlign w:val="superscript"/>
              </w:rPr>
              <w:t>1</w:t>
            </w:r>
            <w:r>
              <w:rPr>
                <w:rFonts w:ascii="Arial" w:cs="Arial" w:eastAsia="Arial" w:hAnsi="Arial"/>
                <w:sz w:val="17"/>
                <w:szCs w:val="17"/>
                <w:color w:val="auto"/>
                <w:w w:val="95"/>
              </w:rPr>
              <w:t>Operating expenses include stock-based compensation as follows: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Total stock-based compensation</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67"/>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7"/>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800" w:type="dxa"/>
            <w:vAlign w:val="bottom"/>
          </w:tcPr>
          <w:p>
            <w:pPr>
              <w:jc w:val="right"/>
              <w:ind w:right="126"/>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67"/>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06"/>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481,376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30"/>
        </w:trPr>
        <w:tc>
          <w:tcPr>
            <w:tcW w:w="41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in at-the- market offering, net of</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costs (Note 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468,427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Arial" w:cs="Arial" w:eastAsia="Arial" w:hAnsi="Arial"/>
                <w:sz w:val="14"/>
                <w:szCs w:val="14"/>
                <w:color w:val="auto"/>
              </w:rPr>
              <w:t>Issuance of warrant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3,604</w:t>
            </w:r>
          </w:p>
        </w:tc>
        <w:tc>
          <w:tcPr>
            <w:tcW w:w="0" w:type="dxa"/>
            <w:vAlign w:val="bottom"/>
          </w:tcPr>
          <w:p>
            <w:pPr>
              <w:spacing w:after="0"/>
              <w:rPr>
                <w:sz w:val="1"/>
                <w:szCs w:val="1"/>
                <w:color w:val="auto"/>
              </w:rPr>
            </w:pPr>
          </w:p>
        </w:tc>
      </w:tr>
      <w:tr>
        <w:trPr>
          <w:trHeight w:val="148"/>
        </w:trPr>
        <w:tc>
          <w:tcPr>
            <w:tcW w:w="41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(8,512)</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(8,512)</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2020</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19,031,556</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174,584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(157,174)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59"/>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Issuance of common stock under stock incentive plans</w:t>
            </w:r>
          </w:p>
        </w:tc>
        <w:tc>
          <w:tcPr>
            <w:tcW w:w="800" w:type="dxa"/>
            <w:vAlign w:val="bottom"/>
          </w:tcPr>
          <w:p>
            <w:pPr>
              <w:jc w:val="right"/>
              <w:spacing w:after="0"/>
              <w:rPr>
                <w:sz w:val="20"/>
                <w:szCs w:val="20"/>
                <w:color w:val="auto"/>
              </w:rPr>
            </w:pPr>
            <w:r>
              <w:rPr>
                <w:rFonts w:ascii="Arial" w:cs="Arial" w:eastAsia="Arial" w:hAnsi="Arial"/>
                <w:sz w:val="15"/>
                <w:szCs w:val="15"/>
                <w:color w:val="auto"/>
              </w:rPr>
              <w:t>805,441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2,256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warrant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3,227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4,343</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Balance at December 31, 2021</w:t>
            </w:r>
          </w:p>
        </w:tc>
        <w:tc>
          <w:tcPr>
            <w:tcW w:w="800" w:type="dxa"/>
            <w:vAlign w:val="bottom"/>
          </w:tcPr>
          <w:p>
            <w:pPr>
              <w:jc w:val="right"/>
              <w:spacing w:after="0"/>
              <w:rPr>
                <w:sz w:val="20"/>
                <w:szCs w:val="20"/>
                <w:color w:val="auto"/>
              </w:rPr>
            </w:pPr>
            <w:r>
              <w:rPr>
                <w:rFonts w:ascii="Arial" w:cs="Arial" w:eastAsia="Arial" w:hAnsi="Arial"/>
                <w:sz w:val="15"/>
                <w:szCs w:val="15"/>
                <w:color w:val="auto"/>
                <w:w w:val="95"/>
              </w:rPr>
              <w:t>19,858,460</w:t>
            </w:r>
          </w:p>
        </w:tc>
        <w:tc>
          <w:tcPr>
            <w:tcW w:w="3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180,067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(152,831)</w:t>
            </w:r>
          </w:p>
        </w:tc>
        <w:tc>
          <w:tcPr>
            <w:tcW w:w="100" w:type="dxa"/>
            <w:vAlign w:val="bottom"/>
          </w:tcPr>
          <w:p>
            <w:pPr>
              <w:spacing w:after="0"/>
              <w:rPr>
                <w:sz w:val="15"/>
                <w:szCs w:val="15"/>
                <w:color w:val="auto"/>
              </w:rPr>
            </w:pPr>
          </w:p>
        </w:tc>
        <w:tc>
          <w:tcPr>
            <w:tcW w:w="160" w:type="dxa"/>
            <w:vAlign w:val="bottom"/>
            <w:gridSpan w:val="2"/>
          </w:tcPr>
          <w:p>
            <w:pPr>
              <w:jc w:val="right"/>
              <w:ind w:right="5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27,238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line="162" w:lineRule="exact"/>
              <w:rPr>
                <w:sz w:val="20"/>
                <w:szCs w:val="20"/>
                <w:color w:val="auto"/>
              </w:rPr>
            </w:pPr>
            <w:r>
              <w:rPr>
                <w:rFonts w:ascii="Arial" w:cs="Arial" w:eastAsia="Arial" w:hAnsi="Arial"/>
                <w:sz w:val="15"/>
                <w:szCs w:val="15"/>
                <w:color w:val="auto"/>
              </w:rPr>
              <w:t>Net income (loss)</w:t>
            </w:r>
          </w:p>
        </w:tc>
        <w:tc>
          <w:tcPr>
            <w:tcW w:w="1080" w:type="dxa"/>
            <w:vAlign w:val="bottom"/>
            <w:gridSpan w:val="2"/>
          </w:tcPr>
          <w:p>
            <w:pPr>
              <w:jc w:val="right"/>
              <w:ind w:right="745"/>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4,343</w:t>
            </w:r>
          </w:p>
        </w:tc>
        <w:tc>
          <w:tcPr>
            <w:tcW w:w="220" w:type="dxa"/>
            <w:vAlign w:val="bottom"/>
          </w:tcPr>
          <w:p>
            <w:pPr>
              <w:spacing w:after="0"/>
              <w:rPr>
                <w:sz w:val="14"/>
                <w:szCs w:val="14"/>
                <w:color w:val="auto"/>
              </w:rPr>
            </w:pPr>
          </w:p>
        </w:tc>
        <w:tc>
          <w:tcPr>
            <w:tcW w:w="920" w:type="dxa"/>
            <w:vAlign w:val="bottom"/>
            <w:gridSpan w:val="2"/>
          </w:tcPr>
          <w:p>
            <w:pPr>
              <w:jc w:val="right"/>
              <w:ind w:right="791"/>
              <w:spacing w:after="0" w:line="162"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(8,512)</w:t>
            </w:r>
          </w:p>
        </w:tc>
        <w:tc>
          <w:tcPr>
            <w:tcW w:w="0" w:type="dxa"/>
            <w:vAlign w:val="bottom"/>
          </w:tcPr>
          <w:p>
            <w:pPr>
              <w:spacing w:after="0"/>
              <w:rPr>
                <w:sz w:val="1"/>
                <w:szCs w:val="1"/>
                <w:color w:val="auto"/>
              </w:rPr>
            </w:pPr>
          </w:p>
        </w:tc>
      </w:tr>
      <w:tr>
        <w:trPr>
          <w:trHeight w:val="149"/>
        </w:trPr>
        <w:tc>
          <w:tcPr>
            <w:tcW w:w="56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7"/>
              </w:rPr>
              <w:t>Adjustments to reconcile net income (loss) to net cash provided by (used in) operating</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100"/>
              <w:spacing w:after="0" w:line="162" w:lineRule="exact"/>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1,455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1,982</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62"/>
        </w:trPr>
        <w:tc>
          <w:tcPr>
            <w:tcW w:w="5600" w:type="dxa"/>
            <w:vAlign w:val="bottom"/>
          </w:tcPr>
          <w:p>
            <w:pPr>
              <w:ind w:left="100"/>
              <w:spacing w:after="0" w:line="162" w:lineRule="exact"/>
              <w:rPr>
                <w:sz w:val="20"/>
                <w:szCs w:val="20"/>
                <w:color w:val="auto"/>
              </w:rPr>
            </w:pPr>
            <w:r>
              <w:rPr>
                <w:rFonts w:ascii="Arial" w:cs="Arial" w:eastAsia="Arial" w:hAnsi="Arial"/>
                <w:sz w:val="15"/>
                <w:szCs w:val="15"/>
                <w:color w:val="auto"/>
              </w:rPr>
              <w:t>Stock-based compensation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3,227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3,968</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Non-cash warrant revaluation</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5600" w:type="dxa"/>
            <w:vAlign w:val="bottom"/>
          </w:tcPr>
          <w:p>
            <w:pPr>
              <w:ind w:left="100"/>
              <w:spacing w:after="0" w:line="162" w:lineRule="exact"/>
              <w:rPr>
                <w:sz w:val="20"/>
                <w:szCs w:val="20"/>
                <w:color w:val="auto"/>
              </w:rPr>
            </w:pPr>
            <w:r>
              <w:rPr>
                <w:rFonts w:ascii="Arial" w:cs="Arial" w:eastAsia="Arial" w:hAnsi="Arial"/>
                <w:sz w:val="15"/>
                <w:szCs w:val="15"/>
                <w:color w:val="auto"/>
              </w:rPr>
              <w:t>Non-cash interest expense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319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100"/>
              <w:spacing w:after="0" w:line="162" w:lineRule="exact"/>
              <w:rPr>
                <w:sz w:val="20"/>
                <w:szCs w:val="20"/>
                <w:color w:val="auto"/>
              </w:rPr>
            </w:pPr>
            <w:r>
              <w:rPr>
                <w:rFonts w:ascii="Arial" w:cs="Arial" w:eastAsia="Arial" w:hAnsi="Arial"/>
                <w:sz w:val="15"/>
                <w:szCs w:val="15"/>
                <w:color w:val="auto"/>
              </w:rPr>
              <w:t>Accounts receivable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(586)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(1,808)</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Inventory</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2,142</w:t>
            </w:r>
          </w:p>
        </w:tc>
        <w:tc>
          <w:tcPr>
            <w:tcW w:w="0" w:type="dxa"/>
            <w:vAlign w:val="bottom"/>
          </w:tcPr>
          <w:p>
            <w:pPr>
              <w:spacing w:after="0"/>
              <w:rPr>
                <w:sz w:val="1"/>
                <w:szCs w:val="1"/>
                <w:color w:val="auto"/>
              </w:rPr>
            </w:pPr>
          </w:p>
        </w:tc>
      </w:tr>
      <w:tr>
        <w:trPr>
          <w:trHeight w:val="162"/>
        </w:trPr>
        <w:tc>
          <w:tcPr>
            <w:tcW w:w="5600" w:type="dxa"/>
            <w:vAlign w:val="bottom"/>
          </w:tcPr>
          <w:p>
            <w:pPr>
              <w:ind w:left="1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(492)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Other assets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00" w:type="dxa"/>
            <w:vAlign w:val="bottom"/>
          </w:tcPr>
          <w:p>
            <w:pPr>
              <w:ind w:left="100"/>
              <w:spacing w:after="0" w:line="162" w:lineRule="exact"/>
              <w:rPr>
                <w:sz w:val="20"/>
                <w:szCs w:val="20"/>
                <w:color w:val="auto"/>
              </w:rPr>
            </w:pPr>
            <w:r>
              <w:rPr>
                <w:rFonts w:ascii="Arial" w:cs="Arial" w:eastAsia="Arial" w:hAnsi="Arial"/>
                <w:sz w:val="15"/>
                <w:szCs w:val="15"/>
                <w:color w:val="auto"/>
              </w:rPr>
              <w:t>Accounts payable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(571)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(820)</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Accrued liabilities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162"/>
        </w:trPr>
        <w:tc>
          <w:tcPr>
            <w:tcW w:w="5600" w:type="dxa"/>
            <w:vAlign w:val="bottom"/>
          </w:tcPr>
          <w:p>
            <w:pPr>
              <w:ind w:left="100"/>
              <w:spacing w:after="0" w:line="162" w:lineRule="exact"/>
              <w:rPr>
                <w:sz w:val="20"/>
                <w:szCs w:val="20"/>
                <w:color w:val="auto"/>
              </w:rPr>
            </w:pPr>
            <w:r>
              <w:rPr>
                <w:rFonts w:ascii="Arial" w:cs="Arial" w:eastAsia="Arial" w:hAnsi="Arial"/>
                <w:sz w:val="15"/>
                <w:szCs w:val="15"/>
                <w:color w:val="auto"/>
              </w:rPr>
              <w:t>Deferred revenue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832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Lease liabilities</w:t>
            </w:r>
          </w:p>
        </w:tc>
        <w:tc>
          <w:tcPr>
            <w:tcW w:w="1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5"/>
                <w:szCs w:val="15"/>
                <w:color w:val="auto"/>
              </w:rPr>
              <w:t>Net cash provided by (used in) operating activities</w:t>
            </w: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9,359</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(2,923)</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(1,030)</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56"/>
        </w:trPr>
        <w:tc>
          <w:tcPr>
            <w:tcW w:w="5600" w:type="dxa"/>
            <w:vAlign w:val="bottom"/>
            <w:shd w:val="clear" w:color="auto" w:fill="CCEEFF"/>
          </w:tcPr>
          <w:p>
            <w:pPr>
              <w:ind w:left="100"/>
              <w:spacing w:after="0" w:line="156" w:lineRule="exact"/>
              <w:rPr>
                <w:sz w:val="20"/>
                <w:szCs w:val="20"/>
                <w:color w:val="auto"/>
              </w:rPr>
            </w:pPr>
            <w:r>
              <w:rPr>
                <w:rFonts w:ascii="Arial" w:cs="Arial" w:eastAsia="Arial" w:hAnsi="Arial"/>
                <w:sz w:val="15"/>
                <w:szCs w:val="15"/>
                <w:color w:val="auto"/>
              </w:rPr>
              <w:t>Net cash used in investing activities</w:t>
            </w:r>
          </w:p>
        </w:tc>
        <w:tc>
          <w:tcPr>
            <w:tcW w:w="1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(1,030)</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55"/>
        </w:trPr>
        <w:tc>
          <w:tcPr>
            <w:tcW w:w="560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long-term debt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(3,400)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00" w:type="dxa"/>
            <w:vAlign w:val="bottom"/>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49"/>
        </w:trPr>
        <w:tc>
          <w:tcPr>
            <w:tcW w:w="5600" w:type="dxa"/>
            <w:vAlign w:val="bottom"/>
          </w:tcPr>
          <w:p>
            <w:pPr>
              <w:spacing w:after="0" w:line="149" w:lineRule="exact"/>
              <w:rPr>
                <w:sz w:val="20"/>
                <w:szCs w:val="20"/>
                <w:color w:val="auto"/>
              </w:rPr>
            </w:pPr>
            <w:r>
              <w:rPr>
                <w:rFonts w:ascii="Arial" w:cs="Arial" w:eastAsia="Arial" w:hAnsi="Arial"/>
                <w:sz w:val="15"/>
                <w:szCs w:val="15"/>
                <w:color w:val="auto"/>
              </w:rPr>
              <w:t>Proceeds from exercise of stock options and purchase of shares in employee stock</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00" w:type="dxa"/>
            <w:vAlign w:val="bottom"/>
          </w:tcPr>
          <w:p>
            <w:pPr>
              <w:spacing w:after="0"/>
              <w:rPr>
                <w:sz w:val="20"/>
                <w:szCs w:val="20"/>
                <w:color w:val="auto"/>
              </w:rPr>
            </w:pPr>
            <w:r>
              <w:rPr>
                <w:rFonts w:ascii="Arial" w:cs="Arial" w:eastAsia="Arial" w:hAnsi="Arial"/>
                <w:sz w:val="15"/>
                <w:szCs w:val="15"/>
                <w:color w:val="auto"/>
              </w:rPr>
              <w:t>purchase plan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1,892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1,280</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4"/>
              </w:rPr>
              <w:t>Proceeds from issuance of common stock in at-the-market offering, net of issuance costs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2,084</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1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(1,519)</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3,355</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increase in cash and cash equivalents</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6,810</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62"/>
        </w:trPr>
        <w:tc>
          <w:tcPr>
            <w:tcW w:w="560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14,599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14,487</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45"/>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21,409</w:t>
            </w: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14,599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5"/>
                <w:szCs w:val="15"/>
                <w:b w:val="1"/>
                <w:bCs w:val="1"/>
                <w:color w:val="auto"/>
              </w:rPr>
              <w:t>Supplementary cash flow information:</w:t>
            </w: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paid</w:t>
            </w:r>
          </w:p>
        </w:tc>
        <w:tc>
          <w:tcPr>
            <w:tcW w:w="1080" w:type="dxa"/>
            <w:vAlign w:val="bottom"/>
            <w:gridSpan w:val="2"/>
            <w:shd w:val="clear" w:color="auto" w:fill="CCEEFF"/>
          </w:tcPr>
          <w:p>
            <w:pPr>
              <w:jc w:val="right"/>
              <w:ind w:right="745"/>
              <w:spacing w:after="0" w:line="162"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228</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91"/>
              <w:spacing w:after="0" w:line="162"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Operating cash flows paid for operating leases</w:t>
            </w: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45"/>
              <w:spacing w:after="0" w:line="143"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1,603</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9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1,736</w:t>
            </w:r>
          </w:p>
        </w:tc>
        <w:tc>
          <w:tcPr>
            <w:tcW w:w="0" w:type="dxa"/>
            <w:vAlign w:val="bottom"/>
          </w:tcPr>
          <w:p>
            <w:pPr>
              <w:spacing w:after="0"/>
              <w:rPr>
                <w:sz w:val="1"/>
                <w:szCs w:val="1"/>
                <w:color w:val="auto"/>
              </w:rPr>
            </w:pPr>
          </w:p>
        </w:tc>
      </w:tr>
      <w:tr>
        <w:trPr>
          <w:trHeight w:val="143"/>
        </w:trPr>
        <w:tc>
          <w:tcPr>
            <w:tcW w:w="560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Financing cash flows paid for finance leases</w:t>
            </w:r>
          </w:p>
        </w:tc>
        <w:tc>
          <w:tcPr>
            <w:tcW w:w="1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45"/>
              <w:spacing w:after="0" w:line="143"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Increase of right-of-use asset and lease liability due to lease modification</w:t>
            </w:r>
          </w:p>
        </w:tc>
        <w:tc>
          <w:tcPr>
            <w:tcW w:w="1080" w:type="dxa"/>
            <w:vAlign w:val="bottom"/>
            <w:gridSpan w:val="2"/>
            <w:shd w:val="clear" w:color="auto" w:fill="CCEEFF"/>
          </w:tcPr>
          <w:p>
            <w:pPr>
              <w:jc w:val="right"/>
              <w:ind w:right="745"/>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791"/>
              <w:spacing w:after="0" w:line="162"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Purchases of property and equipment in accounts payable and accrued liabilities</w:t>
            </w: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45"/>
              <w:spacing w:after="0" w:line="143"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340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9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43"/>
        </w:trPr>
        <w:tc>
          <w:tcPr>
            <w:tcW w:w="560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Bonus settled in shares of common stock</w:t>
            </w:r>
          </w:p>
        </w:tc>
        <w:tc>
          <w:tcPr>
            <w:tcW w:w="1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45"/>
              <w:spacing w:after="0" w:line="143"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364</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5"/>
                <w:szCs w:val="15"/>
                <w:color w:val="auto"/>
              </w:rPr>
              <w:t>Issuance of warrant with debt</w:t>
            </w:r>
          </w:p>
        </w:tc>
        <w:tc>
          <w:tcPr>
            <w:tcW w:w="10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45"/>
              <w:spacing w:after="0" w:line="143"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9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99" w:firstLine="401"/>
        <w:spacing w:after="0" w:line="273" w:lineRule="auto"/>
        <w:rPr>
          <w:sz w:val="20"/>
          <w:szCs w:val="20"/>
          <w:color w:val="auto"/>
        </w:rPr>
      </w:pPr>
      <w:r>
        <w:rPr>
          <w:rFonts w:ascii="Arial" w:cs="Arial" w:eastAsia="Arial" w:hAnsi="Arial"/>
          <w:sz w:val="17"/>
          <w:szCs w:val="17"/>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left="60" w:right="119" w:firstLine="401"/>
        <w:spacing w:after="0" w:line="269" w:lineRule="auto"/>
        <w:rPr>
          <w:sz w:val="20"/>
          <w:szCs w:val="20"/>
          <w:color w:val="auto"/>
        </w:rPr>
      </w:pPr>
      <w:r>
        <w:rPr>
          <w:rFonts w:ascii="Arial" w:cs="Arial" w:eastAsia="Arial" w:hAnsi="Arial"/>
          <w:sz w:val="17"/>
          <w:szCs w:val="17"/>
          <w:color w:val="auto"/>
        </w:rPr>
        <w:t>The Company believes that its existing cash and cash equivalents as of December 31, 2021, coupled with its anticipated growth and sales levels and availability under its credit facility, will be sufficient to meet its anticipated cash requirements for at least the next 12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19" w:firstLine="401"/>
        <w:spacing w:after="0" w:line="272" w:lineRule="auto"/>
        <w:rPr>
          <w:sz w:val="20"/>
          <w:szCs w:val="20"/>
          <w:color w:val="auto"/>
        </w:rPr>
      </w:pPr>
      <w:r>
        <w:rPr>
          <w:rFonts w:ascii="Arial" w:cs="Arial" w:eastAsia="Arial" w:hAnsi="Arial"/>
          <w:sz w:val="17"/>
          <w:szCs w:val="17"/>
          <w:color w:val="auto"/>
        </w:rPr>
        <w:t>The preparation of the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net realizable value, product warranty reserves, deferred tax assets and related valuation allowances, and stock-based compensation. The Company believes its estimates and assumptions are reasonable; however, actual results may differ from the Company’s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60" w:right="159" w:firstLine="401"/>
        <w:spacing w:after="0" w:line="263" w:lineRule="auto"/>
        <w:rPr>
          <w:sz w:val="20"/>
          <w:szCs w:val="20"/>
          <w:color w:val="auto"/>
        </w:rPr>
      </w:pPr>
      <w:r>
        <w:rPr>
          <w:rFonts w:ascii="Arial" w:cs="Arial" w:eastAsia="Arial" w:hAnsi="Arial"/>
          <w:sz w:val="18"/>
          <w:szCs w:val="18"/>
          <w:color w:val="auto"/>
        </w:rPr>
        <w:t>The Company’s chief operating decision maker is its Interim Chief Executive Officer who reviews financial information for purposes of allocating resources and evaluating financial performance for the entire Company. As a result, the Company has single operating and reportable segment.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159" w:firstLine="401"/>
        <w:spacing w:after="0" w:line="308" w:lineRule="auto"/>
        <w:rPr>
          <w:sz w:val="20"/>
          <w:szCs w:val="20"/>
          <w:color w:val="auto"/>
        </w:rPr>
      </w:pPr>
      <w:r>
        <w:rPr>
          <w:rFonts w:ascii="Arial" w:cs="Arial" w:eastAsia="Arial" w:hAnsi="Arial"/>
          <w:sz w:val="17"/>
          <w:szCs w:val="17"/>
          <w:color w:val="auto"/>
        </w:rPr>
        <w:t>The Company considers all highly liquid, short-term investments with maturity dates of 90 days or less at the date of purchase to be cash equivalents. The Company’s cash equivalents consist solely of money market funds.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60" w:right="139" w:firstLine="401"/>
        <w:spacing w:after="0" w:line="291" w:lineRule="auto"/>
        <w:rPr>
          <w:sz w:val="20"/>
          <w:szCs w:val="20"/>
          <w:color w:val="auto"/>
        </w:rPr>
      </w:pPr>
      <w:r>
        <w:rPr>
          <w:rFonts w:ascii="Arial" w:cs="Arial" w:eastAsia="Arial" w:hAnsi="Arial"/>
          <w:sz w:val="16"/>
          <w:szCs w:val="16"/>
          <w:color w:val="auto"/>
        </w:rPr>
        <w:t>Accounts receivable are recorded at the invoiced amount and do not bear interest. The Company generally does not require collateral or other security in support of accounts receivable. Allowances would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historical experience. Account balances would be charged off against the allowance after all means of collection have been exhausted and the potential for recovery is considered remote. The Company’s evaluation determined that no material allowance for doubtful accounts was necessary at December 31, 2021 and 2020.</w:t>
      </w:r>
    </w:p>
    <w:p>
      <w:pPr>
        <w:spacing w:after="0" w:line="165" w:lineRule="exact"/>
        <w:rPr>
          <w:sz w:val="20"/>
          <w:szCs w:val="20"/>
          <w:color w:val="auto"/>
        </w:rPr>
      </w:pPr>
    </w:p>
    <w:p>
      <w:pPr>
        <w:ind w:left="60" w:right="99" w:firstLine="401"/>
        <w:spacing w:after="0" w:line="301" w:lineRule="auto"/>
        <w:rPr>
          <w:sz w:val="20"/>
          <w:szCs w:val="20"/>
          <w:color w:val="auto"/>
        </w:rPr>
      </w:pPr>
      <w:r>
        <w:rPr>
          <w:rFonts w:ascii="Arial" w:cs="Arial" w:eastAsia="Arial" w:hAnsi="Arial"/>
          <w:sz w:val="16"/>
          <w:szCs w:val="16"/>
          <w:color w:val="auto"/>
        </w:rPr>
        <w:t>The unbilled accounts receivable is an estimate of consideration to which the Company expects to be entitled for uses of the Company’s intellectual property. Certain customers report on a lagged basis and actual information is not available timely. The estimates recorded are based on historical trends in the customer’s usage and current market conditions. At December 31, 2021 and 2020, the unbilled accounts receivable balance was $450,000 and $255,000, respectively.</w:t>
      </w:r>
    </w:p>
    <w:p>
      <w:pPr>
        <w:spacing w:after="0" w:line="157" w:lineRule="exact"/>
        <w:rPr>
          <w:sz w:val="20"/>
          <w:szCs w:val="20"/>
          <w:color w:val="auto"/>
        </w:rPr>
      </w:pPr>
    </w:p>
    <w:p>
      <w:pPr>
        <w:ind w:left="60" w:right="139" w:firstLine="401"/>
        <w:spacing w:after="0" w:line="291" w:lineRule="auto"/>
        <w:rPr>
          <w:sz w:val="20"/>
          <w:szCs w:val="20"/>
          <w:color w:val="auto"/>
        </w:rPr>
      </w:pPr>
      <w:r>
        <w:rPr>
          <w:rFonts w:ascii="Arial" w:cs="Arial" w:eastAsia="Arial" w:hAnsi="Arial"/>
          <w:sz w:val="16"/>
          <w:szCs w:val="16"/>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 At December 31, 2021 and 2020, the allowance for product returns and price adjustments was $397,000 and $238,000,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adjustments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0"/>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42"/>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1760" w:type="dxa"/>
            <w:vAlign w:val="bottom"/>
            <w:tcBorders>
              <w:top w:val="single" w:sz="8" w:color="auto"/>
              <w:bottom w:val="single" w:sz="8" w:color="auto"/>
            </w:tcBorders>
            <w:gridSpan w:val="3"/>
          </w:tcPr>
          <w:p>
            <w:pPr>
              <w:jc w:val="right"/>
              <w:ind w:right="396"/>
              <w:spacing w:after="0" w:line="142"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gridSpan w:val="2"/>
            <w:vMerge w:val="continue"/>
          </w:tcPr>
          <w:p>
            <w:pPr>
              <w:spacing w:after="0"/>
              <w:rPr>
                <w:sz w:val="12"/>
                <w:szCs w:val="12"/>
                <w:color w:val="auto"/>
              </w:rPr>
            </w:pPr>
          </w:p>
        </w:tc>
        <w:tc>
          <w:tcPr>
            <w:tcW w:w="130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Customer B</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2"/>
              </w:rPr>
              <w:t>22 %</w:t>
            </w:r>
          </w:p>
        </w:tc>
        <w:tc>
          <w:tcPr>
            <w:tcW w:w="5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2"/>
              </w:rPr>
              <w:t>11 %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319" w:firstLine="401"/>
        <w:spacing w:after="0" w:line="301" w:lineRule="auto"/>
        <w:rPr>
          <w:sz w:val="20"/>
          <w:szCs w:val="20"/>
          <w:color w:val="auto"/>
        </w:rPr>
      </w:pPr>
      <w:r>
        <w:rPr>
          <w:rFonts w:ascii="Arial" w:cs="Arial" w:eastAsia="Arial" w:hAnsi="Arial"/>
          <w:sz w:val="16"/>
          <w:szCs w:val="16"/>
          <w:color w:val="auto"/>
        </w:rPr>
        <w:t>Inventory is valued at the lower of cost, using the first-in, first-out or net realizable value. The carrying value of inventory is adjusted for excess and obsolescence based on the Company’s evaluation which takes into consideration historical and expected future demand, the effect new products may have on the sale of existing products, technological obsolescence, and other factors including inventory age and shipment. At the point of loss recognition, a new lower cost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basis for that inventory is established and subsequent changes in facts and circumstances do not result in the restoration or increase in that new cost basis.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39" w:firstLine="405"/>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for identical assets or liabilities in active markets;</w:t>
      </w:r>
    </w:p>
    <w:p>
      <w:pPr>
        <w:spacing w:after="0" w:line="225" w:lineRule="exact"/>
        <w:rPr>
          <w:sz w:val="20"/>
          <w:szCs w:val="20"/>
          <w:color w:val="auto"/>
        </w:rPr>
      </w:pPr>
    </w:p>
    <w:p>
      <w:pPr>
        <w:ind w:left="460" w:right="359"/>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other than quoted prices for identical assets or liabilities in active markets, which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and</w:t>
      </w:r>
    </w:p>
    <w:p>
      <w:pPr>
        <w:spacing w:after="0" w:line="170" w:lineRule="exact"/>
        <w:rPr>
          <w:sz w:val="20"/>
          <w:szCs w:val="20"/>
          <w:color w:val="auto"/>
        </w:rPr>
      </w:pPr>
    </w:p>
    <w:p>
      <w:pPr>
        <w:ind w:left="460" w:right="259"/>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in which there is little or no market data requiring the reporting entity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w:t>
      </w:r>
    </w:p>
    <w:p>
      <w:pPr>
        <w:spacing w:after="0" w:line="170" w:lineRule="exact"/>
        <w:rPr>
          <w:sz w:val="20"/>
          <w:szCs w:val="20"/>
          <w:color w:val="auto"/>
        </w:rPr>
      </w:pPr>
    </w:p>
    <w:p>
      <w:pPr>
        <w:ind w:left="60" w:right="159" w:firstLine="401"/>
        <w:spacing w:after="0" w:line="270" w:lineRule="auto"/>
        <w:rPr>
          <w:sz w:val="20"/>
          <w:szCs w:val="20"/>
          <w:color w:val="auto"/>
        </w:rPr>
      </w:pPr>
      <w:r>
        <w:rPr>
          <w:rFonts w:ascii="Arial" w:cs="Arial" w:eastAsia="Arial" w:hAnsi="Arial"/>
          <w:sz w:val="17"/>
          <w:szCs w:val="17"/>
          <w:color w:val="auto"/>
        </w:rPr>
        <w:t>The carrying value of accounts receivable, accounts payable, and other accruals readily convertible into cash approximate fair value because of the short-term nature of the instruments. As of December 31, 2021,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warrants issued in connection with the 2019 Credit Facility (as defined in Note 6). The change in the fair value of the warrant liability during the year ended December 31, 2021 was immaterial.</w:t>
      </w:r>
    </w:p>
    <w:p>
      <w:pPr>
        <w:spacing w:after="0" w:line="181" w:lineRule="exact"/>
        <w:rPr>
          <w:sz w:val="20"/>
          <w:szCs w:val="20"/>
          <w:color w:val="auto"/>
        </w:rPr>
      </w:pPr>
    </w:p>
    <w:p>
      <w:pPr>
        <w:ind w:left="60" w:right="259" w:firstLine="401"/>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21,508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21,508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Warrant liability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Warrant liability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13"/>
              <w:spacing w:after="0"/>
              <w:rPr>
                <w:sz w:val="20"/>
                <w:szCs w:val="20"/>
                <w:color w:val="auto"/>
              </w:rPr>
            </w:pPr>
            <w:r>
              <w:rPr>
                <w:rFonts w:ascii="Arial" w:cs="Arial" w:eastAsia="Arial" w:hAnsi="Arial"/>
                <w:sz w:val="18"/>
                <w:szCs w:val="18"/>
                <w:color w:val="auto"/>
                <w:w w:val="99"/>
              </w:rPr>
              <w:t>51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79" w:firstLine="401"/>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Useful Lives</w:t>
            </w: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 equipment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320" w:type="dxa"/>
            <w:vAlign w:val="bottom"/>
          </w:tcPr>
          <w:p>
            <w:pPr>
              <w:jc w:val="right"/>
              <w:spacing w:after="0"/>
              <w:rPr>
                <w:sz w:val="20"/>
                <w:szCs w:val="20"/>
                <w:color w:val="auto"/>
              </w:rPr>
            </w:pPr>
            <w:r>
              <w:rPr>
                <w:rFonts w:ascii="Arial" w:cs="Arial" w:eastAsia="Arial" w:hAnsi="Arial"/>
                <w:sz w:val="18"/>
                <w:szCs w:val="18"/>
                <w:color w:val="auto"/>
              </w:rPr>
              <w:t>2 – 7 years</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 years</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to exceed</w:t>
            </w: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the lease life)</w:t>
            </w:r>
          </w:p>
        </w:tc>
      </w:tr>
    </w:tbl>
    <w:p>
      <w:pPr>
        <w:spacing w:after="0" w:line="202" w:lineRule="exact"/>
        <w:rPr>
          <w:sz w:val="20"/>
          <w:szCs w:val="20"/>
          <w:color w:val="auto"/>
        </w:rPr>
      </w:pPr>
    </w:p>
    <w:p>
      <w:pPr>
        <w:ind w:left="60" w:right="59" w:firstLine="401"/>
        <w:spacing w:after="0" w:line="296" w:lineRule="auto"/>
        <w:rPr>
          <w:sz w:val="20"/>
          <w:szCs w:val="20"/>
          <w:color w:val="auto"/>
        </w:rPr>
      </w:pPr>
      <w:r>
        <w:rPr>
          <w:rFonts w:ascii="Arial" w:cs="Arial" w:eastAsia="Arial" w:hAnsi="Arial"/>
          <w:sz w:val="16"/>
          <w:szCs w:val="16"/>
          <w:color w:val="auto"/>
        </w:rPr>
        <w:t>Costs incurred to develop software for internal use during the application development phase are capitalized and amortized over such software’s estimated useful life. Costs related to the design or maintenance of internal-use software are included in operating expenses as incurred. Upon sale or retirement of assets, the cost and related accumulated depreciation are removed from the balance sheet and any resulting gain or loss is reflected in operations. Amortization expense of assets acquired through finance leases is included in the statements of operations and comprehensive income (loss).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60" w:right="79" w:firstLine="401"/>
        <w:spacing w:after="0" w:line="270" w:lineRule="auto"/>
        <w:rPr>
          <w:sz w:val="20"/>
          <w:szCs w:val="20"/>
          <w:color w:val="auto"/>
        </w:rPr>
      </w:pPr>
      <w:r>
        <w:rPr>
          <w:rFonts w:ascii="Arial" w:cs="Arial" w:eastAsia="Arial" w:hAnsi="Arial"/>
          <w:sz w:val="17"/>
          <w:szCs w:val="17"/>
          <w:color w:val="auto"/>
        </w:rPr>
        <w:t>The Company evaluates its long-lived assets, including property and equipment, at the asset group level, for impairment whenever events or changes in circumstances indicate that the carrying value of these assets may not be recoverable. If such events or changes in circumstances occur, for purposes of this assessment, long-lived assets are grouped with other assets and liabilities at the lowest level for which identifiable cash flows are largely independent of the cash flows of other assets and liabilities. Recoverability of these assets is measured by comparison of the carrying amount of each asset group to the future undiscounted cash flows the asset group is expected to generate over its remaining life. If the asset group is considered to be impaired, the amount of any impairment is measured as the difference between the carrying value and the fair value of the impaired asset. There have been no impairments of the Company’s long-lived assets during either of the periods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79" w:firstLine="401"/>
        <w:spacing w:after="0" w:line="255" w:lineRule="auto"/>
        <w:rPr>
          <w:sz w:val="20"/>
          <w:szCs w:val="20"/>
          <w:color w:val="auto"/>
        </w:rPr>
      </w:pPr>
      <w:r>
        <w:rPr>
          <w:rFonts w:ascii="Arial" w:cs="Arial" w:eastAsia="Arial" w:hAnsi="Arial"/>
          <w:sz w:val="18"/>
          <w:szCs w:val="18"/>
          <w:color w:val="auto"/>
        </w:rPr>
        <w:t>The Company leases office, lab, manufacturing space and equipment in various locations with initial lease terms of up to seven years. These leases require monthly lease payments that may be subject to annual increases throughout the lease 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92" w:lineRule="exact"/>
        <w:rPr>
          <w:sz w:val="20"/>
          <w:szCs w:val="20"/>
          <w:color w:val="auto"/>
        </w:rPr>
      </w:pPr>
    </w:p>
    <w:p>
      <w:pPr>
        <w:ind w:left="60" w:right="159" w:firstLine="401"/>
        <w:spacing w:after="0" w:line="286" w:lineRule="auto"/>
        <w:rPr>
          <w:sz w:val="20"/>
          <w:szCs w:val="20"/>
          <w:color w:val="auto"/>
        </w:rPr>
      </w:pPr>
      <w:r>
        <w:rPr>
          <w:rFonts w:ascii="Arial" w:cs="Arial" w:eastAsia="Arial" w:hAnsi="Arial"/>
          <w:sz w:val="16"/>
          <w:szCs w:val="16"/>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401"/>
        <w:spacing w:after="0" w:line="272" w:lineRule="auto"/>
        <w:rPr>
          <w:sz w:val="20"/>
          <w:szCs w:val="20"/>
          <w:color w:val="auto"/>
        </w:rPr>
      </w:pPr>
      <w:r>
        <w:rPr>
          <w:rFonts w:ascii="Arial" w:cs="Arial" w:eastAsia="Arial" w:hAnsi="Arial"/>
          <w:sz w:val="17"/>
          <w:szCs w:val="17"/>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has elected to separate lease and non-lease components for any leases involving manufacturing facility classes of assets. Further, the Company elected the short-term lease exception policy, permitting it to not apply the recognition requirements of this standard to leases with terms of 12 months or less (short-term leases) for all classes of assets. As of December 31, 2021, the Company did not have any short-term leases.</w:t>
      </w:r>
    </w:p>
    <w:p>
      <w:pPr>
        <w:spacing w:after="0" w:line="177" w:lineRule="exact"/>
        <w:rPr>
          <w:sz w:val="20"/>
          <w:szCs w:val="20"/>
          <w:color w:val="auto"/>
        </w:rPr>
      </w:pPr>
    </w:p>
    <w:p>
      <w:pPr>
        <w:ind w:left="60" w:right="319" w:firstLine="401"/>
        <w:spacing w:after="0" w:line="263" w:lineRule="auto"/>
        <w:rPr>
          <w:sz w:val="20"/>
          <w:szCs w:val="20"/>
          <w:color w:val="auto"/>
        </w:rPr>
      </w:pPr>
      <w:r>
        <w:rPr>
          <w:rFonts w:ascii="Arial" w:cs="Arial" w:eastAsia="Arial" w:hAnsi="Arial"/>
          <w:sz w:val="18"/>
          <w:szCs w:val="18"/>
          <w:color w:val="auto"/>
        </w:rPr>
        <w:t>Operating leases are included in right-of-use assets, operating lease liabilities, and operating lease liabilities, net of current portion in the Company’s balance sheet. Finance leases are included in property and equipment, net, other liabilities, and other long-term liabilities in the Company’s balance sheet.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left="60" w:right="359" w:firstLine="405"/>
        <w:spacing w:after="0" w:line="259" w:lineRule="auto"/>
        <w:rPr>
          <w:sz w:val="20"/>
          <w:szCs w:val="20"/>
          <w:color w:val="auto"/>
        </w:rPr>
      </w:pPr>
      <w:r>
        <w:rPr>
          <w:rFonts w:ascii="Arial" w:cs="Arial" w:eastAsia="Arial" w:hAnsi="Arial"/>
          <w:sz w:val="18"/>
          <w:szCs w:val="18"/>
          <w:color w:val="auto"/>
        </w:rPr>
        <w:t>The Company defers and amortizes issuance costs, underwriting fees, end of term payments, and related expenses incurred in connection with the issuance of debt instruments using the effective interest method over the terms of the respective instruments. Debt issuance costs are reflected as a direct reduction of the carrying amount of the related debt liability.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adjustments, and any taxes imposed on specific revenue-producing transactions, which are subsequently remitted to governmental authorities.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right="99" w:firstLine="401"/>
        <w:spacing w:after="0" w:line="272" w:lineRule="auto"/>
        <w:rPr>
          <w:sz w:val="20"/>
          <w:szCs w:val="20"/>
          <w:color w:val="auto"/>
        </w:rPr>
      </w:pPr>
      <w:r>
        <w:rPr>
          <w:rFonts w:ascii="Arial" w:cs="Arial" w:eastAsia="Arial" w:hAnsi="Arial"/>
          <w:sz w:val="17"/>
          <w:szCs w:val="17"/>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left="60" w:right="99" w:firstLine="401"/>
        <w:spacing w:after="0" w:line="275" w:lineRule="auto"/>
        <w:rPr>
          <w:sz w:val="20"/>
          <w:szCs w:val="20"/>
          <w:color w:val="auto"/>
        </w:rPr>
      </w:pPr>
      <w:r>
        <w:rPr>
          <w:rFonts w:ascii="Arial" w:cs="Arial" w:eastAsia="Arial" w:hAnsi="Arial"/>
          <w:sz w:val="17"/>
          <w:szCs w:val="17"/>
          <w:color w:val="auto"/>
        </w:rPr>
        <w:t>For products sold in their discrete form, the Company either sells its products directly to original equipment manufacturers (OEMs), original design manufacturers (ODMs) and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 Contracts for sales of products are generally less than one year.</w:t>
      </w:r>
    </w:p>
    <w:p>
      <w:pPr>
        <w:spacing w:after="0" w:line="176" w:lineRule="exact"/>
        <w:rPr>
          <w:sz w:val="20"/>
          <w:szCs w:val="20"/>
          <w:color w:val="auto"/>
        </w:rPr>
      </w:pPr>
    </w:p>
    <w:p>
      <w:pPr>
        <w:ind w:left="60" w:right="79" w:firstLine="401"/>
        <w:spacing w:after="0" w:line="287" w:lineRule="auto"/>
        <w:rPr>
          <w:sz w:val="20"/>
          <w:szCs w:val="20"/>
          <w:color w:val="auto"/>
        </w:rPr>
      </w:pPr>
      <w:r>
        <w:rPr>
          <w:rFonts w:ascii="Arial" w:cs="Arial" w:eastAsia="Arial" w:hAnsi="Arial"/>
          <w:sz w:val="16"/>
          <w:szCs w:val="16"/>
          <w:color w:val="auto"/>
        </w:rPr>
        <w:t>The Company sells a majority of its products to their distributors at a uniform list price. However, distributors may resell products to end customers at a very broad range of individually negotiated price points. From time to time, the Company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 such estimates in the same period the related revenue is recognized, resulting in a reduction of product revenue and the establishment of an allowance for price adjustments for amounts due to distributors. The Company estimates credits to distributors based on the historical rate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credits provided to distributors relative to sales and evaluation of current market conditions. Revenue on shipments to distributors is recorded when control of the products has been transferred to the distributor.</w:t>
      </w:r>
    </w:p>
    <w:p>
      <w:pPr>
        <w:spacing w:after="0" w:line="170" w:lineRule="exact"/>
        <w:rPr>
          <w:sz w:val="20"/>
          <w:szCs w:val="20"/>
          <w:color w:val="auto"/>
        </w:rPr>
      </w:pPr>
    </w:p>
    <w:p>
      <w:pPr>
        <w:ind w:left="60" w:right="339" w:firstLine="401"/>
        <w:spacing w:after="0" w:line="257" w:lineRule="auto"/>
        <w:rPr>
          <w:sz w:val="20"/>
          <w:szCs w:val="20"/>
          <w:color w:val="auto"/>
        </w:rPr>
      </w:pPr>
      <w:r>
        <w:rPr>
          <w:rFonts w:ascii="Arial" w:cs="Arial" w:eastAsia="Arial" w:hAnsi="Arial"/>
          <w:sz w:val="18"/>
          <w:szCs w:val="18"/>
          <w:color w:val="auto"/>
        </w:rPr>
        <w:t>The Company estimates the amount of our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be minimal.</w:t>
      </w:r>
    </w:p>
    <w:p>
      <w:pPr>
        <w:spacing w:after="0" w:line="188" w:lineRule="exact"/>
        <w:rPr>
          <w:sz w:val="20"/>
          <w:szCs w:val="20"/>
          <w:color w:val="auto"/>
        </w:rPr>
      </w:pPr>
    </w:p>
    <w:p>
      <w:pPr>
        <w:ind w:left="60" w:right="159" w:firstLine="401"/>
        <w:spacing w:after="0" w:line="259" w:lineRule="auto"/>
        <w:rPr>
          <w:sz w:val="20"/>
          <w:szCs w:val="20"/>
          <w:color w:val="auto"/>
        </w:rPr>
      </w:pPr>
      <w:r>
        <w:rPr>
          <w:rFonts w:ascii="Arial" w:cs="Arial" w:eastAsia="Arial" w:hAnsi="Arial"/>
          <w:sz w:val="18"/>
          <w:szCs w:val="18"/>
          <w:color w:val="auto"/>
        </w:rPr>
        <w:t>Upon the transfer of control, generally at shipment,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left="60" w:right="59" w:firstLine="401"/>
        <w:spacing w:after="0" w:line="293" w:lineRule="auto"/>
        <w:rPr>
          <w:sz w:val="20"/>
          <w:szCs w:val="20"/>
          <w:color w:val="auto"/>
        </w:rPr>
      </w:pPr>
      <w:r>
        <w:rPr>
          <w:rFonts w:ascii="Arial" w:cs="Arial" w:eastAsia="Arial" w:hAnsi="Arial"/>
          <w:sz w:val="16"/>
          <w:szCs w:val="16"/>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64"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170"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The Company also entered into a contractual agreement with a customer in 2021 for the development of a RAD-Hard product, consisting of a technology license, a design license agreement and development contract. The Company applies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92" w:lineRule="exact"/>
        <w:rPr>
          <w:sz w:val="20"/>
          <w:szCs w:val="20"/>
          <w:color w:val="auto"/>
        </w:rPr>
      </w:pPr>
    </w:p>
    <w:p>
      <w:pPr>
        <w:ind w:left="60" w:right="99" w:firstLine="401"/>
        <w:spacing w:after="0" w:line="293"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pacing w:after="0" w:line="164" w:lineRule="exact"/>
        <w:rPr>
          <w:sz w:val="20"/>
          <w:szCs w:val="20"/>
          <w:color w:val="auto"/>
        </w:rPr>
      </w:pPr>
    </w:p>
    <w:p>
      <w:pPr>
        <w:ind w:left="60" w:right="239" w:firstLine="405"/>
        <w:spacing w:after="0" w:line="263" w:lineRule="auto"/>
        <w:rPr>
          <w:sz w:val="20"/>
          <w:szCs w:val="20"/>
          <w:color w:val="auto"/>
        </w:rPr>
      </w:pPr>
      <w:r>
        <w:rPr>
          <w:rFonts w:ascii="Arial" w:cs="Arial" w:eastAsia="Arial" w:hAnsi="Arial"/>
          <w:sz w:val="18"/>
          <w:szCs w:val="18"/>
          <w:color w:val="auto"/>
        </w:rPr>
        <w:t>As a result, the Company is recognizing revenue related to the performance obligations over time using the input method based on costs incurred to date relative to the total expected costs of the contract over the performance obligation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left="60" w:right="399" w:firstLine="401"/>
        <w:spacing w:after="0" w:line="308" w:lineRule="auto"/>
        <w:rPr>
          <w:sz w:val="20"/>
          <w:szCs w:val="20"/>
          <w:color w:val="auto"/>
        </w:rPr>
      </w:pPr>
      <w:r>
        <w:rPr>
          <w:rFonts w:ascii="Arial" w:cs="Arial" w:eastAsia="Arial" w:hAnsi="Arial"/>
          <w:sz w:val="17"/>
          <w:szCs w:val="17"/>
          <w:color w:val="auto"/>
        </w:rPr>
        <w:t>In an effort to monetize on its intellectual property, the Company may sell patents to customers. The performance obligations are satisfied at the point in time at which the customer obtains control of the patents.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sales-based royalties from licenses of the Company’s technology are recognized at the later of when</w:t>
      </w:r>
    </w:p>
    <w:p>
      <w:pPr>
        <w:spacing w:after="0" w:line="46" w:lineRule="exact"/>
        <w:rPr>
          <w:sz w:val="20"/>
          <w:szCs w:val="20"/>
          <w:color w:val="auto"/>
        </w:rPr>
      </w:pPr>
    </w:p>
    <w:p>
      <w:pPr>
        <w:ind w:left="60" w:right="299" w:hanging="10"/>
        <w:spacing w:after="0" w:line="302" w:lineRule="auto"/>
        <w:tabs>
          <w:tab w:leader="none" w:pos="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sale occurs or (2) the performance obligation to which some or all of the sales-based royalty has been allocated is satisfied (in whole or in part). The Company will record an unbilled receivable (within accounts receivable, net) for the portion of sales-based royalties that have been earned, but not invoiced at the end of each reporting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8" w:lineRule="exact"/>
        <w:rPr>
          <w:sz w:val="20"/>
          <w:szCs w:val="20"/>
          <w:color w:val="auto"/>
        </w:rPr>
      </w:pPr>
    </w:p>
    <w:p>
      <w:pPr>
        <w:ind w:left="60" w:right="59" w:firstLine="401"/>
        <w:spacing w:after="0" w:line="272" w:lineRule="auto"/>
        <w:rPr>
          <w:sz w:val="20"/>
          <w:szCs w:val="20"/>
          <w:color w:val="auto"/>
        </w:rPr>
      </w:pPr>
      <w:r>
        <w:rPr>
          <w:rFonts w:ascii="Arial" w:cs="Arial" w:eastAsia="Arial" w:hAnsi="Arial"/>
          <w:sz w:val="17"/>
          <w:szCs w:val="17"/>
          <w:color w:val="auto"/>
        </w:rPr>
        <w:t>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generally sells products with a limited warranty of product quality and a limited indemnification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customers against intellectual property infringement claims related to the Company’s products. The Company accrues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known warranty and indemnification issues if a loss is probable and can be reasonably estimated and accrues for estimated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losses incurred for unidentified issues based on historical experience. A warranty liability was not recorded 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2021 and 2020, as the estimated future warranty costs were not material based on the Company’s historical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experience.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119" w:firstLine="401"/>
        <w:spacing w:after="0" w:line="255" w:lineRule="auto"/>
        <w:rPr>
          <w:sz w:val="20"/>
          <w:szCs w:val="20"/>
          <w:color w:val="auto"/>
        </w:rPr>
      </w:pPr>
      <w:r>
        <w:rPr>
          <w:rFonts w:ascii="Arial" w:cs="Arial" w:eastAsia="Arial" w:hAnsi="Arial"/>
          <w:sz w:val="18"/>
          <w:szCs w:val="18"/>
          <w:color w:val="auto"/>
        </w:rPr>
        <w:t>Research and development expenses are incurred in support of internal development programs or as part of the Company’s joint development agreement with GLOBALFOUNDRIES and joint collaboration agreement with Silterra Malaysia Sdn. Bhd. (see Note 10).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79" w:firstLine="401"/>
        <w:spacing w:after="0" w:line="311" w:lineRule="auto"/>
        <w:rPr>
          <w:sz w:val="20"/>
          <w:szCs w:val="20"/>
          <w:color w:val="auto"/>
        </w:rPr>
      </w:pPr>
      <w:r>
        <w:rPr>
          <w:rFonts w:ascii="Arial" w:cs="Arial" w:eastAsia="Arial" w:hAnsi="Arial"/>
          <w:sz w:val="16"/>
          <w:szCs w:val="16"/>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49" w:lineRule="exact"/>
        <w:rPr>
          <w:sz w:val="20"/>
          <w:szCs w:val="20"/>
          <w:color w:val="auto"/>
        </w:rPr>
      </w:pPr>
    </w:p>
    <w:p>
      <w:pPr>
        <w:ind w:left="60" w:right="179" w:firstLine="401"/>
        <w:spacing w:after="0" w:line="286" w:lineRule="auto"/>
        <w:rPr>
          <w:sz w:val="20"/>
          <w:szCs w:val="20"/>
          <w:color w:val="auto"/>
        </w:rPr>
      </w:pPr>
      <w:r>
        <w:rPr>
          <w:rFonts w:ascii="Arial" w:cs="Arial" w:eastAsia="Arial" w:hAnsi="Arial"/>
          <w:sz w:val="17"/>
          <w:szCs w:val="17"/>
          <w:color w:val="auto"/>
        </w:rPr>
        <w:t>The Company measures its stock option grants based on the estimated fair value of the options as of the grant date using the Black-Scholes option-pricing model. Stock-based compensation expense is recognized over the requisite service period using the straight-line method. The Company accounts for forfeitures as they occur.</w:t>
      </w:r>
    </w:p>
    <w:p>
      <w:pPr>
        <w:spacing w:after="0" w:line="16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determines the expected stock price volatility based on the historical volatility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common stock and the historical volatilities of a peer group. Industry peers consist of several public companies in the technology industry similar in size, stage of life cycle and financial leverage. If circumstances change such that the identified companies are no longer similar, the Company will revise its peer group to substitute more suitable companies in this calculation.</w:t>
      </w:r>
    </w:p>
    <w:p>
      <w:pPr>
        <w:spacing w:after="0" w:line="188" w:lineRule="exact"/>
        <w:rPr>
          <w:sz w:val="20"/>
          <w:szCs w:val="20"/>
          <w:color w:val="auto"/>
        </w:rPr>
      </w:pPr>
    </w:p>
    <w:p>
      <w:pPr>
        <w:ind w:left="60" w:right="519" w:firstLine="40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170"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the simplified method to determine the expected term, which is calculated as the average of the time to vesting and the contractual life of the options.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never paid dividends on its common stock and is prohibited from paying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the Company used an expected dividend yield of zero.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159" w:firstLine="401"/>
        <w:spacing w:after="0" w:line="296"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spacing w:after="0" w:line="161" w:lineRule="exact"/>
        <w:rPr>
          <w:sz w:val="20"/>
          <w:szCs w:val="20"/>
          <w:color w:val="auto"/>
        </w:rPr>
      </w:pPr>
    </w:p>
    <w:p>
      <w:pPr>
        <w:ind w:left="60" w:right="179" w:firstLine="401"/>
        <w:spacing w:after="0" w:line="279"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ind w:left="60" w:right="299" w:firstLine="401"/>
        <w:spacing w:after="0" w:line="293" w:lineRule="auto"/>
        <w:rPr>
          <w:sz w:val="20"/>
          <w:szCs w:val="20"/>
          <w:color w:val="auto"/>
        </w:rPr>
      </w:pPr>
      <w:r>
        <w:rPr>
          <w:rFonts w:ascii="Arial" w:cs="Arial" w:eastAsia="Arial" w:hAnsi="Arial"/>
          <w:sz w:val="16"/>
          <w:szCs w:val="16"/>
          <w:color w:val="auto"/>
        </w:rPr>
        <w:t>Basic net income (loss) per common share is calculated by dividing the net income (loss)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diluted net loss per common share is the same as basic net loss per common share since the effect of potentially dilutive securities is anti-dilutive.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 Company adopted Accounting Standards Update (ASU) 2019-12, Income Taxes (Topic 740): Simplifying the Accounting for Income Taxes in the year ended December 31, 2021. The adoption of this standard did not have a material impact on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60" w:right="79" w:firstLine="401"/>
        <w:spacing w:after="0" w:line="288" w:lineRule="auto"/>
        <w:rPr>
          <w:sz w:val="20"/>
          <w:szCs w:val="20"/>
          <w:color w:val="auto"/>
        </w:rPr>
      </w:pPr>
      <w:r>
        <w:rPr>
          <w:rFonts w:ascii="Arial" w:cs="Arial" w:eastAsia="Arial" w:hAnsi="Arial"/>
          <w:sz w:val="16"/>
          <w:szCs w:val="16"/>
          <w:color w:val="auto"/>
        </w:rPr>
        <w:t>In June 2016, the Financial Accounting Standards Board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Codification Improvements Financial Instruments-Credit Losses (Topic 326). ASU No. 2019-04 provides narrow-scope amendments to help apply ASU No. 2016-13, and is effective with the adoption of ASU No. 2016-13. The Company is evaluating the impact of the adoption of ASU 2016-13 and ASU No. 2019-04 on its financial statements.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left="60" w:right="219" w:firstLine="401"/>
        <w:spacing w:after="0" w:line="263" w:lineRule="auto"/>
        <w:rPr>
          <w:sz w:val="20"/>
          <w:szCs w:val="20"/>
          <w:color w:val="auto"/>
        </w:rPr>
      </w:pPr>
      <w:r>
        <w:rPr>
          <w:rFonts w:ascii="Arial" w:cs="Arial" w:eastAsia="Arial" w:hAnsi="Arial"/>
          <w:sz w:val="18"/>
          <w:szCs w:val="18"/>
          <w:color w:val="auto"/>
        </w:rPr>
        <w:t>The Company evaluated events after December 31, 2021, and through the date the financial statements were issued, and determined any events or transactions occurring during this period that would require recognition or disclosure are appropriately addressed in these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199" w:firstLine="401"/>
        <w:spacing w:after="0" w:line="263" w:lineRule="auto"/>
        <w:rPr>
          <w:sz w:val="20"/>
          <w:szCs w:val="20"/>
          <w:color w:val="auto"/>
        </w:rPr>
      </w:pPr>
      <w:r>
        <w:rPr>
          <w:rFonts w:ascii="Arial" w:cs="Arial" w:eastAsia="Arial" w:hAnsi="Arial"/>
          <w:sz w:val="18"/>
          <w:szCs w:val="18"/>
          <w:color w:val="auto"/>
        </w:rPr>
        <w:t>The Company sells products to its distributors and OEMs. The Company also recognizes revenue under licensing, patent, and royalty agreements with some customers. The following table presents the Company’s revenues disaggregated by sales channel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26,027</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40,846</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Royalties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In September 2021, the Company entered into an intellectual property monetization deal to sell five patents to a customer for a total contract value of $5.25 million. Two of the patents were assigned to the customer in September 2021, and the remaining three patents were assigned to the customer in October 2021. Control is transferred when the patents are assigned to the customer. As a result, all $5.25 million of patent revenue was recognized during the year ended December 31, 2021, related to the patent sales.</w:t>
      </w:r>
    </w:p>
    <w:p>
      <w:pPr>
        <w:spacing w:after="0" w:line="18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The Company licenses its intellectual property and is entitled to consideration based on the customer’s sales. The Company makes estimates in instances when the customer reports sales on a lagged basis and actual information is not available timely. The estimates are based on historical trends in the customer’s activity and current market conditions. In the year ended December 31, 2021 the Company recognized $0.8 million of royalty revenue related to activity occurring in the year ended December 31, 2020. This is a change in estimate and is based on actual information received from the customer. The amounts are reported in licensing, royalty, patent and other revenue in the statements of operations and comprehensive income (loss).</w:t>
      </w:r>
    </w:p>
    <w:p>
      <w:pPr>
        <w:spacing w:after="0" w:line="195" w:lineRule="exact"/>
        <w:rPr>
          <w:sz w:val="20"/>
          <w:szCs w:val="20"/>
          <w:color w:val="auto"/>
        </w:rPr>
      </w:pPr>
    </w:p>
    <w:p>
      <w:pPr>
        <w:ind w:left="60" w:right="59" w:firstLine="401"/>
        <w:spacing w:after="0" w:line="259" w:lineRule="auto"/>
        <w:rPr>
          <w:sz w:val="20"/>
          <w:szCs w:val="20"/>
          <w:color w:val="auto"/>
        </w:rPr>
      </w:pPr>
      <w:r>
        <w:rPr>
          <w:rFonts w:ascii="Arial" w:cs="Arial" w:eastAsia="Arial" w:hAnsi="Arial"/>
          <w:sz w:val="18"/>
          <w:szCs w:val="18"/>
          <w:color w:val="auto"/>
        </w:rPr>
        <w:t>The Company recognizes revenue in three geographic regions: Asia-Pacific (APAC); North America; and Europe, Middle East and Africa (EMEA). We recognize revenue by geography based on the region in which our products are sold, and not to where the end products in which they are assembled are shipped. Our revenue by region for the periods indicated was as follows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North America</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9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90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55,146</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00" w:type="dxa"/>
            <w:vAlign w:val="bottom"/>
            <w:vMerge w:val="restart"/>
          </w:tcPr>
          <w:p>
            <w:pPr>
              <w:jc w:val="right"/>
              <w:ind w:right="450"/>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consisted of the following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gridSpan w:val="3"/>
          </w:tcPr>
          <w:p>
            <w:pPr>
              <w:ind w:left="400"/>
              <w:spacing w:after="0"/>
              <w:rPr>
                <w:sz w:val="20"/>
                <w:szCs w:val="20"/>
                <w:color w:val="auto"/>
              </w:rPr>
            </w:pPr>
            <w:r>
              <w:rPr>
                <w:rFonts w:ascii="Arial" w:cs="Arial" w:eastAsia="Arial" w:hAnsi="Arial"/>
                <w:sz w:val="18"/>
                <w:szCs w:val="18"/>
                <w:color w:val="auto"/>
                <w:w w:val="95"/>
              </w:rPr>
              <w:t>Property and equipment, net consisted of the following (in thousands):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8"/>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12,608</w:t>
            </w:r>
          </w:p>
        </w:tc>
        <w:tc>
          <w:tcPr>
            <w:tcW w:w="1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Computer and network equipment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Total property and equipment, gross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16,176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(15,203)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4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18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01"/>
        <w:spacing w:after="0" w:line="277" w:lineRule="auto"/>
        <w:rPr>
          <w:sz w:val="20"/>
          <w:szCs w:val="20"/>
          <w:color w:val="auto"/>
        </w:rPr>
      </w:pPr>
      <w:r>
        <w:rPr>
          <w:rFonts w:ascii="Arial" w:cs="Arial" w:eastAsia="Arial" w:hAnsi="Arial"/>
          <w:sz w:val="18"/>
          <w:szCs w:val="18"/>
          <w:color w:val="auto"/>
        </w:rPr>
        <w:t>Depreciation and amortization expense during the years ended December 31, 2021 and 2020 was $1.5 million and $2.0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10"/>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During the year ended December 31, 2021, the Company executed contractual arrangements with a customer for the development of a RAD-Hard product, consisting of a technology license, design license agreement and development subcontract. The Company does not share in the rights to future revenues or royalties. The total arrangements are for $6.5 million in consideration.</w:t>
      </w:r>
    </w:p>
    <w:p>
      <w:pPr>
        <w:spacing w:after="0" w:line="187"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performance obligation period. This method depicts performance under the contract and requires the Company to make estimates about the future costs expected to be incurred to perform under the contact, including labor and material costs.</w:t>
      </w:r>
    </w:p>
    <w:p>
      <w:pPr>
        <w:spacing w:after="0" w:line="188"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For the year ended December 31, 2021, the Company has billed $4.1 million for the performance under the contractual agreements. Under the input method of recognition, the Company has recognized $3.3 million in revenue for the year ending December 31, 2021. As a result, the Company has recorded $0.8 million in deferred revenue as of December 31, 2021. The Company expects to recognize the remaining $3.2 million of the transaction price as services are performed throughout the contractual period and performance is expected to be complete in the year ended December 31, 2024.</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279" w:firstLine="401"/>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portion of operating lease liabilities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09"/>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Total operating lease liabilities, net of current portion</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information related to the Company's operating lease liabilities was as follows:</w:t>
      </w:r>
    </w:p>
    <w:p>
      <w:pPr>
        <w:spacing w:after="0" w:line="271"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1294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360"/>
        <w:spacing w:after="0"/>
        <w:tabs>
          <w:tab w:leader="none" w:pos="7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1.74</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6.00 %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6.00 %</w:t>
            </w:r>
          </w:p>
        </w:tc>
      </w:tr>
    </w:tbl>
    <w:p>
      <w:pPr>
        <w:spacing w:after="0" w:line="187" w:lineRule="exact"/>
        <w:rPr>
          <w:sz w:val="20"/>
          <w:szCs w:val="20"/>
          <w:color w:val="auto"/>
        </w:rPr>
      </w:pPr>
    </w:p>
    <w:p>
      <w:pPr>
        <w:ind w:left="60" w:right="179" w:firstLine="401"/>
        <w:spacing w:after="0" w:line="311" w:lineRule="auto"/>
        <w:rPr>
          <w:sz w:val="20"/>
          <w:szCs w:val="20"/>
          <w:color w:val="auto"/>
        </w:rPr>
      </w:pPr>
      <w:r>
        <w:rPr>
          <w:rFonts w:ascii="Arial" w:cs="Arial" w:eastAsia="Arial" w:hAnsi="Arial"/>
          <w:sz w:val="16"/>
          <w:szCs w:val="16"/>
          <w:color w:val="auto"/>
        </w:rPr>
        <w:t>Lease costs for the Company’s operating leases were $1.5 million for both the years ended December 31, 2021 and 2020, respectively. Variable lease payments for operating leases were immaterial for the years ended December 31, 2021 and 2020. Lease costs for the Company’s finance lease were immaterial for the years ended December 31, 2021 and 2020.</w:t>
      </w:r>
    </w:p>
    <w:p>
      <w:pPr>
        <w:spacing w:after="0" w:line="108" w:lineRule="exact"/>
        <w:rPr>
          <w:sz w:val="20"/>
          <w:szCs w:val="20"/>
          <w:color w:val="auto"/>
        </w:rPr>
      </w:pPr>
    </w:p>
    <w:p>
      <w:pPr>
        <w:ind w:left="60" w:right="99" w:firstLine="405"/>
        <w:spacing w:after="0" w:line="273" w:lineRule="auto"/>
        <w:rPr>
          <w:sz w:val="20"/>
          <w:szCs w:val="20"/>
          <w:color w:val="auto"/>
        </w:rPr>
      </w:pPr>
      <w:r>
        <w:rPr>
          <w:rFonts w:ascii="Arial" w:cs="Arial" w:eastAsia="Arial" w:hAnsi="Arial"/>
          <w:sz w:val="17"/>
          <w:szCs w:val="17"/>
          <w:color w:val="auto"/>
        </w:rPr>
        <w:t>Subsequent to December 31, 2021, the Company’s office space lease in Chandler, Arizona and design facility lease in Austin, Texas expired. Both leases expired in January 2022 and were replaced with new leases expiring at various dates through 2029. The Company signed the new leases in 2021 and the leases commenced in January and February 2022. The Company’s lease liability and right-of-use assets will be recognized when the leases commence, and the underlying assets are available for use, which was during the first quarter of 2022. The undiscounted future non-cancellable lease payments under these two operating leases are as follows (in thousands):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0" w:right="299" w:firstLine="401"/>
        <w:spacing w:after="0" w:line="263"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Management is currently not aware of any matters that it expects will have a material adverse effect on the financial position, results of operations or cash flows of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60" w:right="139" w:firstLine="401"/>
        <w:spacing w:after="0" w:line="269"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w:t>
      </w:r>
    </w:p>
    <w:p>
      <w:pPr>
        <w:spacing w:after="0" w:line="149"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July 2020, the Company executed the first amendment to the 2019 Credit Facility with SVB. The amendment, among other things, extended the initial 12-month interest-only period for the 2019 Term Loan to a 16-month interest-only period and lowered the floor interest rate. The floor interest rates for the 2019 Term Loan and the Line of Credit were reduced from 4.75% and 6.75% to 3.75% and 4.75%, respectively.</w:t>
      </w:r>
    </w:p>
    <w:p>
      <w:pPr>
        <w:spacing w:after="0" w:line="187"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The amended Line of Credit allows for a maximum draw of $5.0 million, subject to a formula borrowing base, has a two-year term and bears interest at a floating rate equal to the Wall Street Journal (WSJ) prime rate plus 1.5%, per annum, subject to a floor of 4.75%. As of December 31, 2021, the interest rate was 4.75%.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Currently, $4.0 million remains available under the Line of Credit, subject to borrowing base availability. As of December 31, 2021, the effective interest rate under the Line of Credit was 10.18% and the outstanding balance was $1.0 million. The Line of Credit was set to mature on August 5, 2021. The second amendment, entered into on July 28, 2021, extended the maturity date of the Line of Credit to August 5, 2022.</w:t>
      </w:r>
    </w:p>
    <w:p>
      <w:pPr>
        <w:spacing w:after="0" w:line="172"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amended 2019 Term Loan provides for a $6.0 million term loan. The 2019 Term Loan has a term of 46 months, and a 16-month interest-only period followed by 30 months of equal principal payments, plus accrued interest. The 2019 Term Loan bears interest at a floating rate equal to the WSJ prime rate minus 0.75%, subject to a floor of 3.75%. As of December 31, 2021, the interest rate was 3.75%.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December 31, 2021, the effective interest rate under the 2019 Term Loan was 7.85% and the outstanding balance was $4.0 million. The 2019 Term Loan matures on June 1,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401"/>
        <w:spacing w:after="0" w:line="287" w:lineRule="auto"/>
        <w:rPr>
          <w:sz w:val="20"/>
          <w:szCs w:val="20"/>
          <w:color w:val="auto"/>
        </w:rPr>
      </w:pPr>
      <w:r>
        <w:rPr>
          <w:rFonts w:ascii="Arial" w:cs="Arial" w:eastAsia="Arial" w:hAnsi="Arial"/>
          <w:sz w:val="16"/>
          <w:szCs w:val="16"/>
          <w:color w:val="auto"/>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statements of operations and comprehensive income (loss). The Company recognized an expense of $19,000 and income of $2,000 for years ended 2021 and 2020, respectively, related to the change in fair value of the warrant within other (expense) income, net in the statements of operations and comprehensive income (loss).</w:t>
      </w:r>
    </w:p>
    <w:p>
      <w:pPr>
        <w:spacing w:after="0" w:line="172" w:lineRule="exact"/>
        <w:rPr>
          <w:sz w:val="20"/>
          <w:szCs w:val="20"/>
          <w:color w:val="auto"/>
        </w:rPr>
      </w:pPr>
    </w:p>
    <w:p>
      <w:pPr>
        <w:ind w:left="60" w:right="139" w:firstLine="401"/>
        <w:spacing w:after="0" w:line="275" w:lineRule="auto"/>
        <w:rPr>
          <w:sz w:val="20"/>
          <w:szCs w:val="20"/>
          <w:color w:val="auto"/>
        </w:rPr>
      </w:pPr>
      <w:r>
        <w:rPr>
          <w:rFonts w:ascii="Arial" w:cs="Arial" w:eastAsia="Arial" w:hAnsi="Arial"/>
          <w:sz w:val="17"/>
          <w:szCs w:val="17"/>
          <w:color w:val="auto"/>
        </w:rPr>
        <w:t>Additionally, in conjunction with entering into the first amendment to the 2019 Credit Facility, on July 15, 2020, the Company issued an additional warrant to SVB to purchase 21,500 shares of its common stock at an exercise price of $0.01 per share, which was to expire on July 15, 2025. The warrant was classified as equity and was recorded as a debt discount that was amortized to interest expense using the effective interest method. The fair value of the warrant was $152,000 on the date of issuance using the Black-Scholes option-pricing model.</w:t>
      </w:r>
    </w:p>
    <w:p>
      <w:pPr>
        <w:spacing w:after="0" w:line="176" w:lineRule="exact"/>
        <w:rPr>
          <w:sz w:val="20"/>
          <w:szCs w:val="20"/>
          <w:color w:val="auto"/>
        </w:rPr>
      </w:pPr>
    </w:p>
    <w:p>
      <w:pPr>
        <w:jc w:val="both"/>
        <w:ind w:left="60" w:right="619" w:firstLine="401"/>
        <w:spacing w:after="0" w:line="263" w:lineRule="auto"/>
        <w:rPr>
          <w:sz w:val="20"/>
          <w:szCs w:val="20"/>
          <w:color w:val="auto"/>
        </w:rPr>
      </w:pPr>
      <w:r>
        <w:rPr>
          <w:rFonts w:ascii="Arial" w:cs="Arial" w:eastAsia="Arial" w:hAnsi="Arial"/>
          <w:sz w:val="18"/>
          <w:szCs w:val="18"/>
          <w:color w:val="auto"/>
        </w:rPr>
        <w:t>On July 22, 2021, SVB elected to exercise the warrant associated with the first amendment to the 2019 Credit Facility, which resulted in a net cashless exercise of the warrant and the issuance of 21,463 shares of the Company’s common stock.</w:t>
      </w:r>
    </w:p>
    <w:p>
      <w:pPr>
        <w:spacing w:after="0" w:line="184"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December 31, 2021.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2019 Term Loan. As of December 31, 2021, management does not believe that it is probable that the clause will be triggered within the next 12 months, and therefore the 2019 Term Loan is classified as long-term debt.</w:t>
      </w:r>
    </w:p>
    <w:p>
      <w:pPr>
        <w:spacing w:after="0" w:line="172"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amortization of the debt issuance costs and accretion of the debt discount is included in interest expense within the statements of operations and comprehensive income (loss) and included in non-cash interest expense within the statement of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carrying value of the Company’s 2019 Credit Facility at December 31, 2021,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Debt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carrying value of the Company’s 2019 Credit Facility at December 31, 2020,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Long-Term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Portion</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401"/>
        <w:spacing w:after="0" w:line="277" w:lineRule="auto"/>
        <w:rPr>
          <w:sz w:val="20"/>
          <w:szCs w:val="20"/>
          <w:color w:val="auto"/>
        </w:rPr>
      </w:pPr>
      <w:r>
        <w:rPr>
          <w:rFonts w:ascii="Arial" w:cs="Arial" w:eastAsia="Arial" w:hAnsi="Arial"/>
          <w:sz w:val="18"/>
          <w:szCs w:val="18"/>
          <w:color w:val="auto"/>
        </w:rPr>
        <w:t>The table below includes the principal repayments due under the 2019 Credit Facility as of December 31, 2021 (in thousands):</w:t>
      </w:r>
    </w:p>
    <w:p>
      <w:pPr>
        <w:spacing w:after="0" w:line="31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320" w:type="dxa"/>
            <w:vAlign w:val="bottom"/>
            <w:gridSpan w:val="3"/>
          </w:tcPr>
          <w:p>
            <w:pPr>
              <w:ind w:left="1860"/>
              <w:spacing w:after="0"/>
              <w:rPr>
                <w:sz w:val="20"/>
                <w:szCs w:val="20"/>
                <w:color w:val="auto"/>
              </w:rPr>
            </w:pPr>
            <w:r>
              <w:rPr>
                <w:rFonts w:ascii="Arial" w:cs="Arial" w:eastAsia="Arial" w:hAnsi="Arial"/>
                <w:sz w:val="14"/>
                <w:szCs w:val="14"/>
                <w:b w:val="1"/>
                <w:bCs w:val="1"/>
                <w:color w:val="auto"/>
                <w:w w:val="91"/>
              </w:rPr>
              <w:t>Principal Repayment as</w:t>
            </w: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of December 31, 2021</w:t>
            </w: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8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repayments</w:t>
            </w:r>
          </w:p>
        </w:tc>
        <w:tc>
          <w:tcPr>
            <w:tcW w:w="1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259" w:firstLine="401"/>
        <w:spacing w:after="0" w:line="277" w:lineRule="auto"/>
        <w:rPr>
          <w:sz w:val="20"/>
          <w:szCs w:val="20"/>
          <w:color w:val="auto"/>
        </w:rPr>
      </w:pPr>
      <w:r>
        <w:rPr>
          <w:rFonts w:ascii="Arial" w:cs="Arial" w:eastAsia="Arial" w:hAnsi="Arial"/>
          <w:sz w:val="18"/>
          <w:szCs w:val="18"/>
          <w:color w:val="auto"/>
        </w:rPr>
        <w:t>Common stockholders are entitled to dividends if and when declared by the board of directors. As of December 31, 2021, no dividends on common stock had been declared by the board of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60" w:right="79" w:firstLine="401"/>
        <w:spacing w:after="0" w:line="289" w:lineRule="auto"/>
        <w:rPr>
          <w:sz w:val="20"/>
          <w:szCs w:val="20"/>
          <w:color w:val="auto"/>
        </w:rPr>
      </w:pPr>
      <w:r>
        <w:rPr>
          <w:rFonts w:ascii="Arial" w:cs="Arial" w:eastAsia="Arial" w:hAnsi="Arial"/>
          <w:sz w:val="16"/>
          <w:szCs w:val="16"/>
          <w:color w:val="auto"/>
        </w:rPr>
        <w:t>In August 2019, the Company entered into an Open Market Sale Agreement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(ATM) offering under the Securities Act of 1933, as amended. Under the 2019 Sales Agreement, the Company agreed to pay Jefferies a commission of up to 3% of the gross proceeds of any sales made pursuant to the 2019 Sales Agreement. During the year ended December 31, 2020, the Company received net proceeds of $2.1 million after deducting commissions and expenses payable by the Company, from the sale of 468,427 shares of common stock pursuant to the 2019 Sales Agreement. The Company suspended sales under the 2019 Sales Agreement in March 2020 and terminated the ATM program in November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Reserved Shares of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230"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1,783,298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2,272,905</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Shares available for future option grants</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1,038,956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179,219</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RSUs subject to future vesting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384,307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416,742</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warrants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49,336</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3,234,397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2,918,202</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right="159" w:firstLine="401"/>
        <w:spacing w:after="0" w:line="277" w:lineRule="auto"/>
        <w:rPr>
          <w:sz w:val="20"/>
          <w:szCs w:val="20"/>
          <w:color w:val="auto"/>
        </w:rPr>
      </w:pPr>
      <w:r>
        <w:rPr>
          <w:rFonts w:ascii="Arial" w:cs="Arial" w:eastAsia="Arial" w:hAnsi="Arial"/>
          <w:sz w:val="18"/>
          <w:szCs w:val="18"/>
          <w:color w:val="auto"/>
        </w:rPr>
        <w:t>In connection with the Company’s credit facility, the Company has issued warrants to Silicon Valley Bank. For more details see Note 6 to the financial statements.</w:t>
      </w:r>
    </w:p>
    <w:p>
      <w:pPr>
        <w:spacing w:after="0" w:line="170" w:lineRule="exact"/>
        <w:rPr>
          <w:sz w:val="20"/>
          <w:szCs w:val="20"/>
          <w:color w:val="auto"/>
        </w:rPr>
      </w:pPr>
    </w:p>
    <w:p>
      <w:pPr>
        <w:ind w:left="60" w:right="99" w:firstLine="401"/>
        <w:spacing w:after="0" w:line="286" w:lineRule="auto"/>
        <w:rPr>
          <w:sz w:val="20"/>
          <w:szCs w:val="20"/>
          <w:color w:val="auto"/>
        </w:rPr>
      </w:pPr>
      <w:r>
        <w:rPr>
          <w:rFonts w:ascii="Arial" w:cs="Arial" w:eastAsia="Arial" w:hAnsi="Arial"/>
          <w:sz w:val="17"/>
          <w:szCs w:val="17"/>
          <w:color w:val="auto"/>
        </w:rPr>
        <w:t>In connection with the Company’s prior credit facility with Ares Venture Finance entered into in June 2015, the Company issued Ares Venture Finance a warrant to purchase 18,461 shares of the Company’s common stock at an exercise price of $26.00 per share. The warrant can be exercised at any time and expires on June 5, 2025.</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225" w:lineRule="exact"/>
        <w:rPr>
          <w:sz w:val="20"/>
          <w:szCs w:val="20"/>
          <w:color w:val="auto"/>
        </w:rPr>
      </w:pPr>
    </w:p>
    <w:p>
      <w:pPr>
        <w:ind w:left="60" w:right="179" w:firstLine="401"/>
        <w:spacing w:after="0" w:line="259" w:lineRule="auto"/>
        <w:rPr>
          <w:sz w:val="20"/>
          <w:szCs w:val="20"/>
          <w:color w:val="auto"/>
        </w:rPr>
      </w:pPr>
      <w:r>
        <w:rPr>
          <w:rFonts w:ascii="Arial" w:cs="Arial" w:eastAsia="Arial" w:hAnsi="Arial"/>
          <w:sz w:val="18"/>
          <w:szCs w:val="18"/>
          <w:color w:val="auto"/>
        </w:rPr>
        <w:t>The Company’s board of directors adopted the 2016 Equity Incentive Plan (the 2016 Plan) on April 25, 2016, which was subsequently approved on September 20, 2016 by the Company’s stockholders. The 2016 Plan became effective on October 7, 2016, the date the Company’s S-8 registration statement relating to the 2016 Plan was declared effective by the SEC.</w:t>
      </w:r>
    </w:p>
    <w:p>
      <w:pPr>
        <w:spacing w:after="0" w:line="187" w:lineRule="exact"/>
        <w:rPr>
          <w:sz w:val="20"/>
          <w:szCs w:val="20"/>
          <w:color w:val="auto"/>
        </w:rPr>
      </w:pPr>
    </w:p>
    <w:p>
      <w:pPr>
        <w:ind w:left="60" w:right="139" w:firstLine="401"/>
        <w:spacing w:after="0" w:line="279" w:lineRule="auto"/>
        <w:rPr>
          <w:sz w:val="20"/>
          <w:szCs w:val="20"/>
          <w:color w:val="auto"/>
        </w:rPr>
      </w:pPr>
      <w:r>
        <w:rPr>
          <w:rFonts w:ascii="Arial" w:cs="Arial" w:eastAsia="Arial" w:hAnsi="Arial"/>
          <w:sz w:val="17"/>
          <w:szCs w:val="17"/>
          <w:color w:val="auto"/>
        </w:rPr>
        <w:t>The Company’s 2016 Plan provides for the grant of incentive stock options,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71" w:lineRule="exact"/>
        <w:rPr>
          <w:sz w:val="20"/>
          <w:szCs w:val="20"/>
          <w:color w:val="auto"/>
        </w:rPr>
      </w:pPr>
    </w:p>
    <w:p>
      <w:pPr>
        <w:ind w:left="60" w:right="159" w:firstLine="401"/>
        <w:spacing w:after="0" w:line="271" w:lineRule="auto"/>
        <w:rPr>
          <w:sz w:val="20"/>
          <w:szCs w:val="20"/>
          <w:color w:val="auto"/>
        </w:rPr>
      </w:pPr>
      <w:r>
        <w:rPr>
          <w:rFonts w:ascii="Arial" w:cs="Arial" w:eastAsia="Arial" w:hAnsi="Arial"/>
          <w:sz w:val="17"/>
          <w:szCs w:val="17"/>
          <w:color w:val="auto"/>
        </w:rPr>
        <w:t>The maximum number of shares of common stock that may be issued under the Company’s 2016 Plan was initially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 On May 20, 2021, the Company’s stockholders approved an amendment to the 2016 Plan to increase the total number of authorized shares of common stock available for grant thereunder by an additional 550,000 shares. At December 31, 2021, of the 3,206,561 shares of common stock reserved and available for grant under the 2016 Plan, 1,038,956 shares of common stock remain available for grant under the 2016 Plan.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2008 Employee Incentive Plan</w:t>
      </w:r>
    </w:p>
    <w:p>
      <w:pPr>
        <w:spacing w:after="0" w:line="225" w:lineRule="exact"/>
        <w:rPr>
          <w:sz w:val="20"/>
          <w:szCs w:val="20"/>
          <w:color w:val="auto"/>
        </w:rPr>
      </w:pPr>
    </w:p>
    <w:p>
      <w:pPr>
        <w:ind w:left="60" w:right="859" w:firstLine="401"/>
        <w:spacing w:after="0" w:line="277" w:lineRule="auto"/>
        <w:rPr>
          <w:sz w:val="20"/>
          <w:szCs w:val="20"/>
          <w:color w:val="auto"/>
        </w:rPr>
      </w:pPr>
      <w:r>
        <w:rPr>
          <w:rFonts w:ascii="Arial" w:cs="Arial" w:eastAsia="Arial" w:hAnsi="Arial"/>
          <w:sz w:val="18"/>
          <w:szCs w:val="18"/>
          <w:color w:val="auto"/>
        </w:rPr>
        <w:t>The 2008 Equity Incentive Plan (the 2008 Plan) provided for the issuance of incentive stock options (ISO), nonqualified stock options, and other stock compensation awards.</w:t>
      </w:r>
    </w:p>
    <w:p>
      <w:pPr>
        <w:spacing w:after="0" w:line="170" w:lineRule="exact"/>
        <w:rPr>
          <w:sz w:val="20"/>
          <w:szCs w:val="20"/>
          <w:color w:val="auto"/>
        </w:rPr>
      </w:pPr>
    </w:p>
    <w:p>
      <w:pPr>
        <w:ind w:left="60" w:right="99" w:firstLine="401"/>
        <w:spacing w:after="0" w:line="275" w:lineRule="auto"/>
        <w:rPr>
          <w:sz w:val="20"/>
          <w:szCs w:val="20"/>
          <w:color w:val="auto"/>
        </w:rPr>
      </w:pPr>
      <w:r>
        <w:rPr>
          <w:rFonts w:ascii="Arial" w:cs="Arial" w:eastAsia="Arial" w:hAnsi="Arial"/>
          <w:sz w:val="17"/>
          <w:szCs w:val="17"/>
          <w:color w:val="auto"/>
        </w:rPr>
        <w:t>Due to the adoption of the 2016 Plan, no further grants will be made under the Company’s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2021, 79,910 options under the 2008 Plan remained outstanding.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stock option and award activity for all grants under the 2008 Plan and 2016 Plan:</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389"/>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1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Options and</w:t>
            </w: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6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Price Per</w:t>
            </w:r>
          </w:p>
        </w:tc>
        <w:tc>
          <w:tcPr>
            <w:tcW w:w="900" w:type="dxa"/>
            <w:vAlign w:val="bottom"/>
            <w:gridSpan w:val="2"/>
          </w:tcPr>
          <w:p>
            <w:pPr>
              <w:jc w:val="center"/>
              <w:ind w:left="3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180" w:type="dxa"/>
            <w:vAlign w:val="bottom"/>
            <w:vMerge w:val="restart"/>
          </w:tcPr>
          <w:p>
            <w:pPr>
              <w:spacing w:after="0"/>
              <w:rPr>
                <w:sz w:val="20"/>
                <w:szCs w:val="20"/>
                <w:color w:val="auto"/>
              </w:rPr>
            </w:pPr>
            <w:r>
              <w:rPr>
                <w:rFonts w:ascii="Arial" w:cs="Arial" w:eastAsia="Arial" w:hAnsi="Arial"/>
                <w:sz w:val="18"/>
                <w:szCs w:val="18"/>
                <w:color w:val="auto"/>
              </w:rPr>
              <w:t>Balance—</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w:t>
            </w:r>
          </w:p>
        </w:tc>
        <w:tc>
          <w:tcPr>
            <w:tcW w:w="1620" w:type="dxa"/>
            <w:vAlign w:val="bottom"/>
          </w:tcPr>
          <w:p>
            <w:pPr>
              <w:jc w:val="right"/>
              <w:ind w:right="49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December 31, 2020</w:t>
            </w:r>
          </w:p>
        </w:tc>
        <w:tc>
          <w:tcPr>
            <w:tcW w:w="1640" w:type="dxa"/>
            <w:vAlign w:val="bottom"/>
          </w:tcPr>
          <w:p>
            <w:pPr>
              <w:jc w:val="right"/>
              <w:spacing w:after="0"/>
              <w:rPr>
                <w:sz w:val="20"/>
                <w:szCs w:val="20"/>
                <w:color w:val="auto"/>
              </w:rPr>
            </w:pPr>
            <w:r>
              <w:rPr>
                <w:rFonts w:ascii="Arial" w:cs="Arial" w:eastAsia="Arial" w:hAnsi="Arial"/>
                <w:sz w:val="18"/>
                <w:szCs w:val="18"/>
                <w:color w:val="auto"/>
              </w:rPr>
              <w:t>179,219</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2,272,905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279"/>
              <w:spacing w:after="0"/>
              <w:rPr>
                <w:sz w:val="20"/>
                <w:szCs w:val="20"/>
                <w:color w:val="auto"/>
              </w:rPr>
            </w:pPr>
            <w:r>
              <w:rPr>
                <w:rFonts w:ascii="Arial" w:cs="Arial" w:eastAsia="Arial" w:hAnsi="Arial"/>
                <w:sz w:val="18"/>
                <w:szCs w:val="18"/>
                <w:color w:val="auto"/>
                <w:w w:val="91"/>
              </w:rPr>
              <w:t>5.58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Authorized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1,120,946</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RSUs 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(522,814)</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RSUs cancelled/forfeited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135,909</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(788,441)</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766,978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279"/>
              <w:spacing w:after="0"/>
              <w:rPr>
                <w:sz w:val="20"/>
                <w:szCs w:val="20"/>
                <w:color w:val="auto"/>
              </w:rPr>
            </w:pPr>
            <w:r>
              <w:rPr>
                <w:rFonts w:ascii="Arial" w:cs="Arial" w:eastAsia="Arial" w:hAnsi="Arial"/>
                <w:sz w:val="18"/>
                <w:szCs w:val="18"/>
                <w:color w:val="auto"/>
                <w:w w:val="91"/>
              </w:rPr>
              <w:t>5.63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279"/>
              <w:spacing w:after="0"/>
              <w:rPr>
                <w:sz w:val="20"/>
                <w:szCs w:val="20"/>
                <w:color w:val="auto"/>
              </w:rPr>
            </w:pPr>
            <w:r>
              <w:rPr>
                <w:rFonts w:ascii="Arial" w:cs="Arial" w:eastAsia="Arial" w:hAnsi="Arial"/>
                <w:sz w:val="18"/>
                <w:szCs w:val="18"/>
                <w:color w:val="auto"/>
                <w:w w:val="91"/>
              </w:rPr>
              <w:t>5.15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6"/>
              </w:rPr>
              <w:t>Options cancelled/forfeited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914,137</w:t>
            </w:r>
          </w:p>
        </w:tc>
        <w:tc>
          <w:tcPr>
            <w:tcW w:w="16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(934,891)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center"/>
              <w:ind w:left="279"/>
              <w:spacing w:after="0"/>
              <w:rPr>
                <w:sz w:val="20"/>
                <w:szCs w:val="20"/>
                <w:color w:val="auto"/>
              </w:rPr>
            </w:pPr>
            <w:r>
              <w:rPr>
                <w:rFonts w:ascii="Arial" w:cs="Arial" w:eastAsia="Arial" w:hAnsi="Arial"/>
                <w:sz w:val="18"/>
                <w:szCs w:val="18"/>
                <w:color w:val="auto"/>
                <w:w w:val="91"/>
              </w:rPr>
              <w:t>6.47</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1,038,956</w:t>
            </w: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1,783,298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8"/>
                <w:szCs w:val="18"/>
                <w:color w:val="auto"/>
                <w:w w:val="91"/>
              </w:rPr>
              <w:t>5.21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line="195" w:lineRule="exact"/>
              <w:rPr>
                <w:sz w:val="20"/>
                <w:szCs w:val="20"/>
                <w:color w:val="auto"/>
              </w:rPr>
            </w:pPr>
            <w:r>
              <w:rPr>
                <w:rFonts w:ascii="Arial" w:cs="Arial" w:eastAsia="Arial" w:hAnsi="Arial"/>
                <w:sz w:val="18"/>
                <w:szCs w:val="18"/>
                <w:color w:val="auto"/>
              </w:rPr>
              <w:t>Options exercisable—</w:t>
            </w: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8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609,459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December 31, 2021</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279"/>
              <w:spacing w:after="0"/>
              <w:rPr>
                <w:sz w:val="20"/>
                <w:szCs w:val="20"/>
                <w:color w:val="auto"/>
              </w:rPr>
            </w:pPr>
            <w:r>
              <w:rPr>
                <w:rFonts w:ascii="Arial" w:cs="Arial" w:eastAsia="Arial" w:hAnsi="Arial"/>
                <w:sz w:val="18"/>
                <w:szCs w:val="18"/>
                <w:color w:val="auto"/>
                <w:w w:val="91"/>
              </w:rPr>
              <w:t>5.77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401"/>
        <w:spacing w:after="0" w:line="277" w:lineRule="auto"/>
        <w:rPr>
          <w:sz w:val="20"/>
          <w:szCs w:val="20"/>
          <w:color w:val="auto"/>
        </w:rPr>
      </w:pPr>
      <w:r>
        <w:rPr>
          <w:rFonts w:ascii="Arial" w:cs="Arial" w:eastAsia="Arial" w:hAnsi="Arial"/>
          <w:sz w:val="18"/>
          <w:szCs w:val="18"/>
          <w:color w:val="auto"/>
        </w:rPr>
        <w:t>During the years ended December 31, 2021 and 2020, the Company granted options with a weighted-average grant date fair value of $3.60 and $1.81 per share, respectively.</w:t>
      </w:r>
    </w:p>
    <w:p>
      <w:pPr>
        <w:spacing w:after="0" w:line="170" w:lineRule="exact"/>
        <w:rPr>
          <w:sz w:val="20"/>
          <w:szCs w:val="20"/>
          <w:color w:val="auto"/>
        </w:rPr>
      </w:pPr>
    </w:p>
    <w:p>
      <w:pPr>
        <w:ind w:left="60" w:right="839" w:firstLine="401"/>
        <w:spacing w:after="0" w:line="277" w:lineRule="auto"/>
        <w:rPr>
          <w:sz w:val="20"/>
          <w:szCs w:val="20"/>
          <w:color w:val="auto"/>
        </w:rPr>
      </w:pPr>
      <w:r>
        <w:rPr>
          <w:rFonts w:ascii="Arial" w:cs="Arial" w:eastAsia="Arial" w:hAnsi="Arial"/>
          <w:sz w:val="18"/>
          <w:szCs w:val="18"/>
          <w:color w:val="auto"/>
        </w:rPr>
        <w:t>The total fair value of options vested during the year was $0.9 million and $2.2 million, for the years ended December 31,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60" w:right="79" w:firstLine="401"/>
        <w:spacing w:after="0" w:line="257" w:lineRule="auto"/>
        <w:rPr>
          <w:sz w:val="20"/>
          <w:szCs w:val="20"/>
          <w:color w:val="auto"/>
        </w:rPr>
      </w:pPr>
      <w:r>
        <w:rPr>
          <w:rFonts w:ascii="Arial" w:cs="Arial" w:eastAsia="Arial" w:hAnsi="Arial"/>
          <w:sz w:val="18"/>
          <w:szCs w:val="18"/>
          <w:color w:val="auto"/>
        </w:rPr>
        <w:t>The Company’s board of directors adopted the 2016 Employee Stock Purchase Plan (the ESPP) on April 25, 2016, which was subsequently approved on September 20, 2016 by the Company’s stockholders. The Company had 652,771 shares available for issuance under the Company’s ESPP as of December 31, 2021. Employees purchased 64,407 shares for $236,000 during the year ended December 31, 2021 and 49,951 shares for $112,000 during the year ended December 31, 2020.</w:t>
      </w:r>
    </w:p>
    <w:p>
      <w:pPr>
        <w:spacing w:after="0" w:line="188" w:lineRule="exact"/>
        <w:rPr>
          <w:sz w:val="20"/>
          <w:szCs w:val="20"/>
          <w:color w:val="auto"/>
        </w:rPr>
      </w:pPr>
    </w:p>
    <w:p>
      <w:pPr>
        <w:ind w:left="60" w:right="319" w:firstLine="401"/>
        <w:spacing w:after="0" w:line="277"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issued under the ESPP:</w:t>
      </w:r>
    </w:p>
    <w:p>
      <w:pPr>
        <w:spacing w:after="0" w:line="175"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Year Ended</w:t>
      </w:r>
    </w:p>
    <w:p>
      <w:pPr>
        <w:ind w:left="64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48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40.7 - 100.7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44.7 - 100.7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0.05 - 0.13 %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8"/>
              </w:rPr>
              <w:t>0.12 - 1.68 %</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0.5 - 1.0</w:t>
            </w:r>
          </w:p>
        </w:tc>
        <w:tc>
          <w:tcPr>
            <w:tcW w:w="160" w:type="dxa"/>
            <w:vAlign w:val="bottom"/>
            <w:shd w:val="clear" w:color="auto" w:fill="CCEEFF"/>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99" w:firstLine="401"/>
        <w:spacing w:after="0" w:line="301" w:lineRule="auto"/>
        <w:rPr>
          <w:sz w:val="20"/>
          <w:szCs w:val="20"/>
          <w:color w:val="auto"/>
        </w:rPr>
      </w:pPr>
      <w:r>
        <w:rPr>
          <w:rFonts w:ascii="Arial" w:cs="Arial" w:eastAsia="Arial" w:hAnsi="Arial"/>
          <w:sz w:val="16"/>
          <w:szCs w:val="16"/>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 value of the RSUs is recognized as expense ratably over the vesting period, as determined by the board of directors on the date of grant.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RSU activity for the year ended December 31, 2021:</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522,814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(419,340)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(135,909)</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384,307</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19" w:firstLine="401"/>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December 31, 2021, there was $1.4 million of unrecognized stock-based compensation expense related to RSUs to be recognized over a weighted-average period of 2.3 years.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60" w:right="359" w:firstLine="401"/>
        <w:spacing w:after="0" w:line="263" w:lineRule="auto"/>
        <w:rPr>
          <w:sz w:val="20"/>
          <w:szCs w:val="20"/>
          <w:color w:val="auto"/>
        </w:rPr>
      </w:pPr>
      <w:r>
        <w:rPr>
          <w:rFonts w:ascii="Arial" w:cs="Arial" w:eastAsia="Arial" w:hAnsi="Arial"/>
          <w:sz w:val="18"/>
          <w:szCs w:val="18"/>
          <w:color w:val="auto"/>
        </w:rPr>
        <w:t>As of December 31, 2021, there was $3.2 million of total unrecognized compensation expense related to unvested options which is expected to be recognized over a weighted-average period of 2.8 years. Compensation cost capitalized within inventory at December 31, 2021 and 2020 was not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401"/>
        <w:spacing w:after="0" w:line="263" w:lineRule="auto"/>
        <w:rPr>
          <w:sz w:val="20"/>
          <w:szCs w:val="20"/>
          <w:color w:val="auto"/>
        </w:rPr>
      </w:pPr>
      <w:r>
        <w:rPr>
          <w:rFonts w:ascii="Arial" w:cs="Arial" w:eastAsia="Arial" w:hAnsi="Arial"/>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w:t>
      </w:r>
    </w:p>
    <w:p>
      <w:pPr>
        <w:spacing w:after="0" w:line="189"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Year Ended</w:t>
      </w:r>
    </w:p>
    <w:p>
      <w:pPr>
        <w:ind w:left="6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84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72.6 - 74.1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0.62 - 1.30 %</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- 1.63 %</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5.9 - 6.1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- 6.08</w:t>
            </w:r>
          </w:p>
        </w:tc>
        <w:tc>
          <w:tcPr>
            <w:tcW w:w="18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401(k) Plan</w:t>
      </w:r>
    </w:p>
    <w:p>
      <w:pPr>
        <w:spacing w:after="0" w:line="229" w:lineRule="exact"/>
        <w:rPr>
          <w:sz w:val="20"/>
          <w:szCs w:val="20"/>
          <w:color w:val="auto"/>
        </w:rPr>
      </w:pPr>
    </w:p>
    <w:p>
      <w:pPr>
        <w:ind w:left="60" w:right="79" w:firstLine="401"/>
        <w:spacing w:after="0" w:line="311" w:lineRule="auto"/>
        <w:rPr>
          <w:sz w:val="20"/>
          <w:szCs w:val="20"/>
          <w:color w:val="auto"/>
        </w:rPr>
      </w:pPr>
      <w:r>
        <w:rPr>
          <w:rFonts w:ascii="Arial" w:cs="Arial" w:eastAsia="Arial" w:hAnsi="Arial"/>
          <w:sz w:val="16"/>
          <w:szCs w:val="16"/>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Significant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60" w:right="159" w:firstLine="401"/>
        <w:spacing w:after="0" w:line="255" w:lineRule="auto"/>
        <w:rPr>
          <w:sz w:val="20"/>
          <w:szCs w:val="20"/>
          <w:color w:val="auto"/>
        </w:rPr>
      </w:pPr>
      <w:r>
        <w:rPr>
          <w:rFonts w:ascii="Arial" w:cs="Arial" w:eastAsia="Arial" w:hAnsi="Arial"/>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92" w:lineRule="exact"/>
        <w:rPr>
          <w:sz w:val="20"/>
          <w:szCs w:val="20"/>
          <w:color w:val="auto"/>
        </w:rPr>
      </w:pPr>
    </w:p>
    <w:p>
      <w:pPr>
        <w:ind w:left="60" w:right="279" w:firstLine="401"/>
        <w:spacing w:after="0" w:line="291" w:lineRule="auto"/>
        <w:rPr>
          <w:sz w:val="20"/>
          <w:szCs w:val="20"/>
          <w:color w:val="auto"/>
        </w:rPr>
      </w:pPr>
      <w:r>
        <w:rPr>
          <w:rFonts w:ascii="Arial" w:cs="Arial" w:eastAsia="Arial" w:hAnsi="Arial"/>
          <w:sz w:val="16"/>
          <w:szCs w:val="16"/>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66" w:lineRule="exact"/>
        <w:rPr>
          <w:sz w:val="20"/>
          <w:szCs w:val="20"/>
          <w:color w:val="auto"/>
        </w:rPr>
      </w:pPr>
    </w:p>
    <w:p>
      <w:pPr>
        <w:ind w:left="60" w:right="99" w:firstLine="401"/>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In September 2018, the Company entered into a Joint Collaboration Agreement (JCA) with Silterra Malaysia Sdn. Bhd., and another third party. The JCA was intended to create additional manufacturing capacity for the Company’s Toggle MRAM products. The Company had previously anticipated initial production starting in 2020, which was subsequently delayed. Under the JCA, the Company was required to pay non-recurring engineering costs of $1.0 million. As of December 31, 2021, the Company has paid $600,000 of these JCA costs. On October 23, 2021, the Company executed a termination of the JCA. As a result, the Company does not expect to incur additional JCA costs. There were no JCA costs paid during the years ended December 31, 2021 and 2020. As a result of the JCA, Silterra Malaysia Sdn. Bhd., successfully became a second source for Toggle MRAM products to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Geographic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by country was as follows (in thousands):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80" w:type="dxa"/>
            <w:vAlign w:val="bottom"/>
            <w:tcBorders>
              <w:bottom w:val="single" w:sz="8" w:color="auto"/>
            </w:tcBorders>
            <w:gridSpan w:val="6"/>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Singapore</w:t>
            </w:r>
          </w:p>
        </w:tc>
        <w:tc>
          <w:tcPr>
            <w:tcW w:w="2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973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Revenue from customers is designated based on the geographic region or country to which the product is delivered or the licensee is located. Revenue by country was as follows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2021 and 2020, the Company’s provision for income tax consisted of:</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56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92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92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60" w:type="dxa"/>
            <w:vAlign w:val="bottom"/>
            <w:vMerge w:val="restart"/>
          </w:tcPr>
          <w:p>
            <w:pPr>
              <w:jc w:val="right"/>
              <w:ind w:right="1730"/>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Change in uncertain tax benefits</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01"/>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as follows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30,658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31,683</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Accruals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Limitation on business interest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Right of use liability</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deferred tax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(32,047)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(33,265)</w:t>
            </w: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of use asset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0"/>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1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401"/>
        <w:spacing w:after="0" w:line="288" w:lineRule="auto"/>
        <w:rPr>
          <w:sz w:val="20"/>
          <w:szCs w:val="20"/>
          <w:color w:val="auto"/>
        </w:rPr>
      </w:pPr>
      <w:r>
        <w:rPr>
          <w:rFonts w:ascii="Arial" w:cs="Arial" w:eastAsia="Arial" w:hAnsi="Arial"/>
          <w:sz w:val="16"/>
          <w:szCs w:val="16"/>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2021 and 2020. The net valuation allowance decreased by $1.2 million in 2021.</w:t>
      </w:r>
    </w:p>
    <w:p>
      <w:pPr>
        <w:spacing w:after="0" w:line="168" w:lineRule="exact"/>
        <w:rPr>
          <w:sz w:val="20"/>
          <w:szCs w:val="20"/>
          <w:color w:val="auto"/>
        </w:rPr>
      </w:pPr>
    </w:p>
    <w:p>
      <w:pPr>
        <w:ind w:left="60" w:right="179" w:firstLine="401"/>
        <w:spacing w:after="0" w:line="279" w:lineRule="auto"/>
        <w:rPr>
          <w:sz w:val="20"/>
          <w:szCs w:val="20"/>
          <w:color w:val="auto"/>
        </w:rPr>
      </w:pPr>
      <w:r>
        <w:rPr>
          <w:rFonts w:ascii="Arial" w:cs="Arial" w:eastAsia="Arial" w:hAnsi="Arial"/>
          <w:sz w:val="17"/>
          <w:szCs w:val="17"/>
          <w:color w:val="auto"/>
        </w:rPr>
        <w:t>As of December 31, 2021, the Company has federal net operating loss carryforwards of approximately $136.0 million, of which $95.2 million will expire in 2028 through 2037 if not utilized, and $40.8 million that will carryover indefinitely. In addition, the Company has state net operating loss carryforwards of approximately $52.1 million, of which $49.3 million will expire in 2023 through 2041 if not utilized, and $2.8 million that will carryover indefinitely.</w:t>
      </w:r>
    </w:p>
    <w:p>
      <w:pPr>
        <w:spacing w:after="0" w:line="171" w:lineRule="exact"/>
        <w:rPr>
          <w:sz w:val="20"/>
          <w:szCs w:val="20"/>
          <w:color w:val="auto"/>
        </w:rPr>
      </w:pPr>
    </w:p>
    <w:p>
      <w:pPr>
        <w:ind w:left="60" w:right="79" w:firstLine="401"/>
        <w:spacing w:after="0" w:line="273" w:lineRule="auto"/>
        <w:rPr>
          <w:sz w:val="20"/>
          <w:szCs w:val="20"/>
          <w:color w:val="auto"/>
        </w:rPr>
      </w:pPr>
      <w:r>
        <w:rPr>
          <w:rFonts w:ascii="Arial" w:cs="Arial" w:eastAsia="Arial" w:hAnsi="Arial"/>
          <w:sz w:val="17"/>
          <w:szCs w:val="17"/>
          <w:color w:val="auto"/>
        </w:rPr>
        <w:t>The Tax Reform Act of 1986 (the Act) provides for a limitation on the annual use of net operating loss carryforwards following certain ownership changes (as defined by the Act and codified under Section 382 of the U.S. Internal Revenue Code of 1986, as amended (the Code)) that could limit the Company’s ability to utilize these carryforwards. Further, a portion of the carryforwards may expire before utilized to reduce future income tax liabilities as a result of the annual limitation. The Company experienced an ownership change in October 2016 and as a result, $43.8 million ($9.2 million tax effected) of the federal NOLs are expected to expire unutilized due to limitation under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Section 382 of the Code. The NOLs expected to expire unutilized are included in the NOL carryforward amounts disclosed, subject to a valuation allowance.</w:t>
      </w:r>
    </w:p>
    <w:p>
      <w:pPr>
        <w:spacing w:after="0" w:line="170" w:lineRule="exact"/>
        <w:rPr>
          <w:sz w:val="20"/>
          <w:szCs w:val="20"/>
          <w:color w:val="auto"/>
        </w:rPr>
      </w:pPr>
    </w:p>
    <w:p>
      <w:pPr>
        <w:ind w:left="60" w:right="119" w:firstLine="405"/>
        <w:spacing w:after="0" w:line="263" w:lineRule="auto"/>
        <w:rPr>
          <w:sz w:val="20"/>
          <w:szCs w:val="20"/>
          <w:color w:val="auto"/>
        </w:rPr>
      </w:pPr>
      <w:r>
        <w:rPr>
          <w:rFonts w:ascii="Arial" w:cs="Arial" w:eastAsia="Arial" w:hAnsi="Arial"/>
          <w:sz w:val="18"/>
          <w:szCs w:val="18"/>
          <w:color w:val="auto"/>
        </w:rPr>
        <w:t>The Company files income tax returns in the U.S. federal and various state jurisdictions. The Company is generally subject to U.S. federal and state income tax examination for all tax years beginning in 2008, due to the net operating losses that are carried forward.</w:t>
      </w:r>
    </w:p>
    <w:p>
      <w:pPr>
        <w:spacing w:after="0" w:line="184" w:lineRule="exact"/>
        <w:rPr>
          <w:sz w:val="20"/>
          <w:szCs w:val="20"/>
          <w:color w:val="auto"/>
        </w:rPr>
      </w:pPr>
    </w:p>
    <w:p>
      <w:pPr>
        <w:ind w:left="60" w:right="79" w:firstLine="401"/>
        <w:spacing w:after="0" w:line="277" w:lineRule="auto"/>
        <w:rPr>
          <w:sz w:val="20"/>
          <w:szCs w:val="20"/>
          <w:color w:val="auto"/>
        </w:rPr>
      </w:pPr>
      <w:r>
        <w:rPr>
          <w:rFonts w:ascii="Arial" w:cs="Arial" w:eastAsia="Arial" w:hAnsi="Arial"/>
          <w:sz w:val="18"/>
          <w:szCs w:val="18"/>
          <w:color w:val="auto"/>
        </w:rPr>
        <w:t>A summary of changes in the Company’s gross unrecognized tax benefits for the years ended December 31, 2021 and 2020 was as follows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Year Ended December 31,</w:t>
            </w: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expense, beginning of the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(Decrease)/increase related to prior year tax positions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Unrecognized tax expense, end of year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bl>
    <w:p>
      <w:pPr>
        <w:spacing w:after="0" w:line="202" w:lineRule="exact"/>
        <w:rPr>
          <w:sz w:val="20"/>
          <w:szCs w:val="20"/>
          <w:color w:val="auto"/>
        </w:rPr>
      </w:pPr>
    </w:p>
    <w:p>
      <w:pPr>
        <w:ind w:left="60" w:right="639" w:firstLine="401"/>
        <w:spacing w:after="0" w:line="277" w:lineRule="auto"/>
        <w:rPr>
          <w:sz w:val="20"/>
          <w:szCs w:val="20"/>
          <w:color w:val="auto"/>
        </w:rPr>
      </w:pPr>
      <w:r>
        <w:rPr>
          <w:rFonts w:ascii="Arial" w:cs="Arial" w:eastAsia="Arial" w:hAnsi="Arial"/>
          <w:sz w:val="18"/>
          <w:szCs w:val="18"/>
          <w:color w:val="auto"/>
        </w:rPr>
        <w:t>The total balance of unrecognized tax benefits as of December 31, 2021 would impact the effective tax rate, if recognized.</w:t>
      </w:r>
    </w:p>
    <w:p>
      <w:pPr>
        <w:spacing w:after="0" w:line="170" w:lineRule="exact"/>
        <w:rPr>
          <w:sz w:val="20"/>
          <w:szCs w:val="20"/>
          <w:color w:val="auto"/>
        </w:rPr>
      </w:pPr>
    </w:p>
    <w:p>
      <w:pPr>
        <w:ind w:left="60" w:right="159" w:firstLine="405"/>
        <w:spacing w:after="0" w:line="263" w:lineRule="auto"/>
        <w:rPr>
          <w:sz w:val="20"/>
          <w:szCs w:val="20"/>
          <w:color w:val="auto"/>
        </w:rPr>
      </w:pPr>
      <w:r>
        <w:rPr>
          <w:rFonts w:ascii="Arial" w:cs="Arial" w:eastAsia="Arial" w:hAnsi="Arial"/>
          <w:sz w:val="18"/>
          <w:szCs w:val="18"/>
          <w:color w:val="auto"/>
        </w:rPr>
        <w:t>The Company's policy is to recognize interest and penalties accrued on any unrecognized tax benefit as a component of income tax expense. The Company has accrued penalties and interest of $155,000 and $156,000, as of December 31, 2021 and December 31, 2020,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Net Income (Loss) Per Common Share</w:t>
      </w:r>
    </w:p>
    <w:p>
      <w:pPr>
        <w:spacing w:after="0" w:line="229" w:lineRule="exact"/>
        <w:rPr>
          <w:sz w:val="20"/>
          <w:szCs w:val="20"/>
          <w:color w:val="auto"/>
        </w:rPr>
      </w:pPr>
    </w:p>
    <w:p>
      <w:pPr>
        <w:ind w:left="60" w:right="219" w:firstLine="40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(in thousands, except share and per share amounts):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451739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1060" w:right="120"/>
        <w:spacing w:after="0" w:line="296" w:lineRule="auto"/>
        <w:rPr>
          <w:sz w:val="20"/>
          <w:szCs w:val="20"/>
          <w:color w:val="auto"/>
        </w:rPr>
      </w:pPr>
      <w:r>
        <w:rPr>
          <w:rFonts w:ascii="Arial" w:cs="Arial" w:eastAsia="Arial" w:hAnsi="Arial"/>
          <w:sz w:val="16"/>
          <w:szCs w:val="16"/>
          <w:color w:val="auto"/>
        </w:rPr>
        <w:t>Weighted-average common shares outstanding used to calculate net income (loss) per common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-13335</wp:posOffset>
            </wp:positionV>
            <wp:extent cx="451739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17390" cy="16319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b w:val="1"/>
          <w:bCs w:val="1"/>
          <w:color w:val="auto"/>
        </w:rPr>
        <w:t>Net income (loss) per common share, basic</w:t>
      </w:r>
    </w:p>
    <w:p>
      <w:pPr>
        <w:spacing w:after="0" w:line="200" w:lineRule="exact"/>
        <w:rPr>
          <w:sz w:val="20"/>
          <w:szCs w:val="20"/>
          <w:color w:val="auto"/>
        </w:rPr>
      </w:pPr>
    </w:p>
    <w:p>
      <w:pPr>
        <w:spacing w:after="0" w:line="39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451739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1060" w:right="120"/>
        <w:spacing w:after="0" w:line="250" w:lineRule="auto"/>
        <w:rPr>
          <w:sz w:val="20"/>
          <w:szCs w:val="20"/>
          <w:color w:val="auto"/>
        </w:rPr>
      </w:pPr>
      <w:r>
        <w:rPr>
          <w:rFonts w:ascii="Arial" w:cs="Arial" w:eastAsia="Arial" w:hAnsi="Arial"/>
          <w:sz w:val="18"/>
          <w:szCs w:val="18"/>
          <w:color w:val="auto"/>
        </w:rPr>
        <w:t>Weighted-average common shares outstanding used to calculate net income (loss) per common share, basic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451739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1060" w:right="120"/>
        <w:spacing w:after="0" w:line="315" w:lineRule="auto"/>
        <w:rPr>
          <w:sz w:val="20"/>
          <w:szCs w:val="20"/>
          <w:color w:val="auto"/>
        </w:rPr>
      </w:pPr>
      <w:r>
        <w:rPr>
          <w:rFonts w:ascii="Arial" w:cs="Arial" w:eastAsia="Arial" w:hAnsi="Arial"/>
          <w:sz w:val="15"/>
          <w:szCs w:val="15"/>
          <w:color w:val="auto"/>
        </w:rPr>
        <w:t>Weighted-average common shares outstanding used to calculate net income (loss) per common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-12700</wp:posOffset>
            </wp:positionV>
            <wp:extent cx="451739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17390" cy="1625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b w:val="1"/>
          <w:bCs w:val="1"/>
          <w:color w:val="auto"/>
        </w:rPr>
        <w:t>Net income (loss) per common share, diluted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25"/>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4,343</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19,400,124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18,782,287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25"/>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4,343</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19,400,124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18,782,287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19,972,145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18,782,287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00" w:space="720"/>
            <w:col w:w="319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outstanding shares of potentially dilutive securities have been excluded from diluted net income (loss)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 common share for the periods presented, because their inclusion would be anti-dilutive:</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w w:val="99"/>
              </w:rPr>
              <w:t>Year Ended December 31,</w:t>
            </w:r>
          </w:p>
        </w:tc>
      </w:tr>
      <w:tr>
        <w:trPr>
          <w:trHeight w:val="196"/>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1,221,720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2,272,905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RSUs</w:t>
            </w:r>
          </w:p>
        </w:tc>
        <w:tc>
          <w:tcPr>
            <w:tcW w:w="900" w:type="dxa"/>
            <w:vAlign w:val="bottom"/>
          </w:tcPr>
          <w:p>
            <w:pPr>
              <w:jc w:val="right"/>
              <w:spacing w:after="0"/>
              <w:rPr>
                <w:sz w:val="20"/>
                <w:szCs w:val="20"/>
                <w:color w:val="auto"/>
              </w:rPr>
            </w:pPr>
            <w:r>
              <w:rPr>
                <w:rFonts w:ascii="Arial" w:cs="Arial" w:eastAsia="Arial" w:hAnsi="Arial"/>
                <w:sz w:val="18"/>
                <w:szCs w:val="18"/>
                <w:color w:val="auto"/>
              </w:rPr>
              <w:t>9,815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416,742</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49,336</w:t>
            </w:r>
          </w:p>
        </w:tc>
      </w:tr>
      <w:tr>
        <w:trPr>
          <w:trHeight w:val="209"/>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1,259,371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2,738,983</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60" w:right="139" w:firstLine="401"/>
        <w:spacing w:after="0" w:line="311" w:lineRule="auto"/>
        <w:rPr>
          <w:sz w:val="20"/>
          <w:szCs w:val="20"/>
          <w:color w:val="auto"/>
        </w:rPr>
      </w:pPr>
      <w:r>
        <w:rPr>
          <w:rFonts w:ascii="Arial" w:cs="Arial" w:eastAsia="Arial" w:hAnsi="Arial"/>
          <w:sz w:val="16"/>
          <w:szCs w:val="16"/>
          <w:color w:val="auto"/>
        </w:rPr>
        <w:t>Our management, with the participation of our management team, including our Interim Chief Executive Officer (Interim CEO) and Chief Financial Officer (CFO) evaluated the effectiveness of the design and operation of our disclosure controls and procedures (as defined in Rules 13a-15(e) and 15d-15(e) under the Exchange Act) as of December 31, 2021.</w:t>
      </w:r>
    </w:p>
    <w:p>
      <w:pPr>
        <w:spacing w:after="0" w:line="149" w:lineRule="exact"/>
        <w:rPr>
          <w:sz w:val="20"/>
          <w:szCs w:val="20"/>
          <w:color w:val="auto"/>
        </w:rPr>
      </w:pPr>
    </w:p>
    <w:p>
      <w:pPr>
        <w:ind w:left="60" w:right="159" w:firstLine="401"/>
        <w:spacing w:after="0" w:line="311" w:lineRule="auto"/>
        <w:rPr>
          <w:sz w:val="20"/>
          <w:szCs w:val="20"/>
          <w:color w:val="auto"/>
        </w:rPr>
      </w:pPr>
      <w:r>
        <w:rPr>
          <w:rFonts w:ascii="Arial" w:cs="Arial" w:eastAsia="Arial" w:hAnsi="Arial"/>
          <w:sz w:val="16"/>
          <w:szCs w:val="16"/>
          <w:color w:val="auto"/>
        </w:rPr>
        <w:t>Based on this evaluation, our Interim CEO and CFO concluded that, our disclosure controls and procedures were not effective at the reasonable assurance level as of December 31, 2021, based on the material weakness in internal control over financial reporting (as defined in Rules 13a-15(f) and 15d-15(f) under the Exchange Act) described below.</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(as defined in Rules 13a-15(f) and 15d-15(f) under the Exchange Act). This Annual Report on Form 10-K does not include an attestation report of our independent registered public accounting firm because, as a “smaller reporting company”, and non-accelerated filer, our independent registered public accounting firm is not required to issue such an attestation report.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report is provided by management in respect of our internal control over financial reporting:</w:t>
      </w:r>
    </w:p>
    <w:p>
      <w:pPr>
        <w:spacing w:after="0" w:line="225" w:lineRule="exact"/>
        <w:rPr>
          <w:sz w:val="20"/>
          <w:szCs w:val="20"/>
          <w:color w:val="auto"/>
        </w:rPr>
      </w:pPr>
    </w:p>
    <w:p>
      <w:pPr>
        <w:ind w:left="60" w:right="119" w:firstLine="401"/>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management used the Committee of Sponsoring Organizations of the Treadway Commission’s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2021 and has concluded that such internal control over financial reporting was not effective, based on the material weakness described below.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determined our controls around inventory, including unit level cost allocation and communication protocols between operations and accounting were not sufficiently designed to prevent and detect a material misstatement. We have established a plan to remediate this material weakness outlined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steps taken to remediate the material weakness.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remediate this material weakness, we have taken the following actions:</w:t>
      </w:r>
    </w:p>
    <w:p>
      <w:pPr>
        <w:spacing w:after="0" w:line="225" w:lineRule="exact"/>
        <w:rPr>
          <w:sz w:val="20"/>
          <w:szCs w:val="20"/>
          <w:color w:val="auto"/>
        </w:rPr>
      </w:pPr>
    </w:p>
    <w:p>
      <w:pPr>
        <w:ind w:left="640" w:right="259" w:hanging="239"/>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219" w:hanging="239"/>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establishing reconciliations by product family based on unit cost at each stage of the wafer manufacturing process.</w:t>
      </w:r>
    </w:p>
    <w:p>
      <w:pPr>
        <w:spacing w:after="0" w:line="170" w:lineRule="exact"/>
        <w:rPr>
          <w:rFonts w:ascii="Arial" w:cs="Arial" w:eastAsia="Arial" w:hAnsi="Arial"/>
          <w:sz w:val="18"/>
          <w:szCs w:val="18"/>
          <w:color w:val="auto"/>
        </w:rPr>
      </w:pPr>
    </w:p>
    <w:p>
      <w:pPr>
        <w:ind w:left="640" w:right="379" w:hanging="239"/>
        <w:spacing w:after="0" w:line="34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taking steps to identify unit pricing variances between each stage of the wafer manufacturing process to ensure cost allocation amounts are appropriately reflected at both the unit and product family level.</w:t>
      </w:r>
    </w:p>
    <w:p>
      <w:pPr>
        <w:spacing w:after="0" w:line="123" w:lineRule="exact"/>
        <w:rPr>
          <w:rFonts w:ascii="Arial" w:cs="Arial" w:eastAsia="Arial" w:hAnsi="Arial"/>
          <w:sz w:val="16"/>
          <w:szCs w:val="16"/>
          <w:color w:val="auto"/>
        </w:rPr>
      </w:pPr>
    </w:p>
    <w:p>
      <w:pPr>
        <w:ind w:left="640" w:hanging="239"/>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providing additional training to our teams and updating procedures with our third-party Assembly Houses.</w:t>
      </w:r>
    </w:p>
    <w:p>
      <w:pPr>
        <w:spacing w:after="0" w:line="248" w:lineRule="exact"/>
        <w:rPr>
          <w:rFonts w:ascii="Arial" w:cs="Arial" w:eastAsia="Arial" w:hAnsi="Arial"/>
          <w:sz w:val="16"/>
          <w:szCs w:val="16"/>
          <w:color w:val="auto"/>
        </w:rPr>
      </w:pPr>
    </w:p>
    <w:p>
      <w:pPr>
        <w:ind w:left="640" w:right="159" w:hanging="239"/>
        <w:spacing w:after="0" w:line="34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hired additional qualified personnel during the year ended December 31, 2021, to assist management with its financial statement close process and provide oversight of our financial reporting and inventory costing processes.</w:t>
      </w:r>
    </w:p>
    <w:p>
      <w:pPr>
        <w:spacing w:after="0" w:line="124"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and to prevent and detect material misstatements. Our management has concluded that the financial statements included elsewhere in this Annual Report on Form 10-K present fairly, in all material respects, our financial position, results of operations and is in conformity with GAAP.</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60" w:right="339" w:firstLine="401"/>
        <w:spacing w:after="0" w:line="263" w:lineRule="auto"/>
        <w:rPr>
          <w:sz w:val="20"/>
          <w:szCs w:val="20"/>
          <w:color w:val="auto"/>
        </w:rPr>
      </w:pPr>
      <w:r>
        <w:rPr>
          <w:rFonts w:ascii="Arial" w:cs="Arial" w:eastAsia="Arial" w:hAnsi="Arial"/>
          <w:sz w:val="18"/>
          <w:szCs w:val="18"/>
          <w:color w:val="auto"/>
        </w:rPr>
        <w:t>Except with respect to the remediation actions described above, there have been no changes in our internal control over financial reporting that occurred during the quarter ended December 31, 2021 that materially affected, or are reasonably likely to materially affect, our internal control over financial reporting.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60" w:right="139" w:firstLine="401"/>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279" w:firstLine="401"/>
        <w:spacing w:after="0" w:line="25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2022 Annual Meeting of Stockholders, or the Proxy Statement, which will be filed not later than 120 days after the end of our fiscal year ended December 31, 2021, under the headings “Management,” “Proposal 1 - Election of Directors,” “Board Committees and Meetings,” and “Delinquent Section 16(a) Reports,” and is incorporated herein by reference.</w:t>
      </w:r>
    </w:p>
    <w:p>
      <w:pPr>
        <w:spacing w:after="0" w:line="188"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679" w:firstLine="401"/>
        <w:spacing w:after="0" w:line="263"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of Non-Employee Board Members” in our Proxy Statement.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60" w:right="219" w:firstLine="401"/>
        <w:spacing w:after="0" w:line="25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459" w:firstLine="401"/>
        <w:spacing w:after="0" w:line="311" w:lineRule="auto"/>
        <w:rPr>
          <w:sz w:val="20"/>
          <w:szCs w:val="20"/>
          <w:color w:val="auto"/>
        </w:rPr>
      </w:pPr>
      <w:r>
        <w:rPr>
          <w:rFonts w:ascii="Arial" w:cs="Arial" w:eastAsia="Arial" w:hAnsi="Arial"/>
          <w:sz w:val="16"/>
          <w:szCs w:val="16"/>
          <w:color w:val="auto"/>
        </w:rPr>
        <w:t>The information required by this item regarding certain relationships and related transactions and director independence is incorporated by reference to the information set forth in the sections titled “Certain Relationships and Related Party Transactions” and “Corporate Governance”, respectively, in our Proxy Statement.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99" w:firstLine="401"/>
        <w:spacing w:after="0" w:line="342" w:lineRule="auto"/>
        <w:rPr>
          <w:sz w:val="20"/>
          <w:szCs w:val="20"/>
          <w:color w:val="auto"/>
        </w:rPr>
      </w:pPr>
      <w:r>
        <w:rPr>
          <w:rFonts w:ascii="Arial" w:cs="Arial" w:eastAsia="Arial" w:hAnsi="Arial"/>
          <w:sz w:val="16"/>
          <w:szCs w:val="16"/>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5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420" w:hanging="188"/>
        <w:spacing w:after="0"/>
        <w:tabs>
          <w:tab w:leader="none" w:pos="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Information in response to this Item is included in Part II, Item 8 of this Annual Report on Form 10-K.</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300" w:right="139" w:firstLine="648"/>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Incorporation By Reference</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900" w:type="dxa"/>
            <w:vAlign w:val="bottom"/>
            <w:gridSpan w:val="17"/>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9"/>
                <w:szCs w:val="9"/>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vMerge w:val="restart"/>
          </w:tcPr>
          <w:p>
            <w:pPr>
              <w:spacing w:after="0"/>
              <w:rPr>
                <w:sz w:val="9"/>
                <w:szCs w:val="9"/>
                <w:color w:val="auto"/>
              </w:rPr>
            </w:pPr>
          </w:p>
        </w:tc>
        <w:tc>
          <w:tcPr>
            <w:tcW w:w="17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SEC File No.</w:t>
            </w:r>
          </w:p>
        </w:tc>
        <w:tc>
          <w:tcPr>
            <w:tcW w:w="180" w:type="dxa"/>
            <w:vAlign w:val="bottom"/>
            <w:vMerge w:val="restart"/>
          </w:tcPr>
          <w:p>
            <w:pPr>
              <w:spacing w:after="0"/>
              <w:rPr>
                <w:sz w:val="9"/>
                <w:szCs w:val="9"/>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9"/>
                <w:szCs w:val="9"/>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17"/>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2680" w:type="dxa"/>
            <w:vAlign w:val="bottom"/>
            <w:tcBorders>
              <w:bottom w:val="single" w:sz="8" w:color="0000EE"/>
            </w:tcBorders>
            <w:gridSpan w:val="14"/>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Amended and Restated Certificate of</w:t>
              </w:r>
            </w:hyperlink>
          </w:p>
        </w:tc>
        <w:tc>
          <w:tcPr>
            <w:tcW w:w="400" w:type="dxa"/>
            <w:vAlign w:val="bottom"/>
            <w:gridSpan w:val="7"/>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Incorporation.</w:t>
              </w:r>
            </w:hyperlink>
          </w:p>
        </w:tc>
        <w:tc>
          <w:tcPr>
            <w:tcW w:w="206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800" w:type="dxa"/>
            <w:vAlign w:val="bottom"/>
            <w:tcBorders>
              <w:bottom w:val="single" w:sz="8" w:color="0000EE"/>
            </w:tcBorders>
            <w:gridSpan w:val="18"/>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Amendment to Amended and Restated</w:t>
              </w:r>
            </w:hyperlink>
          </w:p>
        </w:tc>
        <w:tc>
          <w:tcPr>
            <w:tcW w:w="280" w:type="dxa"/>
            <w:vAlign w:val="bottom"/>
            <w:gridSpan w:val="3"/>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Certificate of Incorporation.</w:t>
              </w:r>
            </w:hyperlink>
          </w:p>
        </w:tc>
        <w:tc>
          <w:tcPr>
            <w:tcW w:w="10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2800" w:type="dxa"/>
            <w:vAlign w:val="bottom"/>
            <w:tcBorders>
              <w:bottom w:val="single" w:sz="8" w:color="0000EE"/>
            </w:tcBorders>
            <w:gridSpan w:val="18"/>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Amendment to Amended and Restated</w:t>
              </w:r>
            </w:hyperlink>
          </w:p>
        </w:tc>
        <w:tc>
          <w:tcPr>
            <w:tcW w:w="280" w:type="dxa"/>
            <w:vAlign w:val="bottom"/>
            <w:gridSpan w:val="3"/>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Certificate of Incorporation.</w:t>
              </w:r>
            </w:hyperlink>
          </w:p>
        </w:tc>
        <w:tc>
          <w:tcPr>
            <w:tcW w:w="10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Bylaws.</w:t>
              </w:r>
            </w:hyperlink>
          </w:p>
        </w:tc>
        <w:tc>
          <w:tcPr>
            <w:tcW w:w="2500" w:type="dxa"/>
            <w:vAlign w:val="bottom"/>
            <w:gridSpan w:val="20"/>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760" w:type="dxa"/>
            <w:vAlign w:val="bottom"/>
            <w:tcBorders>
              <w:bottom w:val="single" w:sz="8" w:color="0000EE"/>
            </w:tcBorders>
            <w:gridSpan w:val="16"/>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Common Stock Certificate of</w:t>
              </w:r>
            </w:hyperlink>
          </w:p>
        </w:tc>
        <w:tc>
          <w:tcPr>
            <w:tcW w:w="320" w:type="dxa"/>
            <w:vAlign w:val="bottom"/>
            <w:gridSpan w:val="5"/>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the registrant.</w:t>
              </w:r>
            </w:hyperlink>
          </w:p>
        </w:tc>
        <w:tc>
          <w:tcPr>
            <w:tcW w:w="210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3080" w:type="dxa"/>
            <w:vAlign w:val="bottom"/>
            <w:gridSpan w:val="21"/>
          </w:tcPr>
          <w:p>
            <w:pPr>
              <w:spacing w:after="0"/>
              <w:rPr>
                <w:rFonts w:ascii="Arial" w:cs="Arial" w:eastAsia="Arial" w:hAnsi="Arial"/>
                <w:sz w:val="18"/>
                <w:szCs w:val="18"/>
                <w:color w:val="0000EE"/>
              </w:rPr>
            </w:pPr>
            <w:hyperlink r:id="rId95">
              <w:r>
                <w:rPr>
                  <w:rFonts w:ascii="Arial" w:cs="Arial" w:eastAsia="Arial" w:hAnsi="Arial"/>
                  <w:sz w:val="18"/>
                  <w:szCs w:val="18"/>
                  <w:color w:val="0000EE"/>
                </w:rPr>
                <w:t>Amended and Restated Warrant to</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11/07/2019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Purchase Common Stock, dated as of</w:t>
              </w:r>
            </w:hyperlink>
          </w:p>
        </w:tc>
        <w:tc>
          <w:tcPr>
            <w:tcW w:w="4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August 5, 2019, between the registrant</w:t>
              </w:r>
            </w:hyperlink>
          </w:p>
        </w:tc>
        <w:tc>
          <w:tcPr>
            <w:tcW w:w="30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and Silicon Valley Bank.</w:t>
              </w:r>
            </w:hyperlink>
          </w:p>
        </w:tc>
        <w:tc>
          <w:tcPr>
            <w:tcW w:w="130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2680" w:type="dxa"/>
            <w:vAlign w:val="bottom"/>
            <w:tcBorders>
              <w:bottom w:val="single" w:sz="8" w:color="0000EE"/>
            </w:tcBorders>
            <w:gridSpan w:val="14"/>
          </w:tcPr>
          <w:p>
            <w:pPr>
              <w:spacing w:after="0"/>
              <w:rPr>
                <w:rFonts w:ascii="Arial" w:cs="Arial" w:eastAsia="Arial" w:hAnsi="Arial"/>
                <w:sz w:val="18"/>
                <w:szCs w:val="18"/>
                <w:color w:val="0000EE"/>
                <w:w w:val="88"/>
              </w:rPr>
            </w:pPr>
            <w:hyperlink r:id="rId96">
              <w:r>
                <w:rPr>
                  <w:rFonts w:ascii="Arial" w:cs="Arial" w:eastAsia="Arial" w:hAnsi="Arial"/>
                  <w:sz w:val="18"/>
                  <w:szCs w:val="18"/>
                  <w:color w:val="0000EE"/>
                  <w:w w:val="88"/>
                </w:rPr>
                <w:t>Warrant to Purchase Common Stock,</w:t>
              </w:r>
            </w:hyperlink>
          </w:p>
        </w:tc>
        <w:tc>
          <w:tcPr>
            <w:tcW w:w="400" w:type="dxa"/>
            <w:vAlign w:val="bottom"/>
            <w:gridSpan w:val="7"/>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8/06/2020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dated as of July 15, 2020, between the</w:t>
              </w:r>
            </w:hyperlink>
          </w:p>
        </w:tc>
        <w:tc>
          <w:tcPr>
            <w:tcW w:w="32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2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registrant and Silicon Valley Bank.</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Description of Common Stock.</w:t>
              </w:r>
            </w:hyperlink>
          </w:p>
        </w:tc>
        <w:tc>
          <w:tcPr>
            <w:tcW w:w="260" w:type="dxa"/>
            <w:vAlign w:val="bottom"/>
            <w:tcBorders>
              <w:top w:val="single" w:sz="8" w:color="0000EE"/>
            </w:tcBorders>
            <w:gridSpan w:val="2"/>
          </w:tcPr>
          <w:p>
            <w:pPr>
              <w:spacing w:after="0"/>
              <w:rPr>
                <w:sz w:val="24"/>
                <w:szCs w:val="24"/>
                <w:color w:val="auto"/>
              </w:rPr>
            </w:pPr>
          </w:p>
        </w:tc>
        <w:tc>
          <w:tcPr>
            <w:tcW w:w="580" w:type="dxa"/>
            <w:vAlign w:val="bottom"/>
            <w:gridSpan w:val="11"/>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3/4/2021</w:t>
            </w: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080" w:type="dxa"/>
            <w:vAlign w:val="bottom"/>
            <w:gridSpan w:val="21"/>
          </w:tcPr>
          <w:p>
            <w:pPr>
              <w:spacing w:after="0"/>
              <w:rPr>
                <w:rFonts w:ascii="Arial" w:cs="Arial" w:eastAsia="Arial" w:hAnsi="Arial"/>
                <w:sz w:val="18"/>
                <w:szCs w:val="18"/>
                <w:color w:val="0000EE"/>
                <w:w w:val="98"/>
              </w:rPr>
            </w:pPr>
            <w:hyperlink r:id="rId98">
              <w:r>
                <w:rPr>
                  <w:rFonts w:ascii="Arial" w:cs="Arial" w:eastAsia="Arial" w:hAnsi="Arial"/>
                  <w:sz w:val="18"/>
                  <w:szCs w:val="18"/>
                  <w:color w:val="0000EE"/>
                  <w:w w:val="98"/>
                </w:rPr>
                <w:t>Form of Indemnity Agreement between</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the registrant and its directors and</w:t>
              </w:r>
            </w:hyperlink>
          </w:p>
        </w:tc>
        <w:tc>
          <w:tcPr>
            <w:tcW w:w="38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officers.</w:t>
              </w:r>
            </w:hyperlink>
          </w:p>
        </w:tc>
        <w:tc>
          <w:tcPr>
            <w:tcW w:w="2500" w:type="dxa"/>
            <w:vAlign w:val="bottom"/>
            <w:gridSpan w:val="20"/>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200" w:type="dxa"/>
            <w:vAlign w:val="bottom"/>
            <w:tcBorders>
              <w:bottom w:val="single" w:sz="8" w:color="0000EE"/>
            </w:tcBorders>
            <w:gridSpan w:val="7"/>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2008 Equity Incentive Plan, as</w:t>
              </w:r>
            </w:hyperlink>
          </w:p>
        </w:tc>
        <w:tc>
          <w:tcPr>
            <w:tcW w:w="880" w:type="dxa"/>
            <w:vAlign w:val="bottom"/>
            <w:gridSpan w:val="14"/>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amended, and Form of Stock Option</w:t>
              </w:r>
            </w:hyperlink>
          </w:p>
        </w:tc>
        <w:tc>
          <w:tcPr>
            <w:tcW w:w="46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21"/>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Grant Notice, Option Agreement and</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Form of Notice of Exercise.</w:t>
              </w:r>
            </w:hyperlink>
          </w:p>
        </w:tc>
        <w:tc>
          <w:tcPr>
            <w:tcW w:w="4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3080" w:type="dxa"/>
            <w:vAlign w:val="bottom"/>
            <w:gridSpan w:val="21"/>
          </w:tcPr>
          <w:p>
            <w:pPr>
              <w:spacing w:after="0"/>
              <w:rPr>
                <w:rFonts w:ascii="Arial" w:cs="Arial" w:eastAsia="Arial" w:hAnsi="Arial"/>
                <w:sz w:val="18"/>
                <w:szCs w:val="18"/>
                <w:color w:val="0000EE"/>
              </w:rPr>
            </w:pPr>
            <w:hyperlink r:id="rId100">
              <w:r>
                <w:rPr>
                  <w:rFonts w:ascii="Arial" w:cs="Arial" w:eastAsia="Arial" w:hAnsi="Arial"/>
                  <w:sz w:val="18"/>
                  <w:szCs w:val="18"/>
                  <w:color w:val="0000EE"/>
                </w:rPr>
                <w:t>Amended and Restated 2016 Equity</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Incentive Plan.</w:t>
              </w:r>
            </w:hyperlink>
          </w:p>
        </w:tc>
        <w:tc>
          <w:tcPr>
            <w:tcW w:w="50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4"/>
                <w:szCs w:val="24"/>
                <w:color w:val="auto"/>
              </w:rPr>
            </w:pPr>
          </w:p>
        </w:tc>
        <w:tc>
          <w:tcPr>
            <w:tcW w:w="2760" w:type="dxa"/>
            <w:vAlign w:val="bottom"/>
            <w:tcBorders>
              <w:bottom w:val="single" w:sz="8" w:color="0000EE"/>
            </w:tcBorders>
            <w:gridSpan w:val="16"/>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First Amendment to the Amended and</w:t>
              </w:r>
            </w:hyperlink>
          </w:p>
        </w:tc>
        <w:tc>
          <w:tcPr>
            <w:tcW w:w="320" w:type="dxa"/>
            <w:vAlign w:val="bottom"/>
            <w:gridSpan w:val="5"/>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5/25/2021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2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Restated 2016 Equity Incentive Plan.</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26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Stock Option Grant Notice,</w:t>
              </w:r>
            </w:hyperlink>
          </w:p>
        </w:tc>
        <w:tc>
          <w:tcPr>
            <w:tcW w:w="80" w:type="dxa"/>
            <w:vAlign w:val="bottom"/>
            <w:tcBorders>
              <w:top w:val="single" w:sz="8" w:color="0000EE"/>
            </w:tcBorders>
            <w:gridSpan w:val="2"/>
          </w:tcPr>
          <w:p>
            <w:pPr>
              <w:spacing w:after="0"/>
              <w:rPr>
                <w:sz w:val="24"/>
                <w:szCs w:val="24"/>
                <w:color w:val="auto"/>
              </w:rPr>
            </w:pPr>
          </w:p>
        </w:tc>
        <w:tc>
          <w:tcPr>
            <w:tcW w:w="400" w:type="dxa"/>
            <w:vAlign w:val="bottom"/>
            <w:gridSpan w:val="7"/>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Option Agreement and Form of Notice</w:t>
              </w:r>
            </w:hyperlink>
          </w:p>
        </w:tc>
        <w:tc>
          <w:tcPr>
            <w:tcW w:w="2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of Exercise used with the 2016 Equity</w:t>
              </w:r>
            </w:hyperlink>
          </w:p>
        </w:tc>
        <w:tc>
          <w:tcPr>
            <w:tcW w:w="34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2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Incentive Plan.</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40" w:type="dxa"/>
            <w:vAlign w:val="bottom"/>
            <w:tcBorders>
              <w:left w:val="single" w:sz="8" w:color="0000EE"/>
            </w:tcBorders>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3080" w:type="dxa"/>
            <w:vAlign w:val="bottom"/>
            <w:gridSpan w:val="21"/>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Form of Restricted Stock Unit Award</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Agreement under the 2016 Equity</w:t>
              </w:r>
            </w:hyperlink>
          </w:p>
        </w:tc>
        <w:tc>
          <w:tcPr>
            <w:tcW w:w="220" w:type="dxa"/>
            <w:vAlign w:val="bottom"/>
            <w:tcBorders>
              <w:top w:val="single" w:sz="8" w:color="0000EE"/>
            </w:tcBorders>
            <w:gridSpan w:val="5"/>
          </w:tcPr>
          <w:p>
            <w:pPr>
              <w:spacing w:after="0"/>
              <w:rPr>
                <w:sz w:val="17"/>
                <w:szCs w:val="17"/>
                <w:color w:val="auto"/>
              </w:rPr>
            </w:pPr>
          </w:p>
        </w:tc>
        <w:tc>
          <w:tcPr>
            <w:tcW w:w="4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21"/>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Incentive Plan</w:t>
              </w:r>
              <w:r>
                <w:rPr>
                  <w:rFonts w:ascii="Arial" w:cs="Arial" w:eastAsia="Arial" w:hAnsi="Arial"/>
                  <w:sz w:val="18"/>
                  <w:szCs w:val="18"/>
                  <w:color w:val="000000"/>
                </w:rPr>
                <w:t>.</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3080" w:type="dxa"/>
            <w:vAlign w:val="bottom"/>
            <w:gridSpan w:val="21"/>
          </w:tcPr>
          <w:p>
            <w:pPr>
              <w:spacing w:after="0"/>
              <w:rPr>
                <w:rFonts w:ascii="Arial" w:cs="Arial" w:eastAsia="Arial" w:hAnsi="Arial"/>
                <w:sz w:val="18"/>
                <w:szCs w:val="18"/>
                <w:color w:val="0000EE"/>
              </w:rPr>
            </w:pPr>
            <w:hyperlink r:id="rId104">
              <w:r>
                <w:rPr>
                  <w:rFonts w:ascii="Arial" w:cs="Arial" w:eastAsia="Arial" w:hAnsi="Arial"/>
                  <w:sz w:val="18"/>
                  <w:szCs w:val="18"/>
                  <w:color w:val="0000EE"/>
                </w:rPr>
                <w:t>2016 Employee Stock Purchase Plan.</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-4234180</wp:posOffset>
            </wp:positionV>
            <wp:extent cx="2540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2820" w:type="dxa"/>
            <w:vAlign w:val="bottom"/>
            <w:tcBorders>
              <w:bottom w:val="single" w:sz="8" w:color="0000EE"/>
            </w:tcBorders>
            <w:gridSpan w:val="19"/>
          </w:tcPr>
          <w:p>
            <w:pPr>
              <w:spacing w:after="0"/>
              <w:rPr>
                <w:rFonts w:ascii="Arial" w:cs="Arial" w:eastAsia="Arial" w:hAnsi="Arial"/>
                <w:sz w:val="18"/>
                <w:szCs w:val="18"/>
                <w:color w:val="0000EE"/>
                <w:w w:val="87"/>
              </w:rPr>
            </w:pPr>
            <w:hyperlink r:id="rId107">
              <w:r>
                <w:rPr>
                  <w:rFonts w:ascii="Arial" w:cs="Arial" w:eastAsia="Arial" w:hAnsi="Arial"/>
                  <w:sz w:val="18"/>
                  <w:szCs w:val="18"/>
                  <w:color w:val="0000EE"/>
                  <w:w w:val="87"/>
                </w:rPr>
                <w:t>Lease, dated as of June 6, 2008, by and</w:t>
              </w:r>
            </w:hyperlink>
          </w:p>
        </w:tc>
        <w:tc>
          <w:tcPr>
            <w:tcW w:w="60" w:type="dxa"/>
            <w:vAlign w:val="bottom"/>
            <w:gridSpan w:val="2"/>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6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r:id="rId107">
              <w:r>
                <w:rPr>
                  <w:rFonts w:ascii="Arial" w:cs="Arial" w:eastAsia="Arial" w:hAnsi="Arial"/>
                  <w:sz w:val="18"/>
                  <w:szCs w:val="18"/>
                  <w:color w:val="0000EE"/>
                  <w:w w:val="87"/>
                </w:rPr>
                <w:t>between the registrant and Freescale</w:t>
              </w:r>
            </w:hyperlink>
          </w:p>
        </w:tc>
        <w:tc>
          <w:tcPr>
            <w:tcW w:w="26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Semiconductor, Inc.</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10.7.1</w:t>
            </w:r>
          </w:p>
        </w:tc>
        <w:tc>
          <w:tcPr>
            <w:tcW w:w="2880" w:type="dxa"/>
            <w:vAlign w:val="bottom"/>
            <w:gridSpan w:val="21"/>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Amendment No. 1 to Lease, dated as of</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February 2, 2009, by and between the</w:t>
              </w:r>
            </w:hyperlink>
          </w:p>
        </w:tc>
        <w:tc>
          <w:tcPr>
            <w:tcW w:w="12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registrant and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Inc.</w:t>
              </w:r>
            </w:hyperlink>
          </w:p>
        </w:tc>
        <w:tc>
          <w:tcPr>
            <w:tcW w:w="26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10.7.2</w:t>
            </w:r>
          </w:p>
        </w:tc>
        <w:tc>
          <w:tcPr>
            <w:tcW w:w="2880" w:type="dxa"/>
            <w:vAlign w:val="bottom"/>
            <w:gridSpan w:val="21"/>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Amendment No. 2 to Lease, dated as of</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840" w:type="dxa"/>
            <w:vAlign w:val="bottom"/>
            <w:tcBorders>
              <w:top w:val="single" w:sz="8" w:color="0000EE"/>
            </w:tcBorders>
            <w:gridSpan w:val="20"/>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February 18, 2010, by and between the</w:t>
              </w:r>
            </w:hyperlink>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registrant and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Inc.</w:t>
              </w:r>
            </w:hyperlink>
          </w:p>
        </w:tc>
        <w:tc>
          <w:tcPr>
            <w:tcW w:w="26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10.7.3</w:t>
            </w:r>
          </w:p>
        </w:tc>
        <w:tc>
          <w:tcPr>
            <w:tcW w:w="2880" w:type="dxa"/>
            <w:vAlign w:val="bottom"/>
            <w:gridSpan w:val="21"/>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Amendment No. 3 to Lease, dated as of</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July 20, 2011, by and between the</w:t>
              </w:r>
            </w:hyperlink>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registrant and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Inc.</w:t>
              </w:r>
            </w:hyperlink>
          </w:p>
        </w:tc>
        <w:tc>
          <w:tcPr>
            <w:tcW w:w="26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10.7.4</w:t>
            </w:r>
          </w:p>
        </w:tc>
        <w:tc>
          <w:tcPr>
            <w:tcW w:w="2880" w:type="dxa"/>
            <w:vAlign w:val="bottom"/>
            <w:gridSpan w:val="21"/>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Amendment No. 4 to Lease, dated as of</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June, 2014 by and between the</w:t>
              </w:r>
            </w:hyperlink>
          </w:p>
        </w:tc>
        <w:tc>
          <w:tcPr>
            <w:tcW w:w="62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registrant and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Inc.</w:t>
              </w:r>
            </w:hyperlink>
          </w:p>
        </w:tc>
        <w:tc>
          <w:tcPr>
            <w:tcW w:w="26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10.7.5</w:t>
            </w:r>
          </w:p>
        </w:tc>
        <w:tc>
          <w:tcPr>
            <w:tcW w:w="2880" w:type="dxa"/>
            <w:vAlign w:val="bottom"/>
            <w:gridSpan w:val="21"/>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Amendment No. 5 to Lease, dated as of</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3/28/2017</w:t>
            </w:r>
          </w:p>
        </w:tc>
      </w:tr>
      <w:tr>
        <w:trPr>
          <w:trHeight w:val="196"/>
        </w:trPr>
        <w:tc>
          <w:tcPr>
            <w:tcW w:w="10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March 22, 2017 by and between the</w:t>
              </w:r>
            </w:hyperlink>
          </w:p>
        </w:tc>
        <w:tc>
          <w:tcPr>
            <w:tcW w:w="26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registrant and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Inc.</w:t>
              </w:r>
            </w:hyperlink>
          </w:p>
        </w:tc>
        <w:tc>
          <w:tcPr>
            <w:tcW w:w="2600" w:type="dxa"/>
            <w:vAlign w:val="bottom"/>
            <w:gridSpan w:val="20"/>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10.7.6</w:t>
            </w:r>
          </w:p>
        </w:tc>
        <w:tc>
          <w:tcPr>
            <w:tcW w:w="2880" w:type="dxa"/>
            <w:vAlign w:val="bottom"/>
            <w:gridSpan w:val="21"/>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Amendment No. 6 to Lease, dated as of</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3/15/2018</w:t>
            </w:r>
          </w:p>
        </w:tc>
      </w:tr>
      <w:tr>
        <w:trPr>
          <w:trHeight w:val="196"/>
        </w:trPr>
        <w:tc>
          <w:tcPr>
            <w:tcW w:w="1040" w:type="dxa"/>
            <w:vAlign w:val="bottom"/>
          </w:tcPr>
          <w:p>
            <w:pPr>
              <w:spacing w:after="0"/>
              <w:rPr>
                <w:sz w:val="17"/>
                <w:szCs w:val="17"/>
                <w:color w:val="auto"/>
              </w:rPr>
            </w:pPr>
          </w:p>
        </w:tc>
        <w:tc>
          <w:tcPr>
            <w:tcW w:w="284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October 31, 2017 by and between the</w:t>
              </w:r>
            </w:hyperlink>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registrant and NXP USA, Inc.</w:t>
              </w:r>
            </w:hyperlink>
          </w:p>
        </w:tc>
        <w:tc>
          <w:tcPr>
            <w:tcW w:w="520" w:type="dxa"/>
            <w:vAlign w:val="bottom"/>
            <w:tcBorders>
              <w:top w:val="single" w:sz="8" w:color="0000EE"/>
            </w:tcBorders>
            <w:gridSpan w:val="8"/>
          </w:tcPr>
          <w:p>
            <w:pPr>
              <w:spacing w:after="0"/>
              <w:rPr>
                <w:sz w:val="17"/>
                <w:szCs w:val="17"/>
                <w:color w:val="auto"/>
              </w:rPr>
            </w:pPr>
          </w:p>
        </w:tc>
        <w:tc>
          <w:tcPr>
            <w:tcW w:w="2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(formerly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Inc.</w:t>
              </w:r>
              <w:r>
                <w:rPr>
                  <w:rFonts w:ascii="Arial" w:cs="Arial" w:eastAsia="Arial" w:hAnsi="Arial"/>
                  <w:sz w:val="18"/>
                  <w:szCs w:val="18"/>
                  <w:color w:val="000000"/>
                </w:rPr>
                <w:t>).</w:t>
              </w:r>
            </w:hyperlink>
          </w:p>
        </w:tc>
        <w:tc>
          <w:tcPr>
            <w:tcW w:w="30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10.7.7</w:t>
            </w:r>
          </w:p>
        </w:tc>
        <w:tc>
          <w:tcPr>
            <w:tcW w:w="2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Amendment No. 7 to Lease, effective</w:t>
              </w:r>
            </w:hyperlink>
          </w:p>
        </w:tc>
        <w:tc>
          <w:tcPr>
            <w:tcW w:w="180" w:type="dxa"/>
            <w:vAlign w:val="bottom"/>
            <w:gridSpan w:val="5"/>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11/14/2018</w:t>
            </w: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as of June 30, 2018 by and between the</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registrant and NXP USA, Inc.</w:t>
              </w:r>
            </w:hyperlink>
          </w:p>
        </w:tc>
        <w:tc>
          <w:tcPr>
            <w:tcW w:w="66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(formerly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Inc.)</w:t>
              </w:r>
              <w:r>
                <w:rPr>
                  <w:rFonts w:ascii="Arial" w:cs="Arial" w:eastAsia="Arial" w:hAnsi="Arial"/>
                  <w:sz w:val="18"/>
                  <w:szCs w:val="18"/>
                  <w:color w:val="000000"/>
                </w:rPr>
                <w:t>.</w:t>
              </w:r>
            </w:hyperlink>
          </w:p>
        </w:tc>
        <w:tc>
          <w:tcPr>
            <w:tcW w:w="30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10.7.8</w:t>
            </w:r>
          </w:p>
        </w:tc>
        <w:tc>
          <w:tcPr>
            <w:tcW w:w="2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Amendment No. 8 to Lease, effective</w:t>
              </w:r>
            </w:hyperlink>
          </w:p>
        </w:tc>
        <w:tc>
          <w:tcPr>
            <w:tcW w:w="180" w:type="dxa"/>
            <w:vAlign w:val="bottom"/>
            <w:gridSpan w:val="5"/>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3/13/2020</w:t>
            </w: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as of November 30, 2019 by and</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between the registrant and NXP USA,</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Inc. (formerly Freescale</w:t>
              </w:r>
            </w:hyperlink>
          </w:p>
        </w:tc>
        <w:tc>
          <w:tcPr>
            <w:tcW w:w="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Semiconductor, Inc.).</w:t>
              </w:r>
            </w:hyperlink>
          </w:p>
        </w:tc>
        <w:tc>
          <w:tcPr>
            <w:tcW w:w="116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10.7.9</w:t>
            </w:r>
          </w:p>
        </w:tc>
        <w:tc>
          <w:tcPr>
            <w:tcW w:w="2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Amendment No. 9 to Lease, effective</w:t>
              </w:r>
            </w:hyperlink>
          </w:p>
        </w:tc>
        <w:tc>
          <w:tcPr>
            <w:tcW w:w="180" w:type="dxa"/>
            <w:vAlign w:val="bottom"/>
            <w:gridSpan w:val="5"/>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8/06/2020</w:t>
            </w: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as of March 31, 2020 by and between</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the registrant and NXP USA, Inc.</w:t>
              </w:r>
            </w:hyperlink>
          </w:p>
        </w:tc>
        <w:tc>
          <w:tcPr>
            <w:tcW w:w="260" w:type="dxa"/>
            <w:vAlign w:val="bottom"/>
            <w:tcBorders>
              <w:top w:val="single" w:sz="8" w:color="0000EE"/>
            </w:tcBorders>
            <w:gridSpan w:val="5"/>
          </w:tcPr>
          <w:p>
            <w:pPr>
              <w:spacing w:after="0"/>
              <w:rPr>
                <w:sz w:val="17"/>
                <w:szCs w:val="17"/>
                <w:color w:val="auto"/>
              </w:rPr>
            </w:pPr>
          </w:p>
        </w:tc>
        <w:tc>
          <w:tcPr>
            <w:tcW w:w="18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gridSpan w:val="2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(formerly Freescale Semiconductor,</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Inc.).</w:t>
              </w:r>
            </w:hyperlink>
          </w:p>
        </w:tc>
        <w:tc>
          <w:tcPr>
            <w:tcW w:w="2200" w:type="dxa"/>
            <w:vAlign w:val="bottom"/>
            <w:tcBorders>
              <w:top w:val="single" w:sz="8" w:color="0000EE"/>
            </w:tcBorders>
            <w:gridSpan w:val="10"/>
          </w:tcPr>
          <w:p>
            <w:pPr>
              <w:spacing w:after="0"/>
              <w:rPr>
                <w:sz w:val="17"/>
                <w:szCs w:val="17"/>
                <w:color w:val="auto"/>
              </w:rPr>
            </w:pPr>
          </w:p>
        </w:tc>
        <w:tc>
          <w:tcPr>
            <w:tcW w:w="30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2880" w:type="dxa"/>
            <w:vAlign w:val="bottom"/>
            <w:gridSpan w:val="21"/>
          </w:tcPr>
          <w:p>
            <w:pPr>
              <w:spacing w:after="0"/>
              <w:rPr>
                <w:rFonts w:ascii="Arial" w:cs="Arial" w:eastAsia="Arial" w:hAnsi="Arial"/>
                <w:sz w:val="18"/>
                <w:szCs w:val="18"/>
                <w:color w:val="0000EE"/>
              </w:rPr>
            </w:pPr>
            <w:hyperlink r:id="rId117">
              <w:r>
                <w:rPr>
                  <w:rFonts w:ascii="Arial" w:cs="Arial" w:eastAsia="Arial" w:hAnsi="Arial"/>
                  <w:sz w:val="18"/>
                  <w:szCs w:val="18"/>
                  <w:color w:val="0000EE"/>
                </w:rPr>
                <w:t>Amended and Restated Loan and</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11/7/2019</w:t>
            </w:r>
          </w:p>
        </w:tc>
      </w:tr>
      <w:tr>
        <w:trPr>
          <w:trHeight w:val="20"/>
        </w:trPr>
        <w:tc>
          <w:tcPr>
            <w:tcW w:w="1040" w:type="dxa"/>
            <w:vAlign w:val="bottom"/>
          </w:tcPr>
          <w:p>
            <w:pPr>
              <w:spacing w:after="0" w:line="20" w:lineRule="exact"/>
              <w:rPr>
                <w:sz w:val="1"/>
                <w:szCs w:val="1"/>
                <w:color w:val="auto"/>
              </w:rPr>
            </w:pPr>
          </w:p>
        </w:tc>
        <w:tc>
          <w:tcPr>
            <w:tcW w:w="1540" w:type="dxa"/>
            <w:vAlign w:val="bottom"/>
            <w:tcBorders>
              <w:right w:val="single" w:sz="8" w:color="0000EE"/>
            </w:tcBorders>
            <w:gridSpan w:val="5"/>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Security Agreement, dated as of August</w:t>
              </w:r>
            </w:hyperlink>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5, 2019, between the registrant and</w:t>
              </w:r>
            </w:hyperlink>
          </w:p>
        </w:tc>
        <w:tc>
          <w:tcPr>
            <w:tcW w:w="36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Silicon Valley Bank.</w:t>
              </w:r>
            </w:hyperlink>
          </w:p>
        </w:tc>
        <w:tc>
          <w:tcPr>
            <w:tcW w:w="134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10.8.1</w:t>
            </w:r>
          </w:p>
        </w:tc>
        <w:tc>
          <w:tcPr>
            <w:tcW w:w="2500" w:type="dxa"/>
            <w:vAlign w:val="bottom"/>
            <w:tcBorders>
              <w:bottom w:val="single" w:sz="8" w:color="0000EE"/>
            </w:tcBorders>
            <w:gridSpan w:val="13"/>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First Amendment to Amended and</w:t>
              </w:r>
            </w:hyperlink>
          </w:p>
        </w:tc>
        <w:tc>
          <w:tcPr>
            <w:tcW w:w="500" w:type="dxa"/>
            <w:vAlign w:val="bottom"/>
            <w:gridSpan w:val="13"/>
          </w:tcPr>
          <w:p>
            <w:pPr>
              <w:spacing w:after="0"/>
              <w:rPr>
                <w:sz w:val="17"/>
                <w:szCs w:val="17"/>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right"/>
              <w:spacing w:after="0"/>
              <w:rPr>
                <w:sz w:val="20"/>
                <w:szCs w:val="20"/>
                <w:color w:val="auto"/>
              </w:rPr>
            </w:pPr>
            <w:r>
              <w:rPr>
                <w:rFonts w:ascii="Arial" w:cs="Arial" w:eastAsia="Arial" w:hAnsi="Arial"/>
                <w:sz w:val="18"/>
                <w:szCs w:val="18"/>
                <w:color w:val="auto"/>
              </w:rPr>
              <w:t>8/06/2020</w:t>
            </w: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Restated Loan and Security Agreement,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dated as of July 15, 2020, by and</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between the registrant and Silicon</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Valley Bank.</w:t>
              </w:r>
            </w:hyperlink>
          </w:p>
        </w:tc>
        <w:tc>
          <w:tcPr>
            <w:tcW w:w="56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10.8.2</w:t>
            </w:r>
          </w:p>
        </w:tc>
        <w:tc>
          <w:tcPr>
            <w:tcW w:w="2720" w:type="dxa"/>
            <w:vAlign w:val="bottom"/>
            <w:tcBorders>
              <w:bottom w:val="single" w:sz="8" w:color="0000EE"/>
            </w:tcBorders>
            <w:gridSpan w:val="17"/>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Second Amendment to Amended and</w:t>
              </w:r>
            </w:hyperlink>
          </w:p>
        </w:tc>
        <w:tc>
          <w:tcPr>
            <w:tcW w:w="280" w:type="dxa"/>
            <w:vAlign w:val="bottom"/>
            <w:gridSpan w:val="9"/>
          </w:tcPr>
          <w:p>
            <w:pPr>
              <w:spacing w:after="0"/>
              <w:rPr>
                <w:sz w:val="24"/>
                <w:szCs w:val="24"/>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60" w:type="dxa"/>
            <w:vAlign w:val="bottom"/>
          </w:tcPr>
          <w:p>
            <w:pPr>
              <w:jc w:val="right"/>
              <w:spacing w:after="0"/>
              <w:rPr>
                <w:sz w:val="20"/>
                <w:szCs w:val="20"/>
                <w:color w:val="auto"/>
              </w:rPr>
            </w:pPr>
            <w:r>
              <w:rPr>
                <w:rFonts w:ascii="Arial" w:cs="Arial" w:eastAsia="Arial" w:hAnsi="Arial"/>
                <w:sz w:val="18"/>
                <w:szCs w:val="18"/>
                <w:color w:val="auto"/>
              </w:rPr>
              <w:t>8/12/2021</w:t>
            </w: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Restated Loan and Security Agreement,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dated as of July 28, 2021, by and</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between the registrant and Silicon</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Valley Bank.</w:t>
              </w:r>
            </w:hyperlink>
          </w:p>
        </w:tc>
        <w:tc>
          <w:tcPr>
            <w:tcW w:w="56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3000" w:type="dxa"/>
            <w:vAlign w:val="bottom"/>
            <w:gridSpan w:val="26"/>
          </w:tcPr>
          <w:p>
            <w:pPr>
              <w:spacing w:after="0"/>
              <w:rPr>
                <w:rFonts w:ascii="Arial" w:cs="Arial" w:eastAsia="Arial" w:hAnsi="Arial"/>
                <w:sz w:val="18"/>
                <w:szCs w:val="18"/>
                <w:color w:val="0000EE"/>
              </w:rPr>
            </w:pPr>
            <w:hyperlink r:id="rId120">
              <w:r>
                <w:rPr>
                  <w:rFonts w:ascii="Arial" w:cs="Arial" w:eastAsia="Arial" w:hAnsi="Arial"/>
                  <w:sz w:val="18"/>
                  <w:szCs w:val="18"/>
                  <w:color w:val="0000EE"/>
                </w:rPr>
                <w:t>Commercial Industrial Lease</w:t>
              </w:r>
            </w:hyperlink>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6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Agreement, dated as of May 18, 2012</w:t>
              </w:r>
            </w:hyperlink>
          </w:p>
        </w:tc>
        <w:tc>
          <w:tcPr>
            <w:tcW w:w="28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by and between the registrant and</w:t>
              </w:r>
            </w:hyperlink>
          </w:p>
        </w:tc>
        <w:tc>
          <w:tcPr>
            <w:tcW w:w="58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Principal Life Insurance Company.</w:t>
              </w:r>
            </w:hyperlink>
          </w:p>
        </w:tc>
        <w:tc>
          <w:tcPr>
            <w:tcW w:w="48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w:t>
            </w:r>
          </w:p>
        </w:tc>
        <w:tc>
          <w:tcPr>
            <w:tcW w:w="2460" w:type="dxa"/>
            <w:vAlign w:val="bottom"/>
            <w:tcBorders>
              <w:bottom w:val="single" w:sz="8" w:color="0000EE"/>
            </w:tcBorders>
            <w:gridSpan w:val="11"/>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Amendment No. 1 to Commercial</w:t>
              </w:r>
            </w:hyperlink>
          </w:p>
        </w:tc>
        <w:tc>
          <w:tcPr>
            <w:tcW w:w="540" w:type="dxa"/>
            <w:vAlign w:val="bottom"/>
            <w:gridSpan w:val="15"/>
          </w:tcPr>
          <w:p>
            <w:pPr>
              <w:spacing w:after="0"/>
              <w:rPr>
                <w:sz w:val="24"/>
                <w:szCs w:val="24"/>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6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4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Industrial Lease Agreement, dated</w:t>
              </w:r>
            </w:hyperlink>
          </w:p>
        </w:tc>
        <w:tc>
          <w:tcPr>
            <w:tcW w:w="52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August 12, 2016 by and between the</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registrant and Legacy Stonelake JV-T,</w:t>
              </w:r>
            </w:hyperlink>
          </w:p>
        </w:tc>
        <w:tc>
          <w:tcPr>
            <w:tcW w:w="2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LLC, successor in interest to Principal</w:t>
              </w:r>
            </w:hyperlink>
          </w:p>
        </w:tc>
        <w:tc>
          <w:tcPr>
            <w:tcW w:w="22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Life Insurance Company.</w:t>
              </w:r>
            </w:hyperlink>
          </w:p>
        </w:tc>
        <w:tc>
          <w:tcPr>
            <w:tcW w:w="1180" w:type="dxa"/>
            <w:vAlign w:val="bottom"/>
            <w:gridSpan w:val="2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2840" w:type="dxa"/>
            <w:vAlign w:val="bottom"/>
            <w:tcBorders>
              <w:bottom w:val="single" w:sz="8" w:color="0000EE"/>
            </w:tcBorders>
            <w:gridSpan w:val="23"/>
          </w:tcPr>
          <w:p>
            <w:pPr>
              <w:spacing w:after="0"/>
              <w:rPr>
                <w:rFonts w:ascii="Arial" w:cs="Arial" w:eastAsia="Arial" w:hAnsi="Arial"/>
                <w:sz w:val="18"/>
                <w:szCs w:val="18"/>
                <w:color w:val="0000EE"/>
                <w:w w:val="87"/>
              </w:rPr>
            </w:pPr>
            <w:hyperlink r:id="rId122">
              <w:r>
                <w:rPr>
                  <w:rFonts w:ascii="Arial" w:cs="Arial" w:eastAsia="Arial" w:hAnsi="Arial"/>
                  <w:sz w:val="18"/>
                  <w:szCs w:val="18"/>
                  <w:color w:val="0000EE"/>
                  <w:w w:val="87"/>
                </w:rPr>
                <w:t>Sublease Agreement, dated January 31,</w:t>
              </w:r>
            </w:hyperlink>
          </w:p>
        </w:tc>
        <w:tc>
          <w:tcPr>
            <w:tcW w:w="160" w:type="dxa"/>
            <w:vAlign w:val="bottom"/>
            <w:gridSpan w:val="3"/>
          </w:tcPr>
          <w:p>
            <w:pPr>
              <w:spacing w:after="0"/>
              <w:rPr>
                <w:sz w:val="24"/>
                <w:szCs w:val="24"/>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3/28/2017</w:t>
            </w: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2017 by and between the registrant and</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NXP USA, Inc. and Consent to of</w:t>
              </w:r>
            </w:hyperlink>
          </w:p>
        </w:tc>
        <w:tc>
          <w:tcPr>
            <w:tcW w:w="1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Landlord to Sublease, dated March 10,</w:t>
              </w:r>
            </w:hyperlink>
          </w:p>
        </w:tc>
        <w:tc>
          <w:tcPr>
            <w:tcW w:w="2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2017, by and among the registrant,</w:t>
              </w:r>
            </w:hyperlink>
          </w:p>
        </w:tc>
        <w:tc>
          <w:tcPr>
            <w:tcW w:w="50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NXP USA, Inc. and VWP-BV CM</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5670, LLC.</w:t>
              </w:r>
            </w:hyperlink>
          </w:p>
        </w:tc>
        <w:tc>
          <w:tcPr>
            <w:tcW w:w="50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10.10.1</w:t>
            </w:r>
          </w:p>
        </w:tc>
        <w:tc>
          <w:tcPr>
            <w:tcW w:w="3000" w:type="dxa"/>
            <w:vAlign w:val="bottom"/>
            <w:gridSpan w:val="26"/>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First Amendment to Sublease</w:t>
              </w:r>
            </w:hyperlink>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3/28/2017</w:t>
            </w:r>
          </w:p>
        </w:tc>
      </w:tr>
      <w:tr>
        <w:trPr>
          <w:trHeight w:val="20"/>
        </w:trPr>
        <w:tc>
          <w:tcPr>
            <w:tcW w:w="1040" w:type="dxa"/>
            <w:vAlign w:val="bottom"/>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w w:val="99"/>
              </w:rPr>
            </w:pPr>
            <w:hyperlink r:id="rId123">
              <w:r>
                <w:rPr>
                  <w:rFonts w:ascii="Arial" w:cs="Arial" w:eastAsia="Arial" w:hAnsi="Arial"/>
                  <w:sz w:val="18"/>
                  <w:szCs w:val="18"/>
                  <w:color w:val="0000EE"/>
                  <w:w w:val="99"/>
                </w:rPr>
                <w:t>Agreement, dated February 13, 2017,</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by and between the registrant and NXP</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USA, Inc. and Consent of Landlord to</w:t>
              </w:r>
            </w:hyperlink>
          </w:p>
        </w:tc>
        <w:tc>
          <w:tcPr>
            <w:tcW w:w="60" w:type="dxa"/>
            <w:vAlign w:val="bottom"/>
            <w:tcBorders>
              <w:top w:val="single" w:sz="8" w:color="0000EE"/>
            </w:tcBorders>
            <w:gridSpan w:val="3"/>
          </w:tcPr>
          <w:p>
            <w:pPr>
              <w:spacing w:after="0"/>
              <w:rPr>
                <w:sz w:val="17"/>
                <w:szCs w:val="17"/>
                <w:color w:val="auto"/>
              </w:rPr>
            </w:pPr>
          </w:p>
        </w:tc>
        <w:tc>
          <w:tcPr>
            <w:tcW w:w="1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Amendment to Sublease, dated March</w:t>
              </w:r>
            </w:hyperlink>
          </w:p>
        </w:tc>
        <w:tc>
          <w:tcPr>
            <w:tcW w:w="22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10, 2017, by and among the registrant,</w:t>
              </w:r>
            </w:hyperlink>
          </w:p>
        </w:tc>
        <w:tc>
          <w:tcPr>
            <w:tcW w:w="22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NXP USA, Inc. and VWP-BV CM</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5670, LLC.</w:t>
              </w:r>
            </w:hyperlink>
          </w:p>
        </w:tc>
        <w:tc>
          <w:tcPr>
            <w:tcW w:w="50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10.10.2</w:t>
            </w:r>
          </w:p>
        </w:tc>
        <w:tc>
          <w:tcPr>
            <w:tcW w:w="3000" w:type="dxa"/>
            <w:vAlign w:val="bottom"/>
            <w:gridSpan w:val="26"/>
          </w:tcPr>
          <w:p>
            <w:pPr>
              <w:spacing w:after="0"/>
              <w:rPr>
                <w:rFonts w:ascii="Arial" w:cs="Arial" w:eastAsia="Arial" w:hAnsi="Arial"/>
                <w:sz w:val="18"/>
                <w:szCs w:val="18"/>
                <w:color w:val="0000EE"/>
              </w:rPr>
            </w:pPr>
            <w:hyperlink r:id="rId124">
              <w:r>
                <w:rPr>
                  <w:rFonts w:ascii="Arial" w:cs="Arial" w:eastAsia="Arial" w:hAnsi="Arial"/>
                  <w:sz w:val="18"/>
                  <w:szCs w:val="18"/>
                  <w:color w:val="0000EE"/>
                </w:rPr>
                <w:t>Second Amendment to Sublease</w:t>
              </w:r>
            </w:hyperlink>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right"/>
              <w:spacing w:after="0"/>
              <w:rPr>
                <w:sz w:val="20"/>
                <w:szCs w:val="20"/>
                <w:color w:val="auto"/>
              </w:rPr>
            </w:pPr>
            <w:r>
              <w:rPr>
                <w:rFonts w:ascii="Arial" w:cs="Arial" w:eastAsia="Arial" w:hAnsi="Arial"/>
                <w:sz w:val="18"/>
                <w:szCs w:val="18"/>
                <w:color w:val="auto"/>
              </w:rPr>
              <w:t>3/28/2017</w:t>
            </w:r>
          </w:p>
        </w:tc>
      </w:tr>
      <w:tr>
        <w:trPr>
          <w:trHeight w:val="20"/>
        </w:trPr>
        <w:tc>
          <w:tcPr>
            <w:tcW w:w="1040" w:type="dxa"/>
            <w:vAlign w:val="bottom"/>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Agreement dated March 2, 2017 by and</w:t>
              </w:r>
            </w:hyperlink>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6"/>
          </w:tcPr>
          <w:p>
            <w:pPr>
              <w:spacing w:after="0" w:line="196" w:lineRule="exact"/>
              <w:rPr>
                <w:rFonts w:ascii="Arial" w:cs="Arial" w:eastAsia="Arial" w:hAnsi="Arial"/>
                <w:sz w:val="18"/>
                <w:szCs w:val="18"/>
                <w:color w:val="0000EE"/>
                <w:w w:val="98"/>
              </w:rPr>
            </w:pPr>
            <w:hyperlink r:id="rId124">
              <w:r>
                <w:rPr>
                  <w:rFonts w:ascii="Arial" w:cs="Arial" w:eastAsia="Arial" w:hAnsi="Arial"/>
                  <w:sz w:val="18"/>
                  <w:szCs w:val="18"/>
                  <w:color w:val="0000EE"/>
                  <w:w w:val="98"/>
                </w:rPr>
                <w:t>between the registrant and NXP USA,</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Inc. and Consent of Landlord to</w:t>
              </w:r>
            </w:hyperlink>
          </w:p>
        </w:tc>
        <w:tc>
          <w:tcPr>
            <w:tcW w:w="420" w:type="dxa"/>
            <w:vAlign w:val="bottom"/>
            <w:tcBorders>
              <w:top w:val="single" w:sz="8" w:color="0000EE"/>
            </w:tcBorders>
            <w:gridSpan w:val="10"/>
          </w:tcPr>
          <w:p>
            <w:pPr>
              <w:spacing w:after="0"/>
              <w:rPr>
                <w:sz w:val="17"/>
                <w:szCs w:val="17"/>
                <w:color w:val="auto"/>
              </w:rPr>
            </w:pPr>
          </w:p>
        </w:tc>
        <w:tc>
          <w:tcPr>
            <w:tcW w:w="2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Sublease, dated March 10, 2017, by and</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among the registrant, NXP USA, Inc.</w:t>
              </w:r>
            </w:hyperlink>
          </w:p>
        </w:tc>
        <w:tc>
          <w:tcPr>
            <w:tcW w:w="30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and VWP-BV CM 5670, LLC.</w:t>
              </w:r>
            </w:hyperlink>
          </w:p>
        </w:tc>
        <w:tc>
          <w:tcPr>
            <w:tcW w:w="780" w:type="dxa"/>
            <w:vAlign w:val="bottom"/>
            <w:gridSpan w:val="19"/>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10.10.3</w:t>
            </w:r>
          </w:p>
        </w:tc>
        <w:tc>
          <w:tcPr>
            <w:tcW w:w="2200" w:type="dxa"/>
            <w:vAlign w:val="bottom"/>
            <w:tcBorders>
              <w:bottom w:val="single" w:sz="8" w:color="0000EE"/>
            </w:tcBorders>
            <w:gridSpan w:val="6"/>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Third Amendment to Sublease</w:t>
              </w:r>
            </w:hyperlink>
          </w:p>
        </w:tc>
        <w:tc>
          <w:tcPr>
            <w:tcW w:w="800" w:type="dxa"/>
            <w:vAlign w:val="bottom"/>
            <w:gridSpan w:val="20"/>
          </w:tcPr>
          <w:p>
            <w:pPr>
              <w:spacing w:after="0"/>
              <w:rPr>
                <w:sz w:val="24"/>
                <w:szCs w:val="24"/>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94"/>
              </w:rPr>
              <w:t>10-K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060" w:type="dxa"/>
            <w:vAlign w:val="bottom"/>
          </w:tcPr>
          <w:p>
            <w:pPr>
              <w:jc w:val="right"/>
              <w:spacing w:after="0"/>
              <w:rPr>
                <w:sz w:val="20"/>
                <w:szCs w:val="20"/>
                <w:color w:val="auto"/>
              </w:rPr>
            </w:pPr>
            <w:r>
              <w:rPr>
                <w:rFonts w:ascii="Arial" w:cs="Arial" w:eastAsia="Arial" w:hAnsi="Arial"/>
                <w:sz w:val="18"/>
                <w:szCs w:val="18"/>
                <w:color w:val="auto"/>
              </w:rPr>
              <w:t>3/15/2018</w:t>
            </w:r>
          </w:p>
        </w:tc>
      </w:tr>
      <w:tr>
        <w:trPr>
          <w:trHeight w:val="196"/>
        </w:trPr>
        <w:tc>
          <w:tcPr>
            <w:tcW w:w="104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Agreement, dated October 17, 2017 by</w:t>
              </w:r>
            </w:hyperlink>
          </w:p>
        </w:tc>
        <w:tc>
          <w:tcPr>
            <w:tcW w:w="2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and between the registrant and NXP</w:t>
              </w:r>
            </w:hyperlink>
          </w:p>
        </w:tc>
        <w:tc>
          <w:tcPr>
            <w:tcW w:w="38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USA, Inc. and Consent of Landlord to</w:t>
              </w:r>
            </w:hyperlink>
          </w:p>
        </w:tc>
        <w:tc>
          <w:tcPr>
            <w:tcW w:w="2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Sublease, dated March 10, 2017, by and</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among the registrant, NXP USA, Inc.</w:t>
              </w:r>
            </w:hyperlink>
          </w:p>
        </w:tc>
        <w:tc>
          <w:tcPr>
            <w:tcW w:w="30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and VWP-BV CM 5670, LLC.</w:t>
              </w:r>
            </w:hyperlink>
          </w:p>
        </w:tc>
        <w:tc>
          <w:tcPr>
            <w:tcW w:w="780" w:type="dxa"/>
            <w:vAlign w:val="bottom"/>
            <w:gridSpan w:val="19"/>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STT-MRAM Joint Development</w:t>
              </w:r>
            </w:hyperlink>
          </w:p>
        </w:tc>
        <w:tc>
          <w:tcPr>
            <w:tcW w:w="640" w:type="dxa"/>
            <w:vAlign w:val="bottom"/>
            <w:gridSpan w:val="17"/>
          </w:tcPr>
          <w:p>
            <w:pPr>
              <w:spacing w:after="0"/>
              <w:rPr>
                <w:sz w:val="17"/>
                <w:szCs w:val="17"/>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5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Agreement, dated as of October 17,</w:t>
              </w:r>
            </w:hyperlink>
          </w:p>
        </w:tc>
        <w:tc>
          <w:tcPr>
            <w:tcW w:w="42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4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2014 by and between the registrant and</w:t>
              </w:r>
            </w:hyperlink>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127">
              <w:r>
                <w:rPr>
                  <w:rFonts w:ascii="Arial" w:cs="Arial" w:eastAsia="Arial" w:hAnsi="Arial"/>
                  <w:sz w:val="18"/>
                  <w:szCs w:val="18"/>
                  <w:color w:val="0000EE"/>
                  <w:w w:val="96"/>
                </w:rPr>
                <w:t>GLOBALFOUNDRIES Inc.</w:t>
              </w:r>
            </w:hyperlink>
          </w:p>
        </w:tc>
        <w:tc>
          <w:tcPr>
            <w:tcW w:w="9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10.11.1+</w:t>
            </w:r>
          </w:p>
        </w:tc>
        <w:tc>
          <w:tcPr>
            <w:tcW w:w="2760" w:type="dxa"/>
            <w:vAlign w:val="bottom"/>
            <w:tcBorders>
              <w:bottom w:val="single" w:sz="8" w:color="0000EE"/>
            </w:tcBorders>
            <w:gridSpan w:val="21"/>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Amendment No. 1 to the STT-MRAM</w:t>
              </w:r>
            </w:hyperlink>
          </w:p>
        </w:tc>
        <w:tc>
          <w:tcPr>
            <w:tcW w:w="220" w:type="dxa"/>
            <w:vAlign w:val="bottom"/>
            <w:gridSpan w:val="6"/>
          </w:tcPr>
          <w:p>
            <w:pPr>
              <w:spacing w:after="0"/>
              <w:rPr>
                <w:sz w:val="24"/>
                <w:szCs w:val="24"/>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Joint Development Agreement, dated as</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of May 27, 2016 by and between the</w:t>
              </w:r>
            </w:hyperlink>
          </w:p>
        </w:tc>
        <w:tc>
          <w:tcPr>
            <w:tcW w:w="34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8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registrant and GLOBALFOUNDRIES</w:t>
              </w:r>
            </w:hyperlink>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Inc.</w:t>
              </w:r>
            </w:hyperlink>
          </w:p>
        </w:tc>
        <w:tc>
          <w:tcPr>
            <w:tcW w:w="2700" w:type="dxa"/>
            <w:vAlign w:val="bottom"/>
            <w:gridSpan w:val="26"/>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10.11.2++</w:t>
            </w:r>
          </w:p>
        </w:tc>
        <w:tc>
          <w:tcPr>
            <w:tcW w:w="2760" w:type="dxa"/>
            <w:vAlign w:val="bottom"/>
            <w:tcBorders>
              <w:bottom w:val="single" w:sz="8" w:color="0000EE"/>
            </w:tcBorders>
            <w:gridSpan w:val="21"/>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Amendment No. 2 to the STT-MRAM</w:t>
              </w:r>
            </w:hyperlink>
          </w:p>
        </w:tc>
        <w:tc>
          <w:tcPr>
            <w:tcW w:w="220" w:type="dxa"/>
            <w:vAlign w:val="bottom"/>
            <w:gridSpan w:val="6"/>
          </w:tcPr>
          <w:p>
            <w:pPr>
              <w:spacing w:after="0"/>
              <w:rPr>
                <w:sz w:val="24"/>
                <w:szCs w:val="24"/>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10.11.2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3/4/2021</w:t>
            </w: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Joint Development Agreement,</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effective as of July 25, 2017 by and</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between the registrant and</w:t>
              </w:r>
            </w:hyperlink>
          </w:p>
        </w:tc>
        <w:tc>
          <w:tcPr>
            <w:tcW w:w="42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GLOBALFOUNDRIES Inc.</w:t>
              </w:r>
            </w:hyperlink>
          </w:p>
        </w:tc>
        <w:tc>
          <w:tcPr>
            <w:tcW w:w="9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10.11.3+</w:t>
            </w:r>
          </w:p>
        </w:tc>
        <w:tc>
          <w:tcPr>
            <w:tcW w:w="2760" w:type="dxa"/>
            <w:vAlign w:val="bottom"/>
            <w:tcBorders>
              <w:bottom w:val="single" w:sz="8" w:color="0000EE"/>
            </w:tcBorders>
            <w:gridSpan w:val="21"/>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Amendment No. 3 to the STT-MRAM</w:t>
              </w:r>
            </w:hyperlink>
          </w:p>
        </w:tc>
        <w:tc>
          <w:tcPr>
            <w:tcW w:w="220" w:type="dxa"/>
            <w:vAlign w:val="bottom"/>
            <w:gridSpan w:val="6"/>
          </w:tcPr>
          <w:p>
            <w:pPr>
              <w:spacing w:after="0"/>
              <w:rPr>
                <w:sz w:val="24"/>
                <w:szCs w:val="24"/>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3/15/2019</w:t>
            </w: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Joint Development Agreement,</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effective as of January 1, 2018 by and</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between the registrant and</w:t>
              </w:r>
            </w:hyperlink>
          </w:p>
        </w:tc>
        <w:tc>
          <w:tcPr>
            <w:tcW w:w="26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130">
              <w:r>
                <w:rPr>
                  <w:rFonts w:ascii="Arial" w:cs="Arial" w:eastAsia="Arial" w:hAnsi="Arial"/>
                  <w:sz w:val="18"/>
                  <w:szCs w:val="18"/>
                  <w:color w:val="0000EE"/>
                  <w:w w:val="96"/>
                </w:rPr>
                <w:t>GLOBALFOUNDRIES Inc.</w:t>
              </w:r>
            </w:hyperlink>
          </w:p>
        </w:tc>
        <w:tc>
          <w:tcPr>
            <w:tcW w:w="9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10.11.4++</w:t>
            </w:r>
          </w:p>
        </w:tc>
        <w:tc>
          <w:tcPr>
            <w:tcW w:w="2760" w:type="dxa"/>
            <w:vAlign w:val="bottom"/>
            <w:tcBorders>
              <w:bottom w:val="single" w:sz="8" w:color="0000EE"/>
            </w:tcBorders>
            <w:gridSpan w:val="21"/>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Amendment No. 4 to the STT-MRAM</w:t>
              </w:r>
            </w:hyperlink>
          </w:p>
        </w:tc>
        <w:tc>
          <w:tcPr>
            <w:tcW w:w="220" w:type="dxa"/>
            <w:vAlign w:val="bottom"/>
            <w:gridSpan w:val="6"/>
          </w:tcPr>
          <w:p>
            <w:pPr>
              <w:spacing w:after="0"/>
              <w:rPr>
                <w:sz w:val="24"/>
                <w:szCs w:val="24"/>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10.11.4</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3/4/2021</w:t>
            </w: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Joint Development Agreement,</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effective as of December 31, 2019 by</w:t>
              </w:r>
            </w:hyperlink>
          </w:p>
        </w:tc>
        <w:tc>
          <w:tcPr>
            <w:tcW w:w="2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and between the registrant and</w:t>
              </w:r>
            </w:hyperlink>
          </w:p>
        </w:tc>
        <w:tc>
          <w:tcPr>
            <w:tcW w:w="74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GLOBALFOUNDRIES, Inc.</w:t>
              </w:r>
            </w:hyperlink>
          </w:p>
        </w:tc>
        <w:tc>
          <w:tcPr>
            <w:tcW w:w="880" w:type="dxa"/>
            <w:vAlign w:val="bottom"/>
            <w:gridSpan w:val="19"/>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2800" w:type="dxa"/>
            <w:vAlign w:val="bottom"/>
            <w:tcBorders>
              <w:bottom w:val="single" w:sz="8" w:color="0000EE"/>
            </w:tcBorders>
            <w:gridSpan w:val="23"/>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Manufacturing Agreement, dated as of</w:t>
              </w:r>
            </w:hyperlink>
          </w:p>
        </w:tc>
        <w:tc>
          <w:tcPr>
            <w:tcW w:w="180" w:type="dxa"/>
            <w:vAlign w:val="bottom"/>
            <w:gridSpan w:val="4"/>
          </w:tcPr>
          <w:p>
            <w:pPr>
              <w:spacing w:after="0"/>
              <w:rPr>
                <w:sz w:val="24"/>
                <w:szCs w:val="24"/>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w w:val="98"/>
              </w:rPr>
            </w:pPr>
            <w:hyperlink r:id="rId132">
              <w:r>
                <w:rPr>
                  <w:rFonts w:ascii="Arial" w:cs="Arial" w:eastAsia="Arial" w:hAnsi="Arial"/>
                  <w:sz w:val="18"/>
                  <w:szCs w:val="18"/>
                  <w:color w:val="0000EE"/>
                  <w:w w:val="98"/>
                </w:rPr>
                <w:t>October 23, 2014 by and between the</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78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registrant and GLOBALFOUNDRIES</w:t>
              </w:r>
            </w:hyperlink>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Singapore Pte. Ltd.</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2980" w:type="dxa"/>
            <w:vAlign w:val="bottom"/>
            <w:gridSpan w:val="27"/>
          </w:tcPr>
          <w:p>
            <w:pP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Restricted Stock Purchase Agreement,</w:t>
              </w:r>
            </w:hyperlink>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76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dated as of October 21, 2014 by and</w:t>
              </w:r>
            </w:hyperlink>
          </w:p>
        </w:tc>
        <w:tc>
          <w:tcPr>
            <w:tcW w:w="2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between the registrant and</w:t>
              </w:r>
            </w:hyperlink>
          </w:p>
        </w:tc>
        <w:tc>
          <w:tcPr>
            <w:tcW w:w="38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133">
              <w:r>
                <w:rPr>
                  <w:rFonts w:ascii="Arial" w:cs="Arial" w:eastAsia="Arial" w:hAnsi="Arial"/>
                  <w:sz w:val="18"/>
                  <w:szCs w:val="18"/>
                  <w:color w:val="0000EE"/>
                  <w:w w:val="96"/>
                </w:rPr>
                <w:t>GLOBALFOUNDRIES Inc.</w:t>
              </w:r>
            </w:hyperlink>
          </w:p>
        </w:tc>
        <w:tc>
          <w:tcPr>
            <w:tcW w:w="9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2980" w:type="dxa"/>
            <w:vAlign w:val="bottom"/>
            <w:gridSpan w:val="27"/>
          </w:tcPr>
          <w:p>
            <w:pPr>
              <w:spacing w:after="0"/>
              <w:rPr>
                <w:rFonts w:ascii="Arial" w:cs="Arial" w:eastAsia="Arial" w:hAnsi="Arial"/>
                <w:sz w:val="18"/>
                <w:szCs w:val="18"/>
                <w:color w:val="0000EE"/>
                <w:w w:val="97"/>
              </w:rPr>
            </w:pPr>
            <w:hyperlink r:id="rId134">
              <w:r>
                <w:rPr>
                  <w:rFonts w:ascii="Arial" w:cs="Arial" w:eastAsia="Arial" w:hAnsi="Arial"/>
                  <w:sz w:val="18"/>
                  <w:szCs w:val="18"/>
                  <w:color w:val="0000EE"/>
                  <w:w w:val="97"/>
                </w:rPr>
                <w:t>Common Stock Purchase Agreement,</w:t>
              </w:r>
            </w:hyperlink>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9/26/2016</w:t>
            </w: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dated as of September 23, 2016 by and</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between the registrant and GigaDevice</w:t>
              </w:r>
            </w:hyperlink>
          </w:p>
        </w:tc>
        <w:tc>
          <w:tcPr>
            <w:tcW w:w="1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(HK) Limited.</w:t>
              </w:r>
            </w:hyperlink>
          </w:p>
        </w:tc>
        <w:tc>
          <w:tcPr>
            <w:tcW w:w="1940" w:type="dxa"/>
            <w:vAlign w:val="bottom"/>
            <w:gridSpan w:val="23"/>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2580" w:type="dxa"/>
            <w:vAlign w:val="bottom"/>
            <w:tcBorders>
              <w:bottom w:val="single" w:sz="8" w:color="0000EE"/>
            </w:tcBorders>
            <w:gridSpan w:val="15"/>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Executive Employment Agreement,</w:t>
              </w:r>
            </w:hyperlink>
          </w:p>
        </w:tc>
        <w:tc>
          <w:tcPr>
            <w:tcW w:w="400" w:type="dxa"/>
            <w:vAlign w:val="bottom"/>
            <w:gridSpan w:val="12"/>
          </w:tcPr>
          <w:p>
            <w:pPr>
              <w:spacing w:after="0"/>
              <w:rPr>
                <w:sz w:val="24"/>
                <w:szCs w:val="24"/>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3/29/2017</w:t>
            </w:r>
          </w:p>
        </w:tc>
      </w:tr>
      <w:tr>
        <w:trPr>
          <w:trHeight w:val="196"/>
        </w:trPr>
        <w:tc>
          <w:tcPr>
            <w:tcW w:w="1040" w:type="dxa"/>
            <w:vAlign w:val="bottom"/>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dated as of April 25, 2016 by and</w:t>
              </w:r>
            </w:hyperlink>
          </w:p>
        </w:tc>
        <w:tc>
          <w:tcPr>
            <w:tcW w:w="5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between the registrant and Dr. Jon</w:t>
              </w:r>
            </w:hyperlink>
          </w:p>
        </w:tc>
        <w:tc>
          <w:tcPr>
            <w:tcW w:w="52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r:id="rId135">
              <w:r>
                <w:rPr>
                  <w:rFonts w:ascii="Arial" w:cs="Arial" w:eastAsia="Arial" w:hAnsi="Arial"/>
                  <w:sz w:val="18"/>
                  <w:szCs w:val="18"/>
                  <w:color w:val="0000EE"/>
                  <w:w w:val="85"/>
                </w:rPr>
                <w:t>Slaughter.</w:t>
              </w:r>
            </w:hyperlink>
          </w:p>
        </w:tc>
        <w:tc>
          <w:tcPr>
            <w:tcW w:w="226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2580" w:type="dxa"/>
            <w:vAlign w:val="bottom"/>
            <w:tcBorders>
              <w:bottom w:val="single" w:sz="8" w:color="0000EE"/>
            </w:tcBorders>
            <w:gridSpan w:val="15"/>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Executive Employment Agreement,</w:t>
              </w:r>
            </w:hyperlink>
          </w:p>
        </w:tc>
        <w:tc>
          <w:tcPr>
            <w:tcW w:w="400" w:type="dxa"/>
            <w:vAlign w:val="bottom"/>
            <w:gridSpan w:val="12"/>
          </w:tcPr>
          <w:p>
            <w:pPr>
              <w:spacing w:after="0"/>
              <w:rPr>
                <w:sz w:val="24"/>
                <w:szCs w:val="24"/>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5/8/2019</w:t>
            </w:r>
          </w:p>
        </w:tc>
      </w:tr>
      <w:tr>
        <w:trPr>
          <w:trHeight w:val="196"/>
        </w:trPr>
        <w:tc>
          <w:tcPr>
            <w:tcW w:w="1040" w:type="dxa"/>
            <w:vAlign w:val="bottom"/>
          </w:tcPr>
          <w:p>
            <w:pPr>
              <w:spacing w:after="0"/>
              <w:rPr>
                <w:sz w:val="17"/>
                <w:szCs w:val="17"/>
                <w:color w:val="auto"/>
              </w:rPr>
            </w:pPr>
          </w:p>
        </w:tc>
        <w:tc>
          <w:tcPr>
            <w:tcW w:w="2980" w:type="dxa"/>
            <w:vAlign w:val="bottom"/>
            <w:gridSpan w:val="2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dated as of April 25, 2016 by and</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0" w:type="dxa"/>
            <w:vAlign w:val="bottom"/>
            <w:tcBorders>
              <w:top w:val="single" w:sz="8" w:color="0000EE"/>
            </w:tcBorders>
            <w:gridSpan w:val="11"/>
          </w:tcPr>
          <w:p>
            <w:pPr>
              <w:spacing w:after="0" w:line="196" w:lineRule="exact"/>
              <w:rPr>
                <w:rFonts w:ascii="Arial" w:cs="Arial" w:eastAsia="Arial" w:hAnsi="Arial"/>
                <w:sz w:val="18"/>
                <w:szCs w:val="18"/>
                <w:color w:val="0000EE"/>
                <w:w w:val="96"/>
              </w:rPr>
            </w:pPr>
            <w:hyperlink r:id="rId136">
              <w:r>
                <w:rPr>
                  <w:rFonts w:ascii="Arial" w:cs="Arial" w:eastAsia="Arial" w:hAnsi="Arial"/>
                  <w:sz w:val="18"/>
                  <w:szCs w:val="18"/>
                  <w:color w:val="0000EE"/>
                  <w:w w:val="96"/>
                </w:rPr>
                <w:t>between the registrant and Jeff</w:t>
              </w:r>
            </w:hyperlink>
          </w:p>
        </w:tc>
        <w:tc>
          <w:tcPr>
            <w:tcW w:w="58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Winzeler.</w:t>
              </w:r>
            </w:hyperlink>
          </w:p>
        </w:tc>
        <w:tc>
          <w:tcPr>
            <w:tcW w:w="74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2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Executive Employment Agreement,</w:t>
              </w:r>
            </w:hyperlink>
          </w:p>
        </w:tc>
        <w:tc>
          <w:tcPr>
            <w:tcW w:w="400" w:type="dxa"/>
            <w:vAlign w:val="bottom"/>
            <w:gridSpan w:val="11"/>
          </w:tcPr>
          <w:p>
            <w:pPr>
              <w:spacing w:after="0"/>
              <w:rPr>
                <w:sz w:val="17"/>
                <w:szCs w:val="17"/>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8/23/2017</w:t>
            </w:r>
          </w:p>
        </w:tc>
      </w:tr>
      <w:tr>
        <w:trPr>
          <w:trHeight w:val="196"/>
        </w:trPr>
        <w:tc>
          <w:tcPr>
            <w:tcW w:w="1020" w:type="dxa"/>
            <w:vAlign w:val="bottom"/>
          </w:tcPr>
          <w:p>
            <w:pPr>
              <w:spacing w:after="0"/>
              <w:rPr>
                <w:sz w:val="17"/>
                <w:szCs w:val="17"/>
                <w:color w:val="auto"/>
              </w:rPr>
            </w:pPr>
          </w:p>
        </w:tc>
        <w:tc>
          <w:tcPr>
            <w:tcW w:w="3000" w:type="dxa"/>
            <w:vAlign w:val="bottom"/>
            <w:gridSpan w:val="30"/>
          </w:tcPr>
          <w:p>
            <w:pPr>
              <w:spacing w:after="0" w:line="196"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dated as of August 18, 2017 between</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the registrant and Kevin Conley.</w:t>
              </w:r>
            </w:hyperlink>
          </w:p>
        </w:tc>
        <w:tc>
          <w:tcPr>
            <w:tcW w:w="320" w:type="dxa"/>
            <w:vAlign w:val="bottom"/>
            <w:tcBorders>
              <w:top w:val="single" w:sz="8" w:color="0000EE"/>
            </w:tcBorders>
            <w:gridSpan w:val="9"/>
          </w:tcPr>
          <w:p>
            <w:pPr>
              <w:spacing w:after="0"/>
              <w:rPr>
                <w:sz w:val="17"/>
                <w:szCs w:val="17"/>
                <w:color w:val="auto"/>
              </w:rPr>
            </w:pPr>
          </w:p>
        </w:tc>
        <w:tc>
          <w:tcPr>
            <w:tcW w:w="34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2840" w:type="dxa"/>
            <w:vAlign w:val="bottom"/>
            <w:tcBorders>
              <w:bottom w:val="single" w:sz="8" w:color="0000EE"/>
            </w:tcBorders>
            <w:gridSpan w:val="28"/>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Offer Letter, dated as of March 6, 2019</w:t>
              </w:r>
            </w:hyperlink>
          </w:p>
        </w:tc>
        <w:tc>
          <w:tcPr>
            <w:tcW w:w="160" w:type="dxa"/>
            <w:vAlign w:val="bottom"/>
            <w:gridSpan w:val="2"/>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91"/>
              </w:rPr>
              <w:t>5/8/2019</w:t>
            </w:r>
          </w:p>
        </w:tc>
      </w:tr>
      <w:tr>
        <w:trPr>
          <w:trHeight w:val="196"/>
        </w:trPr>
        <w:tc>
          <w:tcPr>
            <w:tcW w:w="1020" w:type="dxa"/>
            <w:vAlign w:val="bottom"/>
          </w:tcPr>
          <w:p>
            <w:pPr>
              <w:spacing w:after="0"/>
              <w:rPr>
                <w:sz w:val="17"/>
                <w:szCs w:val="17"/>
                <w:color w:val="auto"/>
              </w:rPr>
            </w:pPr>
          </w:p>
        </w:tc>
        <w:tc>
          <w:tcPr>
            <w:tcW w:w="282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by and between the registrant and Troy</w:t>
              </w:r>
            </w:hyperlink>
          </w:p>
        </w:tc>
        <w:tc>
          <w:tcPr>
            <w:tcW w:w="1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Winslow.</w:t>
              </w:r>
            </w:hyperlink>
          </w:p>
        </w:tc>
        <w:tc>
          <w:tcPr>
            <w:tcW w:w="2320" w:type="dxa"/>
            <w:vAlign w:val="bottom"/>
            <w:gridSpan w:val="28"/>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3000" w:type="dxa"/>
            <w:vAlign w:val="bottom"/>
            <w:gridSpan w:val="30"/>
          </w:tcPr>
          <w:p>
            <w:pPr>
              <w:spacing w:after="0"/>
              <w:rPr>
                <w:rFonts w:ascii="Arial" w:cs="Arial" w:eastAsia="Arial" w:hAnsi="Arial"/>
                <w:sz w:val="18"/>
                <w:szCs w:val="18"/>
                <w:color w:val="0000EE"/>
                <w:w w:val="98"/>
              </w:rPr>
            </w:pPr>
            <w:hyperlink r:id="rId140">
              <w:r>
                <w:rPr>
                  <w:rFonts w:ascii="Arial" w:cs="Arial" w:eastAsia="Arial" w:hAnsi="Arial"/>
                  <w:sz w:val="18"/>
                  <w:szCs w:val="18"/>
                  <w:color w:val="0000EE"/>
                  <w:w w:val="98"/>
                </w:rPr>
                <w:t>Offer Letter, dated as of July 10, 2019</w:t>
              </w:r>
            </w:hyperlink>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3/13/2020</w:t>
            </w:r>
          </w:p>
        </w:tc>
      </w:tr>
      <w:tr>
        <w:trPr>
          <w:trHeight w:val="196"/>
        </w:trPr>
        <w:tc>
          <w:tcPr>
            <w:tcW w:w="10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by and between the registrant and</w:t>
              </w:r>
            </w:hyperlink>
          </w:p>
        </w:tc>
        <w:tc>
          <w:tcPr>
            <w:tcW w:w="300" w:type="dxa"/>
            <w:vAlign w:val="bottom"/>
            <w:tcBorders>
              <w:top w:val="single" w:sz="8" w:color="0000EE"/>
            </w:tcBorders>
            <w:gridSpan w:val="9"/>
          </w:tcPr>
          <w:p>
            <w:pPr>
              <w:spacing w:after="0"/>
              <w:rPr>
                <w:sz w:val="17"/>
                <w:szCs w:val="17"/>
                <w:color w:val="auto"/>
              </w:rPr>
            </w:pPr>
          </w:p>
        </w:tc>
        <w:tc>
          <w:tcPr>
            <w:tcW w:w="2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3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Matthew Tenorio.</w:t>
              </w:r>
            </w:hyperlink>
          </w:p>
        </w:tc>
        <w:tc>
          <w:tcPr>
            <w:tcW w:w="1700" w:type="dxa"/>
            <w:vAlign w:val="bottom"/>
            <w:gridSpan w:val="22"/>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2600" w:type="dxa"/>
            <w:vAlign w:val="bottom"/>
            <w:tcBorders>
              <w:bottom w:val="single" w:sz="8" w:color="0000EE"/>
            </w:tcBorders>
            <w:gridSpan w:val="19"/>
          </w:tcPr>
          <w:p>
            <w:pPr>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Executive Severance and Change in</w:t>
              </w:r>
            </w:hyperlink>
          </w:p>
        </w:tc>
        <w:tc>
          <w:tcPr>
            <w:tcW w:w="400" w:type="dxa"/>
            <w:vAlign w:val="bottom"/>
            <w:gridSpan w:val="11"/>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3/13/2020</w:t>
            </w:r>
          </w:p>
        </w:tc>
      </w:tr>
      <w:tr>
        <w:trPr>
          <w:trHeight w:val="196"/>
        </w:trPr>
        <w:tc>
          <w:tcPr>
            <w:tcW w:w="1020" w:type="dxa"/>
            <w:vAlign w:val="bottom"/>
          </w:tcPr>
          <w:p>
            <w:pPr>
              <w:spacing w:after="0"/>
              <w:rPr>
                <w:sz w:val="17"/>
                <w:szCs w:val="17"/>
                <w:color w:val="auto"/>
              </w:rPr>
            </w:pPr>
          </w:p>
        </w:tc>
        <w:tc>
          <w:tcPr>
            <w:tcW w:w="3000" w:type="dxa"/>
            <w:vAlign w:val="bottom"/>
            <w:gridSpan w:val="3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Control Plan.</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2880" w:type="dxa"/>
            <w:vAlign w:val="bottom"/>
            <w:tcBorders>
              <w:bottom w:val="single" w:sz="8" w:color="0000EE"/>
            </w:tcBorders>
            <w:gridSpan w:val="29"/>
          </w:tcPr>
          <w:p>
            <w:pPr>
              <w:spacing w:after="0"/>
              <w:rPr>
                <w:rFonts w:ascii="Arial" w:cs="Arial" w:eastAsia="Arial" w:hAnsi="Arial"/>
                <w:sz w:val="18"/>
                <w:szCs w:val="18"/>
                <w:color w:val="0000EE"/>
                <w:w w:val="88"/>
              </w:rPr>
            </w:pPr>
            <w:hyperlink r:id="rId142">
              <w:r>
                <w:rPr>
                  <w:rFonts w:ascii="Arial" w:cs="Arial" w:eastAsia="Arial" w:hAnsi="Arial"/>
                  <w:sz w:val="18"/>
                  <w:szCs w:val="18"/>
                  <w:color w:val="0000EE"/>
                  <w:w w:val="88"/>
                </w:rPr>
                <w:t>Separation Agreement, dated January 8,</w:t>
              </w:r>
            </w:hyperlink>
          </w:p>
        </w:tc>
        <w:tc>
          <w:tcPr>
            <w:tcW w:w="120" w:type="dxa"/>
            <w:vAlign w:val="bottom"/>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5/08/2020</w:t>
            </w:r>
          </w:p>
        </w:tc>
      </w:tr>
      <w:tr>
        <w:trPr>
          <w:trHeight w:val="196"/>
        </w:trPr>
        <w:tc>
          <w:tcPr>
            <w:tcW w:w="1020" w:type="dxa"/>
            <w:vAlign w:val="bottom"/>
          </w:tcPr>
          <w:p>
            <w:pPr>
              <w:spacing w:after="0"/>
              <w:rPr>
                <w:sz w:val="17"/>
                <w:szCs w:val="17"/>
                <w:color w:val="auto"/>
              </w:rPr>
            </w:pPr>
          </w:p>
        </w:tc>
        <w:tc>
          <w:tcPr>
            <w:tcW w:w="28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2020, by and between the registrant and</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Jeffrey Winzeler.</w:t>
              </w:r>
            </w:hyperlink>
          </w:p>
        </w:tc>
        <w:tc>
          <w:tcPr>
            <w:tcW w:w="176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2700" w:type="dxa"/>
            <w:vAlign w:val="bottom"/>
            <w:tcBorders>
              <w:bottom w:val="single" w:sz="8" w:color="0000EE"/>
            </w:tcBorders>
            <w:gridSpan w:val="23"/>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Separation Agreement, dated April 7,</w:t>
              </w:r>
            </w:hyperlink>
          </w:p>
        </w:tc>
        <w:tc>
          <w:tcPr>
            <w:tcW w:w="300" w:type="dxa"/>
            <w:vAlign w:val="bottom"/>
            <w:gridSpan w:val="7"/>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91"/>
              </w:rPr>
              <w:t>5/7/2021</w:t>
            </w:r>
          </w:p>
        </w:tc>
      </w:tr>
      <w:tr>
        <w:trPr>
          <w:trHeight w:val="196"/>
        </w:trPr>
        <w:tc>
          <w:tcPr>
            <w:tcW w:w="1020" w:type="dxa"/>
            <w:vAlign w:val="bottom"/>
          </w:tcPr>
          <w:p>
            <w:pPr>
              <w:spacing w:after="0"/>
              <w:rPr>
                <w:sz w:val="17"/>
                <w:szCs w:val="17"/>
                <w:color w:val="auto"/>
              </w:rPr>
            </w:pPr>
          </w:p>
        </w:tc>
        <w:tc>
          <w:tcPr>
            <w:tcW w:w="28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2021, by and between the registrant and</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00" w:type="dxa"/>
            <w:vAlign w:val="bottom"/>
            <w:gridSpan w:val="3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Daniel Berenbaum.</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2580" w:type="dxa"/>
            <w:vAlign w:val="bottom"/>
            <w:tcBorders>
              <w:bottom w:val="single" w:sz="8" w:color="0000EE"/>
            </w:tcBorders>
            <w:gridSpan w:val="18"/>
          </w:tcPr>
          <w:p>
            <w:pPr>
              <w:spacing w:after="0"/>
              <w:rPr>
                <w:rFonts w:ascii="Arial" w:cs="Arial" w:eastAsia="Arial" w:hAnsi="Arial"/>
                <w:sz w:val="18"/>
                <w:szCs w:val="18"/>
                <w:color w:val="0000EE"/>
                <w:w w:val="87"/>
              </w:rPr>
            </w:pPr>
            <w:hyperlink r:id="rId144">
              <w:r>
                <w:rPr>
                  <w:rFonts w:ascii="Arial" w:cs="Arial" w:eastAsia="Arial" w:hAnsi="Arial"/>
                  <w:sz w:val="18"/>
                  <w:szCs w:val="18"/>
                  <w:color w:val="0000EE"/>
                  <w:w w:val="87"/>
                </w:rPr>
                <w:t>Separation Agreement and Release,</w:t>
              </w:r>
            </w:hyperlink>
          </w:p>
        </w:tc>
        <w:tc>
          <w:tcPr>
            <w:tcW w:w="420" w:type="dxa"/>
            <w:vAlign w:val="bottom"/>
            <w:gridSpan w:val="12"/>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91"/>
              </w:rPr>
              <w:t>3/4/2021</w:t>
            </w:r>
          </w:p>
        </w:tc>
      </w:tr>
      <w:tr>
        <w:trPr>
          <w:trHeight w:val="196"/>
        </w:trPr>
        <w:tc>
          <w:tcPr>
            <w:tcW w:w="1020" w:type="dxa"/>
            <w:vAlign w:val="bottom"/>
          </w:tcPr>
          <w:p>
            <w:pPr>
              <w:spacing w:after="0"/>
              <w:rPr>
                <w:sz w:val="17"/>
                <w:szCs w:val="17"/>
                <w:color w:val="auto"/>
              </w:rPr>
            </w:pPr>
          </w:p>
        </w:tc>
        <w:tc>
          <w:tcPr>
            <w:tcW w:w="24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dated December 22, 2020, by and</w:t>
              </w:r>
            </w:hyperlink>
          </w:p>
        </w:tc>
        <w:tc>
          <w:tcPr>
            <w:tcW w:w="56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between the registrant and Kevin</w:t>
              </w:r>
            </w:hyperlink>
          </w:p>
        </w:tc>
        <w:tc>
          <w:tcPr>
            <w:tcW w:w="62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Conley.</w:t>
              </w:r>
            </w:hyperlink>
          </w:p>
        </w:tc>
        <w:tc>
          <w:tcPr>
            <w:tcW w:w="2440" w:type="dxa"/>
            <w:vAlign w:val="bottom"/>
            <w:gridSpan w:val="29"/>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2840" w:type="dxa"/>
            <w:vAlign w:val="bottom"/>
            <w:tcBorders>
              <w:bottom w:val="single" w:sz="8" w:color="0000EE"/>
            </w:tcBorders>
            <w:gridSpan w:val="28"/>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Offer Letter, dated December 30, 2020,</w:t>
              </w:r>
            </w:hyperlink>
          </w:p>
        </w:tc>
        <w:tc>
          <w:tcPr>
            <w:tcW w:w="160" w:type="dxa"/>
            <w:vAlign w:val="bottom"/>
            <w:gridSpan w:val="2"/>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91"/>
              </w:rPr>
              <w:t>3/4/2021</w:t>
            </w:r>
          </w:p>
        </w:tc>
      </w:tr>
      <w:tr>
        <w:trPr>
          <w:trHeight w:val="196"/>
        </w:trPr>
        <w:tc>
          <w:tcPr>
            <w:tcW w:w="1020" w:type="dxa"/>
            <w:vAlign w:val="bottom"/>
          </w:tcPr>
          <w:p>
            <w:pPr>
              <w:spacing w:after="0"/>
              <w:rPr>
                <w:sz w:val="17"/>
                <w:szCs w:val="17"/>
                <w:color w:val="auto"/>
              </w:rPr>
            </w:pPr>
          </w:p>
        </w:tc>
        <w:tc>
          <w:tcPr>
            <w:tcW w:w="288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by and between the registrant and Darin</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Billerbeck.</w:t>
              </w:r>
            </w:hyperlink>
          </w:p>
        </w:tc>
        <w:tc>
          <w:tcPr>
            <w:tcW w:w="2200" w:type="dxa"/>
            <w:vAlign w:val="bottom"/>
            <w:gridSpan w:val="27"/>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10.25†</w:t>
            </w:r>
          </w:p>
        </w:tc>
        <w:tc>
          <w:tcPr>
            <w:tcW w:w="2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Executive Employment Agreement,</w:t>
              </w:r>
            </w:hyperlink>
          </w:p>
        </w:tc>
        <w:tc>
          <w:tcPr>
            <w:tcW w:w="400" w:type="dxa"/>
            <w:vAlign w:val="bottom"/>
            <w:gridSpan w:val="11"/>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7/22/2021</w:t>
            </w:r>
          </w:p>
        </w:tc>
      </w:tr>
      <w:tr>
        <w:trPr>
          <w:trHeight w:val="196"/>
        </w:trPr>
        <w:tc>
          <w:tcPr>
            <w:tcW w:w="1020" w:type="dxa"/>
            <w:vAlign w:val="bottom"/>
          </w:tcPr>
          <w:p>
            <w:pPr>
              <w:spacing w:after="0"/>
              <w:rPr>
                <w:sz w:val="17"/>
                <w:szCs w:val="17"/>
                <w:color w:val="auto"/>
              </w:rPr>
            </w:pPr>
          </w:p>
        </w:tc>
        <w:tc>
          <w:tcPr>
            <w:tcW w:w="27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effective as of April 3, 2021, between</w:t>
              </w:r>
            </w:hyperlink>
          </w:p>
        </w:tc>
        <w:tc>
          <w:tcPr>
            <w:tcW w:w="28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6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the registrant and Sanjeev Aggarwal</w:t>
              </w:r>
            </w:hyperlink>
          </w:p>
        </w:tc>
        <w:tc>
          <w:tcPr>
            <w:tcW w:w="38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10.26†</w:t>
            </w:r>
          </w:p>
        </w:tc>
        <w:tc>
          <w:tcPr>
            <w:tcW w:w="2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Executive Employment Agreement,</w:t>
              </w:r>
            </w:hyperlink>
          </w:p>
        </w:tc>
        <w:tc>
          <w:tcPr>
            <w:tcW w:w="400" w:type="dxa"/>
            <w:vAlign w:val="bottom"/>
            <w:gridSpan w:val="11"/>
          </w:tcPr>
          <w:p>
            <w:pPr>
              <w:spacing w:after="0"/>
              <w:rPr>
                <w:sz w:val="24"/>
                <w:szCs w:val="24"/>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001-37900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ind w:left="250"/>
              <w:spacing w:after="0"/>
              <w:rPr>
                <w:sz w:val="20"/>
                <w:szCs w:val="20"/>
                <w:color w:val="auto"/>
              </w:rPr>
            </w:pPr>
            <w:r>
              <w:rPr>
                <w:rFonts w:ascii="Arial" w:cs="Arial" w:eastAsia="Arial" w:hAnsi="Arial"/>
                <w:sz w:val="18"/>
                <w:szCs w:val="18"/>
                <w:color w:val="auto"/>
                <w:w w:val="89"/>
              </w:rPr>
              <w:t>7/22/2021</w:t>
            </w:r>
          </w:p>
        </w:tc>
      </w:tr>
      <w:tr>
        <w:trPr>
          <w:trHeight w:val="196"/>
        </w:trPr>
        <w:tc>
          <w:tcPr>
            <w:tcW w:w="1020" w:type="dxa"/>
            <w:vAlign w:val="bottom"/>
          </w:tcPr>
          <w:p>
            <w:pPr>
              <w:spacing w:after="0"/>
              <w:rPr>
                <w:sz w:val="17"/>
                <w:szCs w:val="17"/>
                <w:color w:val="auto"/>
              </w:rPr>
            </w:pPr>
          </w:p>
        </w:tc>
        <w:tc>
          <w:tcPr>
            <w:tcW w:w="26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effective as of July 2, 2021, between</w:t>
              </w:r>
            </w:hyperlink>
          </w:p>
        </w:tc>
        <w:tc>
          <w:tcPr>
            <w:tcW w:w="36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the registrant and Anuj Aggarwal</w:t>
              </w:r>
            </w:hyperlink>
          </w:p>
        </w:tc>
        <w:tc>
          <w:tcPr>
            <w:tcW w:w="58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3000" w:type="dxa"/>
            <w:vAlign w:val="bottom"/>
            <w:gridSpan w:val="3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Consent of Ernst &amp; Young LLP,</w:t>
              </w:r>
            </w:hyperlink>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Independent Registered Public</w:t>
              </w:r>
            </w:hyperlink>
          </w:p>
        </w:tc>
        <w:tc>
          <w:tcPr>
            <w:tcW w:w="80" w:type="dxa"/>
            <w:vAlign w:val="bottom"/>
            <w:tcBorders>
              <w:top w:val="single" w:sz="8" w:color="0000EE"/>
            </w:tcBorders>
          </w:tcPr>
          <w:p>
            <w:pPr>
              <w:spacing w:after="0"/>
              <w:rPr>
                <w:sz w:val="17"/>
                <w:szCs w:val="17"/>
                <w:color w:val="auto"/>
              </w:rPr>
            </w:pPr>
          </w:p>
        </w:tc>
        <w:tc>
          <w:tcPr>
            <w:tcW w:w="70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00" w:type="dxa"/>
            <w:vAlign w:val="bottom"/>
            <w:gridSpan w:val="3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Accounting Firm.</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25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Power of Attorney (included on the</w:t>
              </w:r>
            </w:hyperlink>
          </w:p>
        </w:tc>
        <w:tc>
          <w:tcPr>
            <w:tcW w:w="4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7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Signatures page of this Annual Report</w:t>
              </w:r>
            </w:hyperlink>
          </w:p>
        </w:tc>
        <w:tc>
          <w:tcPr>
            <w:tcW w:w="24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1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on Form 10-K).</w:t>
              </w:r>
            </w:hyperlink>
          </w:p>
        </w:tc>
        <w:tc>
          <w:tcPr>
            <w:tcW w:w="1860" w:type="dxa"/>
            <w:vAlign w:val="bottom"/>
            <w:gridSpan w:val="25"/>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3000" w:type="dxa"/>
            <w:vAlign w:val="bottom"/>
            <w:gridSpan w:val="3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Certification of Principal Executive</w:t>
              </w:r>
            </w:hyperlink>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380" w:type="dxa"/>
            <w:vAlign w:val="bottom"/>
            <w:tcBorders>
              <w:right w:val="single" w:sz="8" w:color="0000EE"/>
            </w:tcBorders>
            <w:gridSpan w:val="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000" w:type="dxa"/>
            <w:vAlign w:val="bottom"/>
            <w:gridSpan w:val="30"/>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Officer Pursuant to Rules 13a-14(a) and</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15d-14(a) under the Securities</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6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Exchange Act of 1934, as amended.</w:t>
              </w:r>
            </w:hyperlink>
          </w:p>
        </w:tc>
        <w:tc>
          <w:tcPr>
            <w:tcW w:w="40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256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Certification of Principal Financial</w:t>
              </w:r>
            </w:hyperlink>
          </w:p>
        </w:tc>
        <w:tc>
          <w:tcPr>
            <w:tcW w:w="4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000" w:type="dxa"/>
            <w:vAlign w:val="bottom"/>
            <w:gridSpan w:val="30"/>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Officer Pursuant to Rules 13a-14(a) and</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15d-14(a) under the Securities</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820" w:type="dxa"/>
            <w:vAlign w:val="bottom"/>
            <w:gridSpan w:val="2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6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Exchange Act of 1934, as amended.</w:t>
              </w:r>
            </w:hyperlink>
          </w:p>
        </w:tc>
        <w:tc>
          <w:tcPr>
            <w:tcW w:w="40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25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Executive</w:t>
              </w:r>
            </w:hyperlink>
          </w:p>
        </w:tc>
        <w:tc>
          <w:tcPr>
            <w:tcW w:w="2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40" w:type="dxa"/>
            <w:vAlign w:val="bottom"/>
            <w:gridSpan w:val="5"/>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Officer and Principal Financial Officer</w:t>
              </w:r>
            </w:hyperlink>
          </w:p>
        </w:tc>
      </w:tr>
      <w:tr>
        <w:trPr>
          <w:trHeight w:val="20"/>
        </w:trPr>
        <w:tc>
          <w:tcPr>
            <w:tcW w:w="10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Pursuant to 18 U.S.C. Section 1350, as</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Adopted Pursuant to Section 906 of the</w:t>
              </w:r>
            </w:hyperlink>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Sarbanes-Oxley Act of 2002.</w:t>
              </w:r>
            </w:hyperlink>
          </w:p>
        </w:tc>
        <w:tc>
          <w:tcPr>
            <w:tcW w:w="740" w:type="dxa"/>
            <w:vAlign w:val="bottom"/>
            <w:gridSpan w:val="4"/>
          </w:tcPr>
          <w:p>
            <w:pPr>
              <w:spacing w:after="0"/>
              <w:rPr>
                <w:sz w:val="17"/>
                <w:szCs w:val="17"/>
                <w:color w:val="auto"/>
              </w:rPr>
            </w:pPr>
          </w:p>
        </w:tc>
      </w:tr>
      <w:tr>
        <w:trPr>
          <w:trHeight w:val="43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2840" w:type="dxa"/>
            <w:vAlign w:val="bottom"/>
            <w:gridSpan w:val="5"/>
          </w:tcPr>
          <w:p>
            <w:pPr>
              <w:spacing w:after="0"/>
              <w:rPr>
                <w:sz w:val="20"/>
                <w:szCs w:val="20"/>
                <w:color w:val="auto"/>
              </w:rPr>
            </w:pPr>
            <w:r>
              <w:rPr>
                <w:rFonts w:ascii="Arial" w:cs="Arial" w:eastAsia="Arial" w:hAnsi="Arial"/>
                <w:sz w:val="18"/>
                <w:szCs w:val="18"/>
                <w:color w:val="auto"/>
                <w:w w:val="93"/>
              </w:rPr>
              <w:t>Inline XBRL Instance Document – the</w:t>
            </w:r>
          </w:p>
        </w:tc>
      </w:tr>
      <w:tr>
        <w:trPr>
          <w:trHeight w:val="216"/>
        </w:trPr>
        <w:tc>
          <w:tcPr>
            <w:tcW w:w="104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w w:val="92"/>
              </w:rPr>
              <w:t>instance document does not appear in</w:t>
            </w:r>
          </w:p>
        </w:tc>
      </w:tr>
      <w:tr>
        <w:trPr>
          <w:trHeight w:val="216"/>
        </w:trPr>
        <w:tc>
          <w:tcPr>
            <w:tcW w:w="104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w w:val="98"/>
              </w:rPr>
              <w:t>the Interactive Data File because its</w:t>
            </w:r>
          </w:p>
        </w:tc>
      </w:tr>
      <w:tr>
        <w:trPr>
          <w:trHeight w:val="216"/>
        </w:trPr>
        <w:tc>
          <w:tcPr>
            <w:tcW w:w="104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w w:val="97"/>
              </w:rPr>
              <w:t>XBRL tags are embedded within the</w:t>
            </w:r>
          </w:p>
        </w:tc>
      </w:tr>
      <w:tr>
        <w:trPr>
          <w:trHeight w:val="230"/>
        </w:trPr>
        <w:tc>
          <w:tcPr>
            <w:tcW w:w="104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Inline XBRL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284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04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Schema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284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04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Calculation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284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04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Definition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284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04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Label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284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04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Presentation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2840" w:type="dxa"/>
            <w:vAlign w:val="bottom"/>
            <w:gridSpan w:val="5"/>
          </w:tcPr>
          <w:p>
            <w:pPr>
              <w:spacing w:after="0"/>
              <w:rPr>
                <w:sz w:val="20"/>
                <w:szCs w:val="20"/>
                <w:color w:val="auto"/>
              </w:rPr>
            </w:pPr>
            <w:r>
              <w:rPr>
                <w:rFonts w:ascii="Arial" w:cs="Arial" w:eastAsia="Arial" w:hAnsi="Arial"/>
                <w:sz w:val="18"/>
                <w:szCs w:val="18"/>
                <w:color w:val="auto"/>
              </w:rPr>
              <w:t>Cover Page Interactive Data File</w:t>
            </w:r>
          </w:p>
        </w:tc>
      </w:tr>
      <w:tr>
        <w:trPr>
          <w:trHeight w:val="216"/>
        </w:trPr>
        <w:tc>
          <w:tcPr>
            <w:tcW w:w="104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(formatted as Inline XBRL and</w:t>
            </w:r>
          </w:p>
        </w:tc>
      </w:tr>
      <w:tr>
        <w:trPr>
          <w:trHeight w:val="230"/>
        </w:trPr>
        <w:tc>
          <w:tcPr>
            <w:tcW w:w="104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414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76"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right="79" w:hanging="330"/>
        <w:spacing w:after="0" w:line="25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8"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w:t>
      </w:r>
    </w:p>
    <w:p>
      <w:pPr>
        <w:spacing w:after="0" w:line="225" w:lineRule="exact"/>
        <w:rPr>
          <w:sz w:val="20"/>
          <w:szCs w:val="20"/>
          <w:color w:val="auto"/>
        </w:rPr>
      </w:pPr>
    </w:p>
    <w:p>
      <w:pPr>
        <w:ind w:left="380" w:right="179" w:hanging="330"/>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70"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60" w:right="919" w:hanging="10"/>
        <w:spacing w:after="0" w:line="277" w:lineRule="auto"/>
        <w:tabs>
          <w:tab w:leader="none" w:pos="3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filed, or incorporated into this Annual Report on Form 10-K by reference, the exhibits listed on the Exhibit Index immediately above.</w:t>
      </w:r>
    </w:p>
    <w:p>
      <w:pPr>
        <w:spacing w:after="0" w:line="170" w:lineRule="exact"/>
        <w:rPr>
          <w:rFonts w:ascii="Arial" w:cs="Arial" w:eastAsia="Arial" w:hAnsi="Arial"/>
          <w:sz w:val="18"/>
          <w:szCs w:val="18"/>
          <w:color w:val="auto"/>
        </w:rPr>
      </w:pPr>
    </w:p>
    <w:p>
      <w:pPr>
        <w:ind w:left="940" w:hanging="242"/>
        <w:spacing w:after="0"/>
        <w:tabs>
          <w:tab w:leader="none" w:pos="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provided.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59" w:firstLine="401"/>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9, 2022.</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Everspin Technologies,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Darin Billerbeck</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4"/>
          <w:szCs w:val="14"/>
          <w:color w:val="auto"/>
        </w:rPr>
        <w: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0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Darin Billerbeck and Anuj Aggarwal, and each of them, as his true and lawful attorneys-in-fact and agents, each with the full power of substitution, for him and in his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81"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1"/>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6"/>
              </w:rPr>
              <w:t>Interim Chief Executive Officer, and Executive Chairman of the</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30"/>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Darin Billerbeck</w:t>
            </w:r>
          </w:p>
        </w:tc>
        <w:tc>
          <w:tcPr>
            <w:tcW w:w="2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Board</w:t>
            </w:r>
          </w:p>
        </w:tc>
        <w:tc>
          <w:tcPr>
            <w:tcW w:w="1820" w:type="dxa"/>
            <w:vAlign w:val="bottom"/>
          </w:tcPr>
          <w:p>
            <w:pPr>
              <w:spacing w:after="0"/>
              <w:rPr>
                <w:sz w:val="20"/>
                <w:szCs w:val="20"/>
                <w:color w:val="auto"/>
              </w:rPr>
            </w:pP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5"/>
              </w:rPr>
              <w:t>Darin Billerbeck</w:t>
            </w:r>
          </w:p>
        </w:tc>
        <w:tc>
          <w:tcPr>
            <w:tcW w:w="24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Anuj Aggarwal</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6"/>
              </w:rPr>
              <w:t>Anuj Aggarwal</w:t>
            </w:r>
          </w:p>
        </w:tc>
        <w:tc>
          <w:tcPr>
            <w:tcW w:w="24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Lawrence G. Finch</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1"/>
              </w:rPr>
              <w:t>Lawrence G. Finch</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Mike Gustafson</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2"/>
              </w:rPr>
              <w:t>Mike Gustafson</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Geoff Ribar</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3"/>
              </w:rPr>
              <w:t>Geoff Ribar</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left="700" w:right="219" w:hanging="326"/>
        <w:spacing w:after="0" w:line="291"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Registration Statement (Form S-8 No. 333-214018) pertaining to the Everspin Technologies, Inc. 2008 Equity Incentive Plan, Amended and Restated 2016 Equity Incentive Plan and the 2016 Employee Stock Purchase Plan,</w:t>
      </w:r>
    </w:p>
    <w:p>
      <w:pPr>
        <w:ind w:left="700" w:right="2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333-219938) pertaining to the Everspin Technologies, Inc. Amended and Restated 2016 Equity Incentive Plan and the 2016 Employee Stock Purchase Plan,</w:t>
      </w:r>
    </w:p>
    <w:p>
      <w:pPr>
        <w:ind w:left="700" w:right="2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333-225119) pertaining to the Everspin Technologies, Inc. Amended and Restated 2016 Equity Incentive Plan and the 2016 Employee Stock Purchase Plan,</w:t>
      </w:r>
    </w:p>
    <w:p>
      <w:pPr>
        <w:ind w:left="700" w:right="2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333-230349) pertaining to the Everspin Technologies, Inc. Amended and Restated 2016 Equity Incentive Plan and the 2016 Employee Stock Purchase Plan,</w:t>
      </w:r>
    </w:p>
    <w:p>
      <w:pPr>
        <w:ind w:left="700" w:right="2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333-237146) pertaining to the Everspin Technologies, Inc. Amended and Restated 2016 Equity Incentive Plan and the 2016 Employee Stock Purchase Plan,</w:t>
      </w:r>
    </w:p>
    <w:p>
      <w:pPr>
        <w:ind w:left="700" w:hanging="32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S-3 No. 333-249891) of Everspin Technologies, Inc.,</w:t>
      </w:r>
    </w:p>
    <w:p>
      <w:pPr>
        <w:spacing w:after="0" w:line="9" w:lineRule="exact"/>
        <w:rPr>
          <w:rFonts w:ascii="Arial" w:cs="Arial" w:eastAsia="Arial" w:hAnsi="Arial"/>
          <w:sz w:val="18"/>
          <w:szCs w:val="18"/>
          <w:color w:val="auto"/>
        </w:rPr>
      </w:pPr>
    </w:p>
    <w:p>
      <w:pPr>
        <w:ind w:left="700" w:right="279" w:hanging="326"/>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333-253884) pertaining to the Everspin Technologies, Inc. Amended and Restated 2016 Equity Incentive Plan and the 2016 Employee Stock Purchase Plan,</w:t>
      </w:r>
    </w:p>
    <w:p>
      <w:pPr>
        <w:ind w:left="700" w:right="279" w:hanging="326"/>
        <w:spacing w:after="0" w:line="26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333-258794) pertaining to the Everspin Technologies, Inc. Amended and Restated 2016 Equity Incentive Plan;</w:t>
      </w:r>
    </w:p>
    <w:p>
      <w:pPr>
        <w:spacing w:after="0" w:line="118"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of our report dated March 9, 2022, with respect to the financial statements of Everspin Technologies, Inc. included in this Annual Report (Form 10-K) for the year ended December 31, 2021.</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1" w:name="page82"/>
    <w:bookmarkEnd w:id="8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Darin Billerbeck, certify that:</w:t>
      </w:r>
    </w:p>
    <w:p>
      <w:pPr>
        <w:spacing w:after="0" w:line="185"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84"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380" w:right="219" w:hanging="330"/>
        <w:spacing w:after="0" w:line="270"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9, 2022</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Darin Billerbeck</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Interim Chief Executive Officer</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2" w:name="page83"/>
    <w:bookmarkEnd w:id="8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198"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98"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80" w:right="239" w:hanging="330"/>
        <w:spacing w:after="0" w:line="270"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9, 2022</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Anuj Aggarwal</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i w:val="1"/>
          <w:iCs w:val="1"/>
          <w:color w:val="auto"/>
        </w:rPr>
        <w:t>(Chief Financial Officer)</w:t>
      </w: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connection with the Annual Report of Everspin Technologies, Inc. (the “Company”) on Form 10-K for the year ended December 31, 2021 (the “Report”), Darin Billerbeck, Interim Chief Executive Officer of the Company, and Anuj Aggarwal,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76"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Section 15(d) of the Exchange Act; and</w:t>
      </w:r>
    </w:p>
    <w:p>
      <w:pPr>
        <w:spacing w:after="0" w:line="198" w:lineRule="exact"/>
        <w:rPr>
          <w:rFonts w:ascii="Arial" w:cs="Arial" w:eastAsia="Arial" w:hAnsi="Arial"/>
          <w:sz w:val="18"/>
          <w:szCs w:val="18"/>
          <w:b w:val="1"/>
          <w:bCs w:val="1"/>
          <w:color w:val="auto"/>
        </w:rPr>
      </w:pPr>
    </w:p>
    <w:p>
      <w:pPr>
        <w:ind w:left="380" w:right="239" w:hanging="330"/>
        <w:spacing w:after="0" w:line="261" w:lineRule="auto"/>
        <w:tabs>
          <w:tab w:leader="none" w:pos="3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9, 2022</w:t>
      </w:r>
    </w:p>
    <w:p>
      <w:pPr>
        <w:spacing w:after="0" w:line="19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174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5648960" cy="1174115"/>
                    </a:xfrm>
                    <a:prstGeom prst="rect">
                      <a:avLst/>
                    </a:prstGeom>
                    <a:noFill/>
                  </pic:spPr>
                </pic:pic>
              </a:graphicData>
            </a:graphic>
          </wp:anchor>
        </w:drawing>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Darin Billerbeck</w:t>
      </w:r>
    </w:p>
    <w:p>
      <w:pPr>
        <w:ind w:left="5400"/>
        <w:spacing w:after="0" w:line="234" w:lineRule="auto"/>
        <w:rPr>
          <w:sz w:val="20"/>
          <w:szCs w:val="20"/>
          <w:color w:val="auto"/>
        </w:rPr>
      </w:pPr>
      <w:r>
        <w:rPr>
          <w:rFonts w:ascii="Arial" w:cs="Arial" w:eastAsia="Arial" w:hAnsi="Arial"/>
          <w:sz w:val="18"/>
          <w:szCs w:val="18"/>
          <w:i w:val="1"/>
          <w:iCs w:val="1"/>
          <w:color w:val="auto"/>
        </w:rPr>
        <w:t>Interim Chief Executive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Anuj Aggarwal</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Anuj Aggarwal</w:t>
      </w:r>
    </w:p>
    <w:p>
      <w:pPr>
        <w:ind w:left="540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182"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324485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Letter"/>
      <w:start w:val="1"/>
    </w:lvl>
    <w:lvl w:ilvl="1">
      <w:lvlJc w:val="left"/>
      <w:lvlText w:val="%2."/>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2"/>
    </w:lvl>
    <w:lvl w:ilvl="1">
      <w:lvlJc w:val="left"/>
      <w:lvlText w:val="(%2)"/>
      <w:numFmt w:val="lowerLetter"/>
      <w:start w:val="3"/>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18" Type="http://schemas.openxmlformats.org/officeDocument/2006/relationships/image" Target="media/image85.png"/><Relationship Id="rId126" Type="http://schemas.openxmlformats.org/officeDocument/2006/relationships/image" Target="media/image86.png"/><Relationship Id="rId13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90" Type="http://schemas.openxmlformats.org/officeDocument/2006/relationships/hyperlink" Target="http://www.sec.gov/Archives/edgar/data/1438423/000119312516737688/d271840dex31.htm" TargetMode="External"/><Relationship Id="rId91" Type="http://schemas.openxmlformats.org/officeDocument/2006/relationships/hyperlink" Target="http://www.sec.gov/Archives/edgar/data/1438423/000119312519154165/d752899dex31.htm" TargetMode="External"/><Relationship Id="rId92" Type="http://schemas.openxmlformats.org/officeDocument/2006/relationships/hyperlink" Target="https://www.sec.gov/Archives/edgar/data/1438423/000119312520153247/d936625dex31.htm" TargetMode="External"/><Relationship Id="rId93" Type="http://schemas.openxmlformats.org/officeDocument/2006/relationships/hyperlink" Target="http://www.sec.gov/Archives/edgar/data/1438423/000119312519154165/d752899dex32.htm" TargetMode="External"/><Relationship Id="rId94" Type="http://schemas.openxmlformats.org/officeDocument/2006/relationships/hyperlink" Target="http://www.sec.gov/Archives/edgar/data/1438423/000119312516706479/d180963dex41.htm" TargetMode="External"/><Relationship Id="rId95" Type="http://schemas.openxmlformats.org/officeDocument/2006/relationships/hyperlink" Target="http://www.sec.gov/Archives/edgar/data/1438423/000155837019010452/mram-20190930ex424b334ff.htm" TargetMode="External"/><Relationship Id="rId96" Type="http://schemas.openxmlformats.org/officeDocument/2006/relationships/hyperlink" Target="https://www.sec.gov/Archives/edgar/data/1438423/000155837020009726/mram-20200630xex4d3.htm" TargetMode="External"/><Relationship Id="rId97" Type="http://schemas.openxmlformats.org/officeDocument/2006/relationships/hyperlink" Target="https://www.sec.gov/Archives/edgar/data/1438423/000155837021002369/mram-20201231xex4d4.htm" TargetMode="External"/><Relationship Id="rId98" Type="http://schemas.openxmlformats.org/officeDocument/2006/relationships/hyperlink" Target="http://www.sec.gov/Archives/edgar/data/1438423/000119312516706479/d180963dex101.htm" TargetMode="External"/><Relationship Id="rId99" Type="http://schemas.openxmlformats.org/officeDocument/2006/relationships/hyperlink" Target="http://www.sec.gov/Archives/edgar/data/1438423/000119312516718974/d180963dex102.htm" TargetMode="External"/><Relationship Id="rId100" Type="http://schemas.openxmlformats.org/officeDocument/2006/relationships/hyperlink" Target="http://www.sec.gov/Archives/edgar/data/1438423/000119312518170723/d591823dex101.htm" TargetMode="External"/><Relationship Id="rId101" Type="http://schemas.openxmlformats.org/officeDocument/2006/relationships/hyperlink" Target="https://www.sec.gov/Archives/edgar/data/1438423/000110465921071785/tm2117465d1_10-1.htm" TargetMode="External"/><Relationship Id="rId102" Type="http://schemas.openxmlformats.org/officeDocument/2006/relationships/hyperlink" Target="http://www.sec.gov/Archives/edgar/data/1438423/000119312516718974/d180963dex103.htm" TargetMode="External"/><Relationship Id="rId103" Type="http://schemas.openxmlformats.org/officeDocument/2006/relationships/hyperlink" Target="http://www.sec.gov/Archives/edgar/data/1438423/000155837017008862/mram-20170930ex103cdc87e.htm" TargetMode="External"/><Relationship Id="rId104" Type="http://schemas.openxmlformats.org/officeDocument/2006/relationships/hyperlink" Target="http://www.sec.gov/Archives/edgar/data/1438423/000119312516718974/d180963dex104.htm" TargetMode="External"/><Relationship Id="rId107" Type="http://schemas.openxmlformats.org/officeDocument/2006/relationships/hyperlink" Target="http://www.sec.gov/Archives/edgar/data/1438423/000119312516706479/d180963dex105.htm" TargetMode="External"/><Relationship Id="rId108" Type="http://schemas.openxmlformats.org/officeDocument/2006/relationships/hyperlink" Target="http://www.sec.gov/Archives/edgar/data/1438423/000119312516706479/d180963dex106.htm" TargetMode="External"/><Relationship Id="rId109" Type="http://schemas.openxmlformats.org/officeDocument/2006/relationships/hyperlink" Target="http://www.sec.gov/Archives/edgar/data/1438423/000119312516706479/d180963dex107.htm" TargetMode="External"/><Relationship Id="rId110" Type="http://schemas.openxmlformats.org/officeDocument/2006/relationships/hyperlink" Target="http://www.sec.gov/Archives/edgar/data/1438423/000119312516706479/d180963dex108.htm" TargetMode="External"/><Relationship Id="rId111" Type="http://schemas.openxmlformats.org/officeDocument/2006/relationships/hyperlink" Target="http://www.sec.gov/Archives/edgar/data/1438423/000119312516706479/d180963dex109.htm" TargetMode="External"/><Relationship Id="rId112" Type="http://schemas.openxmlformats.org/officeDocument/2006/relationships/hyperlink" Target="http://www.sec.gov/Archives/edgar/data/1438423/000119312517099843/d309079dex101.htm" TargetMode="External"/><Relationship Id="rId113" Type="http://schemas.openxmlformats.org/officeDocument/2006/relationships/hyperlink" Target="http://www.sec.gov/Archives/edgar/data/1438423/000155837018002138/mram-20171231ex10404e19d.htm" TargetMode="External"/><Relationship Id="rId114" Type="http://schemas.openxmlformats.org/officeDocument/2006/relationships/hyperlink" Target="http://www.sec.gov/Archives/edgar/data/1438423/000155837018009316/mram-20180930ex101843130.htm" TargetMode="External"/><Relationship Id="rId115" Type="http://schemas.openxmlformats.org/officeDocument/2006/relationships/hyperlink" Target="https://www.sec.gov/Archives/edgar/data/1438423/000155837020002576/mram-20191231ex1015b3826.htm" TargetMode="External"/><Relationship Id="rId116" Type="http://schemas.openxmlformats.org/officeDocument/2006/relationships/hyperlink" Target="https://www.sec.gov/Archives/edgar/data/1438423/000155837020009726/mram-20200630xex10d2.htm" TargetMode="External"/><Relationship Id="rId117" Type="http://schemas.openxmlformats.org/officeDocument/2006/relationships/hyperlink" Target="http://www.sec.gov/Archives/edgar/data/1438423/000155837019010452/mram-20190930ex101645494.htm" TargetMode="External"/><Relationship Id="rId119" Type="http://schemas.openxmlformats.org/officeDocument/2006/relationships/hyperlink" Target="https://www.sec.gov/Archives/edgar/data/1438423/000155837020009726/mram-20200630xex10d3.htm" TargetMode="External"/><Relationship Id="rId120" Type="http://schemas.openxmlformats.org/officeDocument/2006/relationships/hyperlink" Target="http://www.sec.gov/Archives/edgar/data/1438423/000119312516706479/d180963dex1017.htm" TargetMode="External"/><Relationship Id="rId121" Type="http://schemas.openxmlformats.org/officeDocument/2006/relationships/hyperlink" Target="http://www.sec.gov/Archives/edgar/data/1438423/000119312516706479/d180963dex1022.htm" TargetMode="External"/><Relationship Id="rId122" Type="http://schemas.openxmlformats.org/officeDocument/2006/relationships/hyperlink" Target="http://www.sec.gov/Archives/edgar/data/1438423/000119312517099844/d365467dex101.htm" TargetMode="External"/><Relationship Id="rId123" Type="http://schemas.openxmlformats.org/officeDocument/2006/relationships/hyperlink" Target="https://www.sec.gov/Archives/edgar/data/1438423/000119312517099844/d365467dex102.htm" TargetMode="External"/><Relationship Id="rId124" Type="http://schemas.openxmlformats.org/officeDocument/2006/relationships/hyperlink" Target="https://www.sec.gov/Archives/edgar/data/1438423/000119312517099844/d365467dex103.htm" TargetMode="External"/><Relationship Id="rId125" Type="http://schemas.openxmlformats.org/officeDocument/2006/relationships/hyperlink" Target="http://www.sec.gov/Archives/edgar/data/1438423/000155837018002138/mram-20171231ex10398040a.htm" TargetMode="External"/><Relationship Id="rId127" Type="http://schemas.openxmlformats.org/officeDocument/2006/relationships/hyperlink" Target="http://www.sec.gov/Archives/edgar/data/1438423/000119312516706479/d180963dex1018.htm" TargetMode="External"/><Relationship Id="rId128" Type="http://schemas.openxmlformats.org/officeDocument/2006/relationships/hyperlink" Target="http://www.sec.gov/Archives/edgar/data/1438423/000119312516706479/d180963dex1019.htm" TargetMode="External"/><Relationship Id="rId129" Type="http://schemas.openxmlformats.org/officeDocument/2006/relationships/hyperlink" Target="https://www.sec.gov/Archives/edgar/data/1438423/000155837021002369/mram-20201231xex10d11d2.htm" TargetMode="External"/><Relationship Id="rId130" Type="http://schemas.openxmlformats.org/officeDocument/2006/relationships/hyperlink" Target="http://www.sec.gov/Archives/edgar/data/1438423/000155837019002175/mram-20181231ex10276b5d5.htm" TargetMode="External"/><Relationship Id="rId131" Type="http://schemas.openxmlformats.org/officeDocument/2006/relationships/hyperlink" Target="https://www.sec.gov/Archives/edgar/data/1438423/000155837021002369/mram-20201231xex10d11d4.htm" TargetMode="External"/><Relationship Id="rId132" Type="http://schemas.openxmlformats.org/officeDocument/2006/relationships/hyperlink" Target="http://www.sec.gov/Archives/edgar/data/1438423/000119312516706479/d180963dex1020.htm" TargetMode="External"/><Relationship Id="rId133" Type="http://schemas.openxmlformats.org/officeDocument/2006/relationships/hyperlink" Target="http://www.sec.gov/Archives/edgar/data/1438423/000119312516706479/d180963dex1021.htm" TargetMode="External"/><Relationship Id="rId134" Type="http://schemas.openxmlformats.org/officeDocument/2006/relationships/hyperlink" Target="http://www.sec.gov/Archives/edgar/data/1438423/000119312516718974/d180963dex1023.htm" TargetMode="External"/><Relationship Id="rId135" Type="http://schemas.openxmlformats.org/officeDocument/2006/relationships/hyperlink" Target="http://www.sec.gov/Archives/edgar/data/1438423/000155837017002252/mram-20161231ex1025abf4d.htm" TargetMode="External"/><Relationship Id="rId136" Type="http://schemas.openxmlformats.org/officeDocument/2006/relationships/hyperlink" Target="http://www.sec.gov/Archives/edgar/data/1438423/000155837019004514/mram-20190331ex1024c78fc.htm" TargetMode="External"/><Relationship Id="rId138" Type="http://schemas.openxmlformats.org/officeDocument/2006/relationships/hyperlink" Target="http://www.sec.gov/Archives/edgar/data/1438423/000119312517265003/d438753dex101.htm" TargetMode="External"/><Relationship Id="rId139" Type="http://schemas.openxmlformats.org/officeDocument/2006/relationships/hyperlink" Target="http://www.sec.gov/Archives/edgar/data/1438423/000155837019004514/mram-20190331ex103af9a7d.htm" TargetMode="External"/><Relationship Id="rId140" Type="http://schemas.openxmlformats.org/officeDocument/2006/relationships/hyperlink" Target="https://www.sec.gov/Archives/edgar/data/1438423/000155837020002576/mram-20191231ex1035e1725.htm" TargetMode="External"/><Relationship Id="rId141" Type="http://schemas.openxmlformats.org/officeDocument/2006/relationships/hyperlink" Target="https://www.sec.gov/Archives/edgar/data/1438423/000155837020002576/mram-20191231ex103676c77.htm" TargetMode="External"/><Relationship Id="rId142" Type="http://schemas.openxmlformats.org/officeDocument/2006/relationships/hyperlink" Target="https://www.sec.gov/Archives/edgar/data/1438423/000155837020005810/mram-20200331ex1028a2b52.htm" TargetMode="External"/><Relationship Id="rId143" Type="http://schemas.openxmlformats.org/officeDocument/2006/relationships/hyperlink" Target="https://www.sec.gov/Archives/edgar/data/1438423/000155837020009726/mram-20200630xex10d1.htm" TargetMode="External"/><Relationship Id="rId144" Type="http://schemas.openxmlformats.org/officeDocument/2006/relationships/hyperlink" Target="https://www.sec.gov/Archives/edgar/data/1438423/000155837021002369/mram-20201231xex10d25.htm" TargetMode="External"/><Relationship Id="rId145" Type="http://schemas.openxmlformats.org/officeDocument/2006/relationships/hyperlink" Target="https://www.sec.gov/Archives/edgar/data/1438423/000155837021002369/mram-20201231xex10d26.htm" TargetMode="External"/><Relationship Id="rId146" Type="http://schemas.openxmlformats.org/officeDocument/2006/relationships/hyperlink" Target="https://www.sec.gov/Archives/edgar/data/1438423/000110465921094559/tm2122756d1_ex10-1.htm" TargetMode="External"/><Relationship Id="rId147" Type="http://schemas.openxmlformats.org/officeDocument/2006/relationships/hyperlink" Target="https://www.sec.gov/Archives/edgar/data/1438423/000110465921094559/tm2122756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2022-03-09T16:13:31Z</dcterms:created>
  <dcterms:modified xsi:type="dcterms:W3CDTF">2022-03-09T16:13:31Z</dcterms:modified>
</cp:coreProperties>
</file>