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314960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64770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2"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2510155</wp:posOffset>
            </wp:positionH>
            <wp:positionV relativeFrom="paragraph">
              <wp:posOffset>92710</wp:posOffset>
            </wp:positionV>
            <wp:extent cx="1586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29" w:lineRule="exact"/>
        <w:rPr>
          <w:sz w:val="24"/>
          <w:szCs w:val="24"/>
          <w:color w:val="auto"/>
        </w:rPr>
      </w:pPr>
    </w:p>
    <w:p>
      <w:pPr>
        <w:ind w:left="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49" w:right="160" w:hanging="449"/>
        <w:spacing w:after="0" w:line="243" w:lineRule="auto"/>
        <w:tabs>
          <w:tab w:leader="none" w:pos="6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12"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449" w:right="140" w:hanging="449"/>
        <w:spacing w:after="0" w:line="256" w:lineRule="auto"/>
        <w:tabs>
          <w:tab w:leader="none" w:pos="6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349"/>
        <w:spacing w:after="0"/>
        <w:tabs>
          <w:tab w:leader="none" w:pos="628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3637280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88900</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9" w:lineRule="exact"/>
        <w:rPr>
          <w:sz w:val="24"/>
          <w:szCs w:val="24"/>
          <w:color w:val="auto"/>
        </w:rPr>
      </w:pPr>
    </w:p>
    <w:p>
      <w:pPr>
        <w:jc w:val="center"/>
        <w:ind w:right="-8"/>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73025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269" w:type="dxa"/>
        <w:tblCellMar>
          <w:top w:w="0" w:type="dxa"/>
          <w:left w:w="0" w:type="dxa"/>
          <w:bottom w:w="0" w:type="dxa"/>
          <w:right w:w="0" w:type="dxa"/>
        </w:tblCellMar>
      </w:tblPr>
      <w:tr>
        <w:trPr>
          <w:trHeight w:val="216"/>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89"/>
              </w:rPr>
              <w:t>26-2640654</w:t>
            </w:r>
          </w:p>
        </w:tc>
      </w:tr>
      <w:tr>
        <w:trPr>
          <w:trHeight w:val="216"/>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(State or other jurisdiction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of incorporation or organization)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5670 W. Chandler Boulevard, Suite 100</w:t>
      </w:r>
    </w:p>
    <w:p>
      <w:pPr>
        <w:spacing w:after="0" w:line="27"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Chandler, Arizona 85226</w:t>
      </w:r>
    </w:p>
    <w:p>
      <w:pPr>
        <w:spacing w:after="0" w:line="9"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6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85725</wp:posOffset>
            </wp:positionV>
            <wp:extent cx="1655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36" w:lineRule="exact"/>
        <w:rPr>
          <w:sz w:val="24"/>
          <w:szCs w:val="24"/>
          <w:color w:val="auto"/>
        </w:rPr>
      </w:pPr>
    </w:p>
    <w:p>
      <w:pPr>
        <w:jc w:val="both"/>
        <w:ind w:left="9"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left="9" w:right="12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9" w:lineRule="exact"/>
        <w:rPr>
          <w:sz w:val="24"/>
          <w:szCs w:val="24"/>
          <w:color w:val="auto"/>
        </w:rPr>
      </w:pPr>
    </w:p>
    <w:p>
      <w:pPr>
        <w:ind w:left="9" w:right="2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9" w:type="dxa"/>
        <w:tblCellMar>
          <w:top w:w="0" w:type="dxa"/>
          <w:left w:w="0" w:type="dxa"/>
          <w:bottom w:w="0" w:type="dxa"/>
          <w:right w:w="0" w:type="dxa"/>
        </w:tblCellMar>
      </w:tblPr>
      <w:tr>
        <w:trPr>
          <w:trHeight w:val="174"/>
        </w:trPr>
        <w:tc>
          <w:tcPr>
            <w:tcW w:w="1720" w:type="dxa"/>
            <w:vAlign w:val="bottom"/>
          </w:tcPr>
          <w:p>
            <w:pPr>
              <w:spacing w:after="0" w:line="175" w:lineRule="exact"/>
              <w:rPr>
                <w:sz w:val="20"/>
                <w:szCs w:val="20"/>
                <w:color w:val="auto"/>
              </w:rPr>
            </w:pPr>
            <w:r>
              <w:rPr>
                <w:rFonts w:ascii="Arial" w:cs="Arial" w:eastAsia="Arial" w:hAnsi="Arial"/>
                <w:sz w:val="18"/>
                <w:szCs w:val="18"/>
                <w:color w:val="auto"/>
                <w:w w:val="95"/>
              </w:rPr>
              <w:t>Large accelerated filer</w:t>
            </w:r>
          </w:p>
        </w:tc>
        <w:tc>
          <w:tcPr>
            <w:tcW w:w="4640" w:type="dxa"/>
            <w:vAlign w:val="bottom"/>
          </w:tcPr>
          <w:p>
            <w:pPr>
              <w:ind w:left="100"/>
              <w:spacing w:after="0" w:line="174"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1080"/>
              <w:spacing w:after="0" w:line="175" w:lineRule="exact"/>
              <w:rPr>
                <w:sz w:val="20"/>
                <w:szCs w:val="20"/>
                <w:color w:val="auto"/>
              </w:rPr>
            </w:pPr>
            <w:r>
              <w:rPr>
                <w:rFonts w:ascii="Arial" w:cs="Arial" w:eastAsia="Arial" w:hAnsi="Arial"/>
                <w:sz w:val="18"/>
                <w:szCs w:val="18"/>
                <w:color w:val="auto"/>
              </w:rPr>
              <w:t>Accelerated filer</w:t>
            </w:r>
          </w:p>
        </w:tc>
        <w:tc>
          <w:tcPr>
            <w:tcW w:w="260" w:type="dxa"/>
            <w:vAlign w:val="bottom"/>
          </w:tcPr>
          <w:p>
            <w:pPr>
              <w:ind w:left="100"/>
              <w:spacing w:after="0" w:line="174"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464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3780" w:type="dxa"/>
            <w:vAlign w:val="bottom"/>
          </w:tcPr>
          <w:p>
            <w:pPr>
              <w:ind w:left="1080"/>
              <w:spacing w:after="0"/>
              <w:rPr>
                <w:sz w:val="20"/>
                <w:szCs w:val="20"/>
                <w:color w:val="auto"/>
              </w:rPr>
            </w:pPr>
            <w:r>
              <w:rPr>
                <w:rFonts w:ascii="Arial" w:cs="Arial" w:eastAsia="Arial" w:hAnsi="Arial"/>
                <w:sz w:val="18"/>
                <w:szCs w:val="18"/>
                <w:color w:val="auto"/>
              </w:rPr>
              <w:t>Small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780" w:type="dxa"/>
            <w:vAlign w:val="bottom"/>
          </w:tcPr>
          <w:p>
            <w:pPr>
              <w:ind w:left="1080"/>
              <w:spacing w:after="0"/>
              <w:rPr>
                <w:sz w:val="20"/>
                <w:szCs w:val="20"/>
                <w:color w:val="auto"/>
              </w:rPr>
            </w:pPr>
            <w:r>
              <w:rPr>
                <w:rFonts w:ascii="Arial" w:cs="Arial" w:eastAsia="Arial" w:hAnsi="Arial"/>
                <w:sz w:val="18"/>
                <w:szCs w:val="18"/>
                <w:color w:val="auto"/>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9"/>
        </w:trPr>
        <w:tc>
          <w:tcPr>
            <w:tcW w:w="10140" w:type="dxa"/>
            <w:vAlign w:val="bottom"/>
            <w:gridSpan w:val="3"/>
          </w:tcPr>
          <w:p>
            <w:pPr>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0140" w:type="dxa"/>
            <w:vAlign w:val="bottom"/>
            <w:gridSpan w:val="3"/>
          </w:tcPr>
          <w:p>
            <w:pPr>
              <w:spacing w:after="0"/>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p>
        </w:tc>
        <w:tc>
          <w:tcPr>
            <w:tcW w:w="260" w:type="dxa"/>
            <w:vAlign w:val="bottom"/>
          </w:tcPr>
          <w:p>
            <w:pPr>
              <w:spacing w:after="0"/>
              <w:rPr>
                <w:sz w:val="20"/>
                <w:szCs w:val="20"/>
                <w:color w:val="auto"/>
              </w:rPr>
            </w:pPr>
          </w:p>
        </w:tc>
      </w:tr>
    </w:tbl>
    <w:p>
      <w:pPr>
        <w:spacing w:after="0" w:line="156" w:lineRule="exact"/>
        <w:rPr>
          <w:sz w:val="24"/>
          <w:szCs w:val="24"/>
          <w:color w:val="auto"/>
        </w:rPr>
      </w:pPr>
    </w:p>
    <w:p>
      <w:pPr>
        <w:ind w:left="9"/>
        <w:spacing w:after="0" w:line="207" w:lineRule="exact"/>
        <w:tabs>
          <w:tab w:leader="none" w:pos="8388" w:val="left"/>
          <w:tab w:leader="none" w:pos="9168"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44" w:lineRule="exact"/>
        <w:rPr>
          <w:sz w:val="24"/>
          <w:szCs w:val="24"/>
          <w:color w:val="auto"/>
        </w:rPr>
      </w:pPr>
    </w:p>
    <w:p>
      <w:pPr>
        <w:ind w:left="9"/>
        <w:spacing w:after="0"/>
        <w:rPr>
          <w:sz w:val="20"/>
          <w:szCs w:val="20"/>
          <w:color w:val="auto"/>
        </w:rPr>
      </w:pPr>
      <w:r>
        <w:rPr>
          <w:rFonts w:ascii="Arial" w:cs="Arial" w:eastAsia="Arial" w:hAnsi="Arial"/>
          <w:sz w:val="18"/>
          <w:szCs w:val="18"/>
          <w:color w:val="auto"/>
        </w:rPr>
        <w:t>The number of shares of Registrant’s Common Stock outstanding as of May 2, 2018 was 16,673,683.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332105</wp:posOffset>
            </wp:positionV>
            <wp:extent cx="6612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40" w:type="dxa"/>
            <w:vAlign w:val="bottom"/>
            <w:gridSpan w:val="14"/>
            <w:vMerge w:val="restart"/>
          </w:tcPr>
          <w:p>
            <w:pPr>
              <w:jc w:val="center"/>
              <w:ind w:right="17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40" w:type="dxa"/>
            <w:vAlign w:val="bottom"/>
            <w:gridSpan w:val="14"/>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00" w:type="dxa"/>
            <w:vAlign w:val="bottom"/>
            <w:gridSpan w:val="2"/>
          </w:tcPr>
          <w:p>
            <w:pPr>
              <w:spacing w:after="0"/>
              <w:rPr>
                <w:sz w:val="18"/>
                <w:szCs w:val="18"/>
                <w:color w:val="auto"/>
              </w:rPr>
            </w:pP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720" w:type="dxa"/>
            <w:vAlign w:val="bottom"/>
            <w:gridSpan w:val="2"/>
          </w:tcPr>
          <w:p>
            <w:pPr>
              <w:spacing w:after="0"/>
              <w:rPr>
                <w:sz w:val="18"/>
                <w:szCs w:val="18"/>
                <w:color w:val="auto"/>
              </w:rPr>
            </w:pPr>
          </w:p>
        </w:tc>
        <w:tc>
          <w:tcPr>
            <w:tcW w:w="3140" w:type="dxa"/>
            <w:vAlign w:val="bottom"/>
            <w:tcBorders>
              <w:top w:val="single" w:sz="8" w:color="0000EE"/>
            </w:tcBorders>
            <w:gridSpan w:val="8"/>
          </w:tcPr>
          <w:p>
            <w:pPr>
              <w:spacing w:after="0"/>
              <w:rPr>
                <w:sz w:val="18"/>
                <w:szCs w:val="18"/>
                <w:color w:val="auto"/>
              </w:rPr>
            </w:pPr>
          </w:p>
        </w:tc>
        <w:tc>
          <w:tcPr>
            <w:tcW w:w="2240" w:type="dxa"/>
            <w:vAlign w:val="bottom"/>
            <w:gridSpan w:val="5"/>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as of March 31, 2018 (unaudited) and December 31, 2017</w:t>
              </w:r>
            </w:hyperlink>
          </w:p>
        </w:tc>
        <w:tc>
          <w:tcPr>
            <w:tcW w:w="1140" w:type="dxa"/>
            <w:vAlign w:val="bottom"/>
            <w:gridSpan w:val="3"/>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00" w:type="dxa"/>
            <w:vAlign w:val="bottom"/>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Statements of Operations and Comprehensive Loss for the three months ended March 31,</w:t>
              </w:r>
            </w:hyperlink>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0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2018 and 2017 (unaudited)</w:t>
              </w:r>
            </w:hyperlink>
          </w:p>
        </w:tc>
        <w:tc>
          <w:tcPr>
            <w:tcW w:w="2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Cash Flows for the three months ended March 31, 2018 and 2017</w:t>
              </w:r>
            </w:hyperlink>
          </w:p>
        </w:tc>
        <w:tc>
          <w:tcPr>
            <w:tcW w:w="7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2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Financial Statements (unaudited)</w:t>
              </w:r>
            </w:hyperlink>
          </w:p>
        </w:tc>
        <w:tc>
          <w:tcPr>
            <w:tcW w:w="3420" w:type="dxa"/>
            <w:vAlign w:val="bottom"/>
            <w:gridSpan w:val="9"/>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3.</w:t>
              </w:r>
            </w:hyperlink>
          </w:p>
        </w:tc>
        <w:tc>
          <w:tcPr>
            <w:tcW w:w="500" w:type="dxa"/>
            <w:vAlign w:val="bottom"/>
            <w:gridSpan w:val="2"/>
          </w:tcPr>
          <w:p>
            <w:pPr>
              <w:spacing w:after="0"/>
              <w:rPr>
                <w:sz w:val="18"/>
                <w:szCs w:val="18"/>
                <w:color w:val="auto"/>
              </w:rPr>
            </w:pP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1160" w:type="dxa"/>
            <w:vAlign w:val="bottom"/>
            <w:gridSpan w:val="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102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762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II—OTHER INFORMATION</w:t>
              </w:r>
            </w:hyperlink>
          </w:p>
        </w:tc>
        <w:tc>
          <w:tcPr>
            <w:tcW w:w="238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762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2.</w:t>
              </w:r>
            </w:hyperlink>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Unregistered Sales of Equity Securities and Use of Proceeds</w:t>
              </w:r>
            </w:hyperlink>
          </w:p>
        </w:tc>
        <w:tc>
          <w:tcPr>
            <w:tcW w:w="3260" w:type="dxa"/>
            <w:vAlign w:val="bottom"/>
            <w:gridSpan w:val="8"/>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3.</w:t>
              </w:r>
            </w:hyperlink>
          </w:p>
        </w:tc>
        <w:tc>
          <w:tcPr>
            <w:tcW w:w="500" w:type="dxa"/>
            <w:vAlign w:val="bottom"/>
            <w:gridSpan w:val="2"/>
          </w:tcPr>
          <w:p>
            <w:pPr>
              <w:spacing w:after="0"/>
              <w:rPr>
                <w:sz w:val="18"/>
                <w:szCs w:val="18"/>
                <w:color w:val="auto"/>
              </w:rPr>
            </w:pP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Defaults Upon Senior Securities</w:t>
              </w:r>
            </w:hyperlink>
          </w:p>
        </w:tc>
        <w:tc>
          <w:tcPr>
            <w:tcW w:w="5280" w:type="dxa"/>
            <w:vAlign w:val="bottom"/>
            <w:gridSpan w:val="1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4.</w:t>
              </w:r>
            </w:hyperlink>
          </w:p>
        </w:tc>
        <w:tc>
          <w:tcPr>
            <w:tcW w:w="500" w:type="dxa"/>
            <w:vAlign w:val="bottom"/>
            <w:gridSpan w:val="2"/>
          </w:tcPr>
          <w:p>
            <w:pPr>
              <w:spacing w:after="0"/>
              <w:rPr>
                <w:sz w:val="18"/>
                <w:szCs w:val="18"/>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Mine Safety Disclosures</w:t>
              </w:r>
            </w:hyperlink>
          </w:p>
        </w:tc>
        <w:tc>
          <w:tcPr>
            <w:tcW w:w="5840" w:type="dxa"/>
            <w:vAlign w:val="bottom"/>
            <w:gridSpan w:val="1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5.</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6.</w:t>
              </w:r>
            </w:hyperlink>
          </w:p>
        </w:tc>
        <w:tc>
          <w:tcPr>
            <w:tcW w:w="500" w:type="dxa"/>
            <w:vAlign w:val="bottom"/>
            <w:gridSpan w:val="2"/>
          </w:tcPr>
          <w:p>
            <w:pPr>
              <w:spacing w:after="0"/>
              <w:rPr>
                <w:sz w:val="18"/>
                <w:szCs w:val="18"/>
                <w:color w:val="auto"/>
              </w:rPr>
            </w:pPr>
          </w:p>
        </w:tc>
        <w:tc>
          <w:tcPr>
            <w:tcW w:w="1340" w:type="dxa"/>
            <w:vAlign w:val="bottom"/>
            <w:tcBorders>
              <w:top w:val="single" w:sz="8" w:color="0000EE"/>
            </w:tcBorders>
            <w:gridSpan w:val="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6280" w:type="dxa"/>
            <w:vAlign w:val="bottom"/>
            <w:gridSpan w:val="16"/>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7020" w:type="dxa"/>
            <w:vAlign w:val="bottom"/>
            <w:gridSpan w:val="1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 INDEX</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7320" w:type="dxa"/>
            <w:vAlign w:val="bottom"/>
            <w:gridSpan w:val="20"/>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52"/>
              <w:spacing w:after="0" w:line="142"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1"/>
              <w:spacing w:after="0" w:line="142" w:lineRule="exact"/>
              <w:rPr>
                <w:sz w:val="20"/>
                <w:szCs w:val="20"/>
                <w:color w:val="auto"/>
              </w:rPr>
            </w:pPr>
            <w:r>
              <w:rPr>
                <w:rFonts w:ascii="Arial" w:cs="Arial" w:eastAsia="Arial" w:hAnsi="Arial"/>
                <w:sz w:val="14"/>
                <w:szCs w:val="14"/>
                <w:b w:val="1"/>
                <w:bCs w:val="1"/>
                <w:color w:val="auto"/>
                <w:w w:val="91"/>
              </w:rPr>
              <w:t>(See 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33,883</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due from related parties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57,147</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due to related parties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Deferred income on shipments to distributors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89"/>
              </w:rPr>
              <w:t>Preferred stock, $0.0001 par value per share; 5,000,000 shares authorized; no shares issued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outstanding as of March 31, 2018 and December 31, 2017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tcPr>
          <w:p>
            <w:pPr>
              <w:ind w:left="100"/>
              <w:spacing w:after="0" w:line="201" w:lineRule="exact"/>
              <w:rPr>
                <w:sz w:val="20"/>
                <w:szCs w:val="20"/>
                <w:color w:val="auto"/>
              </w:rPr>
            </w:pPr>
            <w:r>
              <w:rPr>
                <w:rFonts w:ascii="Arial" w:cs="Arial" w:eastAsia="Arial" w:hAnsi="Arial"/>
                <w:sz w:val="18"/>
                <w:szCs w:val="18"/>
                <w:color w:val="auto"/>
                <w:w w:val="93"/>
              </w:rPr>
              <w:t>Common stock, $0.0001 par value per share; 100,000,000 shares authorized; 16,648,271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and 12,817,201 shares issued and outstanding as of March 31, 2018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(117,516)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EVERSPIN TECHNOLOGIES, INC. Condensed Statements of Operations and Comprehensive Loss (In thousands, except share and per share amounts) (Unaudited)</w:t>
      </w:r>
    </w:p>
    <w:p>
      <w:pPr>
        <w:spacing w:after="0" w:line="189"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Three Months Ended</w:t>
      </w:r>
    </w:p>
    <w:p>
      <w:pPr>
        <w:ind w:left="74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8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Product sales - related party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Licensing, royalty, and other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r>
      <w:tr>
        <w:trPr>
          <w:trHeight w:val="216"/>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 - related party</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80" w:type="dxa"/>
            <w:vAlign w:val="bottom"/>
            <w:tcBorders>
              <w:bottom w:val="single" w:sz="8" w:color="CCEEFF"/>
            </w:tcBorders>
          </w:tcPr>
          <w:p>
            <w:pPr>
              <w:spacing w:after="0"/>
              <w:rPr>
                <w:sz w:val="18"/>
                <w:szCs w:val="18"/>
                <w:color w:val="auto"/>
              </w:rPr>
            </w:pPr>
          </w:p>
        </w:tc>
      </w:tr>
      <w:tr>
        <w:trPr>
          <w:trHeight w:val="210"/>
        </w:trPr>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180" w:type="dxa"/>
            <w:vAlign w:val="bottom"/>
            <w:shd w:val="clear" w:color="auto" w:fill="CCEEFF"/>
          </w:tcPr>
          <w:p>
            <w:pPr>
              <w:spacing w:after="0"/>
              <w:rPr>
                <w:sz w:val="18"/>
                <w:szCs w:val="18"/>
                <w:color w:val="auto"/>
              </w:rPr>
            </w:pPr>
          </w:p>
        </w:tc>
      </w:tr>
      <w:tr>
        <w:trPr>
          <w:trHeight w:val="216"/>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80" w:type="dxa"/>
            <w:vAlign w:val="bottom"/>
            <w:tcBorders>
              <w:bottom w:val="single" w:sz="8" w:color="CCEEFF"/>
            </w:tcBorders>
          </w:tcPr>
          <w:p>
            <w:pPr>
              <w:spacing w:after="0"/>
              <w:rPr>
                <w:sz w:val="18"/>
                <w:szCs w:val="18"/>
                <w:color w:val="auto"/>
              </w:rPr>
            </w:pPr>
          </w:p>
        </w:tc>
      </w:tr>
      <w:tr>
        <w:trPr>
          <w:trHeight w:val="210"/>
        </w:trPr>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8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180" w:type="dxa"/>
            <w:vAlign w:val="bottom"/>
            <w:shd w:val="clear" w:color="auto" w:fill="CCEEFF"/>
          </w:tcPr>
          <w:p>
            <w:pPr>
              <w:spacing w:after="0"/>
              <w:rPr>
                <w:sz w:val="18"/>
                <w:szCs w:val="18"/>
                <w:color w:val="auto"/>
              </w:rPr>
            </w:pPr>
          </w:p>
        </w:tc>
      </w:tr>
      <w:tr>
        <w:trPr>
          <w:trHeight w:val="216"/>
        </w:trPr>
        <w:tc>
          <w:tcPr>
            <w:tcW w:w="646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2,845</w:t>
            </w:r>
          </w:p>
        </w:tc>
        <w:tc>
          <w:tcPr>
            <w:tcW w:w="180" w:type="dxa"/>
            <w:vAlign w:val="bottom"/>
          </w:tcPr>
          <w:p>
            <w:pPr>
              <w:spacing w:after="0"/>
              <w:rPr>
                <w:sz w:val="18"/>
                <w:szCs w:val="18"/>
                <w:color w:val="auto"/>
              </w:rPr>
            </w:pPr>
          </w:p>
        </w:tc>
      </w:tr>
      <w:tr>
        <w:trPr>
          <w:trHeight w:val="216"/>
        </w:trPr>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80" w:type="dxa"/>
            <w:vAlign w:val="bottom"/>
            <w:shd w:val="clear" w:color="auto" w:fill="CCEEFF"/>
          </w:tcPr>
          <w:p>
            <w:pPr>
              <w:spacing w:after="0"/>
              <w:rPr>
                <w:sz w:val="18"/>
                <w:szCs w:val="18"/>
                <w:color w:val="auto"/>
              </w:rPr>
            </w:pPr>
          </w:p>
        </w:tc>
      </w:tr>
      <w:tr>
        <w:trPr>
          <w:trHeight w:val="210"/>
        </w:trPr>
        <w:tc>
          <w:tcPr>
            <w:tcW w:w="6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10,092</w:t>
            </w:r>
          </w:p>
        </w:tc>
        <w:tc>
          <w:tcPr>
            <w:tcW w:w="180" w:type="dxa"/>
            <w:vAlign w:val="bottom"/>
            <w:tcBorders>
              <w:bottom w:val="single" w:sz="8" w:color="CCEEFF"/>
            </w:tcBorders>
          </w:tcPr>
          <w:p>
            <w:pPr>
              <w:spacing w:after="0"/>
              <w:rPr>
                <w:sz w:val="18"/>
                <w:szCs w:val="18"/>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8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(230)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r>
      <w:tr>
        <w:trPr>
          <w:trHeight w:val="217"/>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w:t>
            </w:r>
          </w:p>
        </w:tc>
        <w:tc>
          <w:tcPr>
            <w:tcW w:w="180" w:type="dxa"/>
            <w:vAlign w:val="bottom"/>
            <w:tcBorders>
              <w:bottom w:val="single" w:sz="8" w:color="CCEEFF"/>
            </w:tcBorders>
          </w:tcPr>
          <w:p>
            <w:pPr>
              <w:spacing w:after="0"/>
              <w:rPr>
                <w:sz w:val="18"/>
                <w:szCs w:val="18"/>
                <w:color w:val="auto"/>
              </w:rPr>
            </w:pPr>
          </w:p>
        </w:tc>
      </w:tr>
      <w:tr>
        <w:trPr>
          <w:trHeight w:val="236"/>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10"/>
        </w:trPr>
        <w:tc>
          <w:tcPr>
            <w:tcW w:w="6460" w:type="dxa"/>
            <w:vAlign w:val="bottom"/>
          </w:tcPr>
          <w:p>
            <w:pPr>
              <w:spacing w:after="0" w:line="203" w:lineRule="exact"/>
              <w:rPr>
                <w:sz w:val="20"/>
                <w:szCs w:val="20"/>
                <w:color w:val="auto"/>
              </w:rPr>
            </w:pPr>
            <w:r>
              <w:rPr>
                <w:rFonts w:ascii="Arial" w:cs="Arial" w:eastAsia="Arial" w:hAnsi="Arial"/>
                <w:sz w:val="18"/>
                <w:szCs w:val="18"/>
                <w:color w:val="auto"/>
                <w:w w:val="90"/>
              </w:rPr>
              <w:t>Weighted-average shares used to compute net loss per common share, basic and diluted</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14,789,036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12,299,981</w:t>
            </w:r>
          </w:p>
        </w:tc>
        <w:tc>
          <w:tcPr>
            <w:tcW w:w="180" w:type="dxa"/>
            <w:vAlign w:val="bottom"/>
          </w:tcPr>
          <w:p>
            <w:pPr>
              <w:spacing w:after="0"/>
              <w:rPr>
                <w:sz w:val="18"/>
                <w:szCs w:val="18"/>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Three Months Ended</w:t>
      </w:r>
    </w:p>
    <w:p>
      <w:pPr>
        <w:ind w:left="73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r>
      <w:tr>
        <w:trPr>
          <w:trHeight w:val="156"/>
        </w:trPr>
        <w:tc>
          <w:tcPr>
            <w:tcW w:w="64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220" w:type="dxa"/>
            <w:vAlign w:val="bottom"/>
          </w:tcPr>
          <w:p>
            <w:pPr>
              <w:jc w:val="right"/>
              <w:ind w:right="63"/>
              <w:spacing w:after="0" w:line="162" w:lineRule="exact"/>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(1,277)</w:t>
            </w:r>
          </w:p>
        </w:tc>
        <w:tc>
          <w:tcPr>
            <w:tcW w:w="240" w:type="dxa"/>
            <w:vAlign w:val="bottom"/>
          </w:tcPr>
          <w:p>
            <w:pPr>
              <w:jc w:val="right"/>
              <w:ind w:right="83"/>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(6,086)</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373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232</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Stock-based compensation</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625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431</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Non-cash interest expense</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59</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Compensation expense related to vesting of common stock to GLOBALFOUNDRIES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255</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receivable</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(5,810)</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513</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Amounts due from related parties</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230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(37)</w:t>
            </w: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Inventory</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888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(755)</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20" w:type="dxa"/>
            <w:vAlign w:val="bottom"/>
          </w:tcPr>
          <w:p>
            <w:pPr>
              <w:spacing w:after="0"/>
              <w:rPr>
                <w:sz w:val="14"/>
                <w:szCs w:val="14"/>
                <w:color w:val="auto"/>
              </w:rPr>
            </w:pPr>
          </w:p>
        </w:tc>
        <w:tc>
          <w:tcPr>
            <w:tcW w:w="10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(617)</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211</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Other assets</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(20)</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(11)</w:t>
            </w: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Accounts payable</w:t>
            </w:r>
          </w:p>
        </w:tc>
        <w:tc>
          <w:tcPr>
            <w:tcW w:w="220" w:type="dxa"/>
            <w:vAlign w:val="bottom"/>
          </w:tcPr>
          <w:p>
            <w:pPr>
              <w:spacing w:after="0"/>
              <w:rPr>
                <w:sz w:val="14"/>
                <w:szCs w:val="14"/>
                <w:color w:val="auto"/>
              </w:rPr>
            </w:pPr>
          </w:p>
        </w:tc>
        <w:tc>
          <w:tcPr>
            <w:tcW w:w="10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(353)</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695</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Accrued liabilities</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(127)</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93</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Amounts due to related parties</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2,052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717</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Deferred income on shipments to distributors</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(39)</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(357)</w:t>
            </w:r>
          </w:p>
        </w:tc>
        <w:tc>
          <w:tcPr>
            <w:tcW w:w="260" w:type="dxa"/>
            <w:vAlign w:val="bottom"/>
            <w:shd w:val="clear" w:color="auto" w:fill="CCEEFF"/>
          </w:tcPr>
          <w:p>
            <w:pPr>
              <w:spacing w:after="0"/>
              <w:rPr>
                <w:sz w:val="14"/>
                <w:szCs w:val="14"/>
                <w:color w:val="auto"/>
              </w:rPr>
            </w:pPr>
          </w:p>
        </w:tc>
      </w:tr>
      <w:tr>
        <w:trPr>
          <w:trHeight w:val="156"/>
        </w:trPr>
        <w:tc>
          <w:tcPr>
            <w:tcW w:w="648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used in operating activities</w:t>
            </w: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(3,738)</w:t>
            </w:r>
          </w:p>
        </w:tc>
        <w:tc>
          <w:tcPr>
            <w:tcW w:w="2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(4,040)</w:t>
            </w:r>
          </w:p>
        </w:tc>
        <w:tc>
          <w:tcPr>
            <w:tcW w:w="260" w:type="dxa"/>
            <w:vAlign w:val="bottom"/>
            <w:tcBorders>
              <w:bottom w:val="single" w:sz="8" w:color="CCEEFF"/>
            </w:tcBorders>
          </w:tcPr>
          <w:p>
            <w:pPr>
              <w:spacing w:after="0"/>
              <w:rPr>
                <w:sz w:val="13"/>
                <w:szCs w:val="13"/>
                <w:color w:val="auto"/>
              </w:rPr>
            </w:pPr>
          </w:p>
        </w:tc>
      </w:tr>
      <w:tr>
        <w:trPr>
          <w:trHeight w:val="156"/>
        </w:trPr>
        <w:tc>
          <w:tcPr>
            <w:tcW w:w="64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220" w:type="dxa"/>
            <w:vAlign w:val="bottom"/>
          </w:tcPr>
          <w:p>
            <w:pPr>
              <w:spacing w:after="0"/>
              <w:rPr>
                <w:sz w:val="14"/>
                <w:szCs w:val="14"/>
                <w:color w:val="auto"/>
              </w:rPr>
            </w:pPr>
          </w:p>
        </w:tc>
        <w:tc>
          <w:tcPr>
            <w:tcW w:w="10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(244)</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(470)</w:t>
            </w:r>
          </w:p>
        </w:tc>
        <w:tc>
          <w:tcPr>
            <w:tcW w:w="260" w:type="dxa"/>
            <w:vAlign w:val="bottom"/>
          </w:tcPr>
          <w:p>
            <w:pPr>
              <w:spacing w:after="0"/>
              <w:rPr>
                <w:sz w:val="14"/>
                <w:szCs w:val="14"/>
                <w:color w:val="auto"/>
              </w:rPr>
            </w:pPr>
          </w:p>
        </w:tc>
      </w:tr>
      <w:tr>
        <w:trPr>
          <w:trHeight w:val="156"/>
        </w:trPr>
        <w:tc>
          <w:tcPr>
            <w:tcW w:w="648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(244)</w:t>
            </w: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(470)</w:t>
            </w:r>
          </w:p>
        </w:tc>
        <w:tc>
          <w:tcPr>
            <w:tcW w:w="260" w:type="dxa"/>
            <w:vAlign w:val="bottom"/>
            <w:tcBorders>
              <w:top w:val="single" w:sz="8" w:color="CCEEFF"/>
            </w:tcBorders>
            <w:shd w:val="clear" w:color="auto" w:fill="CCEEFF"/>
          </w:tcPr>
          <w:p>
            <w:pPr>
              <w:spacing w:after="0"/>
              <w:rPr>
                <w:sz w:val="13"/>
                <w:szCs w:val="13"/>
                <w:color w:val="auto"/>
              </w:rPr>
            </w:pPr>
          </w:p>
        </w:tc>
      </w:tr>
      <w:tr>
        <w:trPr>
          <w:trHeight w:val="156"/>
        </w:trPr>
        <w:tc>
          <w:tcPr>
            <w:tcW w:w="648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the issuance of common stock, net of offering costs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24,609</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Payments on debt</w:t>
            </w:r>
          </w:p>
        </w:tc>
        <w:tc>
          <w:tcPr>
            <w:tcW w:w="220" w:type="dxa"/>
            <w:vAlign w:val="bottom"/>
          </w:tcPr>
          <w:p>
            <w:pPr>
              <w:spacing w:after="0"/>
              <w:rPr>
                <w:sz w:val="14"/>
                <w:szCs w:val="14"/>
                <w:color w:val="auto"/>
              </w:rPr>
            </w:pPr>
          </w:p>
        </w:tc>
        <w:tc>
          <w:tcPr>
            <w:tcW w:w="106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(727)</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capital lease obligation</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(3)</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w w:val="99"/>
              </w:rPr>
              <w:t>Proceeds from exercise of stock options and purchase of shares in employee stock purchase plan</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309</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w:t>
            </w:r>
          </w:p>
        </w:tc>
        <w:tc>
          <w:tcPr>
            <w:tcW w:w="260" w:type="dxa"/>
            <w:vAlign w:val="bottom"/>
            <w:tcBorders>
              <w:bottom w:val="single" w:sz="8" w:color="CCEEFF"/>
            </w:tcBorders>
          </w:tcPr>
          <w:p>
            <w:pPr>
              <w:spacing w:after="0"/>
              <w:rPr>
                <w:sz w:val="14"/>
                <w:szCs w:val="14"/>
                <w:color w:val="auto"/>
              </w:rPr>
            </w:pPr>
          </w:p>
        </w:tc>
      </w:tr>
      <w:tr>
        <w:trPr>
          <w:trHeight w:val="156"/>
        </w:trPr>
        <w:tc>
          <w:tcPr>
            <w:tcW w:w="6480" w:type="dxa"/>
            <w:vAlign w:val="bottom"/>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provided by (used in) financing activities</w:t>
            </w: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24,915</w:t>
            </w:r>
          </w:p>
        </w:tc>
        <w:tc>
          <w:tcPr>
            <w:tcW w:w="2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(725)</w:t>
            </w:r>
          </w:p>
        </w:tc>
        <w:tc>
          <w:tcPr>
            <w:tcW w:w="260" w:type="dxa"/>
            <w:vAlign w:val="bottom"/>
            <w:shd w:val="clear" w:color="auto" w:fill="CCEEFF"/>
          </w:tcPr>
          <w:p>
            <w:pPr>
              <w:spacing w:after="0"/>
              <w:rPr>
                <w:sz w:val="13"/>
                <w:szCs w:val="13"/>
                <w:color w:val="auto"/>
              </w:rPr>
            </w:pPr>
          </w:p>
        </w:tc>
      </w:tr>
      <w:tr>
        <w:trPr>
          <w:trHeight w:val="156"/>
        </w:trPr>
        <w:tc>
          <w:tcPr>
            <w:tcW w:w="6480" w:type="dxa"/>
            <w:vAlign w:val="bottom"/>
          </w:tcPr>
          <w:p>
            <w:pPr>
              <w:spacing w:after="0" w:line="156" w:lineRule="exact"/>
              <w:rPr>
                <w:sz w:val="20"/>
                <w:szCs w:val="20"/>
                <w:color w:val="auto"/>
              </w:rPr>
            </w:pPr>
            <w:r>
              <w:rPr>
                <w:rFonts w:ascii="Arial" w:cs="Arial" w:eastAsia="Arial" w:hAnsi="Arial"/>
                <w:sz w:val="15"/>
                <w:szCs w:val="15"/>
                <w:color w:val="auto"/>
              </w:rPr>
              <w:t>Net increase (decrease) in cash and cash equivalents</w:t>
            </w:r>
          </w:p>
        </w:tc>
        <w:tc>
          <w:tcPr>
            <w:tcW w:w="22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Arial" w:cs="Arial" w:eastAsia="Arial" w:hAnsi="Arial"/>
                <w:sz w:val="15"/>
                <w:szCs w:val="15"/>
                <w:color w:val="auto"/>
              </w:rPr>
              <w:t>20,933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Arial" w:cs="Arial" w:eastAsia="Arial" w:hAnsi="Arial"/>
                <w:sz w:val="15"/>
                <w:szCs w:val="15"/>
                <w:color w:val="auto"/>
              </w:rPr>
              <w:t>(5,235)</w:t>
            </w:r>
          </w:p>
        </w:tc>
        <w:tc>
          <w:tcPr>
            <w:tcW w:w="260" w:type="dxa"/>
            <w:vAlign w:val="bottom"/>
          </w:tcPr>
          <w:p>
            <w:pPr>
              <w:spacing w:after="0"/>
              <w:rPr>
                <w:sz w:val="13"/>
                <w:szCs w:val="13"/>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12,950</w:t>
            </w:r>
          </w:p>
        </w:tc>
        <w:tc>
          <w:tcPr>
            <w:tcW w:w="2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29,727</w:t>
            </w:r>
          </w:p>
        </w:tc>
        <w:tc>
          <w:tcPr>
            <w:tcW w:w="260" w:type="dxa"/>
            <w:vAlign w:val="bottom"/>
            <w:shd w:val="clear" w:color="auto" w:fill="CCEEFF"/>
          </w:tcPr>
          <w:p>
            <w:pPr>
              <w:spacing w:after="0"/>
              <w:rPr>
                <w:sz w:val="14"/>
                <w:szCs w:val="14"/>
                <w:color w:val="auto"/>
              </w:rPr>
            </w:pPr>
          </w:p>
        </w:tc>
      </w:tr>
      <w:tr>
        <w:trPr>
          <w:trHeight w:val="163"/>
        </w:trPr>
        <w:tc>
          <w:tcPr>
            <w:tcW w:w="648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22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33,883</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24,492</w:t>
            </w:r>
          </w:p>
        </w:tc>
        <w:tc>
          <w:tcPr>
            <w:tcW w:w="260" w:type="dxa"/>
            <w:vAlign w:val="bottom"/>
            <w:tcBorders>
              <w:bottom w:val="single" w:sz="8" w:color="CCEEFF"/>
            </w:tcBorders>
          </w:tcPr>
          <w:p>
            <w:pPr>
              <w:spacing w:after="0"/>
              <w:rPr>
                <w:sz w:val="14"/>
                <w:szCs w:val="14"/>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Supplementary cash flow information:</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9"/>
        </w:trPr>
        <w:tc>
          <w:tcPr>
            <w:tcW w:w="64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Interest paid</w:t>
            </w:r>
          </w:p>
        </w:tc>
        <w:tc>
          <w:tcPr>
            <w:tcW w:w="2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111</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171</w:t>
            </w:r>
          </w:p>
        </w:tc>
        <w:tc>
          <w:tcPr>
            <w:tcW w:w="260" w:type="dxa"/>
            <w:vAlign w:val="bottom"/>
            <w:tcBorders>
              <w:bottom w:val="single" w:sz="8" w:color="CCEEFF"/>
            </w:tcBorders>
          </w:tcPr>
          <w:p>
            <w:pPr>
              <w:spacing w:after="0"/>
              <w:rPr>
                <w:sz w:val="14"/>
                <w:szCs w:val="14"/>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Non-cash investing and financing activities: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9"/>
        </w:trPr>
        <w:tc>
          <w:tcPr>
            <w:tcW w:w="6480" w:type="dxa"/>
            <w:vAlign w:val="bottom"/>
          </w:tcPr>
          <w:p>
            <w:pPr>
              <w:spacing w:after="0" w:line="162" w:lineRule="exact"/>
              <w:rPr>
                <w:sz w:val="20"/>
                <w:szCs w:val="20"/>
                <w:color w:val="auto"/>
              </w:rPr>
            </w:pPr>
            <w:r>
              <w:rPr>
                <w:rFonts w:ascii="Arial" w:cs="Arial" w:eastAsia="Arial" w:hAnsi="Arial"/>
                <w:sz w:val="15"/>
                <w:szCs w:val="15"/>
                <w:color w:val="auto"/>
              </w:rPr>
              <w:t>Purchase of property and equipment in accounts payable and amounts due to related parties</w:t>
            </w:r>
          </w:p>
        </w:tc>
        <w:tc>
          <w:tcPr>
            <w:tcW w:w="2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73</w:t>
            </w:r>
          </w:p>
        </w:tc>
        <w:tc>
          <w:tcPr>
            <w:tcW w:w="240" w:type="dxa"/>
            <w:vAlign w:val="bottom"/>
          </w:tcPr>
          <w:p>
            <w:pPr>
              <w:spacing w:after="0"/>
              <w:rPr>
                <w:sz w:val="14"/>
                <w:szCs w:val="14"/>
                <w:color w:val="auto"/>
              </w:rPr>
            </w:pPr>
          </w:p>
        </w:tc>
        <w:tc>
          <w:tcPr>
            <w:tcW w:w="24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965</w:t>
            </w:r>
          </w:p>
        </w:tc>
        <w:tc>
          <w:tcPr>
            <w:tcW w:w="260" w:type="dxa"/>
            <w:vAlign w:val="bottom"/>
          </w:tcPr>
          <w:p>
            <w:pPr>
              <w:spacing w:after="0"/>
              <w:rPr>
                <w:sz w:val="14"/>
                <w:szCs w:val="1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Everspin Technologies, Inc. (the Company) was incorporated in Delaware on May 16, 2008. The Company’s magnetoresistive (MRAM) solutions offer the persistence of non-volatile memory with the speed and endurance of random access memory (RAM) and enable the protection of mission critical data particularly in the event of power interruption or failure. The Company’s MRAM solutions allow its customers in the industrial, automotive and transportation, and enterprise storage markets to design high performance, power efficient and reliable systems without the need for bulky batteries or capacitors.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225" w:lineRule="exact"/>
        <w:rPr>
          <w:sz w:val="20"/>
          <w:szCs w:val="20"/>
          <w:color w:val="auto"/>
        </w:rPr>
      </w:pPr>
    </w:p>
    <w:p>
      <w:pPr>
        <w:ind w:right="40" w:firstLine="401"/>
        <w:spacing w:after="0" w:line="289" w:lineRule="auto"/>
        <w:rPr>
          <w:sz w:val="20"/>
          <w:szCs w:val="20"/>
          <w:color w:val="auto"/>
        </w:rPr>
      </w:pPr>
      <w:r>
        <w:rPr>
          <w:rFonts w:ascii="Arial" w:cs="Arial" w:eastAsia="Arial" w:hAnsi="Arial"/>
          <w:sz w:val="16"/>
          <w:szCs w:val="16"/>
          <w:color w:val="auto"/>
        </w:rPr>
        <w:t>The Company believes that its existing cash and cash equivalents as of March 31, 2018, coupled with its anticipated growth and sales levels will be sufficient to meet its anticipated cash requirements for at least the next twelve months from the financial statement issuance date of May 9, 2018.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2017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months ended March 31, 2018 are not necessarily indicative of the results to be expected for the year ending December 31, 2018 or for any other interim period or for any other future year.</w:t>
      </w:r>
    </w:p>
    <w:p>
      <w:pPr>
        <w:spacing w:after="0" w:line="18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2017, included in the Company’s Annual Report on Form 10-K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income taxes, and stock-based compensation. Actual results could differ from those estimates and assumptions.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a number of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 At March 31, 2018 and December 31, 2017, there was no allowance for doubtful accounts.</w:t>
      </w:r>
    </w:p>
    <w:p>
      <w:pPr>
        <w:spacing w:after="0" w:line="16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Company also establishes an allowance for product returns. The Company analyzes historical returns, current economic trends and changes in customer demand and acceptance of products when evaluating the adequacy of sales returns. As the returns are processed as credits on future purchases, the allowance is recorded against the balance of trade accounts receivable. In addition, the Company establishes an allowance for estimated price concessions related to its distributer agreements. The Company estimates credits to distributors based on the historical rate of credits provided to distributors relative to sales or, for some customers the credit is based on a previously negotiated fixed rate. At March 31, 2018, the allowance for product returns and the allowance for price concessions were $173,000 and $399,000, respectively. At December 31, 2017, the allowance for product returns and the allowance for price concessions were $147,000 and $0, respectively.</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5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Allowance for accounts receivable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Unbilled accounts receivable</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4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54"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89"/>
              </w:rPr>
              <w:t>Revenue</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4"/>
          </w:tcPr>
          <w:p>
            <w:pPr>
              <w:ind w:left="340"/>
              <w:spacing w:after="0"/>
              <w:rPr>
                <w:sz w:val="20"/>
                <w:szCs w:val="20"/>
                <w:color w:val="auto"/>
              </w:rPr>
            </w:pPr>
            <w:r>
              <w:rPr>
                <w:rFonts w:ascii="Arial" w:cs="Arial" w:eastAsia="Arial" w:hAnsi="Arial"/>
                <w:sz w:val="14"/>
                <w:szCs w:val="14"/>
                <w:b w:val="1"/>
                <w:bCs w:val="1"/>
                <w:color w:val="auto"/>
              </w:rPr>
              <w:t>Accounts Receivable, net</w:t>
            </w:r>
          </w:p>
        </w:tc>
      </w:tr>
      <w:tr>
        <w:trPr>
          <w:trHeight w:val="119"/>
        </w:trPr>
        <w:tc>
          <w:tcPr>
            <w:tcW w:w="4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240" w:type="dxa"/>
            <w:vAlign w:val="bottom"/>
          </w:tcPr>
          <w:p>
            <w:pPr>
              <w:spacing w:after="0"/>
              <w:rPr>
                <w:sz w:val="10"/>
                <w:szCs w:val="10"/>
                <w:color w:val="auto"/>
              </w:rPr>
            </w:pPr>
          </w:p>
        </w:tc>
        <w:tc>
          <w:tcPr>
            <w:tcW w:w="1220" w:type="dxa"/>
            <w:vAlign w:val="bottom"/>
            <w:tcBorders>
              <w:top w:val="single" w:sz="8" w:color="auto"/>
            </w:tcBorders>
            <w:gridSpan w:val="2"/>
          </w:tcPr>
          <w:p>
            <w:pPr>
              <w:ind w:left="340"/>
              <w:spacing w:after="0" w:line="119" w:lineRule="exact"/>
              <w:rPr>
                <w:sz w:val="20"/>
                <w:szCs w:val="20"/>
                <w:color w:val="auto"/>
              </w:rPr>
            </w:pPr>
            <w:r>
              <w:rPr>
                <w:rFonts w:ascii="Arial" w:cs="Arial" w:eastAsia="Arial" w:hAnsi="Arial"/>
                <w:sz w:val="13"/>
                <w:szCs w:val="13"/>
                <w:b w:val="1"/>
                <w:bCs w:val="1"/>
                <w:color w:val="auto"/>
              </w:rPr>
              <w:t>As of</w:t>
            </w:r>
          </w:p>
        </w:tc>
        <w:tc>
          <w:tcPr>
            <w:tcW w:w="10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As of</w:t>
            </w:r>
          </w:p>
        </w:tc>
        <w:tc>
          <w:tcPr>
            <w:tcW w:w="380" w:type="dxa"/>
            <w:vAlign w:val="bottom"/>
          </w:tcPr>
          <w:p>
            <w:pPr>
              <w:spacing w:after="0"/>
              <w:rPr>
                <w:sz w:val="10"/>
                <w:szCs w:val="10"/>
                <w:color w:val="auto"/>
              </w:rPr>
            </w:pPr>
          </w:p>
        </w:tc>
      </w:tr>
      <w:tr>
        <w:trPr>
          <w:trHeight w:val="17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4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Customers</w:t>
            </w: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2"/>
                <w:szCs w:val="12"/>
                <w:color w:val="auto"/>
              </w:rPr>
            </w:pPr>
          </w:p>
        </w:tc>
        <w:tc>
          <w:tcPr>
            <w:tcW w:w="102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Pr>
          <w:p>
            <w:pPr>
              <w:spacing w:after="0"/>
              <w:rPr>
                <w:sz w:val="12"/>
                <w:szCs w:val="12"/>
                <w:color w:val="auto"/>
              </w:rPr>
            </w:pPr>
          </w:p>
        </w:tc>
      </w:tr>
      <w:tr>
        <w:trPr>
          <w:trHeight w:val="210"/>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10 %</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15 %</w:t>
            </w: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55880</wp:posOffset>
            </wp:positionV>
            <wp:extent cx="134620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6200" cy="25400"/>
                    </a:xfrm>
                    <a:prstGeom prst="rect">
                      <a:avLst/>
                    </a:prstGeom>
                    <a:noFill/>
                  </pic:spPr>
                </pic:pic>
              </a:graphicData>
            </a:graphic>
          </wp:anchor>
        </w:drawing>
      </w:r>
    </w:p>
    <w:p>
      <w:pPr>
        <w:spacing w:after="0" w:line="182"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39" w:firstLine="324"/>
        <w:spacing w:after="0" w:line="255"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—Inputs are unadjusted quoted prices in active markets for identical assets or liabilities at the measurement date.</w:t>
      </w:r>
    </w:p>
    <w:p>
      <w:pPr>
        <w:spacing w:after="0" w:line="248" w:lineRule="exact"/>
        <w:rPr>
          <w:sz w:val="20"/>
          <w:szCs w:val="20"/>
          <w:color w:val="auto"/>
        </w:rPr>
      </w:pPr>
    </w:p>
    <w:p>
      <w:pPr>
        <w:ind w:left="320" w:right="59"/>
        <w:spacing w:after="0" w:line="264" w:lineRule="auto"/>
        <w:rPr>
          <w:sz w:val="20"/>
          <w:szCs w:val="20"/>
          <w:color w:val="auto"/>
        </w:rPr>
      </w:pPr>
      <w:r>
        <w:rPr>
          <w:rFonts w:ascii="Arial" w:cs="Arial" w:eastAsia="Arial" w:hAnsi="Arial"/>
          <w:sz w:val="18"/>
          <w:szCs w:val="18"/>
          <w:color w:val="auto"/>
        </w:rPr>
        <w:t>Level 2—Inputs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81" w:lineRule="exact"/>
        <w:rPr>
          <w:sz w:val="20"/>
          <w:szCs w:val="20"/>
          <w:color w:val="auto"/>
        </w:rPr>
      </w:pPr>
    </w:p>
    <w:p>
      <w:pPr>
        <w:ind w:left="320" w:right="459"/>
        <w:spacing w:after="0" w:line="264" w:lineRule="auto"/>
        <w:rPr>
          <w:sz w:val="20"/>
          <w:szCs w:val="20"/>
          <w:color w:val="auto"/>
        </w:rPr>
      </w:pPr>
      <w:r>
        <w:rPr>
          <w:rFonts w:ascii="Arial" w:cs="Arial" w:eastAsia="Arial" w:hAnsi="Arial"/>
          <w:sz w:val="18"/>
          <w:szCs w:val="18"/>
          <w:color w:val="auto"/>
        </w:rPr>
        <w:t>Level 3—Inputs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81" w:lineRule="exact"/>
        <w:rPr>
          <w:sz w:val="20"/>
          <w:szCs w:val="20"/>
          <w:color w:val="auto"/>
        </w:rPr>
      </w:pPr>
    </w:p>
    <w:p>
      <w:pPr>
        <w:ind w:left="320" w:right="19"/>
        <w:spacing w:after="0" w:line="255" w:lineRule="auto"/>
        <w:rPr>
          <w:sz w:val="20"/>
          <w:szCs w:val="20"/>
          <w:color w:val="auto"/>
        </w:rPr>
      </w:pPr>
      <w:r>
        <w:rPr>
          <w:rFonts w:ascii="Arial" w:cs="Arial" w:eastAsia="Arial" w:hAnsi="Arial"/>
          <w:sz w:val="18"/>
          <w:szCs w:val="18"/>
          <w:color w:val="auto"/>
        </w:rPr>
        <w:t>The carrying value of accounts receivable, accounts payable, and other accruals readily convertible into cash approximate fair value because of the short-term nature of the instruments. As of March 31, 2018,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Where quoted prices are available in an active market, securities are classified as Level 1. Level 1 assets consist of highly liquid money market funds that are included in cash equivalents.</w:t>
      </w:r>
    </w:p>
    <w:p>
      <w:pPr>
        <w:spacing w:after="0" w:line="189" w:lineRule="exact"/>
        <w:rPr>
          <w:sz w:val="20"/>
          <w:szCs w:val="20"/>
          <w:color w:val="auto"/>
        </w:rPr>
      </w:pPr>
    </w:p>
    <w:p>
      <w:pPr>
        <w:ind w:right="19" w:firstLine="324"/>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measured at fair value on a recurring basis based on the three-tier fair value hierarchy (in thousands):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2"/>
                <w:szCs w:val="12"/>
                <w:color w:val="auto"/>
              </w:rPr>
            </w:pPr>
          </w:p>
        </w:tc>
        <w:tc>
          <w:tcPr>
            <w:tcW w:w="5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Money market funds</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$ 34,408</w:t>
            </w:r>
          </w:p>
        </w:tc>
        <w:tc>
          <w:tcPr>
            <w:tcW w:w="360" w:type="dxa"/>
            <w:vAlign w:val="bottom"/>
            <w:gridSpan w:val="4"/>
          </w:tcPr>
          <w:p>
            <w:pPr>
              <w:jc w:val="right"/>
              <w:ind w:right="47"/>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34,408</w:t>
            </w:r>
          </w:p>
        </w:tc>
      </w:tr>
      <w:tr>
        <w:trPr>
          <w:trHeight w:val="217"/>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$ 34,408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34,408</w:t>
            </w:r>
          </w:p>
        </w:tc>
      </w:tr>
      <w:tr>
        <w:trPr>
          <w:trHeight w:val="378"/>
        </w:trPr>
        <w:tc>
          <w:tcPr>
            <w:tcW w:w="3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w w:val="90"/>
              </w:rPr>
              <w:t>December 31, 2017</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w w:val="96"/>
              </w:rPr>
              <w:t>Level 3</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Money market funds</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$ 13,369</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 w:type="dxa"/>
            <w:vAlign w:val="bottom"/>
            <w:gridSpan w:val="4"/>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13,369</w:t>
            </w:r>
          </w:p>
        </w:tc>
      </w:tr>
      <w:tr>
        <w:trPr>
          <w:trHeight w:val="217"/>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3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$ 13,369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13,369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19" w:firstLine="324"/>
        <w:spacing w:after="0" w:line="259" w:lineRule="auto"/>
        <w:rPr>
          <w:sz w:val="20"/>
          <w:szCs w:val="20"/>
          <w:color w:val="auto"/>
        </w:rPr>
      </w:pPr>
      <w:r>
        <w:rPr>
          <w:rFonts w:ascii="Arial" w:cs="Arial" w:eastAsia="Arial" w:hAnsi="Arial"/>
          <w:sz w:val="18"/>
          <w:szCs w:val="18"/>
          <w:color w:val="auto"/>
        </w:rPr>
        <w:t>The Company recognizes revenue when a customer obtains control of the promised products or services, in an amount that reflects the consideration which the Company expects to receive in exchange for those products or services. Revenue is recognized net of allowances for returns and price concessions, and any taxes collected from customers, which are subsequently remitted to governmental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right="259" w:firstLine="324"/>
        <w:spacing w:after="0" w:line="279" w:lineRule="auto"/>
        <w:rPr>
          <w:sz w:val="20"/>
          <w:szCs w:val="20"/>
          <w:color w:val="auto"/>
        </w:rPr>
      </w:pPr>
      <w:r>
        <w:rPr>
          <w:rFonts w:ascii="Arial" w:cs="Arial" w:eastAsia="Arial" w:hAnsi="Arial"/>
          <w:sz w:val="17"/>
          <w:szCs w:val="17"/>
          <w:color w:val="auto"/>
        </w:rPr>
        <w:t>The Company’s revenue is derived from the sale of MRAM-based products in discrete unit form, licenses of and royalties on its MRAM and magnetic sensor technology, the sale of backend foundry services and design services to third parties. Sales of products in discrete unit form are recognized at a point in time, revenue related to licensing agreements is recognized when the Company has delivered rights to the technology, revenue related to royalty</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agreements is recognized in the period in which sales generated from products sold using the Company’s technology occurs, and sales of backend foundry services and design services to third parties are recognized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For products sold in their discrete form, the Company either sells its products directly to original equipment manufacturers (OEMs), original design manufacturers (ODMs) and contract manufacturers (CMs), or through a network of distributors, who in turn sell to those customers. For sales directly to OEMs, ODMs and CMs, revenue is recognized when the OEM, ODM or CM obtains control of the product, which occurs at a point in time, generally upon shipment to the customer.</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Company sells the majority of its products to its distributors at a uniform list price. However, distributors may resell the Company’s products to end customers at a very broad range of individually negotiated price points. Distributors are provided with price concessions subsequent to the delivery of product to them and such amounts are dependent on the end customer and product sales price. The price concessions are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The Company estimates these credits and records such estimates in the same period the related revenue is recognized, resulting in a reduction of product revenue and the establishment of an allowance for price concessions due to distributors. The Company estimates credits to distributors based on the historical rate of credits provided to distributors relative to sales or, for some customers the credit is based on a previously negotiated fixed rate. Revenue on shipments to distributors is recorded when control of the products has been transferred to the distributor.</w:t>
      </w:r>
    </w:p>
    <w:p>
      <w:pPr>
        <w:spacing w:after="0" w:line="18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estimates the amount of its product sales that may be returned by its customers and records this estimate as a reduction of revenue in the period the related product revenue is recognized. The Company estimates its product return liability by analyzing its historical returns, current economic trends and changes in customer demand and acceptance of products. The Company has received insignificant returns to date and believes that returns of its products will continue to be minimal. As such, the Company does not record any reserve for returns but will continue to evaluate the need for a reserve each reporting period.</w:t>
      </w:r>
    </w:p>
    <w:p>
      <w:pPr>
        <w:spacing w:after="0" w:line="193"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At the time of shipment to distributors, the Company records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For licenses of technology, recognition of revenue is dependent upon whether the Company has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the Company of one or more of the following: non-refundable upfront fees; and royalties on net sales of licensed products. Historically, these license agreements have not included other future performance obligations for the Company once the license has been transferred to the customer.</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transaction price in each agreement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w:t>
      </w:r>
    </w:p>
    <w:p>
      <w:pPr>
        <w:spacing w:after="0" w:line="18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Revenue from non-refundable up-front payments is recognized when the license is transferred to the customer and the Company has no other performance obligations.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Revenue from sales-based royalties from licenses of the Company’s technology are recognized at the later of when (1) the sale occurs or (2) the performance obligation to which some or all of the sales-based royalty has been allocated is satisfied (in whole or in part).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 certain revenue streams, the Company recognizes revenue based on the pattern of transfer of the services. The Company uses the input method of measuring costs incurred to date compared to total estimated costs to be incurred under the contract as this method most faithfully depicts its performance. The Company will record an unbilled receivable (within accounts receivable, net) for the portion of the work that has been completed but not invoiced at the end of each reporting period.</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Revenue from milestone payments must be estimated using either the expected value method or the most likely amount method. At the inception of each agreement that includes milestone payments, the Company evaluates whether the milestones are considered probable of being reached and estimates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the Company re-evaluates the probability or achievement of each such milestone and any related constraint, and if necessary, adjusts its estimate of the overall transaction price. Any such adjustments are recorded on a cumulative catch-up basis, which would affect revenues and earnings in the period of adjustment.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shares of common stock outstanding for the period, less shares subject to repurchase, without consideration of potentially dilutive securities. Diluted net loss per common share is the same as basic net loss per common share since the effect of potentially dilutive securities is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Certain amounts in the prior period have been reclassified to conform with current period presentation. There was no impact on total revenue or net loss for the prior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2014-09, Revenue from Contracts with Customers</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(Topic 606). Areas of revenue recognition that will be affected include, but are not limited to, transfer of control, variable consideration, allocation of transfer pricing, licenses, time value of money, contract costs and disclosures.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The Company adopted this standard on January 1, 2018 using the modified retrospective method. The Company recognized the cumulative effect of initially applying the new revenue standard as an adjustment to the opening balance of its accumulated deficit. The comparative information has not been restated and continues to be reported under the accounting standards in effect for those periods.</w:t>
      </w:r>
    </w:p>
    <w:p>
      <w:pPr>
        <w:spacing w:after="0" w:line="169"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As a result of the adoption of the new standard, the Company changed its accounting policy for revenue recognition and the details of the significant changes and quantitative impact of the changes are disclosed below.</w:t>
      </w:r>
    </w:p>
    <w:p>
      <w:pPr>
        <w:spacing w:after="0" w:line="147" w:lineRule="exact"/>
        <w:rPr>
          <w:sz w:val="20"/>
          <w:szCs w:val="20"/>
          <w:color w:val="auto"/>
        </w:rPr>
      </w:pPr>
    </w:p>
    <w:p>
      <w:pPr>
        <w:ind w:left="320" w:right="80"/>
        <w:spacing w:after="0" w:line="312" w:lineRule="auto"/>
        <w:rPr>
          <w:sz w:val="20"/>
          <w:szCs w:val="20"/>
          <w:color w:val="auto"/>
        </w:rPr>
      </w:pPr>
      <w:r>
        <w:rPr>
          <w:rFonts w:ascii="Arial" w:cs="Arial" w:eastAsia="Arial" w:hAnsi="Arial"/>
          <w:sz w:val="16"/>
          <w:szCs w:val="16"/>
          <w:i w:val="1"/>
          <w:iCs w:val="1"/>
          <w:color w:val="auto"/>
        </w:rPr>
        <w:t xml:space="preserve">Distributor sales </w:t>
      </w:r>
      <w:r>
        <w:rPr>
          <w:rFonts w:ascii="Arial" w:cs="Arial" w:eastAsia="Arial" w:hAnsi="Arial"/>
          <w:sz w:val="16"/>
          <w:szCs w:val="16"/>
          <w:color w:val="auto"/>
        </w:rPr>
        <w:t>- Some of the Company's contracts with distributors provide the distributor with certain concessions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price protection credits. Under Topic 605, Revenue, these concessions and price protection credits were not fixed or determinable and, as a result, the associated revenue was deferred until delivery of the product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320" w:right="20"/>
        <w:spacing w:after="0" w:line="271" w:lineRule="auto"/>
        <w:rPr>
          <w:sz w:val="20"/>
          <w:szCs w:val="20"/>
          <w:color w:val="auto"/>
        </w:rPr>
      </w:pPr>
      <w:r>
        <w:rPr>
          <w:rFonts w:ascii="Arial" w:cs="Arial" w:eastAsia="Arial" w:hAnsi="Arial"/>
          <w:sz w:val="17"/>
          <w:szCs w:val="17"/>
          <w:color w:val="auto"/>
        </w:rPr>
        <w:t>the end customer. At the time of shipment to distributors, the Company recorded a trade receivable for the selling price as there was a legally enforceable obligation of the distributor to pay for the product delivered, inventory was reduced by the carrying value of goods shipped, and the net of these amounts, the gross profit, was recorded as deferred income on shipments to distributors on the balance sheet. Under Topic 606, the Company recognizes revenue from sales to distributors upon delivery of the product to the distributor and estimates the amount of the concessions and price protection credits at the point of revenue recognition. Accordingly, the balance of the deferred income on shipments was eliminated as a cumulative effect adjustment of implementing Topic 606 as of January 1, 2018, net of the Company’s estimate of concessions and price protection credits for those contracts.</w:t>
      </w:r>
    </w:p>
    <w:p>
      <w:pPr>
        <w:spacing w:after="0" w:line="179" w:lineRule="exact"/>
        <w:rPr>
          <w:sz w:val="20"/>
          <w:szCs w:val="20"/>
          <w:color w:val="auto"/>
        </w:rPr>
      </w:pPr>
    </w:p>
    <w:p>
      <w:pPr>
        <w:ind w:left="320" w:right="20"/>
        <w:spacing w:after="0" w:line="291" w:lineRule="auto"/>
        <w:rPr>
          <w:sz w:val="20"/>
          <w:szCs w:val="20"/>
          <w:color w:val="auto"/>
        </w:rPr>
      </w:pPr>
      <w:r>
        <w:rPr>
          <w:rFonts w:ascii="Arial" w:cs="Arial" w:eastAsia="Arial" w:hAnsi="Arial"/>
          <w:sz w:val="16"/>
          <w:szCs w:val="16"/>
          <w:i w:val="1"/>
          <w:iCs w:val="1"/>
          <w:color w:val="auto"/>
        </w:rPr>
        <w:t xml:space="preserve">Performance obligations delivered over time </w:t>
      </w:r>
      <w:r>
        <w:rPr>
          <w:rFonts w:ascii="Arial" w:cs="Arial" w:eastAsia="Arial" w:hAnsi="Arial"/>
          <w:sz w:val="16"/>
          <w:szCs w:val="16"/>
          <w:color w:val="auto"/>
        </w:rPr>
        <w:t>–Topic 605 permitted straight-line recognition of revenue for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that were delivered over time. The new revenue standard requires an entity to recognize revenue based on the pattern of transfer of the services. Entities must use either an input method or an output method to measure progress toward complete satisfaction of a performance obligation. The Company determined that the input method of measuring costs incurred to date compared to total estimated costs to be incurred under the contract most faithfully depicts its performance. Under Topic 606, the Company will record an unbilled receivable (within accounts receivable, net) for the portion of the service that has been completed but not invoiced at the end of each reporting period.</w:t>
      </w:r>
    </w:p>
    <w:p>
      <w:pPr>
        <w:spacing w:after="0" w:line="167" w:lineRule="exact"/>
        <w:rPr>
          <w:sz w:val="20"/>
          <w:szCs w:val="20"/>
          <w:color w:val="auto"/>
        </w:rPr>
      </w:pPr>
    </w:p>
    <w:p>
      <w:pPr>
        <w:ind w:left="320"/>
        <w:spacing w:after="0" w:line="291"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 Topic 605 permitted recognition using the milestone method, whereby revenue was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completion of substantive milestones once the customers acknowledge the milestones have been met and the collection of the amounts is reasonably assured. The milestone method no longer exists under the new revenue standard. Revenue from milestone payments must be estimated using either the expected value method or the most likely amount method. If it is probable that a significant reversal of cumulative revenue would not occur, the associated milestone value is included in the transaction price. The adoption of Topic 606 did not have an impact on milestone revenue recorded to date as the performance obligations related to such milestones were as of the adoption date.</w:t>
      </w:r>
    </w:p>
    <w:p>
      <w:pPr>
        <w:spacing w:after="0" w:line="167" w:lineRule="exact"/>
        <w:rPr>
          <w:sz w:val="20"/>
          <w:szCs w:val="20"/>
          <w:color w:val="auto"/>
        </w:rPr>
      </w:pPr>
    </w:p>
    <w:p>
      <w:pPr>
        <w:jc w:val="both"/>
        <w:ind w:left="320" w:right="200"/>
        <w:spacing w:after="0" w:line="302" w:lineRule="auto"/>
        <w:rPr>
          <w:sz w:val="20"/>
          <w:szCs w:val="20"/>
          <w:color w:val="auto"/>
        </w:rPr>
      </w:pPr>
      <w:r>
        <w:rPr>
          <w:rFonts w:ascii="Arial" w:cs="Arial" w:eastAsia="Arial" w:hAnsi="Arial"/>
          <w:sz w:val="16"/>
          <w:szCs w:val="16"/>
          <w:i w:val="1"/>
          <w:iCs w:val="1"/>
          <w:color w:val="auto"/>
        </w:rPr>
        <w:t xml:space="preserve">Sales-based royalties </w:t>
      </w:r>
      <w:r>
        <w:rPr>
          <w:rFonts w:ascii="Arial" w:cs="Arial" w:eastAsia="Arial" w:hAnsi="Arial"/>
          <w:sz w:val="16"/>
          <w:szCs w:val="16"/>
          <w:color w:val="auto"/>
        </w:rPr>
        <w:t>– Topic 605 permitted recognition of royalties when reported to the Company,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coincided with the receipt of payment. Under the new revenue standard, revenue generated from sales-based royalties from licenses of technology are recognized at the later of when (1) the sale occurs or (2) the performance obligation to which some or all of the sales-based royalty has been allocated is satisfied (in whole or in part).</w:t>
      </w:r>
    </w:p>
    <w:p>
      <w:pPr>
        <w:spacing w:after="0" w:line="15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change in revenue recognition upon adoption of Topic 606 resulted in a decrease in the accumulated deficit balance of $1.3 million on January 1, 2018.</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summarizes the impact of adopting Topic 606 on select unaudited condensed balance sheet line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Balances without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March 31, 2018</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1"/>
              </w:rPr>
              <w:t>As reported</w:t>
            </w:r>
          </w:p>
        </w:tc>
        <w:tc>
          <w:tcPr>
            <w:tcW w:w="200" w:type="dxa"/>
            <w:vAlign w:val="bottom"/>
          </w:tcPr>
          <w:p>
            <w:pPr>
              <w:spacing w:after="0"/>
              <w:rPr>
                <w:sz w:val="12"/>
                <w:szCs w:val="12"/>
                <w:color w:val="auto"/>
              </w:rPr>
            </w:pP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Adjustments</w:t>
            </w: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the adoption of</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Topic 606</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8,929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57,147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57,536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4"/>
              </w:rPr>
              <w:t>Deferred income on shipments to distributors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13,688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15,885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Accumulated deficit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(117,516)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(119,324)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9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impact of adopting Topic 606 on select unaudited condensed statement of operations line items (in thousands, except per share data):</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4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2018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1"/>
              </w:rPr>
              <w:t>As reported</w:t>
            </w:r>
          </w:p>
        </w:tc>
        <w:tc>
          <w:tcPr>
            <w:tcW w:w="200" w:type="dxa"/>
            <w:vAlign w:val="bottom"/>
          </w:tcPr>
          <w:p>
            <w:pPr>
              <w:spacing w:after="0"/>
              <w:rPr>
                <w:sz w:val="12"/>
                <w:szCs w:val="12"/>
                <w:color w:val="auto"/>
              </w:rPr>
            </w:pP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Adjustments</w:t>
            </w: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the adoption of</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Topic 606</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w w:val="96"/>
              </w:rPr>
              <w:t>Net loss per common share, basic and diluted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summarizes the impact of adopting Topic 606 on select unaudited condensed statement of cash flows line items (in thousands):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49"/>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1"/>
              </w:rPr>
              <w:t>As reported</w:t>
            </w:r>
          </w:p>
        </w:tc>
        <w:tc>
          <w:tcPr>
            <w:tcW w:w="200" w:type="dxa"/>
            <w:vAlign w:val="bottom"/>
          </w:tcPr>
          <w:p>
            <w:pPr>
              <w:spacing w:after="0"/>
              <w:rPr>
                <w:sz w:val="12"/>
                <w:szCs w:val="12"/>
                <w:color w:val="auto"/>
              </w:rPr>
            </w:pP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Adjustments</w:t>
            </w: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the adoption of</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Topic 606</w:t>
            </w: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(1,277)</w:t>
            </w:r>
          </w:p>
        </w:tc>
        <w:tc>
          <w:tcPr>
            <w:tcW w:w="5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(508)</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Adjustments to reconcile net loss to net cash used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 operating activities: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(5,810)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30"/>
        </w:trPr>
        <w:tc>
          <w:tcPr>
            <w:tcW w:w="3700" w:type="dxa"/>
            <w:vAlign w:val="bottom"/>
          </w:tcPr>
          <w:p>
            <w:pPr>
              <w:ind w:left="100"/>
              <w:spacing w:after="0"/>
              <w:rPr>
                <w:sz w:val="20"/>
                <w:szCs w:val="20"/>
                <w:color w:val="auto"/>
              </w:rPr>
            </w:pPr>
            <w:r>
              <w:rPr>
                <w:rFonts w:ascii="Arial" w:cs="Arial" w:eastAsia="Arial" w:hAnsi="Arial"/>
                <w:sz w:val="18"/>
                <w:szCs w:val="18"/>
                <w:color w:val="auto"/>
                <w:w w:val="99"/>
              </w:rPr>
              <w:t>Deferred income on shipments to distributors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2017-09, Compensation-Stock Compensation</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which is intended to amend the scope of modification accounting for share-based payment arrangements. The amendments in the update provide guidance on types of changes to the terms or conditions of share-based payment awards that would require the Company to apply modification accounting under ASC 718, Compensation-Stock Compensation. This ASU is effective for annual reporting periods beginning after December 15, 2017, and early adoption was permitted. The Company adopted this standard on January 1, 2018, and the impact of its adoption on the Company’s financial statements was not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2016-15, Statement of Cash Flows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ASU 2016-15 identifies how certain cash receipts and cash payments are presented and classified in the Statement of Cash Flows. The standard is effective for fiscal years and interim periods beginning after December 15, 2017. The standard should be applied retrospectively and early adoption was permitted, including adoption in an interim period. The Company adopted this standard on January 1, 2018, and the impact of its adoption on the Company’s financial statements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ASU No. 2014-09</w:t>
      </w:r>
    </w:p>
    <w:p>
      <w:pPr>
        <w:spacing w:after="0" w:line="225"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On January 1, 2018, the Company adopted ASU No. 2014-09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Topic 605.</w:t>
      </w:r>
    </w:p>
    <w:p>
      <w:pPr>
        <w:spacing w:after="0" w:line="187"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Company sells the majority of its products to its distributors, but does recognize some revenue under licensing and royalty agreements. The following table presents the Company’s revenues disaggregated by sales channel, (in thousands):</w:t>
      </w:r>
    </w:p>
    <w:p>
      <w:pPr>
        <w:spacing w:after="0" w:line="11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117"/>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5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March 31, 2018</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w:t>
            </w:r>
          </w:p>
        </w:tc>
      </w:tr>
      <w:tr>
        <w:trPr>
          <w:trHeight w:val="216"/>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6,708</w:t>
            </w:r>
          </w:p>
        </w:tc>
      </w:tr>
      <w:tr>
        <w:trPr>
          <w:trHeight w:val="217"/>
        </w:trPr>
        <w:tc>
          <w:tcPr>
            <w:tcW w:w="5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14,853</w:t>
            </w: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All of the Company's performance obligations and associated revenue are generally transferred to customers at a point in time, with the exception of certain revenue streams which are performed over time commensurate with the delivery of service. The following table presents the Company’s revenues disaggregated by timing of recognition (in thousands):</w:t>
      </w:r>
    </w:p>
    <w:p>
      <w:pPr>
        <w:spacing w:after="0" w:line="7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117"/>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5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March 31, 2018</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14,472</w:t>
            </w:r>
          </w:p>
        </w:tc>
      </w:tr>
      <w:tr>
        <w:trPr>
          <w:trHeight w:val="216"/>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17"/>
        </w:trPr>
        <w:tc>
          <w:tcPr>
            <w:tcW w:w="5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14,853</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5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31, 2018</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License fees</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17"/>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14,853</w:t>
            </w:r>
          </w:p>
        </w:tc>
      </w:tr>
    </w:tbl>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recognizes revenue in three primary geographic regions: North America; Europe, Middle East and Africa (EMEA); and Asia-Pacific and Japan (APJ). The following table presents the Company’s revenues disaggregated by the geographic region to which the product is delivered or licensee is located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116"/>
              <w:spacing w:after="0"/>
              <w:rPr>
                <w:sz w:val="20"/>
                <w:szCs w:val="20"/>
                <w:color w:val="auto"/>
              </w:rPr>
            </w:pPr>
            <w:r>
              <w:rPr>
                <w:rFonts w:ascii="Arial" w:cs="Arial" w:eastAsia="Arial" w:hAnsi="Arial"/>
                <w:sz w:val="14"/>
                <w:szCs w:val="14"/>
                <w:b w:val="1"/>
                <w:bCs w:val="1"/>
                <w:color w:val="auto"/>
                <w:w w:val="98"/>
              </w:rPr>
              <w:t>Three Months Ended</w:t>
            </w:r>
          </w:p>
        </w:tc>
        <w:tc>
          <w:tcPr>
            <w:tcW w:w="920" w:type="dxa"/>
            <w:vAlign w:val="bottom"/>
          </w:tcPr>
          <w:p>
            <w:pPr>
              <w:spacing w:after="0"/>
              <w:rPr>
                <w:sz w:val="14"/>
                <w:szCs w:val="14"/>
                <w:color w:val="auto"/>
              </w:rPr>
            </w:pPr>
          </w:p>
        </w:tc>
      </w:tr>
      <w:tr>
        <w:trPr>
          <w:trHeight w:val="171"/>
        </w:trPr>
        <w:tc>
          <w:tcPr>
            <w:tcW w:w="940" w:type="dxa"/>
            <w:vAlign w:val="bottom"/>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March 31, 2018</w:t>
            </w:r>
          </w:p>
        </w:tc>
        <w:tc>
          <w:tcPr>
            <w:tcW w:w="920" w:type="dxa"/>
            <w:vAlign w:val="bottom"/>
          </w:tcPr>
          <w:p>
            <w:pPr>
              <w:spacing w:after="0"/>
              <w:rPr>
                <w:sz w:val="14"/>
                <w:szCs w:val="14"/>
                <w:color w:val="auto"/>
              </w:rPr>
            </w:pPr>
          </w:p>
        </w:tc>
      </w:tr>
      <w:tr>
        <w:trPr>
          <w:trHeight w:val="210"/>
        </w:trPr>
        <w:tc>
          <w:tcPr>
            <w:tcW w:w="94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EMEA</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3,051</w:t>
            </w: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3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920" w:type="dxa"/>
            <w:vAlign w:val="bottom"/>
          </w:tcPr>
          <w:p>
            <w:pPr>
              <w:spacing w:after="0"/>
              <w:rPr>
                <w:sz w:val="18"/>
                <w:szCs w:val="18"/>
                <w:color w:val="auto"/>
              </w:rPr>
            </w:pPr>
          </w:p>
        </w:tc>
      </w:tr>
      <w:tr>
        <w:trPr>
          <w:trHeight w:val="217"/>
        </w:trPr>
        <w:tc>
          <w:tcPr>
            <w:tcW w:w="940" w:type="dxa"/>
            <w:vAlign w:val="bottom"/>
          </w:tcPr>
          <w:p>
            <w:pPr>
              <w:spacing w:after="0"/>
              <w:rPr>
                <w:sz w:val="18"/>
                <w:szCs w:val="18"/>
                <w:color w:val="auto"/>
              </w:rPr>
            </w:pPr>
          </w:p>
        </w:tc>
        <w:tc>
          <w:tcPr>
            <w:tcW w:w="23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3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14,853</w:t>
            </w:r>
          </w:p>
        </w:tc>
        <w:tc>
          <w:tcPr>
            <w:tcW w:w="920" w:type="dxa"/>
            <w:vAlign w:val="bottom"/>
          </w:tcPr>
          <w:p>
            <w:pPr>
              <w:spacing w:after="0"/>
              <w:rPr>
                <w:sz w:val="18"/>
                <w:szCs w:val="18"/>
                <w:color w:val="auto"/>
              </w:rPr>
            </w:pPr>
          </w:p>
        </w:tc>
      </w:tr>
      <w:tr>
        <w:trPr>
          <w:trHeight w:val="648"/>
        </w:trPr>
        <w:tc>
          <w:tcPr>
            <w:tcW w:w="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jc w:val="right"/>
              <w:ind w:right="17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94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Inventory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90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r>
      <w:tr>
        <w:trPr>
          <w:trHeight w:val="210"/>
        </w:trPr>
        <w:tc>
          <w:tcPr>
            <w:tcW w:w="9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16"/>
        </w:trPr>
        <w:tc>
          <w:tcPr>
            <w:tcW w:w="9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Work-in-process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4,517</w:t>
            </w:r>
          </w:p>
        </w:tc>
      </w:tr>
      <w:tr>
        <w:trPr>
          <w:trHeight w:val="216"/>
        </w:trPr>
        <w:tc>
          <w:tcPr>
            <w:tcW w:w="9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r>
      <w:tr>
        <w:trPr>
          <w:trHeight w:val="217"/>
        </w:trPr>
        <w:tc>
          <w:tcPr>
            <w:tcW w:w="90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Total inventory</w:t>
            </w:r>
          </w:p>
        </w:tc>
        <w:tc>
          <w:tcPr>
            <w:tcW w:w="50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w:t>
            </w:r>
          </w:p>
        </w:tc>
      </w:tr>
      <w:tr>
        <w:trPr>
          <w:trHeight w:val="432"/>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5680" w:type="dxa"/>
            <w:vAlign w:val="bottom"/>
            <w:gridSpan w:val="2"/>
          </w:tcPr>
          <w:p>
            <w:pPr>
              <w:ind w:left="320"/>
              <w:spacing w:after="0"/>
              <w:rPr>
                <w:sz w:val="20"/>
                <w:szCs w:val="20"/>
                <w:color w:val="auto"/>
              </w:rPr>
            </w:pPr>
            <w:r>
              <w:rPr>
                <w:rFonts w:ascii="Arial" w:cs="Arial" w:eastAsia="Arial" w:hAnsi="Arial"/>
                <w:sz w:val="18"/>
                <w:szCs w:val="18"/>
                <w:color w:val="auto"/>
              </w:rPr>
              <w:t>Accrued liabilities consisted of the following (in thousands):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5"/>
        </w:trPr>
        <w:tc>
          <w:tcPr>
            <w:tcW w:w="9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55"/>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90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r>
      <w:tr>
        <w:trPr>
          <w:trHeight w:val="210"/>
        </w:trPr>
        <w:tc>
          <w:tcPr>
            <w:tcW w:w="9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payroll-related expenses</w:t>
            </w:r>
          </w:p>
        </w:tc>
        <w:tc>
          <w:tcPr>
            <w:tcW w:w="56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16"/>
        </w:trPr>
        <w:tc>
          <w:tcPr>
            <w:tcW w:w="9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Accrued inventory</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16"/>
        </w:trPr>
        <w:tc>
          <w:tcPr>
            <w:tcW w:w="9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9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8"/>
              </w:rPr>
              <w:t>Accrued sales commissions payable to sales representatives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7"/>
        </w:trPr>
        <w:tc>
          <w:tcPr>
            <w:tcW w:w="90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Total accrued liabilities</w:t>
            </w:r>
          </w:p>
        </w:tc>
        <w:tc>
          <w:tcPr>
            <w:tcW w:w="56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225" w:lineRule="exact"/>
        <w:rPr>
          <w:sz w:val="20"/>
          <w:szCs w:val="20"/>
          <w:color w:val="auto"/>
        </w:rPr>
      </w:pPr>
    </w:p>
    <w:p>
      <w:pPr>
        <w:ind w:right="339" w:firstLine="324"/>
        <w:spacing w:after="0" w:line="291" w:lineRule="auto"/>
        <w:rPr>
          <w:sz w:val="20"/>
          <w:szCs w:val="20"/>
          <w:color w:val="auto"/>
        </w:rPr>
      </w:pPr>
      <w:r>
        <w:rPr>
          <w:rFonts w:ascii="Arial" w:cs="Arial" w:eastAsia="Arial" w:hAnsi="Arial"/>
          <w:sz w:val="16"/>
          <w:szCs w:val="16"/>
          <w:color w:val="auto"/>
        </w:rPr>
        <w:t>On May 4, 2017, the Company entered into a Loan and Security Agreement with Silicon Valley Bank (2017 Credit Facility) for a $12.0 million term loan. The term loan provides for interest at a floating rate equal to the prime rate minus</w:t>
      </w:r>
    </w:p>
    <w:p>
      <w:pPr>
        <w:ind w:right="19"/>
        <w:spacing w:after="0" w:line="286" w:lineRule="auto"/>
        <w:rPr>
          <w:sz w:val="20"/>
          <w:szCs w:val="20"/>
          <w:color w:val="auto"/>
        </w:rPr>
      </w:pPr>
      <w:r>
        <w:rPr>
          <w:rFonts w:ascii="Arial" w:cs="Arial" w:eastAsia="Arial" w:hAnsi="Arial"/>
          <w:sz w:val="16"/>
          <w:szCs w:val="16"/>
          <w:color w:val="auto"/>
        </w:rPr>
        <w:t>0.75%. As of March 31, 2018, the interest rate was 4.00%. The term loan provides for a period of interest-only payments through April 30, 2018, followed by fixed principal and interest payments based on either a 24-month amortization schedule or a 36-month amortization schedule if the Company meets certain sales milestones. As of December 31, 2017, the Company determined it would not meet the sales milestones and as such the term loan will be based on a 24-month amortization schedule. Borrowings under the 2017 Credit Facility mature in May 2020. The Company is required to comply with certain covenants under the 2017 Credit Facility, including requirements to maintain a minimum liquidity ratio, meet certain revenue targets, and restrictions on certain actions without the consent of the lender, such as the disposal and acquisition of its business or property, changes in business, and mergers or acquisitions. An end of term fee of 6% of the amount borrowed must be made when the loan is prepaid or repaid, whether at maturity or as a result of a prepayment or acceleration or otherwise. The additional payment is being accreted using the effective interest method.</w:t>
      </w:r>
    </w:p>
    <w:p>
      <w:pPr>
        <w:spacing w:after="0" w:line="170" w:lineRule="exact"/>
        <w:rPr>
          <w:sz w:val="20"/>
          <w:szCs w:val="20"/>
          <w:color w:val="auto"/>
        </w:rPr>
      </w:pPr>
    </w:p>
    <w:p>
      <w:pPr>
        <w:ind w:right="79" w:firstLine="324"/>
        <w:spacing w:after="0" w:line="270" w:lineRule="auto"/>
        <w:rPr>
          <w:sz w:val="20"/>
          <w:szCs w:val="20"/>
          <w:color w:val="auto"/>
        </w:rPr>
      </w:pPr>
      <w:r>
        <w:rPr>
          <w:rFonts w:ascii="Arial" w:cs="Arial" w:eastAsia="Arial" w:hAnsi="Arial"/>
          <w:sz w:val="17"/>
          <w:szCs w:val="17"/>
          <w:color w:val="auto"/>
        </w:rPr>
        <w:t>Security for the 2017 Credit Facility includes all of the Company’s assets except for intellectual property. The 2017 Credit Facility contains customary covenants restricting the Company’s activities, including limitations on its ability to sell assets, engage in mergers and acquisitions, enter into transactions involving related parties, incur indebtedness or grant liens or negative pledges on its assets, make loans or make other investments. Under these covenants, the Company is prohibited from paying cash dividends with respect to its capital stock. The Company was in compliance with all covenants at March 31, 2018. The 2017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term loan. As of March 31, 2018, management does not believe that it is probable that the clause will be triggered within the next twelve months, and therefore the term loan is classified as long-term.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the Company’s 2017 Credit Facility at March 31, 2018 was as follows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rPr>
              <w:t>Current</w:t>
            </w:r>
          </w:p>
        </w:tc>
        <w:tc>
          <w:tcPr>
            <w:tcW w:w="14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4"/>
                <w:szCs w:val="14"/>
                <w:b w:val="1"/>
                <w:bCs w:val="1"/>
                <w:color w:val="auto"/>
              </w:rPr>
              <w:t>Portion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Debt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including end of term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Discount attributable to end of term fee and debt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costs</w:t>
            </w: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7"/>
        </w:trPr>
        <w:tc>
          <w:tcPr>
            <w:tcW w:w="4400" w:type="dxa"/>
            <w:vAlign w:val="bottom"/>
          </w:tcPr>
          <w:p>
            <w:pPr>
              <w:ind w:left="100"/>
              <w:spacing w:after="0"/>
              <w:rPr>
                <w:sz w:val="20"/>
                <w:szCs w:val="20"/>
                <w:color w:val="auto"/>
              </w:rPr>
            </w:pPr>
            <w:r>
              <w:rPr>
                <w:rFonts w:ascii="Arial" w:cs="Arial" w:eastAsia="Arial" w:hAnsi="Arial"/>
                <w:sz w:val="18"/>
                <w:szCs w:val="18"/>
                <w:color w:val="auto"/>
              </w:rPr>
              <w:t>Net carrying value of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carrying value of the Company’s 2017 Credit Facility at December 31, 2017 was as follows (in thousands):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Long-Term</w:t>
            </w:r>
          </w:p>
        </w:tc>
        <w:tc>
          <w:tcPr>
            <w:tcW w:w="20" w:type="dxa"/>
            <w:vAlign w:val="bottom"/>
          </w:tcPr>
          <w:p>
            <w:pPr>
              <w:spacing w:after="0"/>
              <w:rPr>
                <w:sz w:val="14"/>
                <w:szCs w:val="14"/>
                <w:color w:val="auto"/>
              </w:rPr>
            </w:pPr>
          </w:p>
        </w:tc>
        <w:tc>
          <w:tcPr>
            <w:tcW w:w="7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b w:val="1"/>
                <w:bCs w:val="1"/>
                <w:color w:val="auto"/>
                <w:w w:val="97"/>
              </w:rPr>
              <w:t>Portion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Debt</w:t>
            </w:r>
          </w:p>
        </w:tc>
        <w:tc>
          <w:tcPr>
            <w:tcW w:w="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including end of term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$ 12,720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Discount attributable to end of term fee and debt issuance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costs</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7"/>
        </w:trPr>
        <w:tc>
          <w:tcPr>
            <w:tcW w:w="4760" w:type="dxa"/>
            <w:vAlign w:val="bottom"/>
          </w:tcPr>
          <w:p>
            <w:pPr>
              <w:ind w:left="100"/>
              <w:spacing w:after="0"/>
              <w:rPr>
                <w:sz w:val="20"/>
                <w:szCs w:val="20"/>
                <w:color w:val="auto"/>
              </w:rPr>
            </w:pPr>
            <w:r>
              <w:rPr>
                <w:rFonts w:ascii="Arial" w:cs="Arial" w:eastAsia="Arial" w:hAnsi="Arial"/>
                <w:sz w:val="18"/>
                <w:szCs w:val="18"/>
                <w:color w:val="auto"/>
              </w:rPr>
              <w:t>Net carrying value of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$ 12,134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 Obligations</w:t>
      </w:r>
    </w:p>
    <w:p>
      <w:pPr>
        <w:spacing w:after="0" w:line="225" w:lineRule="exact"/>
        <w:rPr>
          <w:sz w:val="20"/>
          <w:szCs w:val="20"/>
          <w:color w:val="auto"/>
        </w:rPr>
      </w:pPr>
    </w:p>
    <w:p>
      <w:pPr>
        <w:ind w:right="299" w:firstLine="324"/>
        <w:spacing w:after="0" w:line="308" w:lineRule="auto"/>
        <w:rPr>
          <w:sz w:val="20"/>
          <w:szCs w:val="20"/>
          <w:color w:val="auto"/>
        </w:rPr>
      </w:pPr>
      <w:r>
        <w:rPr>
          <w:rFonts w:ascii="Arial" w:cs="Arial" w:eastAsia="Arial" w:hAnsi="Arial"/>
          <w:sz w:val="17"/>
          <w:szCs w:val="17"/>
          <w:color w:val="auto"/>
        </w:rPr>
        <w:t>The Company leases certain equipment under a capital lease obligation expiring in October 2020. The balance of the capital lease obligation was $27,000 and $31,000 at March 31, 2018 and December 31, 2017, respectively.</w:t>
      </w:r>
    </w:p>
    <w:p>
      <w:pPr>
        <w:spacing w:after="0" w:line="147" w:lineRule="exact"/>
        <w:rPr>
          <w:sz w:val="20"/>
          <w:szCs w:val="20"/>
          <w:color w:val="auto"/>
        </w:rPr>
      </w:pPr>
    </w:p>
    <w:p>
      <w:pPr>
        <w:ind w:right="339" w:firstLine="324"/>
        <w:spacing w:after="0" w:line="264" w:lineRule="auto"/>
        <w:rPr>
          <w:sz w:val="20"/>
          <w:szCs w:val="20"/>
          <w:color w:val="auto"/>
        </w:rPr>
      </w:pPr>
      <w:r>
        <w:rPr>
          <w:rFonts w:ascii="Arial" w:cs="Arial" w:eastAsia="Arial" w:hAnsi="Arial"/>
          <w:sz w:val="18"/>
          <w:szCs w:val="18"/>
          <w:color w:val="auto"/>
        </w:rPr>
        <w:t>Property and equipment under the capital lease amounted to $31,000 at March 31, 2018 and December 31, 2017. Accumulated depreciation and amortization on these assets was $5,000 and $2,000 at March 31, 2018 and December 31, 2017,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29" w:lineRule="exact"/>
        <w:rPr>
          <w:sz w:val="20"/>
          <w:szCs w:val="20"/>
          <w:color w:val="auto"/>
        </w:rPr>
      </w:pPr>
    </w:p>
    <w:p>
      <w:pPr>
        <w:ind w:right="219" w:firstLine="324"/>
        <w:spacing w:after="0" w:line="259" w:lineRule="auto"/>
        <w:rPr>
          <w:sz w:val="20"/>
          <w:szCs w:val="20"/>
          <w:color w:val="auto"/>
        </w:rPr>
      </w:pPr>
      <w:r>
        <w:rPr>
          <w:rFonts w:ascii="Arial" w:cs="Arial" w:eastAsia="Arial" w:hAnsi="Arial"/>
          <w:sz w:val="18"/>
          <w:szCs w:val="18"/>
          <w:color w:val="auto"/>
        </w:rPr>
        <w:t>In February 2018, the Company completed a follow-on underwritten public offering of its common stock under its Registration Statement filed in November 2017 (File No. 333-221331), selling 3,772,447 shares of its common stock at an offering price of $7.00 per share for proceeds of $24.6 million, net of $1.8 million of underwriting discounts and commissions and other offering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stock option activity for the three months ended March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w w:val="97"/>
              </w:rPr>
              <w:t>Options Outstanding</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Options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Exercise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1000" w:type="dxa"/>
            <w:vAlign w:val="bottom"/>
            <w:gridSpan w:val="2"/>
            <w:vMerge w:val="continue"/>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Price Per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1,593,195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Prior period adjustment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(1,026)</w:t>
            </w:r>
          </w:p>
        </w:tc>
        <w:tc>
          <w:tcPr>
            <w:tcW w:w="840" w:type="dxa"/>
            <w:vAlign w:val="bottom"/>
          </w:tcPr>
          <w:p>
            <w:pPr>
              <w:jc w:val="right"/>
              <w:spacing w:after="0"/>
              <w:rPr>
                <w:sz w:val="20"/>
                <w:szCs w:val="20"/>
                <w:color w:val="auto"/>
              </w:rPr>
            </w:pPr>
            <w:r>
              <w:rPr>
                <w:rFonts w:ascii="Arial" w:cs="Arial" w:eastAsia="Arial" w:hAnsi="Arial"/>
                <w:sz w:val="18"/>
                <w:szCs w:val="18"/>
                <w:color w:val="auto"/>
              </w:rPr>
              <w:t>13,784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authorized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384,516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RSUs granted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(36,350)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cancelled/forfeited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(218,600)</w:t>
            </w:r>
          </w:p>
        </w:tc>
        <w:tc>
          <w:tcPr>
            <w:tcW w:w="840" w:type="dxa"/>
            <w:vAlign w:val="bottom"/>
          </w:tcPr>
          <w:p>
            <w:pPr>
              <w:jc w:val="right"/>
              <w:spacing w:after="0"/>
              <w:rPr>
                <w:sz w:val="20"/>
                <w:szCs w:val="20"/>
                <w:color w:val="auto"/>
              </w:rPr>
            </w:pPr>
            <w:r>
              <w:rPr>
                <w:rFonts w:ascii="Arial" w:cs="Arial" w:eastAsia="Arial" w:hAnsi="Arial"/>
                <w:sz w:val="18"/>
                <w:szCs w:val="18"/>
                <w:color w:val="auto"/>
              </w:rPr>
              <w:t>218,600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9.12</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(58,229)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Options cancelled/forfeited</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Balance—March 31, 2018</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212,869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1,766,959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7.0</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0"/>
        </w:trPr>
        <w:tc>
          <w:tcPr>
            <w:tcW w:w="4420" w:type="dxa"/>
            <w:vAlign w:val="bottom"/>
          </w:tcPr>
          <w:p>
            <w:pPr>
              <w:spacing w:after="0" w:line="203" w:lineRule="exact"/>
              <w:rPr>
                <w:sz w:val="20"/>
                <w:szCs w:val="20"/>
                <w:color w:val="auto"/>
              </w:rPr>
            </w:pPr>
            <w:r>
              <w:rPr>
                <w:rFonts w:ascii="Arial" w:cs="Arial" w:eastAsia="Arial" w:hAnsi="Arial"/>
                <w:sz w:val="18"/>
                <w:szCs w:val="18"/>
                <w:color w:val="auto"/>
              </w:rPr>
              <w:t>Options exercisable—March 31, 2018</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783,554</w:t>
            </w:r>
          </w:p>
        </w:tc>
        <w:tc>
          <w:tcPr>
            <w:tcW w:w="160" w:type="dxa"/>
            <w:vAlign w:val="bottom"/>
          </w:tcPr>
          <w:p>
            <w:pPr>
              <w:spacing w:after="0"/>
              <w:rPr>
                <w:sz w:val="18"/>
                <w:szCs w:val="18"/>
                <w:color w:val="auto"/>
              </w:rPr>
            </w:pPr>
          </w:p>
        </w:tc>
        <w:tc>
          <w:tcPr>
            <w:tcW w:w="100" w:type="dxa"/>
            <w:vAlign w:val="bottom"/>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5.29</w:t>
            </w:r>
          </w:p>
        </w:tc>
        <w:tc>
          <w:tcPr>
            <w:tcW w:w="140" w:type="dxa"/>
            <w:vAlign w:val="bottom"/>
          </w:tcPr>
          <w:p>
            <w:pPr>
              <w:spacing w:after="0"/>
              <w:rPr>
                <w:sz w:val="18"/>
                <w:szCs w:val="18"/>
                <w:color w:val="auto"/>
              </w:rPr>
            </w:pPr>
          </w:p>
        </w:tc>
        <w:tc>
          <w:tcPr>
            <w:tcW w:w="800" w:type="dxa"/>
            <w:vAlign w:val="bottom"/>
          </w:tcPr>
          <w:p>
            <w:pPr>
              <w:jc w:val="right"/>
              <w:ind w:right="1"/>
              <w:spacing w:after="0" w:line="203" w:lineRule="exact"/>
              <w:rPr>
                <w:sz w:val="20"/>
                <w:szCs w:val="20"/>
                <w:color w:val="auto"/>
              </w:rPr>
            </w:pPr>
            <w:r>
              <w:rPr>
                <w:rFonts w:ascii="Arial" w:cs="Arial" w:eastAsia="Arial" w:hAnsi="Arial"/>
                <w:sz w:val="18"/>
                <w:szCs w:val="18"/>
                <w:color w:val="auto"/>
              </w:rPr>
              <w:t>4.0</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total grant date fair value of options vested was $377,000 and $107,000 during the three months ended March 31, 2018 and 2017, respectively.</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weighted-average grant date fair value of employee options granted during the three months ended March 31, 2018 and 2017 was $4.74 and $3.69 per share,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January 2018, there was an increase of 128,172 shares reserved for issuance under the Company’s Employee Stock Purchase Plan (ESPP).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Stock Awards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February 2018, the Company modified the terms of 400,000 vested and unvested stock option awards granted to the Chief Executive Officer, by reducing their exercise price from $16.25 per share to $7.64 per share. There was no change to any of the other terms of the option awards. The modification resulted in an incremental value of $600,000 being allocated to the options, of which $63,000 was recognized to expense immediately based on options that were vested at the time of the modification. The remaining incremental value of $537,000 attributable to unvested options will be recognized over the remaining vesting term through September 2021.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summarizes Restricted Stock Units (RSUs) activity for the three months ended March 31, 2018:</w:t>
      </w:r>
    </w:p>
    <w:p>
      <w:pPr>
        <w:spacing w:after="0" w:line="242"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1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Units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2017</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36,350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Cancelled/forfeited</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7"/>
        </w:trPr>
        <w:tc>
          <w:tcPr>
            <w:tcW w:w="5500" w:type="dxa"/>
            <w:vAlign w:val="bottom"/>
          </w:tcPr>
          <w:p>
            <w:pPr>
              <w:spacing w:after="0"/>
              <w:rPr>
                <w:sz w:val="20"/>
                <w:szCs w:val="20"/>
                <w:color w:val="auto"/>
              </w:rPr>
            </w:pPr>
            <w:r>
              <w:rPr>
                <w:rFonts w:ascii="Arial" w:cs="Arial" w:eastAsia="Arial" w:hAnsi="Arial"/>
                <w:sz w:val="18"/>
                <w:szCs w:val="18"/>
                <w:color w:val="auto"/>
              </w:rPr>
              <w:t>Balance—March 31, 2018</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66,630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9" w:firstLine="324"/>
        <w:spacing w:after="0" w:line="264"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March 31, 2018, there was $535,000 of unrecognized stock-based compensation expense related to RSUs to be recognized over a weighted-average period of 3.4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299" w:firstLine="324"/>
        <w:spacing w:after="0" w:line="264" w:lineRule="auto"/>
        <w:rPr>
          <w:sz w:val="20"/>
          <w:szCs w:val="20"/>
          <w:color w:val="auto"/>
        </w:rPr>
      </w:pPr>
      <w:r>
        <w:rPr>
          <w:rFonts w:ascii="Arial" w:cs="Arial" w:eastAsia="Arial" w:hAnsi="Arial"/>
          <w:sz w:val="18"/>
          <w:szCs w:val="18"/>
          <w:color w:val="auto"/>
        </w:rPr>
        <w:t>The Company recognized stock-based compensation expense from awards granted to employees and non-employees under its equity incentive plans and from its ESPP as follows, excluding amounts related to GLOBALFOUNDRIES, Inc. (GF) (in thousands):</w:t>
      </w:r>
    </w:p>
    <w:p>
      <w:pPr>
        <w:spacing w:after="0" w:line="186"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Three Months Ended</w:t>
      </w:r>
    </w:p>
    <w:p>
      <w:pPr>
        <w:ind w:left="68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4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r>
      <w:tr>
        <w:trPr>
          <w:trHeight w:val="217"/>
        </w:trPr>
        <w:tc>
          <w:tcPr>
            <w:tcW w:w="540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r>
    </w:tbl>
    <w:p>
      <w:pPr>
        <w:spacing w:after="0" w:line="202" w:lineRule="exact"/>
        <w:rPr>
          <w:sz w:val="20"/>
          <w:szCs w:val="20"/>
          <w:color w:val="auto"/>
        </w:rPr>
      </w:pPr>
    </w:p>
    <w:p>
      <w:pPr>
        <w:ind w:right="199" w:firstLine="324"/>
        <w:spacing w:after="0" w:line="277" w:lineRule="auto"/>
        <w:rPr>
          <w:sz w:val="20"/>
          <w:szCs w:val="20"/>
          <w:color w:val="auto"/>
        </w:rPr>
      </w:pPr>
      <w:r>
        <w:rPr>
          <w:rFonts w:ascii="Arial" w:cs="Arial" w:eastAsia="Arial" w:hAnsi="Arial"/>
          <w:sz w:val="18"/>
          <w:szCs w:val="18"/>
          <w:color w:val="auto"/>
        </w:rPr>
        <w:t>As of March 31, 2018, there was $6.2 million of total unrecognized compensation expense related to unvested options which is expected to be recognized over a weighted-average period of 3.3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w:t>
      </w:r>
    </w:p>
    <w:p>
      <w:pPr>
        <w:spacing w:after="0" w:line="225" w:lineRule="exact"/>
        <w:rPr>
          <w:sz w:val="20"/>
          <w:szCs w:val="20"/>
          <w:color w:val="auto"/>
        </w:rPr>
      </w:pPr>
    </w:p>
    <w:p>
      <w:pPr>
        <w:ind w:right="259" w:firstLine="324"/>
        <w:spacing w:after="0" w:line="277" w:lineRule="auto"/>
        <w:rPr>
          <w:sz w:val="20"/>
          <w:szCs w:val="20"/>
          <w:color w:val="auto"/>
        </w:rPr>
      </w:pPr>
      <w:r>
        <w:rPr>
          <w:rFonts w:ascii="Arial" w:cs="Arial" w:eastAsia="Arial" w:hAnsi="Arial"/>
          <w:sz w:val="18"/>
          <w:szCs w:val="18"/>
          <w:color w:val="auto"/>
        </w:rPr>
        <w:t>Stock-based compensation expense for employees was $610,000 and $420,000 for the three months ended March 31, 2018 and 2017, respectively.</w:t>
      </w:r>
    </w:p>
    <w:p>
      <w:pPr>
        <w:spacing w:after="0" w:line="170" w:lineRule="exact"/>
        <w:rPr>
          <w:sz w:val="20"/>
          <w:szCs w:val="20"/>
          <w:color w:val="auto"/>
        </w:rPr>
      </w:pPr>
    </w:p>
    <w:p>
      <w:pPr>
        <w:ind w:right="239" w:firstLine="324"/>
        <w:spacing w:after="0" w:line="259" w:lineRule="auto"/>
        <w:rPr>
          <w:sz w:val="20"/>
          <w:szCs w:val="20"/>
          <w:color w:val="auto"/>
        </w:rPr>
      </w:pPr>
      <w:r>
        <w:rPr>
          <w:rFonts w:ascii="Arial" w:cs="Arial" w:eastAsia="Arial" w:hAnsi="Arial"/>
          <w:sz w:val="18"/>
          <w:szCs w:val="18"/>
          <w:color w:val="auto"/>
        </w:rPr>
        <w:t>The Company estimated the fair value of each option using the Black-Scholes option-pricing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180"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040" w:type="dxa"/>
            <w:vAlign w:val="bottom"/>
            <w:gridSpan w:val="4"/>
          </w:tcPr>
          <w:p>
            <w:pPr>
              <w:jc w:val="right"/>
              <w:ind w:right="670"/>
              <w:spacing w:after="0"/>
              <w:rPr>
                <w:sz w:val="20"/>
                <w:szCs w:val="20"/>
                <w:color w:val="auto"/>
              </w:rPr>
            </w:pPr>
            <w:r>
              <w:rPr>
                <w:rFonts w:ascii="Arial" w:cs="Arial" w:eastAsia="Arial" w:hAnsi="Arial"/>
                <w:sz w:val="14"/>
                <w:szCs w:val="14"/>
                <w:b w:val="1"/>
                <w:bCs w:val="1"/>
                <w:color w:val="auto"/>
              </w:rPr>
              <w:t>Option Plan</w:t>
            </w:r>
          </w:p>
        </w:tc>
        <w:tc>
          <w:tcPr>
            <w:tcW w:w="114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w w:val="90"/>
              </w:rPr>
              <w:t>ESPP</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3380" w:type="dxa"/>
            <w:vAlign w:val="bottom"/>
          </w:tcPr>
          <w:p>
            <w:pPr>
              <w:spacing w:after="0"/>
              <w:rPr>
                <w:sz w:val="12"/>
                <w:szCs w:val="12"/>
                <w:color w:val="auto"/>
              </w:rPr>
            </w:pPr>
          </w:p>
        </w:tc>
        <w:tc>
          <w:tcPr>
            <w:tcW w:w="2040" w:type="dxa"/>
            <w:vAlign w:val="bottom"/>
            <w:gridSpan w:val="4"/>
          </w:tcPr>
          <w:p>
            <w:pPr>
              <w:jc w:val="right"/>
              <w:ind w:right="390"/>
              <w:spacing w:after="0" w:line="149" w:lineRule="exact"/>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6"/>
          </w:tcPr>
          <w:p>
            <w:pPr>
              <w:jc w:val="center"/>
              <w:ind w:right="130"/>
              <w:spacing w:after="0" w:line="149" w:lineRule="exact"/>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3380" w:type="dxa"/>
            <w:vAlign w:val="bottom"/>
          </w:tcPr>
          <w:p>
            <w:pPr>
              <w:spacing w:after="0"/>
              <w:rPr>
                <w:sz w:val="14"/>
                <w:szCs w:val="14"/>
                <w:color w:val="auto"/>
              </w:rPr>
            </w:pPr>
          </w:p>
        </w:tc>
        <w:tc>
          <w:tcPr>
            <w:tcW w:w="204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9"/>
              </w:rPr>
              <w:t>March 31,</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3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51.9-52.0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47.2-47.3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66.2-72.7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2.70-2.72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2.0-2.1 %</w:t>
            </w:r>
          </w:p>
        </w:tc>
        <w:tc>
          <w:tcPr>
            <w:tcW w:w="740" w:type="dxa"/>
            <w:vAlign w:val="bottom"/>
          </w:tcPr>
          <w:p>
            <w:pPr>
              <w:jc w:val="right"/>
              <w:spacing w:after="0"/>
              <w:rPr>
                <w:sz w:val="20"/>
                <w:szCs w:val="20"/>
                <w:color w:val="auto"/>
              </w:rPr>
            </w:pPr>
            <w:r>
              <w:rPr>
                <w:rFonts w:ascii="Arial" w:cs="Arial" w:eastAsia="Arial" w:hAnsi="Arial"/>
                <w:sz w:val="18"/>
                <w:szCs w:val="18"/>
                <w:color w:val="auto"/>
              </w:rPr>
              <w:t>0.94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 %</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Dividend yield</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4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Stock-based Compensation</w:t>
      </w:r>
    </w:p>
    <w:p>
      <w:pPr>
        <w:spacing w:after="0" w:line="225" w:lineRule="exact"/>
        <w:rPr>
          <w:sz w:val="20"/>
          <w:szCs w:val="20"/>
          <w:color w:val="auto"/>
        </w:rPr>
      </w:pPr>
    </w:p>
    <w:p>
      <w:pPr>
        <w:ind w:right="79" w:firstLine="324"/>
        <w:spacing w:after="0" w:line="308" w:lineRule="auto"/>
        <w:rPr>
          <w:sz w:val="20"/>
          <w:szCs w:val="20"/>
          <w:color w:val="auto"/>
        </w:rPr>
      </w:pPr>
      <w:r>
        <w:rPr>
          <w:rFonts w:ascii="Arial" w:cs="Arial" w:eastAsia="Arial" w:hAnsi="Arial"/>
          <w:sz w:val="17"/>
          <w:szCs w:val="17"/>
          <w:color w:val="auto"/>
        </w:rPr>
        <w:t>Stock-based compensation expense related to stock options granted to non-employees is recognized as the stock options vest. During the three months ended March 31, 2018, the Company granted 7,200 stock options to non-</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employees. No stock options were granted to non-employees during the three months March 31, 2017. As of March 31, 2018, options to purchase 45,072 shares of common stock were outstanding with a weighted-average exercise price of $9.15 per share. Stock-based compensation expense for non-employees was $15,000 and $11,000 for the three months ended March 31, 2018 and 2017, respectively.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Development Agreement—GLOBALFOUNDRIES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October 17, 2014, the Company entered into a Joint Development Agreement (JDA) with GF, a related party due to its equity ownership in the Company, for the joint development of the Company’s Spin Transfer Torque MRAM (STT-MRAM) technology. The term of the agreement is the later of four years from the effective date or until the completion, termination or expiration of the last statement of work entered into pursuant to the JDA. The JDA also states that the specific terms and conditions for the production and supply of the developed STT-MRAM technology would be pursuant to a separate manufacturing agreement entered into between the parties.</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the JDA,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8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equally under the JDA. If GF manufactures, sells or transfers to customers wafers containing production quantified STT-MRAM devices that utilize certain design information, GF will be required to pay the Company a royalty. The term of the agreement is four years and is extended until the completion of any development work, if later.</w:t>
      </w:r>
    </w:p>
    <w:p>
      <w:pPr>
        <w:spacing w:after="0" w:line="18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of March 31, 2018 and December 31, 2017, $0 and $25,000 was receivable from GF, respectively. As of March 31, 2018 and December 31, 2017, $2.9 million and $749,000, respectively, were payable to GF for the Company’s share of the project costs under the JDA. The Company incurred project costs, recognized as research and development expense, of $2.1 million and $1.9 million for the three months ended March 31, 2018 and 2017 respectively. The Company entered into a Statement of Work #4B (the SOW 4B) under the JDA with GF effective August 31, 2016. Under SOW 4B, the Company will collaborate with GF in planning, designing and supporting evaluation of 22nm embedded MRAM arrays. The Company was eligible to receive three substantive milestone payments from this collaboration: (a) $569,000 was due upon the delivery of the Company’s database of bias system schematics; (b) $650,000 was due upon the delivery of a Graphic Design Database System package; and (c) $406,000 is due upon demonstration that the embedded MRAM array meets the specifications agreed upon by the two parties. The milestones were achieved during the year ended December 31, 2017. The Company recognized revenue of $0 and $569,000 from GF in the three months ended March 31, 2018 and 2017, respectively.</w:t>
      </w:r>
    </w:p>
    <w:p>
      <w:pPr>
        <w:spacing w:after="0" w:line="17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October 21, 2014, GF participated, along with other investors, in the Company’s Series B redeemable convertible preferred stock financing and purchased 192,307 shares at $26.00 per share. Contemporaneously, the Company sold 461,538 shares of its common stock to GF at a discounted price of $0.00026 per share. The common shares vest upon the achievement of a goal as set forth in the Statement of Work #1 (the SOW) under the JDA. The unvested common shares are subject to repurchase by the Company, if the JDA is terminated for any reason, for a one-year period after such termination, at a price that is the lower of the original price paid by GF or the fair value of the Company’s common stock as of the date of repurchase. The Company has determined that the issuance of these shares of common stock to GF represents compensation for services to be provided under the JDA. Accordingly, the shares are accounted for similar to a stock award granted to a non-employee of the Company and are remeasured to their fair value as they vest. Although the shares issued do not commence vesting until the achievement of the product qualification (the “Initial Measurement Date”), the Company has deemed it probable that the qualification requirement will be met and compensation expense related to the shares issued is being recognized prior to the Initial Measurement Date. Due to the vesting conditions, there will be multiple measurement dates, occurring on the Initial Measurement Date and at the end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of each month thereafter. The fair value of vesting shares is effectively fixed at each measurement date while the fair value of the remaining unvested shares will be remeasured each subsequent measurement date until the shares are fully vested. During the year ended December 31, 2016, GF achieved the product qualification as set forth under the SOW. As such, a total of 211,538 shares of common stock became vested on August 21, 2016, the designated Initial Measurement Date. Subsequent to the Initial Measurement Date through March 31, 2018, an additional 182,692 shares of common stock became vested. As of March 31, 2018, there were 67,307 shares unvested that were subject to repurchase.</w:t>
      </w:r>
    </w:p>
    <w:p>
      <w:pPr>
        <w:spacing w:after="0" w:line="165"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The Company recognized non-cash compensation expense of $237,000 and $255,000 during the three months ended March 31, 2018 and 2017, respectively, in research and development expense related to the vesting of the shares of common stock. The Company recognizes compensation expense based on the estimated fair value of the common stock at each reporting period, which was $7.55 and $7.50 per share as of March 31, 2018 and December 31, 2017,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NXP</w:t>
      </w:r>
    </w:p>
    <w:p>
      <w:pPr>
        <w:spacing w:after="0" w:line="22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Company has entered into various transactions with NXP, a related party due to its equity ownership in the Company. The Company leases its manufacturing facility in Chandler, Arizona, from NXP and total rent expense was $327,000 and $289,000 during the three months ended March 31, 2018 and 2017, respectively. NXP also performs processing of the Company’s products in its facility which are capitalized as part of the cost of inventory. The total processing costs incurred by the Company were $864,000 and $427,000 for the three months ended March 31, 2018 and 2017, respectively. In addition, NXP is one of the Company’s largest customers for the sale of backend foundry services, and total revenue from NXP was $482,000 and $572,000 during the three months ended March 31, 2018 and 2017, respectively. In the three months ended March 31, 2018 and 2017, the Company purchased wafers for its Condor product from NXP for $157,000 and $168,000, respectively. There was $652,000 and $638,000 of wafers purchased from NXP for the Company’s Condor product included in inventory as of March 31, 2018 and December 31, 2017, respectively. Amounts due from NXP were $382,000 and $587,000 at March 31, 2018 and December 31, 2017, respectively. Amounts due to NXP were $821,000 and $945,000 at March 31, 2018 and December 31, 2017,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Common Share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amounts):</w:t>
      </w:r>
    </w:p>
    <w:p>
      <w:pPr>
        <w:spacing w:after="0" w:line="176"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Three Months Ended</w:t>
      </w:r>
    </w:p>
    <w:p>
      <w:pPr>
        <w:ind w:left="74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(6,086)</w:t>
            </w:r>
          </w:p>
        </w:tc>
        <w:tc>
          <w:tcPr>
            <w:tcW w:w="0" w:type="dxa"/>
            <w:vAlign w:val="bottom"/>
          </w:tcPr>
          <w:p>
            <w:pPr>
              <w:spacing w:after="0"/>
              <w:rPr>
                <w:sz w:val="1"/>
                <w:szCs w:val="1"/>
                <w:color w:val="auto"/>
              </w:rPr>
            </w:pPr>
          </w:p>
        </w:tc>
      </w:tr>
      <w:tr>
        <w:trPr>
          <w:trHeight w:val="216"/>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14,872,369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12,498,698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weighted-average unvested common shares subjected to repurchase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(198,717)</w:t>
            </w:r>
          </w:p>
        </w:tc>
        <w:tc>
          <w:tcPr>
            <w:tcW w:w="0" w:type="dxa"/>
            <w:vAlign w:val="bottom"/>
          </w:tcPr>
          <w:p>
            <w:pPr>
              <w:spacing w:after="0"/>
              <w:rPr>
                <w:sz w:val="1"/>
                <w:szCs w:val="1"/>
                <w:color w:val="auto"/>
              </w:rPr>
            </w:pPr>
          </w:p>
        </w:tc>
      </w:tr>
      <w:tr>
        <w:trPr>
          <w:trHeight w:val="182"/>
        </w:trPr>
        <w:tc>
          <w:tcPr>
            <w:tcW w:w="6420" w:type="dxa"/>
            <w:vAlign w:val="bottom"/>
          </w:tcPr>
          <w:p>
            <w:pPr>
              <w:ind w:left="120"/>
              <w:spacing w:after="0" w:line="182" w:lineRule="exact"/>
              <w:rPr>
                <w:sz w:val="20"/>
                <w:szCs w:val="20"/>
                <w:color w:val="auto"/>
              </w:rPr>
            </w:pPr>
            <w:r>
              <w:rPr>
                <w:rFonts w:ascii="Arial" w:cs="Arial" w:eastAsia="Arial" w:hAnsi="Arial"/>
                <w:sz w:val="18"/>
                <w:szCs w:val="18"/>
                <w:color w:val="auto"/>
                <w:w w:val="90"/>
              </w:rPr>
              <w:t>Weighted-average common shares outstanding used to calculate net loss per common</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14,789,036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12,299,981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share, basic and diluted</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basic and diluted</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76"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-3175</wp:posOffset>
            </wp:positionV>
            <wp:extent cx="13633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41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940" w:type="dxa"/>
            <w:vAlign w:val="bottom"/>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3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1,766,959</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1,481,632</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66,630</w:t>
            </w:r>
          </w:p>
        </w:tc>
        <w:tc>
          <w:tcPr>
            <w:tcW w:w="22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67,307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182,692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Common stock warrants</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27,690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27,690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5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1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1,928,586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1,692,014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878"/>
        </w:trPr>
        <w:tc>
          <w:tcPr>
            <w:tcW w:w="3560" w:type="dxa"/>
            <w:vAlign w:val="bottom"/>
          </w:tcPr>
          <w:p>
            <w:pPr>
              <w:spacing w:after="0"/>
              <w:rPr>
                <w:sz w:val="24"/>
                <w:szCs w:val="24"/>
                <w:color w:val="auto"/>
              </w:rPr>
            </w:pPr>
          </w:p>
        </w:tc>
        <w:tc>
          <w:tcPr>
            <w:tcW w:w="3180" w:type="dxa"/>
            <w:vAlign w:val="bottom"/>
          </w:tcPr>
          <w:p>
            <w:pPr>
              <w:jc w:val="right"/>
              <w:ind w:right="2034"/>
              <w:spacing w:after="0"/>
              <w:rPr>
                <w:sz w:val="20"/>
                <w:szCs w:val="20"/>
                <w:color w:val="auto"/>
              </w:rPr>
            </w:pPr>
            <w:r>
              <w:rPr>
                <w:rFonts w:ascii="Arial" w:cs="Arial" w:eastAsia="Arial" w:hAnsi="Arial"/>
                <w:sz w:val="18"/>
                <w:szCs w:val="18"/>
                <w:color w:val="auto"/>
              </w:rPr>
              <w:t>19</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3560" w:type="dxa"/>
            <w:vAlign w:val="bottom"/>
            <w:tcBorders>
              <w:bottom w:val="single" w:sz="8" w:color="auto"/>
            </w:tcBorders>
          </w:tcPr>
          <w:p>
            <w:pPr>
              <w:spacing w:after="0"/>
              <w:rPr>
                <w:sz w:val="11"/>
                <w:szCs w:val="11"/>
                <w:color w:val="auto"/>
              </w:rPr>
            </w:pPr>
          </w:p>
        </w:tc>
        <w:tc>
          <w:tcPr>
            <w:tcW w:w="3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bl>
    <w:p>
      <w:pPr>
        <w:sectPr>
          <w:pgSz w:w="11900" w:h="16838" w:orient="portrait"/>
          <w:cols w:equalWidth="0" w:num="1">
            <w:col w:w="9100"/>
          </w:cols>
          <w:pgMar w:left="1420" w:top="125" w:right="137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Agreements</w:t>
      </w:r>
    </w:p>
    <w:p>
      <w:pPr>
        <w:spacing w:after="0" w:line="229" w:lineRule="exact"/>
        <w:rPr>
          <w:sz w:val="20"/>
          <w:szCs w:val="20"/>
          <w:color w:val="auto"/>
        </w:rPr>
      </w:pPr>
    </w:p>
    <w:p>
      <w:pPr>
        <w:ind w:right="139" w:firstLine="405"/>
        <w:spacing w:after="0" w:line="291" w:lineRule="auto"/>
        <w:rPr>
          <w:sz w:val="20"/>
          <w:szCs w:val="20"/>
          <w:color w:val="auto"/>
        </w:rPr>
      </w:pPr>
      <w:r>
        <w:rPr>
          <w:rFonts w:ascii="Arial" w:cs="Arial" w:eastAsia="Arial" w:hAnsi="Arial"/>
          <w:sz w:val="16"/>
          <w:szCs w:val="16"/>
          <w:color w:val="auto"/>
        </w:rPr>
        <w:t>In March 2018, the Company entered into a global cross-license agreement with a customer pursuant to which the Company granted a worldwide, non-exclusive, non-transferable, irrevocable, royalty-bearing license under the Company’s patents to use, sell, import and export the Company’s products. Under the cross-license agreement, the Company received a non-refundable license fee and is entitled to quarterly royalty payments based upon low single digits of the average selling price of products covered under the license agreement. The license was transferred to the customer and the Company recognized the non-refundable license fee during the three months ended March 31, 2018. The cross-license agreement will remain in effect until the licensed patents have expired, been abandoned, or ruled invalid.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This discussion contains certain forward-looking statements within the meaning of Section 27A of the Securities Act of 1933, as amended, and Section 21E of the Securities Exchange Act of 1934, as amended.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are the leading provider of MRAM solutions. Our MRAM solutions offer the persistence of non-volatile memory, a type of memory that retains information even in the absence of power, with the speed and endurance of random access memory (RAM). This enables the protection of mission critical data particularly in the event of power interruption or failure. Our MRAM solutions allow our customers in the industrial, automotive, transportation, and enterprise storage markets to design high performance, power efficient and reliable systems without the need for bulky batteries or capacitors.</w:t>
      </w:r>
    </w:p>
    <w:p>
      <w:pPr>
        <w:spacing w:after="0" w:line="15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derive our revenue from the sale of MRAM-based products in discrete unit form, the sale of services, licenses of and royalties on our MRAM and magnetic sensor technology.</w:t>
      </w:r>
    </w:p>
    <w:p>
      <w:pPr>
        <w:spacing w:after="0" w:line="17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work directly with our distributors and customers to have our MRAM devices designed into and qualified for their products. Although we maintain direct sales, support, and development relationships with our customers, once our products are designed into a customer’s product, we sell a majority of our products to those customers through distributors. We generated 55% and 78% for the three months ended March 31, 2018 and 2017, respectively, of our revenue from products sold through distributors.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maintain a direct selling relationship, for strategic purposes, with several key customer accounts. Our sales team and representatives are organized into three primary regions: North America; Europe, Middle East and Africa (EMEA); and Asia-Pacific and Japan (APJ). We recognize revenue by geography based on the region in which our products are sold, and not to where the end products in which they are assembled are shipped. Our revenue by region for the periods indicated was as follows (in thousands):</w:t>
      </w:r>
    </w:p>
    <w:p>
      <w:pPr>
        <w:spacing w:after="0" w:line="193"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-3175</wp:posOffset>
            </wp:positionV>
            <wp:extent cx="10718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1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EMEA</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2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w:t>
            </w:r>
          </w:p>
        </w:tc>
      </w:tr>
      <w:tr>
        <w:trPr>
          <w:trHeight w:val="217"/>
        </w:trPr>
        <w:tc>
          <w:tcPr>
            <w:tcW w:w="3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14,853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7,880</w:t>
            </w:r>
          </w:p>
        </w:tc>
      </w:tr>
    </w:tbl>
    <w:p>
      <w:pPr>
        <w:spacing w:after="0" w:line="202"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We leverage both internal and outsourced capabilities to manufacture our MRAM products. We purchase industry-standard complementary metal-oxide semiconductor (CMOS) wafers from semiconductor foundries and complete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fabrication by inserting our magnetic-bit technology at our 200mm fabrication facility in Chandler, Arizona. We believe this allows us to streamline research and development, rapidly prototype new products, and bring new products to market quickly and cost effectively. This strategy significantly reduces the capital investment that would otherwise be required to operate manufacturing facilities of our own. We utilize leading semiconductor foundry GLOBALFOUNDRIES to support full turnkey high-volume production of our high density MRAM products on 300mm wafers at advanced process nodes.</w:t>
      </w:r>
    </w:p>
    <w:p>
      <w:pPr>
        <w:spacing w:after="0" w:line="15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During the three months ended March 31, 2018, we continued to invest in research and development to support the development and production of our Spin Transfer Torque MRAM (STT-MRAM) technology. We believe our continued investment will allow us to continue to develop and deploy products based on our STT-MRAM technology. Our research and development expenses were $6.5 million and $6.4 million for the three months ended March 31, 2018 and 2017, respectively. We expect that our research and development expenses will increase in the future as we continue to develop our MRAM technology internally and through our joint development agreement with GLOBALFOUNDRIES.</w:t>
      </w:r>
    </w:p>
    <w:p>
      <w:pPr>
        <w:spacing w:after="0" w:line="17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recorded revenue of $14.9 million and $7.9 million for the three months ended March 31, 2018 and 2017, respectively; gross margin was 67.0% and 53.5% for the three months ended March 31, 2018 and 2017, respectively; and our net loss was $1.3 million and $6.1 million for the three months ended March 31, 2018 and 2017, respectively. As of March 31, 2018, we had 94 employees, approximately half of whom are engaged in research and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We define Adjusted EBITDA as net income or loss adjusted for interest expense, tax, depreciation and amortization, stock-based compensation expense, and compensation expense related to the vesting of common stock held by GLOBALFOUNDRIES resulting from our joint development agreement.</w:t>
      </w:r>
    </w:p>
    <w:p>
      <w:pPr>
        <w:spacing w:after="0" w:line="17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presents a reconciliation of net loss, the most directly comparable GAAP measure, to Adjusted EBITDA for each of the periods indicated:</w:t>
      </w:r>
    </w:p>
    <w:p>
      <w:pPr>
        <w:spacing w:after="0" w:line="176"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Three Months Ended</w:t>
      </w:r>
    </w:p>
    <w:p>
      <w:pPr>
        <w:ind w:left="7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(1,277)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(6,086)</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 related to vesting of GLOBALFOUNDRIES common stock</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r>
      <w:tr>
        <w:trPr>
          <w:trHeight w:val="216"/>
        </w:trPr>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Borders>
              <w:bottom w:val="single" w:sz="8" w:color="CCEEFF"/>
            </w:tcBorders>
          </w:tcPr>
          <w:p>
            <w:pPr>
              <w:spacing w:after="0"/>
              <w:rPr>
                <w:sz w:val="18"/>
                <w:szCs w:val="18"/>
                <w:color w:val="auto"/>
              </w:rPr>
            </w:pPr>
          </w:p>
        </w:tc>
      </w:tr>
      <w:tr>
        <w:trPr>
          <w:trHeight w:val="217"/>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i w:val="1"/>
          <w:iCs w:val="1"/>
          <w:color w:val="auto"/>
        </w:rPr>
        <w:t xml:space="preserve">Design wins. </w:t>
      </w:r>
      <w:r>
        <w:rPr>
          <w:rFonts w:ascii="Arial" w:cs="Arial" w:eastAsia="Arial" w:hAnsi="Arial"/>
          <w:sz w:val="17"/>
          <w:szCs w:val="17"/>
          <w:color w:val="auto"/>
        </w:rPr>
        <w:t>To continue to grow our revenue, we must continue to achieve design wins for our MRAM products. We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 a design win to occur when an original equipment manufacturer (OEM) or contract manufacturer notifies us that it has qualified one of our products as a component in a product or system for production. We believe we are dependent on the adoption of our 256Mb and 1Gb MRAM products by our customers to secure design wins. Because the life cycles for our customers’ products can last for many years, if these products have successful commercial introductions, we expect to continue to generate revenues over an extended period of time for each successful design win. Any delay in the development of our 1Gb MRAM product, or failure of our customers to adopt our 1Gb MRAM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products, could inhibit revenue growth or cause declines, which would significantly harm our business and prevent us from becoming profitable. In the fourth quarter of 2017, we recorded revenue for our first sale of 40nm 256Mb STT-MRAM products and we are in process of ramping up production in 2018.</w:t>
      </w:r>
    </w:p>
    <w:p>
      <w:pPr>
        <w:spacing w:after="0" w:line="18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Customer acceptance of our technology and customer product success</w:t>
      </w:r>
      <w:r>
        <w:rPr>
          <w:rFonts w:ascii="Arial" w:cs="Arial" w:eastAsia="Arial" w:hAnsi="Arial"/>
          <w:sz w:val="17"/>
          <w:szCs w:val="17"/>
          <w:color w:val="auto"/>
        </w:rPr>
        <w:t>. For our customers to use our products, they may</w:t>
      </w:r>
      <w:r>
        <w:rPr>
          <w:rFonts w:ascii="Arial" w:cs="Arial" w:eastAsia="Arial" w:hAnsi="Arial"/>
          <w:sz w:val="17"/>
          <w:szCs w:val="17"/>
          <w:i w:val="1"/>
          <w:iCs w:val="1"/>
          <w:color w:val="auto"/>
        </w:rPr>
        <w:t xml:space="preserve"> </w:t>
      </w:r>
      <w:r>
        <w:rPr>
          <w:rFonts w:ascii="Arial" w:cs="Arial" w:eastAsia="Arial" w:hAnsi="Arial"/>
          <w:sz w:val="17"/>
          <w:szCs w:val="17"/>
          <w:color w:val="auto"/>
        </w:rPr>
        <w:t>have to redesign certain components of their existing designs. We have established relationships with several controller companies, including Broadcom (formerly LSI and Avago), Marvell and Microsemi (formerly PMC-Sierra), and IP core companies, including Cadence, Synopsys, and Northwest Logic, and FPGA manufacturers, including Xilinx and Altera (now part of Intel), to accelerate the integration of our MRAM solutions into our customers end products. Delays in our customers’ design cycles may have adverse effects on the demand, and therefore sales, of our products.</w:t>
      </w:r>
    </w:p>
    <w:p>
      <w:pPr>
        <w:spacing w:after="0" w:line="17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Customer concentration</w:t>
      </w:r>
      <w:r>
        <w:rPr>
          <w:rFonts w:ascii="Arial" w:cs="Arial" w:eastAsia="Arial" w:hAnsi="Arial"/>
          <w:sz w:val="16"/>
          <w:szCs w:val="16"/>
          <w:color w:val="auto"/>
        </w:rPr>
        <w:t>. A relatively small number of end customers have historically accounted for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our revenue. Revenue, including through distributors, from four of our customers collectively, accounted for approximately 18.8% of our total revenue in the three months ended March 31, 2018, respectively. None of these customers accounted for in excess of 10% of our total revenue in the three months ended March 31, 2018. Revenue, including through distributors, from five of our customers collectively, accounted for 35.9% of our total revenue in the three months ended March 31, 2017, respectively. One of these customers accounted for in excess of 10% of our total revenue in the three months ended March 31, 2017. It would be difficult to replace lost revenue resulting from the loss, reduction, cancellation or delay in purchase orders by any one of these customers. Consolidation among our customers may further concentrate our customer base and expose us to increased risks relating to increased customer concentration. In addition, any significant pricing pressure exerted by a significant customer could adversely affect our operating results.</w:t>
      </w:r>
    </w:p>
    <w:p>
      <w:pPr>
        <w:spacing w:after="0" w:line="16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i w:val="1"/>
          <w:iCs w:val="1"/>
          <w:color w:val="auto"/>
        </w:rPr>
        <w:t xml:space="preserve">Pricing, product cost and gross margins of our products. </w:t>
      </w:r>
      <w:r>
        <w:rPr>
          <w:rFonts w:ascii="Arial" w:cs="Arial" w:eastAsia="Arial" w:hAnsi="Arial"/>
          <w:sz w:val="17"/>
          <w:szCs w:val="17"/>
          <w:color w:val="auto"/>
        </w:rPr>
        <w:t>Our gross margin has been, and will continue to be, affected by</w:t>
      </w:r>
      <w:r>
        <w:rPr>
          <w:rFonts w:ascii="Arial" w:cs="Arial" w:eastAsia="Arial" w:hAnsi="Arial"/>
          <w:sz w:val="17"/>
          <w:szCs w:val="17"/>
          <w:i w:val="1"/>
          <w:iCs w:val="1"/>
          <w:color w:val="auto"/>
        </w:rPr>
        <w:t xml:space="preserve"> </w:t>
      </w:r>
      <w:r>
        <w:rPr>
          <w:rFonts w:ascii="Arial" w:cs="Arial" w:eastAsia="Arial" w:hAnsi="Arial"/>
          <w:sz w:val="17"/>
          <w:szCs w:val="17"/>
          <w:color w:val="auto"/>
        </w:rPr>
        <w:t>a variety of factors, including the timing of changes in pricing, shipment volumes, new product introductions, changes in product mix, changes in our purchase price of fabricated wafers, assembly and test service expenses, manufacturing yields and inventory write downs, if any. In general, newly introduced products, and products with higher densities and performance,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seek to offset the effect of declining average selling prices on existing products by reducing manufacturing expenses and introducing newer, higher value-added products. If we are unable to maintain overall average selling prices or to offset any declines in average selling prices with savings on product costs, our gross margin will decline.</w:t>
      </w:r>
    </w:p>
    <w:p>
      <w:pPr>
        <w:spacing w:after="0" w:line="178"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i w:val="1"/>
          <w:iCs w:val="1"/>
          <w:color w:val="auto"/>
        </w:rPr>
        <w:t xml:space="preserve">Gross margin impact of licensing revenue. </w:t>
      </w:r>
      <w:r>
        <w:rPr>
          <w:rFonts w:ascii="Arial" w:cs="Arial" w:eastAsia="Arial" w:hAnsi="Arial"/>
          <w:sz w:val="16"/>
          <w:szCs w:val="16"/>
          <w:color w:val="auto"/>
        </w:rPr>
        <w:t>Our licensing revenue, which we collect as licensing fees and royalty</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generates significantly higher gross margin than product revenue. Due to the high gross margin profile of this revenue stream, fluctuations in licensing revenue may have a greater impact on gross margin than a corresponding change in the demand for our products. Therefore, as licensing revenue fluctuates, we may see significant variations in gross margin.</w:t>
      </w:r>
    </w:p>
    <w:p>
      <w:pPr>
        <w:spacing w:after="0" w:line="15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 xml:space="preserve">Technology, process, and product development investment. </w:t>
      </w:r>
      <w:r>
        <w:rPr>
          <w:rFonts w:ascii="Arial" w:cs="Arial" w:eastAsia="Arial" w:hAnsi="Arial"/>
          <w:sz w:val="17"/>
          <w:szCs w:val="17"/>
          <w:color w:val="auto"/>
        </w:rPr>
        <w:t>We invest heavily to develop our MRAM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core MRAM technology, the joint development agreement with GLOBALFOUNDRIES, and the design of new and innovative products based on MRAM, to provide solutions to our current and future customers. We anticipate that we will continue to invest in our research and development to achieve our technology and product roadmaps. Our product development is targeted to specific segments of the market where we believe the densities and performance of our products can provide the most benefit. We believe our close coordination with our customers regarding their future product requirements enhances the efficiency of our research and development expenditures.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derive our revenue from the sale of our MRAM-based products in discrete unit form, the licensing of our MRAM and magnetic sensor technology and related royalties, the sale backend foundry services and design services to third parties. We recognize sales of products in discrete unit form at a point in time, we recognize revenue related to licensing agreements when we have delivered rights to the technology, we recognize revenue related to royalty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agreements in the period in which sales generated from products sold using our technology occurs, and we recognize sales of backend foundry services and design services to third parties over time.</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For some of our products, we provide price protection and product return rights. As such, for sales through distributors of our discrete MRAM products, at the time of revenue recognition, which occurs when control of the products has been transferred to the distributor, we estimate product returns and the expected price concessions that will be provided to the distributor, which is included in the transaction price. We estimate the credits to the distributors based on the historical rate of credits provided to distributors relative to sales or, for some customers the credit is based on a previously negotiated fixed rate. Our licensing revenue is largely dependent on a small number of transactions during a given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Cost of sales primarily includes the cost of our products including costs to purchase wafers, costs paid for wafer fabrication, costs associated with the assembly and testing of our products, shipping costs and costs of our manufacturing personnel. Cost of sales also includes indirect costs, such as warranty, inventory valuation reserves and overhead costs.</w:t>
      </w:r>
    </w:p>
    <w:p>
      <w:pPr>
        <w:spacing w:after="0" w:line="14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Gross profit is revenue less cost of sales. Gross margin is gross profit expressed as a percentage of total revenue. We expect that our gross margin may fluctuate from period to period, primarily as a result of changes in average selling price, revenue mix among our products, product yields and manufacturing costs. In addition, we may reserve against the value at which we carry our inventory based upon the product’s life cycle and conditions in the markets in which we sell. Declines in average selling prices may be paired with improvements in our cost of sales, which may offset some of the gross margin reduction that could result from lower selling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research and development expenses consist primarily of personnel-related expenses for the design and development of our products and technologies, development wafers required to validate and characterize our technology, and expenses associated with our joint development agreement with GLOBALFOUNDRIES.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 We expect our research and development expenses to increase in connection with our joint development agreement with GLOBALFOUNDRIES.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general and administrative expenses consist primarily of personnel expenses, allocated facilities costs, expenses for outside professional services, and expenses for personnel and consultants engaged in executive, finance, legal, information technology and administrative activities. We expect our general and administrative expenses to increase as we continue to hire personnel and expand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Our sales and marketing expenses consist primarily of compensation for our sales, marketing, and business development personnel, including bonuses and commissions for our sales representatives. We expect our sales and marketing expenses to increase as we hire additional sales personnel and representatives and increase our marketing activities.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firstLine="324"/>
        <w:spacing w:after="0" w:line="340" w:lineRule="auto"/>
        <w:rPr>
          <w:sz w:val="20"/>
          <w:szCs w:val="20"/>
          <w:color w:val="auto"/>
        </w:rPr>
      </w:pPr>
      <w:r>
        <w:rPr>
          <w:rFonts w:ascii="Arial" w:cs="Arial" w:eastAsia="Arial" w:hAnsi="Arial"/>
          <w:sz w:val="15"/>
          <w:szCs w:val="15"/>
          <w:color w:val="auto"/>
        </w:rPr>
        <w:t>Interest expense consists of cash and non-cash components. The non-cash component consists of interest expense recognized from the amortization of debt discounts derived from the issuance of warrants and debt issuance costs capitalized on our balance sheets as a reduction of the debt balance. Interest expense is due to our borrowings under our loan agreements.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Other income, net consists primarily of the interest income earned on our cash equivalents and foreign currency exchange gains and losses. Our foreign currency exchange gains and losses relate to transactions and asset and liability balances denominated in currencies other than the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6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4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0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7"/>
            <w:vMerge w:val="restart"/>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36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7"/>
              </w:rPr>
              <w:t>(As a percentage of</w:t>
            </w:r>
          </w:p>
        </w:tc>
        <w:tc>
          <w:tcPr>
            <w:tcW w:w="6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$ 9,365</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$ 6,648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63 %</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Licensing, royalty, and other revenue</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5,488</w:t>
            </w: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14,853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4,898</w:t>
            </w: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2"/>
          </w:tcPr>
          <w:p>
            <w:pPr>
              <w:ind w:left="100"/>
              <w:spacing w:after="0"/>
              <w:rPr>
                <w:sz w:val="20"/>
                <w:szCs w:val="20"/>
                <w:color w:val="auto"/>
              </w:rPr>
            </w:pPr>
            <w:r>
              <w:rPr>
                <w:rFonts w:ascii="Arial" w:cs="Arial" w:eastAsia="Arial" w:hAnsi="Arial"/>
                <w:sz w:val="18"/>
                <w:szCs w:val="18"/>
                <w:color w:val="auto"/>
              </w:rPr>
              <w:t>General and administrative</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3,219</w:t>
            </w: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4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11,065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10,092</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Net loss</w:t>
            </w:r>
          </w:p>
        </w:tc>
        <w:tc>
          <w:tcPr>
            <w:tcW w:w="4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(1,277)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(6,086)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9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9"/>
              </w:rPr>
              <w:t>Comparison of the Three Months Ended March 31, 2018 and 2017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80" w:type="dxa"/>
            <w:vAlign w:val="bottom"/>
            <w:gridSpan w:val="4"/>
          </w:tcPr>
          <w:p>
            <w:pPr>
              <w:spacing w:after="0"/>
              <w:rPr>
                <w:sz w:val="20"/>
                <w:szCs w:val="20"/>
                <w:color w:val="auto"/>
              </w:rPr>
            </w:pPr>
            <w:r>
              <w:rPr>
                <w:rFonts w:ascii="Arial" w:cs="Arial" w:eastAsia="Arial" w:hAnsi="Arial"/>
                <w:sz w:val="18"/>
                <w:szCs w:val="18"/>
                <w:i w:val="1"/>
                <w:iCs w:val="1"/>
                <w:color w:val="auto"/>
              </w:rPr>
              <w:t>Revenue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4"/>
                <w:szCs w:val="24"/>
                <w:color w:val="auto"/>
              </w:rPr>
            </w:pPr>
          </w:p>
        </w:tc>
        <w:tc>
          <w:tcPr>
            <w:tcW w:w="1480" w:type="dxa"/>
            <w:vAlign w:val="bottom"/>
            <w:gridSpan w:val="7"/>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4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8"/>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Product sales</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$ 9,365</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$ 6,648</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$ 2,717</w:t>
            </w: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40.9 %</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Licensing, royalty, and other revenue</w:t>
            </w: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5,488</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1,232</w:t>
            </w:r>
          </w:p>
        </w:tc>
        <w:tc>
          <w:tcPr>
            <w:tcW w:w="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4,256</w:t>
            </w:r>
          </w:p>
        </w:tc>
        <w:tc>
          <w:tcPr>
            <w:tcW w:w="2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14,853</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$ 7,880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$ 6,973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88.5 %</w:t>
            </w:r>
          </w:p>
        </w:tc>
        <w:tc>
          <w:tcPr>
            <w:tcW w:w="0" w:type="dxa"/>
            <w:vAlign w:val="bottom"/>
          </w:tcPr>
          <w:p>
            <w:pPr>
              <w:spacing w:after="0"/>
              <w:rPr>
                <w:sz w:val="1"/>
                <w:szCs w:val="1"/>
                <w:color w:val="auto"/>
              </w:rPr>
            </w:pPr>
          </w:p>
        </w:tc>
      </w:tr>
      <w:tr>
        <w:trPr>
          <w:trHeight w:val="108"/>
        </w:trPr>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Product sales increased by $2.7 million or 40.9%, from $6.6 million during the three months ended March 31, 2017, to $9.4 million during the three months ended March 31, 2018. The increase was primarily due to $3.3 million in increased sales volume and mix in our MRAM products offset by a $0.6 million decrease in sales of our legacy products as a result of a decrease in demand of our legacy products.</w:t>
      </w:r>
    </w:p>
    <w:p>
      <w:pPr>
        <w:spacing w:after="0" w:line="187"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Licensing, royalty, and other revenue is a highly variable revenue item characterized by a small number of transactions annually with revenue based on size and terms of each transaction. Licensing, royalty, and other revenue increased by $4.3 million from $1.2 million during the three months ended March 31, 2017, to $5.5 million during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three months ended March 31, 2018. The increase was primarily due to a non-refundable license fee related to a cross-license agreement entered into with a customer in March 2018 offset by $0.6 million in milestone payments related to a milestone earned in the first quarter of 2017 for research and development activity performed on behalf of GLOBALFOUNDRIES and a $0.2 million decrease in sales of our backend foundry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w w:val="98"/>
              </w:rPr>
              <w:t>Amount</w:t>
            </w:r>
          </w:p>
        </w:tc>
        <w:tc>
          <w:tcPr>
            <w:tcW w:w="3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40" w:type="dxa"/>
            <w:vAlign w:val="bottom"/>
            <w:gridSpan w:val="4"/>
          </w:tcPr>
          <w:p>
            <w:pPr>
              <w:jc w:val="right"/>
              <w:ind w:right="308"/>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$4,898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9"/>
              </w:rPr>
              <w:t>$ 1,235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33.7 %</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Gross margin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67.0 %</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53.5 %</w:t>
            </w: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Cost of sales increased by $1.2 million or 33.7%, from $3.7 million during the three months ended March 31, 2017, to $4.9 million during the three months ended March 31, 2018. The increase was primarily due to increased sales volume and lower yields on our MRAM products, partially offset by lower sales volume of backend foundry services and legacy products.</w:t>
      </w:r>
    </w:p>
    <w:p>
      <w:pPr>
        <w:spacing w:after="0" w:line="187"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Gross margin increased from 53.5% during the three months ended March 31, 2017, to 67.0% during the three months ended March 31, 2018. The increase was primarily due to product mix, including an increase in licensing revenue of $5.0 million related to the recognition of a non-refundable license fee, partially offset by lower yields on our MRAM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82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40" w:type="dxa"/>
            <w:vAlign w:val="bottom"/>
            <w:gridSpan w:val="5"/>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$6,480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$6,389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91</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1.4 %</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Research and development as a % of revenue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81 %</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increased by $0.1 million or 1.4%, from $6.4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during the three months ended March 31, 2017, to $6.5 million during the three months ended March 31, 2018. The increase was due to a $0.2 million increase in expenses incurred in our joint development agreement with GLOBALFOUNDRIES due to the use of more technologically advanced materials, a $0.1 million increase in software expenses due to the purchase of software to improve simulations, and a $0.1 million increase in depreciation expense due to an increase in fixed assets purchased. The increases were offset by a decrease of $0.4 million in employee labor costs due to a decrease in headcount, bonuses and stock-based compensation expense. Research and development expense during the three months ended March 31, 2018 decreased as a percentage of revenue when compared with the corresponding period in 2017 primarily due to the increase in revenue pertaining to the non-refundable license fee.</w:t>
      </w:r>
    </w:p>
    <w:p>
      <w:pPr>
        <w:spacing w:after="0" w:line="16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ind w:left="320"/>
              <w:spacing w:after="0"/>
              <w:rPr>
                <w:sz w:val="20"/>
                <w:szCs w:val="20"/>
                <w:color w:val="auto"/>
              </w:rPr>
            </w:pPr>
            <w:r>
              <w:rPr>
                <w:rFonts w:ascii="Arial" w:cs="Arial" w:eastAsia="Arial" w:hAnsi="Arial"/>
                <w:sz w:val="14"/>
                <w:szCs w:val="14"/>
                <w:b w:val="1"/>
                <w:bCs w:val="1"/>
                <w:color w:val="auto"/>
              </w:rPr>
              <w:t>Change</w:t>
            </w:r>
          </w:p>
        </w:tc>
      </w:tr>
      <w:tr>
        <w:trPr>
          <w:trHeight w:val="142"/>
        </w:trPr>
        <w:tc>
          <w:tcPr>
            <w:tcW w:w="3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20" w:type="dxa"/>
            <w:vAlign w:val="bottom"/>
            <w:gridSpan w:val="5"/>
          </w:tcPr>
          <w:p>
            <w:pPr>
              <w:ind w:left="1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$2,845</w:t>
            </w: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  374</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13.1 %</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spending increased by $0.4 million or 13.1%, from</w:t>
      </w:r>
      <w:r>
        <w:rPr>
          <w:rFonts w:ascii="Arial" w:cs="Arial" w:eastAsia="Arial" w:hAnsi="Arial"/>
          <w:sz w:val="16"/>
          <w:szCs w:val="16"/>
          <w:i w:val="1"/>
          <w:iCs w:val="1"/>
          <w:color w:val="auto"/>
        </w:rPr>
        <w:t xml:space="preserve"> </w:t>
      </w:r>
      <w:r>
        <w:rPr>
          <w:rFonts w:ascii="Arial" w:cs="Arial" w:eastAsia="Arial" w:hAnsi="Arial"/>
          <w:sz w:val="16"/>
          <w:szCs w:val="16"/>
          <w:color w:val="auto"/>
        </w:rPr>
        <w:t>$2.8 million during the three months ended March 31, 2017, to $3.2 million during the three months ended March 31, 2018. The increase was primarily due a $0.6 million increase in employee and contract labor costs due to an increase in headcount, of which $0.2 million was due to increased stock-based compensation expense and the repricing of certain stock options in February 2018. The increase was partially offset by a decrease of $0.3 million in professional services due to costs incurred in 2017 related to becoming a recent public company. General and administrative expense for the three months ended March 31, 2018 decreased as a percentage of revenue when compared with the corresponding period in 2017 primarily due to the increase in revenue pertaining to the non-refundable license fee.</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2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gridSpan w:val="5"/>
          </w:tcPr>
          <w:p>
            <w:pPr>
              <w:ind w:left="6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$ 1,366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$ 858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$ 508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59.2 %</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11 %</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9" w:firstLine="324"/>
        <w:spacing w:after="0" w:line="276"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increased by $0.5 million or 59.2%, from $0.9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three months ended March 31, 2017, to $1.4 million during the three months ended March 31, 2018. The increase was primarily due to a $0.3 million increase in employee and contract labor costs as a result of higher headcount and an increase in salaries, commissions, bonuses and stock-based compensation expense, a $0.1 million increase in commissions to sales representatives and a $0.1 million increase in expenditures on marketing materials.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211</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230</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(19)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39" w:firstLine="324"/>
        <w:spacing w:after="0" w:line="264" w:lineRule="auto"/>
        <w:rPr>
          <w:sz w:val="20"/>
          <w:szCs w:val="20"/>
          <w:color w:val="auto"/>
        </w:rPr>
      </w:pPr>
      <w:r>
        <w:rPr>
          <w:rFonts w:ascii="Arial" w:cs="Arial" w:eastAsia="Arial" w:hAnsi="Arial"/>
          <w:sz w:val="18"/>
          <w:szCs w:val="18"/>
          <w:color w:val="auto"/>
        </w:rPr>
        <w:t>Interest expense was $230,000 during the three months ended March 31, 2017 compared to $211,000 during the three months ended March 31, 2018. The decrease was primarily due to lower interest expense on our 2017 Credit Facility with Silicon Valley Bank, compared to our prior facility with Ares Venture Finance.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6"/>
        </w:trPr>
        <w:tc>
          <w:tcPr>
            <w:tcW w:w="2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1"/>
        </w:trPr>
        <w:tc>
          <w:tcPr>
            <w:tcW w:w="2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7"/>
                <w:szCs w:val="17"/>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1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44</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19</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25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131.6 %</w:t>
            </w:r>
          </w:p>
        </w:tc>
      </w:tr>
    </w:tbl>
    <w:p>
      <w:pPr>
        <w:spacing w:after="0" w:line="202" w:lineRule="exact"/>
        <w:rPr>
          <w:sz w:val="20"/>
          <w:szCs w:val="20"/>
          <w:color w:val="auto"/>
        </w:rPr>
      </w:pPr>
    </w:p>
    <w:p>
      <w:pPr>
        <w:ind w:right="279" w:firstLine="324"/>
        <w:spacing w:after="0" w:line="312" w:lineRule="auto"/>
        <w:rPr>
          <w:sz w:val="20"/>
          <w:szCs w:val="20"/>
          <w:color w:val="auto"/>
        </w:rPr>
      </w:pPr>
      <w:r>
        <w:rPr>
          <w:rFonts w:ascii="Arial" w:cs="Arial" w:eastAsia="Arial" w:hAnsi="Arial"/>
          <w:sz w:val="16"/>
          <w:szCs w:val="16"/>
          <w:color w:val="auto"/>
        </w:rPr>
        <w:t>Other income, net was $44,000 during the three months ended March 31, 2018 compared to $19,000 during the three months ended March 31, 2017. The increase was primarily related to an increase in interest income earned on our cash balances as a result of the increase in our cash balances from the follow-on public offering in February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79" w:firstLine="324"/>
        <w:spacing w:after="0" w:line="264" w:lineRule="auto"/>
        <w:rPr>
          <w:sz w:val="20"/>
          <w:szCs w:val="20"/>
          <w:color w:val="auto"/>
        </w:rPr>
      </w:pPr>
      <w:r>
        <w:rPr>
          <w:rFonts w:ascii="Arial" w:cs="Arial" w:eastAsia="Arial" w:hAnsi="Arial"/>
          <w:sz w:val="18"/>
          <w:szCs w:val="18"/>
          <w:color w:val="auto"/>
        </w:rPr>
        <w:t>We have generated significant losses since our inception and had an accumulated deficit of $117.5 million as of March 31, 2018. As of March 31, 2018, we had $33.9 million of cash and cash equivalents, compared to $13.0 million as of December 31, 2017.</w:t>
      </w:r>
    </w:p>
    <w:p>
      <w:pPr>
        <w:spacing w:after="0" w:line="181" w:lineRule="exact"/>
        <w:rPr>
          <w:sz w:val="20"/>
          <w:szCs w:val="20"/>
          <w:color w:val="auto"/>
        </w:rPr>
      </w:pPr>
    </w:p>
    <w:p>
      <w:pPr>
        <w:ind w:right="39" w:firstLine="324"/>
        <w:spacing w:after="0" w:line="255" w:lineRule="auto"/>
        <w:rPr>
          <w:sz w:val="20"/>
          <w:szCs w:val="20"/>
          <w:color w:val="auto"/>
        </w:rPr>
      </w:pPr>
      <w:r>
        <w:rPr>
          <w:rFonts w:ascii="Arial" w:cs="Arial" w:eastAsia="Arial" w:hAnsi="Arial"/>
          <w:sz w:val="18"/>
          <w:szCs w:val="18"/>
          <w:color w:val="auto"/>
        </w:rPr>
        <w:t>In May 2017, we executed a Loan and Security Agreement with Silicon Valley Bank for a $12.0 million term loan. The term of the loan is three years, which would be extended by one year if we achieve a revenue target of $4.0 million for our Spin Transfer Torque product. The loan bears interest at a floating rate equal to the prime rate minus 0.75% and is payable monthly. The outstanding balance of the loan is to be repaid monthly beginning on May 1, 2018 over the remaining two-year term of the loan. The loan is secured by a first priority perfected security interest in our assets excluding any intellectual property.</w:t>
      </w:r>
    </w:p>
    <w:p>
      <w:pPr>
        <w:spacing w:after="0" w:line="193" w:lineRule="exact"/>
        <w:rPr>
          <w:sz w:val="20"/>
          <w:szCs w:val="20"/>
          <w:color w:val="auto"/>
        </w:rPr>
      </w:pPr>
    </w:p>
    <w:p>
      <w:pPr>
        <w:ind w:right="59" w:firstLine="324"/>
        <w:spacing w:after="0" w:line="259" w:lineRule="auto"/>
        <w:rPr>
          <w:sz w:val="20"/>
          <w:szCs w:val="20"/>
          <w:color w:val="auto"/>
        </w:rPr>
      </w:pPr>
      <w:r>
        <w:rPr>
          <w:rFonts w:ascii="Arial" w:cs="Arial" w:eastAsia="Arial" w:hAnsi="Arial"/>
          <w:sz w:val="18"/>
          <w:szCs w:val="18"/>
          <w:color w:val="auto"/>
        </w:rPr>
        <w:t>In February 2018, we completed a follow-on underwritten public offering of our common stock under our Registration Statement filed in November 2017 (File No. 333-221331), selling 3,772,447 shares of our common stock at an offering price of $7.00 per share for proceeds of $24.6 million, net of $1.8 million of underwriting discounts and commissions and other offering costs.</w:t>
      </w:r>
    </w:p>
    <w:p>
      <w:pPr>
        <w:spacing w:after="0" w:line="187" w:lineRule="exact"/>
        <w:rPr>
          <w:sz w:val="20"/>
          <w:szCs w:val="20"/>
          <w:color w:val="auto"/>
        </w:rPr>
      </w:pPr>
    </w:p>
    <w:p>
      <w:pPr>
        <w:ind w:right="19" w:firstLine="324"/>
        <w:spacing w:after="0" w:line="286" w:lineRule="auto"/>
        <w:rPr>
          <w:sz w:val="20"/>
          <w:szCs w:val="20"/>
          <w:color w:val="auto"/>
        </w:rPr>
      </w:pPr>
      <w:r>
        <w:rPr>
          <w:rFonts w:ascii="Arial" w:cs="Arial" w:eastAsia="Arial" w:hAnsi="Arial"/>
          <w:sz w:val="17"/>
          <w:szCs w:val="17"/>
          <w:color w:val="auto"/>
        </w:rPr>
        <w:t>We believe that our existing cash and cash equivalents as of March 31, 2018, coupled with our anticipated growth and sales levels will be sufficient to meet our anticipated cash requirements for at least the next twelve months. Our future capital requirements will depend on many factors, including our growth rate, the timing and extent of our spending</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support research and development activities, the timing and cost of establishing additional sales and marketing capabilities, and the introduction of new products. If we need to raise additional capital to fund our operations, we may be required to seek additional equity or debt financing, and such additional financing may not be available to us on acceptable terms or at all. If we are unable to raise additional capital or generate sufficient cash from operations to adequately fund our operations, we will need to curtail planned activities to reduce costs and extend the time period over which our current resources will be able to fund operations. Doing so will likely harm our ability to execute on our business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4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4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r>
      <w:tr>
        <w:trPr>
          <w:trHeight w:val="142"/>
        </w:trPr>
        <w:tc>
          <w:tcPr>
            <w:tcW w:w="4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9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(3,738)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(4,040)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900" w:type="dxa"/>
            <w:vAlign w:val="bottom"/>
            <w:gridSpan w:val="2"/>
          </w:tcPr>
          <w:p>
            <w:pPr>
              <w:jc w:val="right"/>
              <w:ind w:right="8"/>
              <w:spacing w:after="0"/>
              <w:rPr>
                <w:sz w:val="20"/>
                <w:szCs w:val="20"/>
                <w:color w:val="auto"/>
              </w:rPr>
            </w:pPr>
            <w:r>
              <w:rPr>
                <w:rFonts w:ascii="Arial" w:cs="Arial" w:eastAsia="Arial" w:hAnsi="Arial"/>
                <w:sz w:val="18"/>
                <w:szCs w:val="18"/>
                <w:color w:val="auto"/>
              </w:rPr>
              <w:t>(244)</w:t>
            </w:r>
          </w:p>
        </w:tc>
        <w:tc>
          <w:tcPr>
            <w:tcW w:w="84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19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24,915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During the three months ended March 31, 2018, cash used in operating activities was $3.7 million, which consisted of a net loss of $1.3 million, adjusted by non-cash charges of $1.3 million and a change of $3.8 million in our net operating assets and liabilities. The non-cash charges primarily consisted of stock-based compensation of $0.6 million, depreciation and amortization of $0.4 million, compensation expense related to vesting of common stock issued to GLOBALFOUNDRIES under our joint development agreement of $0.2 million, and interest expense related to the amortization of debt issuance costs of $0.1 million. The change in our net operating assets and liabilities was primarily due to an increase in accounts receivable of $5.8 million due to timing of cash receipts for outstanding balances, a decrease in accounts payable and accrued liabilities of $0.5 million due to the timing of payments, and an increase of $0.6 million in prepaid expenses and other current assets and other assets. These changes were partially offset by an increase in amounts due to related parties of $2.0 million primarily related to inventory purchases in connection with the GLOBALFOUNDRIES joint development agreement, and an increase of $0.2 million in amounts due from related parties due to the timing of cash receipts for outstanding related party balances, and a decrease in inventory of $0.9 million due to timing and receipt of purchases.</w:t>
      </w:r>
    </w:p>
    <w:p>
      <w:pPr>
        <w:spacing w:after="0" w:line="16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During the three months ended March 31, 2017, cash used in operating activities was $4.0 million, which consisted of a net loss of $6.1 million, adjusted by non-cash charges of $1.0 million and a change of $1.1 million in our net operating assets and liabilities. The non-cash charges primarily consisted of depreciation and amortization of $0.2 million, stock-based compensation of $0.4 million, and compensation expense related to vesting of common stock issued to GLOBALFOUNDRIES under our joint development agreement of $0.3 million. The change in our net operating assets and liabilities was primarily due to a decrease of $0.5 million in accounts receivable due to timing of cash receipts for outstanding balances, a decrease in prepaid and other current assets of $0.2 million, an increase in accounts payable and accrued liabilities of $0.8 million due to the timing of payments and costs related to the move to our new office and laboratory space in Chandler, Arizona, an increase of $0.3 million in the related party amount due to GLOBALFOUNDRIES in connection with the joint development agreement, and an increase of $0.4 million in the related party amount due to NXP. These changes were partially offset by an increase of $0.8 million in inventory to meet demands of future sales and growing backlog and a decrease of $0.4 million in deferred income on shipments to distributors.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Cash used in investing activities during the three months ended March 31, 2018, was $0.2 million, for the purchase of manufacturing and computer equipment.</w:t>
      </w:r>
    </w:p>
    <w:p>
      <w:pPr>
        <w:spacing w:after="0" w:line="170" w:lineRule="exact"/>
        <w:rPr>
          <w:sz w:val="20"/>
          <w:szCs w:val="20"/>
          <w:color w:val="auto"/>
        </w:rPr>
      </w:pPr>
    </w:p>
    <w:p>
      <w:pPr>
        <w:ind w:right="200" w:firstLine="369"/>
        <w:spacing w:after="0" w:line="264" w:lineRule="auto"/>
        <w:rPr>
          <w:sz w:val="20"/>
          <w:szCs w:val="20"/>
          <w:color w:val="auto"/>
        </w:rPr>
      </w:pPr>
      <w:r>
        <w:rPr>
          <w:rFonts w:ascii="Arial" w:cs="Arial" w:eastAsia="Arial" w:hAnsi="Arial"/>
          <w:sz w:val="18"/>
          <w:szCs w:val="18"/>
          <w:color w:val="auto"/>
        </w:rPr>
        <w:t>Cash used in investing activities during the three months ended March 31, 2017, was $0.5 million, for the purchase of manufacturing equipment and capitalized costs related to the move to our new office and laboratory space in Chandler, Arizona.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239" w:firstLine="324"/>
        <w:spacing w:after="0" w:line="342" w:lineRule="auto"/>
        <w:rPr>
          <w:sz w:val="20"/>
          <w:szCs w:val="20"/>
          <w:color w:val="auto"/>
        </w:rPr>
      </w:pPr>
      <w:r>
        <w:rPr>
          <w:rFonts w:ascii="Arial" w:cs="Arial" w:eastAsia="Arial" w:hAnsi="Arial"/>
          <w:sz w:val="16"/>
          <w:szCs w:val="16"/>
          <w:color w:val="auto"/>
        </w:rPr>
        <w:t>During the three months ended March 31, 2018, cash provided by financing activities was $24.9 million consisting of proceeds from the issuance of common stock of $24.6 million and $0.3 million from stock option exercises.</w:t>
      </w:r>
    </w:p>
    <w:p>
      <w:pPr>
        <w:spacing w:after="0" w:line="124" w:lineRule="exact"/>
        <w:rPr>
          <w:sz w:val="20"/>
          <w:szCs w:val="20"/>
          <w:color w:val="auto"/>
        </w:rPr>
      </w:pPr>
    </w:p>
    <w:p>
      <w:pPr>
        <w:ind w:right="159" w:firstLine="324"/>
        <w:spacing w:after="0" w:line="277" w:lineRule="auto"/>
        <w:rPr>
          <w:sz w:val="20"/>
          <w:szCs w:val="20"/>
          <w:color w:val="auto"/>
        </w:rPr>
      </w:pPr>
      <w:r>
        <w:rPr>
          <w:rFonts w:ascii="Arial" w:cs="Arial" w:eastAsia="Arial" w:hAnsi="Arial"/>
          <w:sz w:val="18"/>
          <w:szCs w:val="18"/>
          <w:color w:val="auto"/>
        </w:rPr>
        <w:t>During the three months ended March 31, 2017, cash used in financing activities was $0.7 million primarily consisting of payments on long-term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material changes in our contractual obligations from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79" w:firstLine="324"/>
        <w:spacing w:after="0" w:line="271"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99" w:firstLine="324"/>
        <w:spacing w:after="0" w:line="279" w:lineRule="auto"/>
        <w:rPr>
          <w:sz w:val="20"/>
          <w:szCs w:val="20"/>
          <w:color w:val="auto"/>
        </w:rPr>
      </w:pPr>
      <w:r>
        <w:rPr>
          <w:rFonts w:ascii="Arial" w:cs="Arial" w:eastAsia="Arial" w:hAnsi="Arial"/>
          <w:sz w:val="17"/>
          <w:szCs w:val="17"/>
          <w:color w:val="auto"/>
        </w:rPr>
        <w:t>On January 1, 2018, we adopted Auditing Standards Update, or ASU, No. 2014-09, Revenue from Contracts with Customers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Topic 605, Revenue.</w:t>
      </w:r>
    </w:p>
    <w:p>
      <w:pPr>
        <w:spacing w:after="0" w:line="171" w:lineRule="exact"/>
        <w:rPr>
          <w:sz w:val="20"/>
          <w:szCs w:val="20"/>
          <w:color w:val="auto"/>
        </w:rPr>
      </w:pPr>
    </w:p>
    <w:p>
      <w:pPr>
        <w:ind w:right="159" w:firstLine="324"/>
        <w:spacing w:after="0" w:line="259" w:lineRule="auto"/>
        <w:rPr>
          <w:sz w:val="20"/>
          <w:szCs w:val="20"/>
          <w:color w:val="auto"/>
        </w:rPr>
      </w:pPr>
      <w:r>
        <w:rPr>
          <w:rFonts w:ascii="Arial" w:cs="Arial" w:eastAsia="Arial" w:hAnsi="Arial"/>
          <w:sz w:val="18"/>
          <w:szCs w:val="18"/>
          <w:color w:val="auto"/>
        </w:rPr>
        <w:t>We recognize revenue when a customer obtains control of the promised products or services, in an amount that reflects the consideration which we expect to receive in exchange for those products or services. Revenue is recognized net of allowances for returns and price concessions, and any taxes collected from customers, which are subsequently remitted to governmental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right="19" w:firstLine="324"/>
        <w:spacing w:after="0" w:line="255" w:lineRule="auto"/>
        <w:rPr>
          <w:sz w:val="20"/>
          <w:szCs w:val="20"/>
          <w:color w:val="auto"/>
        </w:rPr>
      </w:pPr>
      <w:r>
        <w:rPr>
          <w:rFonts w:ascii="Arial" w:cs="Arial" w:eastAsia="Arial" w:hAnsi="Arial"/>
          <w:sz w:val="18"/>
          <w:szCs w:val="18"/>
          <w:color w:val="auto"/>
        </w:rPr>
        <w:t>Our revenue is derived from the sale of MRAM-based products in discrete unit form, licenses of and royalties on our MRAM and magnetic sensor technology, the sale of backend foundry services, and design services to third parties. Sales of products in discrete unit form are recognized at a point in time, revenue related to licensing agreements is recognized when we have delivered rights to the technology, revenue related to royalty agreements is recognized in the period in which sales generated from products sold using our technology occurs, and sales of backend foundry services and design services to third parties are recognized over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right="159" w:firstLine="324"/>
        <w:spacing w:after="0" w:line="259" w:lineRule="auto"/>
        <w:rPr>
          <w:sz w:val="20"/>
          <w:szCs w:val="20"/>
          <w:color w:val="auto"/>
        </w:rPr>
      </w:pPr>
      <w:r>
        <w:rPr>
          <w:rFonts w:ascii="Arial" w:cs="Arial" w:eastAsia="Arial" w:hAnsi="Arial"/>
          <w:sz w:val="18"/>
          <w:szCs w:val="18"/>
          <w:color w:val="auto"/>
        </w:rPr>
        <w:t>For products sold in their discrete form, we either sell our products directly to OEMs, original design manufacturers (ODMs), contract manufacturers (CMs), or through a network of distributors, who in turn sell to those customers. For sales directly to OEMs, ODMs and CMs, revenue is recognized when the OEM, ODM or CM obtains control of the product, which occurs at a point in time, generally upon shipment to the customer.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We sell a majority of our products to our distributors at a uniform list price. However, distributors may resell our products to end customers at a very broad range of individually negotiated price points. Distributors are provided with price concessions subsequent to the delivery of product to them and such amounts are dependent on the end customer and product sales price. The price concessions are based on a variety of factors, including customer, product, quantity, geography and competitive differentiation. Price protection rights grant distributors the right to a credit in the event of declines in the price of our products. Under these circumstances, we remit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We estimate these credits and record such estimates in the same period the related revenue is recognized, resulting in a reduction of product revenue and the establishment of an allowance for price concessions for amounts due to distributors. We estimate credits to distributors based on the historical rate of credits provided to distributors relative to sales or, for some customers the credit is based on a previously negotiated fixed rate. Revenue on shipments to distributors is recorded when control of the products has been transferred to the distributor.</w:t>
      </w:r>
    </w:p>
    <w:p>
      <w:pPr>
        <w:spacing w:after="0" w:line="17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We estimate the amount of our product sales that may be returned by our customers and record this estimate as a reduction of revenue in the period the related product revenue is recognized. We estimate our product return liability by analyzing our historical returns, current economic trends and changes in customer demand and acceptance of products. We have received insignificant returns to date and believe that returns of our products will continue to be minimal. As such, we do not record any reserve for returns but will continue to evaluate the need for a reserve each reporting period.</w:t>
      </w:r>
    </w:p>
    <w:p>
      <w:pPr>
        <w:spacing w:after="0" w:line="158"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At the time of shipment to distributors, we record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licenses of technology, recognition of revenue is dependent upon whether we have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us of one or more of the following: non-refundable upfront fees; and royalties on net sales of licensed products. Historically, these license agreements have not included other future performance obligations once the license has been transferred to the customer.</w:t>
      </w:r>
    </w:p>
    <w:p>
      <w:pPr>
        <w:spacing w:after="0" w:line="1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transaction price in each agreement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Revenue from non-refundable up-front payments is recognized when the license is transferred to the customer and the we have no other performance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Revenue from sales-based royalties from licenses of our technology is recognized at the later of when (1) the sale occurs or (2) the performance obligation to which some or all of the sales-based royalty has been allocated is satisfied (in whole or in part).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For certain revenue streams, we recognize revenue based on the pattern of transfer of the services. We use the input method of measuring costs incurred to date compared to total estimated costs to be incurred under the contract as this method most faithfully depicts its performance. We record an unbilled receivable (within accounts receivable, net) for the portion of the work that has been completed but not invoiced at the end of each reporting period</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Revenue from milestone payments must be estimated using either the expected value method or the most likely amount method. At the inception of each agreement that includes milestone payments, we evaluate whether the milestones are considered probable of being reached and estimate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we re-evaluate the probability or achievement of each such milestone and any related constraint, and if necessary, adjust our estimate of the overall transaction price. Any such adjustments are recorded on a cumulative catch-up basis, which would affect revenues and earnings in the period of adjustment.</w:t>
      </w:r>
    </w:p>
    <w:p>
      <w:pPr>
        <w:spacing w:after="0" w:line="19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There have been no other changes to our critical accounting policies and estimates described in the Annual Report on Form 10-K for the year ended December 31, 2017, filed with the Securities and Exchange Commission (SEC) on March 15, 2018, that have had a material impact on our condensed financial statements and related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0" w:firstLine="243"/>
        <w:spacing w:after="0" w:line="264" w:lineRule="auto"/>
        <w:rPr>
          <w:sz w:val="20"/>
          <w:szCs w:val="20"/>
          <w:color w:val="auto"/>
        </w:rPr>
      </w:pPr>
      <w:r>
        <w:rPr>
          <w:rFonts w:ascii="Arial" w:cs="Arial" w:eastAsia="Arial" w:hAnsi="Arial"/>
          <w:sz w:val="18"/>
          <w:szCs w:val="18"/>
          <w:color w:val="auto"/>
        </w:rPr>
        <w:t>We are exposed to market risks in the ordinary course of our business, including the effects of interest rate changes and foreign currency fluctuations. Information relating to quantitative and qualitative disclosures about these markets risks is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primarily exposed to interest rate risk from variable rate borrowings under our 2017 Credit Facility, and to a lesser extent, from our cash position. We do not enter into investments for trading or speculative purposes and have not used any derivative financial instruments to manage our interest rate risk exposure. We have not been exposed to, nor do we anticipate being exposed to, material risks due to changes in interest rates. A hypothetical 10% increase in our borrowing rates would not have a material impact on interest expense on our principal balances as of March 31, 2018 and December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Substantially all of our revenue is denominated in United States dollars. Our expenses are generally denominated in United States dollars; however, we do incur expenses in the currencies of our subcontracted manufacturing suppliers, which are located in Europe and in Asia.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financial statements.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not hedged exposures denominated in foreign currencies or used any other derivative financial instruments.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Although we transact the substantial majority of our business in U.S. dollars, future fluctuations in the value of the 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dollar may affect the competitiveness of our products and thus may impact our results of operations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have evaluated our disclosure controls and procedures (as defined in Rules 13a-15(e) and 15d-15(e) under the Securities Exchange Act of 1934, as amended) prior to the filing of this quarterly report. Based on that evaluation, our Chief</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Executive Officer and our Chief Financial Officer have concluded that, as of the end of the period covered by this quarterly report, our disclosure controls and procedures were effective at the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March 31, 2018,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could be harmed.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have incurred net losses since our inception. We incurred net losses of $21.1 million and $1.3 million for the year ended December 31, 2017 and the three months ended March 31, 2018, respectively. As of March 31, 2018, we had an accumulated deficit of $117.5 million. We expect to incur significant expenses related to the continued development and expansion of our business, including in connection with our efforts to develop and improve upon our products and technology, maintain and enhance our research and development and sales and marketing activities and hire additional personnel. While our products offer unique benefits over other industry memory technologies, our per-bit cost to product our product is currently higher than competing technologies. As a result, our ability to capture market share and generate sufficient revenue to transition to profitability and generate consistent positive cash flows is uncertain. We do not know whether our revenue will grow rapidly enough to absorb these costs, and our limited operating history makes it difficult to assess the extent of these expenses, or their impact on our results of operations.</w:t>
      </w:r>
    </w:p>
    <w:p>
      <w:pPr>
        <w:spacing w:after="0" w:line="178" w:lineRule="exact"/>
        <w:rPr>
          <w:sz w:val="20"/>
          <w:szCs w:val="20"/>
          <w:color w:val="auto"/>
        </w:rPr>
      </w:pPr>
    </w:p>
    <w:p>
      <w:pPr>
        <w:jc w:val="both"/>
        <w:ind w:right="140" w:firstLine="324"/>
        <w:spacing w:after="0" w:line="257" w:lineRule="auto"/>
        <w:rPr>
          <w:sz w:val="20"/>
          <w:szCs w:val="20"/>
          <w:color w:val="auto"/>
        </w:rPr>
      </w:pPr>
      <w:r>
        <w:rPr>
          <w:rFonts w:ascii="Arial" w:cs="Arial" w:eastAsia="Arial" w:hAnsi="Arial"/>
          <w:sz w:val="18"/>
          <w:szCs w:val="18"/>
          <w:color w:val="auto"/>
        </w:rPr>
        <w:t>Further, our revenue may not increase or may decline for a number of possible reasons, many of which are outside our control, including a decline in demand for our products, increased competition, business conditions that adversely affect the semiconductor memory industry, including reduced demand for products in the end markets that we serve, or our failure to capitalize on growth opportunities. If we fail to generate sufficient revenue to support our operations, we may not be able to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22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have been in existence as a stand-alone company since 2008, when Freescale Semiconductor, Inc. (subsequently acquired by NXP Semiconductor) spun-out its MRAM business as Everspin. We have been shipping magnetoresistive random access memory (MRAM) products since our incorporation in 2008, and we have experienced a high rate of growth for our products. However, we may not be able to sustain the growth rate for sales of these products and our revenue could decline. We are just starting the manufacture of Spin Transfer Torque MRAM (STT-MRAM) products. Adoption of these products is important to the future growth of our business, but revenue associated with these products has not been material to date.</w:t>
      </w:r>
    </w:p>
    <w:p>
      <w:pPr>
        <w:spacing w:after="0" w:line="18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limited operating history and limited experience selling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and transportation, and enterprise storage industries and changes in macroeconomic conditions. If we do not manage these risks and overcome these difficulties successfully, our business will suffer.</w:t>
      </w:r>
    </w:p>
    <w:p>
      <w:pPr>
        <w:spacing w:after="0" w:line="130"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81" w:lineRule="exact"/>
        <w:rPr>
          <w:sz w:val="20"/>
          <w:szCs w:val="20"/>
          <w:color w:val="auto"/>
        </w:rPr>
      </w:pPr>
    </w:p>
    <w:p>
      <w:pPr>
        <w:ind w:right="20" w:firstLine="401"/>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Singapore Pte. Ltd.,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fund our business, which may not be available to us on favorable terms or at all.</w:t>
      </w:r>
    </w:p>
    <w:p>
      <w:pPr>
        <w:spacing w:after="0" w:line="248" w:lineRule="exact"/>
        <w:rPr>
          <w:sz w:val="20"/>
          <w:szCs w:val="20"/>
          <w:color w:val="auto"/>
        </w:rPr>
      </w:pPr>
    </w:p>
    <w:p>
      <w:pPr>
        <w:ind w:right="100" w:firstLine="401"/>
        <w:spacing w:after="0" w:line="271" w:lineRule="auto"/>
        <w:rPr>
          <w:sz w:val="20"/>
          <w:szCs w:val="20"/>
          <w:color w:val="auto"/>
        </w:rPr>
      </w:pPr>
      <w:r>
        <w:rPr>
          <w:rFonts w:ascii="Arial" w:cs="Arial" w:eastAsia="Arial" w:hAnsi="Arial"/>
          <w:sz w:val="17"/>
          <w:szCs w:val="17"/>
          <w:color w:val="auto"/>
        </w:rPr>
        <w:t>We believe that our existing cash and cash equivalents as of March 31, 2018, coupled with our anticipated growth and sales levels will be sufficient to meet our anticipated cash requirements for at least the next 12 months.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We may be required to seek additional equity or debt financing, and we cannot assure you that any such additional financing will be available to us on acceptable terms or at all. If we are unable to raise additional capital or generate sufficient cash from operations to adequately fund our operations, we will need to curtail planned activities to reduce costs. Doing so will likely harm our ability to execute on our business plan.</w:t>
      </w:r>
    </w:p>
    <w:p>
      <w:pPr>
        <w:spacing w:after="0" w:line="179" w:lineRule="exact"/>
        <w:rPr>
          <w:sz w:val="20"/>
          <w:szCs w:val="20"/>
          <w:color w:val="auto"/>
        </w:rPr>
      </w:pPr>
    </w:p>
    <w:p>
      <w:pPr>
        <w:ind w:right="60" w:firstLine="401"/>
        <w:spacing w:after="0" w:line="286" w:lineRule="auto"/>
        <w:rPr>
          <w:sz w:val="20"/>
          <w:szCs w:val="20"/>
          <w:color w:val="auto"/>
        </w:rPr>
      </w:pPr>
      <w:r>
        <w:rPr>
          <w:rFonts w:ascii="Arial" w:cs="Arial" w:eastAsia="Arial" w:hAnsi="Arial"/>
          <w:sz w:val="17"/>
          <w:szCs w:val="17"/>
          <w:color w:val="auto"/>
        </w:rPr>
        <w:t>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24"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firstLine="401"/>
        <w:spacing w:after="0" w:line="286" w:lineRule="auto"/>
        <w:rPr>
          <w:sz w:val="20"/>
          <w:szCs w:val="20"/>
          <w:color w:val="auto"/>
        </w:rPr>
      </w:pPr>
      <w:r>
        <w:rPr>
          <w:rFonts w:ascii="Arial" w:cs="Arial" w:eastAsia="Arial" w:hAnsi="Arial"/>
          <w:sz w:val="16"/>
          <w:szCs w:val="16"/>
          <w:color w:val="auto"/>
        </w:rPr>
        <w:t>We expect that our new and future MRAM products will be applicable to markets in which we are not currently operating. Selling into such new markets, could put us into direct competition with our current or potential customers or other competitors with substantially more resources and experience than us.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75"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84" w:lineRule="exact"/>
        <w:rPr>
          <w:sz w:val="20"/>
          <w:szCs w:val="20"/>
          <w:color w:val="auto"/>
        </w:rPr>
      </w:pPr>
    </w:p>
    <w:p>
      <w:pPr>
        <w:ind w:left="580" w:right="120"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capacity and materials shortages during periods of high demand;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control over delivery schedules, inventories and quality;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misappropriation of our intellectual property;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exclusive representatives for certain customer engagements;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limited warranties on wafers or products supplied to us;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potential increases in prices.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currently do not have long-term supply contracts with our third-party contract manufacturers for our MRAM products, including NXP, United Microelectronics Corporation, Taiwan Semiconductor Manufacturing Company, Limited (TSMC), United Test and Assembly Center (UTAC), Global Testing Corporation (GTC), ChipMos, OSE Taiwan, and Amkor, and we typically negotiate pricing on a per-purchase order basis and in some cases on an annual basis. Therefore, they are not obligated to perform services or supply components to us for any specific period, in any specific quantities, or at any specific price, except as may be provided in a particular purchase order. During periods of high demand and tight inventories, our third-party foundries and packaging, assembly and testing contractors may allocate capacity to the production of other companies’ products while reducing deliveries to us, or significantly raise their prices. In particular, they may allocate capacity to other customers that are larger and better financed than us or that have long-term agreements, decreasing the capacity available to us. Shortages of capacity available to us may be caused by the actions of their other, large customers that may be difficult to predict, such as major product launches.</w:t>
      </w:r>
    </w:p>
    <w:p>
      <w:pPr>
        <w:spacing w:after="0" w:line="18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6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85" w:lineRule="exact"/>
        <w:rPr>
          <w:sz w:val="20"/>
          <w:szCs w:val="20"/>
          <w:color w:val="auto"/>
        </w:rPr>
      </w:pPr>
    </w:p>
    <w:p>
      <w:pPr>
        <w:ind w:left="580" w:right="120"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in transferring technology to a foundry;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control over the operations of foundries is limited;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580" w:right="39" w:firstLine="29"/>
        <w:spacing w:after="0" w:line="277" w:lineRule="auto"/>
        <w:rPr>
          <w:sz w:val="20"/>
          <w:szCs w:val="20"/>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sz w:val="20"/>
          <w:szCs w:val="20"/>
          <w:color w:val="auto"/>
        </w:rPr>
      </w:pPr>
    </w:p>
    <w:p>
      <w:pPr>
        <w:ind w:left="580" w:right="99" w:firstLine="29"/>
        <w:spacing w:after="0" w:line="277" w:lineRule="auto"/>
        <w:rPr>
          <w:sz w:val="20"/>
          <w:szCs w:val="20"/>
          <w:color w:val="auto"/>
        </w:rPr>
      </w:pPr>
      <w:r>
        <w:rPr>
          <w:rFonts w:ascii="Arial" w:cs="Arial" w:eastAsia="Arial" w:hAnsi="Arial"/>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cash flows may be inadequate to fund increased capital requirements;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terms of our arrangements may turn out to be unfavorable;</w:t>
      </w:r>
    </w:p>
    <w:p>
      <w:pPr>
        <w:spacing w:after="0" w:line="225" w:lineRule="exact"/>
        <w:rPr>
          <w:sz w:val="20"/>
          <w:szCs w:val="20"/>
          <w:color w:val="auto"/>
        </w:rPr>
      </w:pPr>
    </w:p>
    <w:p>
      <w:pPr>
        <w:ind w:left="580" w:right="139" w:firstLine="29"/>
        <w:spacing w:after="0" w:line="277" w:lineRule="auto"/>
        <w:rPr>
          <w:sz w:val="20"/>
          <w:szCs w:val="20"/>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right="99" w:firstLine="324"/>
        <w:spacing w:after="0" w:line="257" w:lineRule="auto"/>
        <w:rPr>
          <w:sz w:val="20"/>
          <w:szCs w:val="20"/>
          <w:color w:val="auto"/>
        </w:rPr>
      </w:pPr>
      <w:r>
        <w:rPr>
          <w:rFonts w:ascii="Arial" w:cs="Arial" w:eastAsia="Arial" w:hAnsi="Arial"/>
          <w:sz w:val="18"/>
          <w:szCs w:val="18"/>
          <w:color w:val="auto"/>
        </w:rPr>
        <w:t>Further, GLOBALFOUNDRIES may terminate the joint development agreement with us if we materially breach a term of the agreement, such as, but not limited to, by our failing to pay any undisputed sum which has been outstanding for 45 or more days from the date of invoice, and fail to remedy the breach within 60 days after receiving notice from GLOBALFOUNDRIES. If GLOBALFOUNDRIES terminates the joint development agreement, our ability to continue to develop our MRAM technology will be significantly impaired.</w:t>
      </w:r>
    </w:p>
    <w:p>
      <w:pPr>
        <w:spacing w:after="0" w:line="188" w:lineRule="exact"/>
        <w:rPr>
          <w:sz w:val="20"/>
          <w:szCs w:val="20"/>
          <w:color w:val="auto"/>
        </w:rPr>
      </w:pPr>
    </w:p>
    <w:p>
      <w:pPr>
        <w:ind w:right="719"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right="59"/>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right="39" w:firstLine="324"/>
        <w:spacing w:after="0" w:line="268" w:lineRule="auto"/>
        <w:rPr>
          <w:sz w:val="20"/>
          <w:szCs w:val="20"/>
          <w:color w:val="auto"/>
        </w:rPr>
      </w:pPr>
      <w:r>
        <w:rPr>
          <w:rFonts w:ascii="Arial" w:cs="Arial" w:eastAsia="Arial" w:hAnsi="Arial"/>
          <w:sz w:val="17"/>
          <w:szCs w:val="17"/>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85" w:lineRule="exact"/>
        <w:rPr>
          <w:sz w:val="20"/>
          <w:szCs w:val="20"/>
          <w:color w:val="auto"/>
        </w:rPr>
      </w:pPr>
    </w:p>
    <w:p>
      <w:pPr>
        <w:ind w:right="179"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93"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right="179" w:firstLine="324"/>
        <w:spacing w:after="0" w:line="312" w:lineRule="auto"/>
        <w:rPr>
          <w:sz w:val="20"/>
          <w:szCs w:val="20"/>
          <w:color w:val="auto"/>
        </w:rPr>
      </w:pPr>
      <w:r>
        <w:rPr>
          <w:rFonts w:ascii="Arial" w:cs="Arial" w:eastAsia="Arial" w:hAnsi="Arial"/>
          <w:sz w:val="16"/>
          <w:szCs w:val="16"/>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serious financial difficulties or cease operations, our business will be adversely affected. In addition, the adverse impact of an unfavorable economy may adversely impact customer spending, which may adversely impact demand for our products.</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However, as it is taking us longer than we expected to develop our 1Gb STT-MRAM product, we may not succeed in developing and marketing this and other new and enhanced products.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we generated limited revenue from sales of our STT-MRAM products to date. While we expect revenue from our STT-MRAM products to increase, if we are unable to scale MRAM to gigabit densities to address applications currently served by DRAM,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39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sell to customers that incorporate MRAM into their products. A design win occurs after a customer has tested our product, verified that it meets the customer’s requirements and qualified our solutions for their products. We believe we are dependent on the adoption of our 256Mb and 1Gb MRAM products by our customers to secure design wins. In the fourth quarter of 2017, we recorded revenue for our first sale of 40nm 256Mb STT-MRAM products and we are in process of ramping up production in 2018. To date we have not sold any of our 1Gb MRAM products.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 Any further delay in the development of our 1Gb MRAM products, or failure of our customers to adopt our 256Mb and 1Gb MRAM products, could inhibit revenue growth or cause declines, which would significantly harm our business and prevent us from becoming profitable.</w:t>
      </w:r>
    </w:p>
    <w:p>
      <w:pPr>
        <w:spacing w:after="0" w:line="17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rely on our relationships with OEMs and original design manufacturers (ODMs) to enhance our solutions and market position, and our failure to continue to develop or maintain such relationships in the future would harm our ability to remain competitive.</w:t>
      </w:r>
    </w:p>
    <w:p>
      <w:pPr>
        <w:spacing w:after="0" w:line="181" w:lineRule="exact"/>
        <w:rPr>
          <w:sz w:val="20"/>
          <w:szCs w:val="20"/>
          <w:color w:val="auto"/>
        </w:rPr>
      </w:pPr>
    </w:p>
    <w:p>
      <w:pPr>
        <w:jc w:val="both"/>
        <w:ind w:right="220" w:firstLine="324"/>
        <w:spacing w:after="0" w:line="288" w:lineRule="auto"/>
        <w:rPr>
          <w:sz w:val="20"/>
          <w:szCs w:val="20"/>
          <w:color w:val="auto"/>
        </w:rPr>
      </w:pPr>
      <w:r>
        <w:rPr>
          <w:rFonts w:ascii="Arial" w:cs="Arial" w:eastAsia="Arial" w:hAnsi="Arial"/>
          <w:sz w:val="16"/>
          <w:szCs w:val="16"/>
          <w:color w:val="auto"/>
        </w:rPr>
        <w:t>We develop our products for leading OEMs and ODMs that serve a variety of end markets and are developing devices for automotive, transportation, industrial and storage applications. For each application, manufacturers create products that incorporate specialized semiconductor technology, which makers of memory products use as the basis for their products.</w:t>
      </w:r>
    </w:p>
    <w:p>
      <w:pPr>
        <w:ind w:right="120"/>
        <w:spacing w:after="0" w:line="286" w:lineRule="auto"/>
        <w:rPr>
          <w:sz w:val="20"/>
          <w:szCs w:val="20"/>
          <w:color w:val="auto"/>
        </w:rPr>
      </w:pPr>
      <w:r>
        <w:rPr>
          <w:rFonts w:ascii="Arial" w:cs="Arial" w:eastAsia="Arial" w:hAnsi="Arial"/>
          <w:sz w:val="16"/>
          <w:szCs w:val="16"/>
          <w:color w:val="auto"/>
        </w:rPr>
        <w:t>These manufacturers set the specifications for many of the key components to be used on each generation of their products and, in the case of memory components, generally qualify only a few vendors to provide memory components for their products. As each new generation of their products is released, vendors are validated in a similar fashion. We must work closely with OEMs and ODMs to ensure our products become qualified for use in their products. As a result, maintaining close relationships with leading OEMs and ODMs that are developing devices for automotive, transportation, industrial and storage applications is crucial to the long-term success of our business. We could lose these relationships for a variety of reasons, including our failure to qualify as a vendor, our failure to demonstrate the value of our new solutions, declines in product quality, or if OEMs or ODMs seek to work with vendors with broader product suites, greater production capacity or greater financial resources. If our relationships with key industry participants were to deteriorate or if our solutions were not qualified by our customers, our market position and revenue could be materially and adversely affected.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52% of our total revenue for the three months ended March 31, 2018, and one of these customers accounted for more than 10% of our revenue during the period. Our four largest end customers together accounted for 28% of our total revenue for the year ended December 31, 2017, but none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can fluctuate from period to period, which could cause our share price to fluctuate.</w:t>
      </w:r>
    </w:p>
    <w:p>
      <w:pPr>
        <w:spacing w:after="0" w:line="23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receipt, reduction, delay or cancellation of orders by large customers;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gain or loss of significant customers or distributors;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and success of our launch of new or enhanced products and those of our competitors;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market acceptance of our products and our customers’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level of growth or decline in the industrial, automotive and transportation, enterprise storage and other markets;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and extent of research and development and sales and marketing expenditures;</w:t>
      </w:r>
    </w:p>
    <w:p>
      <w:pPr>
        <w:spacing w:after="0" w:line="225" w:lineRule="exact"/>
        <w:rPr>
          <w:sz w:val="20"/>
          <w:szCs w:val="20"/>
          <w:color w:val="auto"/>
        </w:rPr>
      </w:pPr>
    </w:p>
    <w:p>
      <w:pPr>
        <w:ind w:left="580" w:right="220" w:firstLine="29"/>
        <w:spacing w:after="0" w:line="277" w:lineRule="auto"/>
        <w:rPr>
          <w:sz w:val="20"/>
          <w:szCs w:val="20"/>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our product mix;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reduce the manufacturing costs of our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competitive pressures resulting in lower than expected average selling prices;</w:t>
      </w:r>
    </w:p>
    <w:p>
      <w:pPr>
        <w:spacing w:after="0" w:line="225" w:lineRule="exact"/>
        <w:rPr>
          <w:sz w:val="20"/>
          <w:szCs w:val="20"/>
          <w:color w:val="auto"/>
        </w:rPr>
      </w:pPr>
    </w:p>
    <w:p>
      <w:pPr>
        <w:ind w:left="580" w:right="379" w:firstLine="29"/>
        <w:spacing w:after="0" w:line="277" w:lineRule="auto"/>
        <w:rPr>
          <w:sz w:val="20"/>
          <w:szCs w:val="20"/>
          <w:color w:val="auto"/>
        </w:rPr>
      </w:pPr>
      <w:r>
        <w:rPr>
          <w:rFonts w:ascii="Arial" w:cs="Arial" w:eastAsia="Arial" w:hAnsi="Arial"/>
          <w:sz w:val="18"/>
          <w:szCs w:val="18"/>
          <w:color w:val="auto"/>
        </w:rPr>
        <w:t>fluctuations in sales by and inventory levels of OEMs and ODMs that incorporate our memory products in their products;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cyclical and seasonal fluctuations in our markets;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fluctuations in the manufacturing yields of our third-party manufacturers;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quality issues that arise from manufacturing issues at our third-party manufacturers;</w:t>
      </w:r>
    </w:p>
    <w:p>
      <w:pPr>
        <w:spacing w:after="0" w:line="225" w:lineRule="exact"/>
        <w:rPr>
          <w:sz w:val="20"/>
          <w:szCs w:val="20"/>
          <w:color w:val="auto"/>
        </w:rPr>
      </w:pPr>
    </w:p>
    <w:p>
      <w:pPr>
        <w:ind w:left="580" w:right="99" w:firstLine="29"/>
        <w:spacing w:after="0" w:line="264" w:lineRule="auto"/>
        <w:rPr>
          <w:sz w:val="20"/>
          <w:szCs w:val="20"/>
          <w:color w:val="auto"/>
        </w:rPr>
      </w:pPr>
      <w:r>
        <w:rPr>
          <w:rFonts w:ascii="Arial" w:cs="Arial" w:eastAsia="Arial" w:hAnsi="Arial"/>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supply constraints for and changes in the cost of the other components incorporated into our customers’ products;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of expenses related to the acquisition of technologies or businesses;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 rates of return or price concessions in excess of those expected or forecasted;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costs associated with the repair and replacement of defective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unexpected inventory write-downs or write-offs;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costs associated with litigation over intellectual property rights and other litigation;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changes in accounting standards, such as revenue recognition, which we were required to adopt beginning in 2018;</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tax laws, such as the Tax Cuts and Jobs Act of 2017 recently enacted;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length and unpredictability of the purchasing and budgeting cycles of our customers;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key personnel or the inability to attract qualified engineers;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geopolitical events, such as war, threat of war or terrorist actions, or the occurrence of natural disasters.</w:t>
      </w:r>
    </w:p>
    <w:p>
      <w:pPr>
        <w:spacing w:after="0" w:line="225" w:lineRule="exact"/>
        <w:rPr>
          <w:sz w:val="20"/>
          <w:szCs w:val="20"/>
          <w:color w:val="auto"/>
        </w:rPr>
      </w:pPr>
    </w:p>
    <w:p>
      <w:pPr>
        <w:ind w:right="79" w:firstLine="324"/>
        <w:spacing w:after="0" w:line="297" w:lineRule="auto"/>
        <w:rPr>
          <w:sz w:val="20"/>
          <w:szCs w:val="20"/>
          <w:color w:val="auto"/>
        </w:rPr>
      </w:pPr>
      <w:r>
        <w:rPr>
          <w:rFonts w:ascii="Arial" w:cs="Arial" w:eastAsia="Arial" w:hAnsi="Arial"/>
          <w:sz w:val="16"/>
          <w:szCs w:val="16"/>
          <w:color w:val="auto"/>
        </w:rPr>
        <w:t>The semiconductor memory industry is highly cyclical and our markets may experience significant cyclical fluctuations in demand as a result of changing economic conditions, budgeting and buying patterns of customers and other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58"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b w:val="1"/>
          <w:bCs w:val="1"/>
          <w:i w:val="1"/>
          <w:iCs w:val="1"/>
          <w:color w:val="auto"/>
        </w:rPr>
        <w:t>If sales of our customers’ products decline or if their products do not achieve market acceptance, our business and operating results could be adversely affected.</w:t>
      </w:r>
    </w:p>
    <w:p>
      <w:pPr>
        <w:spacing w:after="0" w:line="170" w:lineRule="exact"/>
        <w:rPr>
          <w:sz w:val="20"/>
          <w:szCs w:val="20"/>
          <w:color w:val="auto"/>
        </w:rPr>
      </w:pPr>
    </w:p>
    <w:p>
      <w:pPr>
        <w:ind w:right="79" w:firstLine="324"/>
        <w:spacing w:after="0" w:line="276" w:lineRule="auto"/>
        <w:rPr>
          <w:sz w:val="20"/>
          <w:szCs w:val="20"/>
          <w:color w:val="auto"/>
        </w:rPr>
      </w:pPr>
      <w:r>
        <w:rPr>
          <w:rFonts w:ascii="Arial" w:cs="Arial" w:eastAsia="Arial" w:hAnsi="Arial"/>
          <w:sz w:val="17"/>
          <w:szCs w:val="17"/>
          <w:color w:val="auto"/>
        </w:rPr>
        <w:t>Our revenue depends on our customers’ ability to commercialize their products successfully. The markets for our customers’ products are extremely competitive and are characterized by rapid technological change. Competition in our customers’ markets is based on a variety of factors including price, performance, product quality, marketing and distribution capability, customer support, name recognition and financial strength. As a result of rapid technological change, the markets for our customers’ products are characterized by frequent product introductions, short product life</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cycles, fluctuating demand and increasing product capabilities. As a result, our customers’ products may not achieve market success or may become obsolete. We cannot assure you that our customers will dedicate the resources necessary to promote and commercialize their products, successfully execute their business strategies for such products, or be able to manufacture such products in quantities sufficient to meet demand or cost-effectively manufacture products at a high volume. Our customers do not have contracts with us that require them to manufacture, distribute or sell any products. Moreover, our customers may develop internally, or in collaboration with our competitors, technology that they may utilize instead of the technology available to them through us. Our customers’ failure to achieve market success for their products, including as a result of general declines in our customers’ markets or industries, could negatively affect their willingness to utilize our products, which may result in a decrease in our revenue and negatively affect our business and operating results.</w:t>
      </w:r>
    </w:p>
    <w:p>
      <w:pPr>
        <w:spacing w:after="0" w:line="16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revenue also depends on the timely introduction, quality and market acceptance of our customers’ products that incorporate our solutions. Our customers’ products are often very complex and subject to design complexities that may result in design flaws, as well as potential defects, errors and bugs. We incur significant design and development costs in connection with designing our solutions for customers’ products. If our customers discover design flaws, defects, errors or bugs in their products, or if they experience changing market requirements, failed evaluations or field trials, or issues with other vendors, they may delay, change or cancel a project. If we have already incurred significant development costs, we may not be able to recoup those costs, which in turn would adversely affect our business and financial results.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Cypress, Fujitsu, Integrated Silicon Solution, Macronix, Microchip, Micron, Renesas, Samsung, and Toshiba. The main competition for sensor products includes AMR, Crocus, GMR and Hall Effect. These technologies directly compete with our products and are supplied by ALPS Electric, Asahi Kasei Microdevices, Fairchild, Invensys (now Schneider), Kionix and Micronas. In addition, as the MRAM market opportunity grows, we expect new entrants such as Avalanche Technologies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relationships with our customers and other industry participants;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prices of our products and prices of our competitors’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develop innovative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competitors’ greater resources to make acquisitions;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obtain adequate capital to finance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sz w:val="20"/>
          <w:szCs w:val="20"/>
          <w:color w:val="auto"/>
        </w:rPr>
      </w:pPr>
    </w:p>
    <w:p>
      <w:pPr>
        <w:ind w:left="580" w:right="60" w:firstLine="29"/>
        <w:spacing w:after="0" w:line="277" w:lineRule="auto"/>
        <w:rPr>
          <w:sz w:val="20"/>
          <w:szCs w:val="20"/>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customers require our products and our third-party contractors to undergo a lengthy and expensive qualification process. If we are unsuccessful or delayed in qualifying any of our products with a customer, our business and operating results would suffer.</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Prior to selecting and purchasing our products, our customers typically require that our products undergo extensive qualification processes, which involve testing of our products in the customers’ systems, as well as testing for reliability. This qualification process may continue for several months or years. However, obtaining the requisite qualifications for a memory product does not assure any sales of the product. Even after successful qualification and sales of a product to a customer, a subsequent revision in our third-party contractors’ manufacturing process or our selection of a new contract manufacturer may require a new qualification process, which may result in delays and excess or obsolete inventory. After our products are qualified and selected, it can and often does take several months or years before the customer commences volume production of systems that incorporate our products. Despite these uncertainties, we devote substantial resources, including design, engineering, sales, marketing and management efforts, to qualify our products with customers in anticipation of sales. If we are unsuccessful or delayed in qualifying any of our products with a customer, sales of those products may be precluded or delayed, which may impede our growth and harm our business.</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9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In addition to significantly harming our results of operations and cash flow, poor yields may delay shipment of our products and harm our relationships with existing and potential customers.</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you that problems will not be found in new products, both before and after commencement of commercial production, despite testing by us, our suppliers or our customers. Any such problems could result in: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620" w:right="3700"/>
        <w:spacing w:after="0" w:line="501" w:lineRule="auto"/>
        <w:rPr>
          <w:sz w:val="20"/>
          <w:szCs w:val="20"/>
          <w:color w:val="auto"/>
        </w:rPr>
      </w:pPr>
      <w:r>
        <w:rPr>
          <w:rFonts w:ascii="Arial" w:cs="Arial" w:eastAsia="Arial" w:hAnsi="Arial"/>
          <w:sz w:val="18"/>
          <w:szCs w:val="18"/>
          <w:color w:val="auto"/>
        </w:rPr>
        <w:t>delays in development, manufacture and roll-out of new products; additional development costs;</w:t>
      </w:r>
    </w:p>
    <w:p>
      <w:pPr>
        <w:ind w:left="620"/>
        <w:spacing w:after="0"/>
        <w:rPr>
          <w:sz w:val="20"/>
          <w:szCs w:val="20"/>
          <w:color w:val="auto"/>
        </w:rPr>
      </w:pPr>
      <w:r>
        <w:rPr>
          <w:rFonts w:ascii="Arial" w:cs="Arial" w:eastAsia="Arial" w:hAnsi="Arial"/>
          <w:sz w:val="18"/>
          <w:szCs w:val="18"/>
          <w:color w:val="auto"/>
        </w:rPr>
        <w:t>loss of, or delays in, market acceptance;</w:t>
      </w:r>
    </w:p>
    <w:p>
      <w:pPr>
        <w:spacing w:after="0" w:line="225" w:lineRule="exact"/>
        <w:rPr>
          <w:sz w:val="20"/>
          <w:szCs w:val="20"/>
          <w:color w:val="auto"/>
        </w:rPr>
      </w:pPr>
    </w:p>
    <w:p>
      <w:pPr>
        <w:ind w:left="620" w:right="2820"/>
        <w:spacing w:after="0" w:line="501" w:lineRule="auto"/>
        <w:rPr>
          <w:sz w:val="20"/>
          <w:szCs w:val="20"/>
          <w:color w:val="auto"/>
        </w:rPr>
      </w:pPr>
      <w:r>
        <w:rPr>
          <w:rFonts w:ascii="Arial" w:cs="Arial" w:eastAsia="Arial" w:hAnsi="Arial"/>
          <w:sz w:val="18"/>
          <w:szCs w:val="18"/>
          <w:color w:val="auto"/>
        </w:rPr>
        <w:t>diversion of technical and other resources from our other development efforts; claims for damages by our customers or others against us; and loss of credibility with our current and prospective customers.</w:t>
      </w:r>
    </w:p>
    <w:p>
      <w:pPr>
        <w:ind w:left="32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you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8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smaller line width geometry manufacturing processes become more prevalent, we intend to move our future products to increasingly smaller geometries to integrate greater levels of storage capacity and/or functionality into our products. This transition will require us and our third-party foundries to migrate to new designs and manufacturing 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increase product value. We are dependent on our relationships with our third-party foundries to transition to smaller geometry processes successfully. We cannot assure you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66"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you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88"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9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substantial damages for infringement;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0" w:right="660" w:firstLine="29"/>
        <w:spacing w:after="0" w:line="277" w:lineRule="auto"/>
        <w:rPr>
          <w:sz w:val="20"/>
          <w:szCs w:val="20"/>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sz w:val="20"/>
          <w:szCs w:val="20"/>
          <w:color w:val="auto"/>
        </w:rPr>
      </w:pPr>
    </w:p>
    <w:p>
      <w:pPr>
        <w:ind w:left="580" w:right="100" w:firstLine="29"/>
        <w:spacing w:after="0" w:line="277" w:lineRule="auto"/>
        <w:rPr>
          <w:sz w:val="20"/>
          <w:szCs w:val="20"/>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sz w:val="20"/>
          <w:szCs w:val="20"/>
          <w:color w:val="auto"/>
        </w:rPr>
      </w:pPr>
    </w:p>
    <w:p>
      <w:pPr>
        <w:ind w:left="580" w:right="320" w:firstLine="29"/>
        <w:spacing w:after="0" w:line="277" w:lineRule="auto"/>
        <w:rPr>
          <w:sz w:val="20"/>
          <w:szCs w:val="20"/>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sz w:val="20"/>
          <w:szCs w:val="20"/>
          <w:color w:val="auto"/>
        </w:rPr>
      </w:pPr>
    </w:p>
    <w:p>
      <w:pPr>
        <w:ind w:left="580" w:right="40" w:firstLine="29"/>
        <w:spacing w:after="0" w:line="277" w:lineRule="auto"/>
        <w:rPr>
          <w:sz w:val="20"/>
          <w:szCs w:val="20"/>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employees and although we issued refresh equity awards to our personnel in connection with our initial public offering, and repriced options in mid-December 2016 to reflect our then current stock price, there can be no assurance that these awards will be effective to retain our key employees.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18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we continue to expand our business, we expect our headcount and overall size of our operations to grow significantly. To effectively manage our growth, we must continue to expand our operational, engineering and financial systems, procedures and controls and to improve our accounting and other internal management systems, such as our new ERP system that we have recently implemented. This may require substantial managerial and financial resources, and our efforts in this regard may not be successful. Our current systems, procedures and controls may not be adequate to support our future operations. If we fail to adequately manage our growth, or to improve our operational, financial and management information systems, or fail to effectively motivate or manage our new and future employees, the quality of our products and the management of our operations could suffer, which could adversely affect our operating results.</w:t>
      </w:r>
    </w:p>
    <w:p>
      <w:pPr>
        <w:spacing w:after="0" w:line="166" w:lineRule="exact"/>
        <w:rPr>
          <w:sz w:val="20"/>
          <w:szCs w:val="20"/>
          <w:color w:val="auto"/>
        </w:rPr>
      </w:pPr>
    </w:p>
    <w:p>
      <w:pPr>
        <w:ind w:right="520"/>
        <w:spacing w:after="0" w:line="381" w:lineRule="auto"/>
        <w:rPr>
          <w:sz w:val="20"/>
          <w:szCs w:val="20"/>
          <w:color w:val="auto"/>
        </w:rPr>
      </w:pPr>
      <w:r>
        <w:rPr>
          <w:rFonts w:ascii="Arial" w:cs="Arial" w:eastAsia="Arial" w:hAnsi="Arial"/>
          <w:sz w:val="15"/>
          <w:szCs w:val="15"/>
          <w:b w:val="1"/>
          <w:bCs w:val="1"/>
          <w:i w:val="1"/>
          <w:iCs w:val="1"/>
          <w:color w:val="auto"/>
        </w:rPr>
        <w:t>We may engage in acquisitions of, or investments in, other companies, each of which may divert our management’s attention, result in additional dilution to stockholders or use resources that are necessary to operate our business.</w:t>
      </w:r>
    </w:p>
    <w:p>
      <w:pPr>
        <w:spacing w:after="0" w:line="10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may in the future seek to acquire or invest in businesses, products or technologies that we believe could complement or expand our business, enhance our technical capabilities or otherwise offer growth opportunities. However, our term loan and revolving credit facility prohibits our ability to merge with or acquire any other entity. Even if we were allowed to pursue such acquisitions or investments, they could create risks for us, including:</w:t>
      </w:r>
    </w:p>
    <w:p>
      <w:pPr>
        <w:spacing w:after="0" w:line="187" w:lineRule="exact"/>
        <w:rPr>
          <w:sz w:val="20"/>
          <w:szCs w:val="20"/>
          <w:color w:val="auto"/>
        </w:rPr>
      </w:pPr>
    </w:p>
    <w:p>
      <w:pPr>
        <w:ind w:left="580" w:right="300" w:firstLine="29"/>
        <w:spacing w:after="0" w:line="312" w:lineRule="auto"/>
        <w:rPr>
          <w:sz w:val="20"/>
          <w:szCs w:val="20"/>
          <w:color w:val="auto"/>
        </w:rPr>
      </w:pPr>
      <w:r>
        <w:rPr>
          <w:rFonts w:ascii="Arial" w:cs="Arial" w:eastAsia="Arial" w:hAnsi="Arial"/>
          <w:sz w:val="16"/>
          <w:szCs w:val="16"/>
          <w:color w:val="auto"/>
        </w:rPr>
        <w:t>difficulties in assimilating acquired personnel, operations and technologies or realizing synergies expected in connection with an acquisition, particularly with acquisitions of companies with large and widespread operations, complex products or that operate in markets in which we historically have had limited experience;</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unanticipated costs or liabilities, including possible litigation, associated with the acquisition;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incurrence of acquisition-related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diversion of management’s attention from other business concerns;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resources that are needed in other parts of our business;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substantial portions of our available cash to consummate an acquisition.</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A significant portion of the purchase price of companies we acquire may be allocated to acquired goodwill, which must be assessed for impairment at least annually. If such acquisitions do not yield expected returns, we may be required to take charges to our earnings based on this impairment assessment process, which could harm our results of operations.</w:t>
      </w:r>
    </w:p>
    <w:p>
      <w:pPr>
        <w:spacing w:after="0" w:line="14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be unable to complete acquisitions at all or on commercially reasonable terms, which could limit our future growth. Acquisitions could also result in dilutive issuances of equity securities or the incurrence of additional debt, which could adversely affect our operating results and result in a decline in our stock price and further restrict our ability to pursue business opportunities, including potential acquisitions. In addition, if an acquired business fails to meet our expectations, our operating results may suffer.</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maintain operations outside of the United States and intend to expand our international operations, which exposes us to significant risks.</w:t>
      </w:r>
    </w:p>
    <w:p>
      <w:pPr>
        <w:spacing w:after="0" w:line="17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have limited operations in Europe and Asia. We intend to expand our operations internationally. 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inefficiencies and costs associated with staffing and managing foreign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longer and more difficult customer qualification and credit checks;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greater difficulty collecting accounts receivable and longer payment cycles;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need for various local approvals to operate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compliance with local laws and regulations;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protection for intellectual property rights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sz w:val="20"/>
          <w:szCs w:val="20"/>
          <w:color w:val="auto"/>
        </w:rPr>
      </w:pPr>
    </w:p>
    <w:p>
      <w:pPr>
        <w:ind w:left="580" w:right="600" w:firstLine="29"/>
        <w:spacing w:after="0" w:line="277" w:lineRule="auto"/>
        <w:rPr>
          <w:sz w:val="20"/>
          <w:szCs w:val="20"/>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sz w:val="20"/>
          <w:szCs w:val="20"/>
          <w:color w:val="auto"/>
        </w:rPr>
      </w:pPr>
    </w:p>
    <w:p>
      <w:pPr>
        <w:ind w:left="580" w:right="220" w:firstLine="29"/>
        <w:spacing w:after="0" w:line="277" w:lineRule="auto"/>
        <w:rPr>
          <w:sz w:val="20"/>
          <w:szCs w:val="20"/>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sz w:val="20"/>
          <w:szCs w:val="20"/>
          <w:color w:val="auto"/>
        </w:rPr>
      </w:pPr>
    </w:p>
    <w:p>
      <w:pPr>
        <w:ind w:left="580" w:right="100" w:firstLine="29"/>
        <w:spacing w:after="0" w:line="259" w:lineRule="auto"/>
        <w:rPr>
          <w:sz w:val="20"/>
          <w:szCs w:val="20"/>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new and different sources of competition;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0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Our term loan facility prohibits our ability to, among other things: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dispose of or sell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 or merge with other entities;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 additional indebtedness;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create liens on our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dividends;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make investments;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enter into transactions with affiliates;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These restrictions are subject to certain exceptions. In addition, our existing credit facility requires that we meet certain operating covenants, such as maintaining insurance on the collateral and meeting certain financial covenants, such as a minimum liquidity ratio.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credit facility, which could cause all of the outstanding indebtedness thereunder to either become immediately due and payable or increase by five percent of the interest rate charged during the period of the unremedied breach.</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2017, we had federal net operating loss carryforwards of approximately $100.1 million which will begin to expire in 2028 if not utilized, and state net operating loss carryforwards of approximately $39.3 million which will begin to expire in 2023 if not utilized. The federal NOLs generated prior to 2018 will continue to be governed by the NOL tax rules as they existed prior to the adoption of the new Tax Act, which means that generally they will expire 20 years after they were generated if not used prior thereto. The federal NOLs generated prior to 2018 will continue to be governed by the NOL tax rules as they existed prior to the adoption of the new Tax Act, which means that generally they will expire 20 years after they were generated if not used prior thereto.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 credits could also be impaired under state laws. As a result, we might not be able to utilize a material portion of our state NOLs and tax credits.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enacted tax reform bill could adversely affect our business and financial condition.</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December 22, 2017, President Trump signed into law the Tax Cuts and Jobs Act (2017 Tax Act), which significantly amends the Internal Revenue Code of 1986. The 2017 Tax Act, among other things, reduces the corporate tax rate from a top marginal rate of 35% to a flat rate of 21%, limits the tax deduction for interest expense to 30% of adjusted earnings, eliminates net operating loss carrybacks, imposes a one-time tax on offshore earnings at reduced rates regardless of whether they are repatriated, allows immediate deductions for certain new investments instead of deductions for depreciation expense over time, and modifies or repeals many business deductions and credits. The rate reduction took effect on January 1, 2018.</w:t>
      </w:r>
    </w:p>
    <w:p>
      <w:pPr>
        <w:spacing w:after="0" w:line="16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If we fail to retain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4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hired additional accounting and finance staff members to augment our current staff and to improve the effectiveness of our closing and financial reporting processes. Any inability to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demands of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9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66"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As a result of being a public company, we are required, under Section 404 of the Sarbanes-Oxley Act to furnish a report by management on, among other things, the effectiveness of our internal control over financial reporting. This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and interim financial statements will not be detected or prevented on a timely basis. In connection with the audit of our financial statements as of and for the years ended December 31, 2016 and 2015, we identified material weaknesses in our internal control over financial reporting, as defined in the standards established by the Public Company Accounting Oversight Board of the United States. Although we enhanced our internal controls, processes and related documentation necessary to remediate our material weakness and to perform the evaluation needed to comply with Section 404, and have concluded that we do not currently have any material weaknesses, there can be no assurances that we will not have any material weaknesses in the future.</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auditors are unable to express an opinion on the effectiveness of our internal controls, we could lose investor confidence in the accuracy and completeness of our financial reports, which could cause the price of our common stock to decline.</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issuance of new accounting standards or future interpretations of existing accounting standards could adversely affect our operating results.</w:t>
      </w:r>
    </w:p>
    <w:p>
      <w:pPr>
        <w:spacing w:after="0" w:line="17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prepare our financial statements in accordance with accounting principles generally accepted in the United States of America, or GAAP. A change in those principles could have a significant effect on our reported results and might affect our reporting of transactions completed before a change is announced. GAAP is issued and subject to interpretation by the Financial Accounting Standards Board, the SEC and various other bodies formed to promulgate and interpret accounting principles. A change in these principles or interpretations could have a significant effect on our reported financial results, and could affect the reporting of transactions completed before the announcement of a change. For example, beginning with our first quarter of 2018, we will adopt the new revenue recognition standard, which will change the way we recognize revenue. We do not expect the adoption of the standard to have a material impact on our quarterly and/or annual statement of operations, however the exact impact will be dependent on facts and circumstances that could vary from quarter to quarter. The issuance of new accounting standards or future interpretations of existing accounting standards, or changes in our business practices or estimates, could result in future changes in our revenue recognition or other accounting policies that could have a material adverse effect on our results of operations.</w:t>
      </w:r>
    </w:p>
    <w:p>
      <w:pPr>
        <w:spacing w:after="0" w:line="1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Pursuant to the Dodd-Frank Act, the SEC has adopted requirements for companies that use certain minerals and metals, known as conflict minerals, in their products, whether or not these products are manufactured by third parties. These requirements will require companies to perform diligence and disclose and report whether or not such minerals originate from the Democratic Republic of Congo and adjoining countries. The implementation of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will incur additional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be sustained.</w:t>
      </w:r>
    </w:p>
    <w:p>
      <w:pPr>
        <w:spacing w:after="0" w:line="225"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Prior to the initial public offering of our common stock in October 2016, there was no public market for our common stock. Although our stock is currently traded on the Nasdaq Stock Market, an active trading market may not be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sustained. The lack of an active market may impair the value of your shares and your ability to sell your shares at the time you wish to sell them. An inactive market may also impair our ability to both raise capital by selling shares and acquire other complementary products, technologies or businesses by using our shares as consideration.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 liability claims or other litigation;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earnings estimates or recommendations by securities analysts; and</w:t>
      </w:r>
    </w:p>
    <w:p>
      <w:pPr>
        <w:spacing w:after="0" w:line="23" w:lineRule="exact"/>
        <w:rPr>
          <w:sz w:val="20"/>
          <w:szCs w:val="20"/>
          <w:color w:val="auto"/>
        </w:rPr>
      </w:pPr>
    </w:p>
    <w:p>
      <w:pPr>
        <w:ind w:left="580" w:right="700" w:firstLine="29"/>
        <w:spacing w:after="0" w:line="261" w:lineRule="auto"/>
        <w:rPr>
          <w:sz w:val="20"/>
          <w:szCs w:val="20"/>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8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71" w:lineRule="exact"/>
        <w:rPr>
          <w:sz w:val="20"/>
          <w:szCs w:val="20"/>
          <w:color w:val="auto"/>
        </w:rPr>
      </w:pPr>
    </w:p>
    <w:p>
      <w:pPr>
        <w:ind w:right="440"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7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trading market for our common stock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our company or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spacing w:after="0" w:line="19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47"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8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may remain an “emerging growth company” until as late as December 31, 2021, the fiscal year-end following the fifth anniversary of the completion of our initial public offering, though we may cease to be an “emerging growth company” earlier under certain circumstances, including (1) if the market value of our common stock that is held by nonaffiliates exceeds $700 million as of any June 30, in which case we would cease to be an “emerging growth company” as of the following December 31, or (2) if our gross revenue exceeds $1.07 billion in any fiscal year.</w:t>
      </w:r>
    </w:p>
    <w:p>
      <w:pPr>
        <w:spacing w:after="0" w:line="17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officers, directors and principal stockholders each holding more than 5% of our common stock, collectively, control a significant percentage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93"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39"/>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7" w:lineRule="exact"/>
        <w:rPr>
          <w:sz w:val="20"/>
          <w:szCs w:val="20"/>
          <w:color w:val="auto"/>
        </w:rPr>
      </w:pPr>
    </w:p>
    <w:p>
      <w:pPr>
        <w:ind w:right="19"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2" w:lineRule="exact"/>
        <w:rPr>
          <w:sz w:val="20"/>
          <w:szCs w:val="20"/>
          <w:color w:val="auto"/>
        </w:rPr>
      </w:pPr>
    </w:p>
    <w:p>
      <w:pPr>
        <w:ind w:left="580" w:right="39" w:firstLine="29"/>
        <w:spacing w:after="0" w:line="264" w:lineRule="auto"/>
        <w:rPr>
          <w:sz w:val="20"/>
          <w:szCs w:val="20"/>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1" w:lineRule="exact"/>
        <w:rPr>
          <w:sz w:val="20"/>
          <w:szCs w:val="20"/>
          <w:color w:val="auto"/>
        </w:rPr>
      </w:pPr>
    </w:p>
    <w:p>
      <w:pPr>
        <w:ind w:left="580" w:right="59" w:firstLine="29"/>
        <w:spacing w:after="0" w:line="259" w:lineRule="auto"/>
        <w:rPr>
          <w:sz w:val="20"/>
          <w:szCs w:val="20"/>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187" w:lineRule="exact"/>
        <w:rPr>
          <w:sz w:val="20"/>
          <w:szCs w:val="20"/>
          <w:color w:val="auto"/>
        </w:rPr>
      </w:pPr>
    </w:p>
    <w:p>
      <w:pPr>
        <w:ind w:left="580" w:right="299" w:firstLine="29"/>
        <w:spacing w:after="0" w:line="277" w:lineRule="auto"/>
        <w:rPr>
          <w:sz w:val="20"/>
          <w:szCs w:val="20"/>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170" w:lineRule="exact"/>
        <w:rPr>
          <w:sz w:val="20"/>
          <w:szCs w:val="20"/>
          <w:color w:val="auto"/>
        </w:rPr>
      </w:pPr>
    </w:p>
    <w:p>
      <w:pPr>
        <w:ind w:left="580" w:right="59" w:firstLine="29"/>
        <w:spacing w:after="0" w:line="257" w:lineRule="auto"/>
        <w:rPr>
          <w:sz w:val="20"/>
          <w:szCs w:val="20"/>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removal of directors, special meetings, actions by written consent and cumulative voting and (b) to amend or repeal our bylaws, although our bylaws may be amended by a simple majority vote of our board of directors;</w:t>
      </w:r>
    </w:p>
    <w:p>
      <w:pPr>
        <w:spacing w:after="0" w:line="188" w:lineRule="exact"/>
        <w:rPr>
          <w:sz w:val="20"/>
          <w:szCs w:val="20"/>
          <w:color w:val="auto"/>
        </w:rPr>
      </w:pPr>
    </w:p>
    <w:p>
      <w:pPr>
        <w:ind w:left="580" w:right="99" w:firstLine="29"/>
        <w:spacing w:after="0" w:line="259" w:lineRule="auto"/>
        <w:rPr>
          <w:sz w:val="20"/>
          <w:szCs w:val="20"/>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87" w:lineRule="exact"/>
        <w:rPr>
          <w:sz w:val="20"/>
          <w:szCs w:val="20"/>
          <w:color w:val="auto"/>
        </w:rPr>
      </w:pPr>
    </w:p>
    <w:p>
      <w:pPr>
        <w:jc w:val="both"/>
        <w:ind w:left="580" w:right="39" w:firstLine="29"/>
        <w:spacing w:after="0" w:line="286" w:lineRule="auto"/>
        <w:rPr>
          <w:sz w:val="20"/>
          <w:szCs w:val="20"/>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6" w:lineRule="exact"/>
        <w:rPr>
          <w:sz w:val="20"/>
          <w:szCs w:val="20"/>
          <w:color w:val="auto"/>
        </w:rPr>
      </w:pPr>
    </w:p>
    <w:p>
      <w:pPr>
        <w:ind w:right="99" w:firstLine="324"/>
        <w:spacing w:after="0" w:line="302"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Recent Sales of Unregistered Securities and Use of Proceeds</w:t>
      </w:r>
    </w:p>
    <w:p>
      <w:pPr>
        <w:spacing w:after="0" w:line="225" w:lineRule="exact"/>
        <w:rPr>
          <w:sz w:val="20"/>
          <w:szCs w:val="20"/>
          <w:color w:val="auto"/>
        </w:rPr>
      </w:pPr>
    </w:p>
    <w:p>
      <w:pPr>
        <w:ind w:left="320" w:right="5779" w:hanging="317"/>
        <w:spacing w:after="0" w:line="532" w:lineRule="auto"/>
        <w:tabs>
          <w:tab w:leader="none" w:pos="251" w:val="left"/>
        </w:tabs>
        <w:numPr>
          <w:ilvl w:val="0"/>
          <w:numId w:val="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Recent Sales of Unregistered Securities </w:t>
      </w:r>
      <w:r>
        <w:rPr>
          <w:rFonts w:ascii="Arial" w:cs="Arial" w:eastAsia="Arial" w:hAnsi="Arial"/>
          <w:sz w:val="18"/>
          <w:szCs w:val="18"/>
          <w:color w:val="auto"/>
        </w:rPr>
        <w:t>None.</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Use of Proceeds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Shares of our common stock began trading on the Nasdaq Global Market on October 7, 2016. The shares were registered under the Securities Act on registration statement on Form S-1 (Registration No. 333-213569) declared effective October 7, 2016.</w:t>
      </w:r>
    </w:p>
    <w:p>
      <w:pPr>
        <w:spacing w:after="0" w:line="181"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7, 2016. As of March 31, 2018, we had used all of the proceeds from our IPO.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20" w:type="dxa"/>
            <w:vAlign w:val="bottom"/>
            <w:gridSpan w:val="6"/>
          </w:tcPr>
          <w:p>
            <w:pPr>
              <w:ind w:left="220"/>
              <w:spacing w:after="0"/>
              <w:rPr>
                <w:sz w:val="20"/>
                <w:szCs w:val="20"/>
                <w:color w:val="auto"/>
              </w:rPr>
            </w:pPr>
            <w:r>
              <w:rPr>
                <w:rFonts w:ascii="Arial" w:cs="Arial" w:eastAsia="Arial" w:hAnsi="Arial"/>
                <w:sz w:val="14"/>
                <w:szCs w:val="14"/>
                <w:b w:val="1"/>
                <w:bCs w:val="1"/>
                <w:color w:val="auto"/>
              </w:rPr>
              <w:t>Incorporation By Reference</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12"/>
          </w:tcPr>
          <w:p>
            <w:pPr>
              <w:ind w:left="1060"/>
              <w:spacing w:after="0"/>
              <w:rPr>
                <w:sz w:val="20"/>
                <w:szCs w:val="20"/>
                <w:color w:val="auto"/>
              </w:rPr>
            </w:pPr>
            <w:r>
              <w:rPr>
                <w:rFonts w:ascii="Arial" w:cs="Arial" w:eastAsia="Arial" w:hAnsi="Arial"/>
                <w:sz w:val="14"/>
                <w:szCs w:val="14"/>
                <w:b w:val="1"/>
                <w:bCs w:val="1"/>
                <w:color w:val="auto"/>
              </w:rPr>
              <w:t>Description</w:t>
            </w:r>
          </w:p>
        </w:tc>
        <w:tc>
          <w:tcPr>
            <w:tcW w:w="800" w:type="dxa"/>
            <w:vAlign w:val="bottom"/>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6"/>
                <w:szCs w:val="16"/>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SEC File No.</w:t>
            </w:r>
          </w:p>
        </w:tc>
        <w:tc>
          <w:tcPr>
            <w:tcW w:w="14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40" w:type="dxa"/>
            <w:vAlign w:val="bottom"/>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820" w:type="dxa"/>
            <w:vAlign w:val="bottom"/>
            <w:gridSpan w:val="14"/>
          </w:tcPr>
          <w:p>
            <w:pPr>
              <w:spacing w:after="0"/>
              <w:rPr>
                <w:rFonts w:ascii="Arial" w:cs="Arial" w:eastAsia="Arial" w:hAnsi="Arial"/>
                <w:sz w:val="18"/>
                <w:szCs w:val="18"/>
                <w:color w:val="0000EE"/>
              </w:rPr>
            </w:pPr>
            <w:hyperlink r:id="rId71">
              <w:r>
                <w:rPr>
                  <w:rFonts w:ascii="Arial" w:cs="Arial" w:eastAsia="Arial" w:hAnsi="Arial"/>
                  <w:sz w:val="18"/>
                  <w:szCs w:val="18"/>
                  <w:color w:val="0000EE"/>
                </w:rPr>
                <w:t>Amended and Restated Certificate of Incorporation.</w:t>
              </w:r>
            </w:hyperlink>
          </w:p>
        </w:tc>
        <w:tc>
          <w:tcPr>
            <w:tcW w:w="5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183"/>
        </w:trPr>
        <w:tc>
          <w:tcPr>
            <w:tcW w:w="800" w:type="dxa"/>
            <w:vAlign w:val="bottom"/>
          </w:tcPr>
          <w:p>
            <w:pPr>
              <w:spacing w:after="0" w:line="182"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5"/>
                <w:szCs w:val="15"/>
                <w:color w:val="auto"/>
              </w:rPr>
            </w:pPr>
          </w:p>
        </w:tc>
        <w:tc>
          <w:tcPr>
            <w:tcW w:w="37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72">
              <w:r>
                <w:rPr>
                  <w:rFonts w:ascii="Arial" w:cs="Arial" w:eastAsia="Arial" w:hAnsi="Arial"/>
                  <w:sz w:val="18"/>
                  <w:szCs w:val="18"/>
                  <w:color w:val="0000EE"/>
                </w:rPr>
                <w:t>Bylaws.</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8"/>
                <w:szCs w:val="18"/>
                <w:color w:val="auto"/>
                <w:w w:val="88"/>
              </w:rPr>
              <w:t>333-</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gridSpan w:val="2"/>
          </w:tcPr>
          <w:p>
            <w:pPr>
              <w:jc w:val="center"/>
              <w:ind w:right="140"/>
              <w:spacing w:after="0" w:line="182" w:lineRule="exact"/>
              <w:rPr>
                <w:sz w:val="20"/>
                <w:szCs w:val="20"/>
                <w:color w:val="auto"/>
              </w:rPr>
            </w:pPr>
            <w:r>
              <w:rPr>
                <w:rFonts w:ascii="Arial" w:cs="Arial" w:eastAsia="Arial" w:hAnsi="Arial"/>
                <w:sz w:val="18"/>
                <w:szCs w:val="18"/>
                <w:color w:val="auto"/>
                <w:w w:val="85"/>
              </w:rPr>
              <w:t>S-1</w:t>
            </w:r>
          </w:p>
        </w:tc>
        <w:tc>
          <w:tcPr>
            <w:tcW w:w="840" w:type="dxa"/>
            <w:vAlign w:val="bottom"/>
          </w:tcPr>
          <w:p>
            <w:pPr>
              <w:jc w:val="center"/>
              <w:spacing w:after="0" w:line="182" w:lineRule="exact"/>
              <w:rPr>
                <w:sz w:val="20"/>
                <w:szCs w:val="20"/>
                <w:color w:val="auto"/>
              </w:rPr>
            </w:pPr>
            <w:r>
              <w:rPr>
                <w:rFonts w:ascii="Arial" w:cs="Arial" w:eastAsia="Arial" w:hAnsi="Arial"/>
                <w:sz w:val="18"/>
                <w:szCs w:val="18"/>
                <w:color w:val="auto"/>
                <w:w w:val="89"/>
              </w:rPr>
              <w:t>213569</w:t>
            </w:r>
          </w:p>
        </w:tc>
        <w:tc>
          <w:tcPr>
            <w:tcW w:w="140" w:type="dxa"/>
            <w:vAlign w:val="bottom"/>
          </w:tcPr>
          <w:p>
            <w:pPr>
              <w:spacing w:after="0"/>
              <w:rPr>
                <w:sz w:val="15"/>
                <w:szCs w:val="15"/>
                <w:color w:val="auto"/>
              </w:rPr>
            </w:pPr>
          </w:p>
        </w:tc>
        <w:tc>
          <w:tcPr>
            <w:tcW w:w="660" w:type="dxa"/>
            <w:vAlign w:val="bottom"/>
          </w:tcPr>
          <w:p>
            <w:pPr>
              <w:jc w:val="center"/>
              <w:spacing w:after="0" w:line="182" w:lineRule="exact"/>
              <w:rPr>
                <w:sz w:val="20"/>
                <w:szCs w:val="20"/>
                <w:color w:val="auto"/>
              </w:rPr>
            </w:pPr>
            <w:r>
              <w:rPr>
                <w:rFonts w:ascii="Arial" w:cs="Arial" w:eastAsia="Arial" w:hAnsi="Arial"/>
                <w:sz w:val="18"/>
                <w:szCs w:val="18"/>
                <w:color w:val="auto"/>
                <w:w w:val="87"/>
              </w:rPr>
              <w:t>3.6</w:t>
            </w:r>
          </w:p>
        </w:tc>
        <w:tc>
          <w:tcPr>
            <w:tcW w:w="140" w:type="dxa"/>
            <w:vAlign w:val="bottom"/>
          </w:tcPr>
          <w:p>
            <w:pPr>
              <w:spacing w:after="0"/>
              <w:rPr>
                <w:sz w:val="15"/>
                <w:szCs w:val="15"/>
                <w:color w:val="auto"/>
              </w:rPr>
            </w:pPr>
          </w:p>
        </w:tc>
        <w:tc>
          <w:tcPr>
            <w:tcW w:w="980" w:type="dxa"/>
            <w:vAlign w:val="bottom"/>
          </w:tcPr>
          <w:p>
            <w:pPr>
              <w:jc w:val="center"/>
              <w:spacing w:after="0" w:line="182" w:lineRule="exact"/>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6"/>
                <w:szCs w:val="16"/>
                <w:color w:val="auto"/>
              </w:rPr>
            </w:pPr>
          </w:p>
        </w:tc>
        <w:tc>
          <w:tcPr>
            <w:tcW w:w="4820" w:type="dxa"/>
            <w:vAlign w:val="bottom"/>
            <w:gridSpan w:val="14"/>
          </w:tcPr>
          <w:p>
            <w:pPr>
              <w:spacing w:after="0" w:line="190" w:lineRule="exact"/>
              <w:rPr>
                <w:rFonts w:ascii="Arial" w:cs="Arial" w:eastAsia="Arial" w:hAnsi="Arial"/>
                <w:sz w:val="18"/>
                <w:szCs w:val="18"/>
                <w:color w:val="0000EE"/>
              </w:rPr>
            </w:pPr>
            <w:hyperlink r:id="rId73">
              <w:r>
                <w:rPr>
                  <w:rFonts w:ascii="Arial" w:cs="Arial" w:eastAsia="Arial" w:hAnsi="Arial"/>
                  <w:sz w:val="18"/>
                  <w:szCs w:val="18"/>
                  <w:color w:val="0000EE"/>
                </w:rPr>
                <w:t>Form of Common Stock Certificate of the Company.</w:t>
              </w:r>
            </w:hyperlink>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spacing w:after="0" w:line="190" w:lineRule="exact"/>
              <w:rPr>
                <w:sz w:val="20"/>
                <w:szCs w:val="20"/>
                <w:color w:val="auto"/>
              </w:rPr>
            </w:pPr>
            <w:r>
              <w:rPr>
                <w:rFonts w:ascii="Arial" w:cs="Arial" w:eastAsia="Arial" w:hAnsi="Arial"/>
                <w:sz w:val="18"/>
                <w:szCs w:val="18"/>
                <w:color w:val="auto"/>
                <w:w w:val="88"/>
              </w:rPr>
              <w:t>333-</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0" w:type="dxa"/>
            <w:vAlign w:val="bottom"/>
            <w:vMerge w:val="restart"/>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3800" w:type="dxa"/>
            <w:vAlign w:val="bottom"/>
            <w:tcBorders>
              <w:top w:val="single" w:sz="8" w:color="0000EE"/>
            </w:tcBorders>
            <w:gridSpan w:val="8"/>
            <w:vMerge w:val="restart"/>
          </w:tcPr>
          <w:p>
            <w:pPr>
              <w:spacing w:after="0"/>
              <w:rPr>
                <w:sz w:val="20"/>
                <w:szCs w:val="20"/>
                <w:color w:val="auto"/>
              </w:rPr>
            </w:pPr>
            <w:r>
              <w:rPr>
                <w:rFonts w:ascii="Arial" w:cs="Arial" w:eastAsia="Arial" w:hAnsi="Arial"/>
                <w:sz w:val="18"/>
                <w:szCs w:val="18"/>
                <w:color w:val="auto"/>
              </w:rPr>
              <w:t>Reference is made to Exhibits 3.1 and 3.2.</w:t>
            </w:r>
          </w:p>
        </w:tc>
        <w:tc>
          <w:tcPr>
            <w:tcW w:w="1020" w:type="dxa"/>
            <w:vAlign w:val="bottom"/>
            <w:gridSpan w:val="6"/>
            <w:vMerge w:val="restart"/>
          </w:tcPr>
          <w:p>
            <w:pPr>
              <w:spacing w:after="0"/>
              <w:rPr>
                <w:sz w:val="18"/>
                <w:szCs w:val="18"/>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213569</w:t>
            </w: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202"/>
        </w:trPr>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gridSpan w:val="8"/>
            <w:vMerge w:val="continue"/>
          </w:tcPr>
          <w:p>
            <w:pPr>
              <w:spacing w:after="0"/>
              <w:rPr>
                <w:sz w:val="17"/>
                <w:szCs w:val="17"/>
                <w:color w:val="auto"/>
              </w:rPr>
            </w:pPr>
          </w:p>
        </w:tc>
        <w:tc>
          <w:tcPr>
            <w:tcW w:w="1020" w:type="dxa"/>
            <w:vAlign w:val="bottom"/>
            <w:gridSpan w:val="6"/>
            <w:vMerge w:val="continue"/>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4820" w:type="dxa"/>
            <w:vAlign w:val="bottom"/>
            <w:gridSpan w:val="1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Certification of Principal Executive Officer Pursuant to</w:t>
              </w:r>
            </w:hyperlink>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0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Rules 13a-14(a) and 15d-14(a) under the Securities</w:t>
              </w:r>
            </w:hyperlink>
          </w:p>
        </w:tc>
        <w:tc>
          <w:tcPr>
            <w:tcW w:w="300" w:type="dxa"/>
            <w:vAlign w:val="bottom"/>
            <w:tcBorders>
              <w:top w:val="single" w:sz="8" w:color="0000EE"/>
            </w:tcBorders>
            <w:gridSpan w:val="6"/>
          </w:tcPr>
          <w:p>
            <w:pPr>
              <w:spacing w:after="0"/>
              <w:rPr>
                <w:sz w:val="14"/>
                <w:szCs w:val="14"/>
                <w:color w:val="auto"/>
              </w:rPr>
            </w:pPr>
          </w:p>
        </w:tc>
        <w:tc>
          <w:tcPr>
            <w:tcW w:w="82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20" w:type="dxa"/>
            <w:vAlign w:val="bottom"/>
            <w:gridSpan w:val="14"/>
          </w:tcPr>
          <w:p>
            <w:pPr>
              <w:spacing w:after="0" w:line="170" w:lineRule="exact"/>
              <w:rPr>
                <w:rFonts w:ascii="Arial" w:cs="Arial" w:eastAsia="Arial" w:hAnsi="Arial"/>
                <w:sz w:val="18"/>
                <w:szCs w:val="18"/>
                <w:color w:val="0000EE"/>
              </w:rPr>
            </w:pPr>
            <w:hyperlink w:anchor="page56">
              <w:r>
                <w:rPr>
                  <w:rFonts w:ascii="Arial" w:cs="Arial" w:eastAsia="Arial" w:hAnsi="Arial"/>
                  <w:sz w:val="18"/>
                  <w:szCs w:val="18"/>
                  <w:color w:val="0000EE"/>
                </w:rPr>
                <w:t>Exchange Act of 1934, as Adopted Pursuant to Section</w:t>
              </w:r>
            </w:hyperlink>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4"/>
                <w:szCs w:val="14"/>
                <w:color w:val="auto"/>
              </w:rPr>
            </w:pPr>
          </w:p>
        </w:tc>
        <w:tc>
          <w:tcPr>
            <w:tcW w:w="3980" w:type="dxa"/>
            <w:vAlign w:val="bottom"/>
            <w:tcBorders>
              <w:top w:val="single" w:sz="8" w:color="0000EE"/>
            </w:tcBorders>
            <w:gridSpan w:val="11"/>
          </w:tcPr>
          <w:p>
            <w:pPr>
              <w:spacing w:after="0" w:line="170" w:lineRule="exact"/>
              <w:rPr>
                <w:rFonts w:ascii="Arial" w:cs="Arial" w:eastAsia="Arial" w:hAnsi="Arial"/>
                <w:sz w:val="18"/>
                <w:szCs w:val="18"/>
                <w:color w:val="0000EE"/>
              </w:rPr>
            </w:pPr>
            <w:hyperlink w:anchor="page56">
              <w:r>
                <w:rPr>
                  <w:rFonts w:ascii="Arial" w:cs="Arial" w:eastAsia="Arial" w:hAnsi="Arial"/>
                  <w:sz w:val="18"/>
                  <w:szCs w:val="18"/>
                  <w:color w:val="0000EE"/>
                </w:rPr>
                <w:t>302 of the Sarbanes-Oxley Act of 2002.</w:t>
              </w:r>
            </w:hyperlink>
          </w:p>
        </w:tc>
        <w:tc>
          <w:tcPr>
            <w:tcW w:w="840" w:type="dxa"/>
            <w:vAlign w:val="bottom"/>
            <w:gridSpan w:val="3"/>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20" w:type="dxa"/>
            <w:vAlign w:val="bottom"/>
            <w:gridSpan w:val="14"/>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Certification of Principal Financial Officer Pursuant to</w:t>
              </w:r>
            </w:hyperlink>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0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Rules 13a-14(a) and 15d-14(a) under the Securities</w:t>
              </w:r>
            </w:hyperlink>
          </w:p>
        </w:tc>
        <w:tc>
          <w:tcPr>
            <w:tcW w:w="240" w:type="dxa"/>
            <w:vAlign w:val="bottom"/>
            <w:tcBorders>
              <w:top w:val="single" w:sz="8" w:color="0000EE"/>
            </w:tcBorders>
            <w:gridSpan w:val="4"/>
          </w:tcPr>
          <w:p>
            <w:pPr>
              <w:spacing w:after="0"/>
              <w:rPr>
                <w:sz w:val="14"/>
                <w:szCs w:val="14"/>
                <w:color w:val="auto"/>
              </w:rPr>
            </w:pPr>
          </w:p>
        </w:tc>
        <w:tc>
          <w:tcPr>
            <w:tcW w:w="880" w:type="dxa"/>
            <w:vAlign w:val="bottom"/>
            <w:gridSpan w:val="4"/>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20" w:type="dxa"/>
            <w:vAlign w:val="bottom"/>
            <w:gridSpan w:val="14"/>
          </w:tcPr>
          <w:p>
            <w:pPr>
              <w:spacing w:after="0" w:line="170" w:lineRule="exact"/>
              <w:rPr>
                <w:rFonts w:ascii="Arial" w:cs="Arial" w:eastAsia="Arial" w:hAnsi="Arial"/>
                <w:sz w:val="18"/>
                <w:szCs w:val="18"/>
                <w:color w:val="0000EE"/>
              </w:rPr>
            </w:pPr>
            <w:hyperlink w:anchor="page57">
              <w:r>
                <w:rPr>
                  <w:rFonts w:ascii="Arial" w:cs="Arial" w:eastAsia="Arial" w:hAnsi="Arial"/>
                  <w:sz w:val="18"/>
                  <w:szCs w:val="18"/>
                  <w:color w:val="0000EE"/>
                </w:rPr>
                <w:t>Exchange Act of 1934, as Adopted Pursuant to Section</w:t>
              </w:r>
            </w:hyperlink>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4"/>
                <w:szCs w:val="14"/>
                <w:color w:val="auto"/>
              </w:rPr>
            </w:pPr>
          </w:p>
        </w:tc>
        <w:tc>
          <w:tcPr>
            <w:tcW w:w="3980" w:type="dxa"/>
            <w:vAlign w:val="bottom"/>
            <w:tcBorders>
              <w:top w:val="single" w:sz="8" w:color="0000EE"/>
            </w:tcBorders>
            <w:gridSpan w:val="11"/>
          </w:tcPr>
          <w:p>
            <w:pPr>
              <w:spacing w:after="0" w:line="170" w:lineRule="exact"/>
              <w:rPr>
                <w:rFonts w:ascii="Arial" w:cs="Arial" w:eastAsia="Arial" w:hAnsi="Arial"/>
                <w:sz w:val="18"/>
                <w:szCs w:val="18"/>
                <w:color w:val="0000EE"/>
              </w:rPr>
            </w:pPr>
            <w:hyperlink w:anchor="page57">
              <w:r>
                <w:rPr>
                  <w:rFonts w:ascii="Arial" w:cs="Arial" w:eastAsia="Arial" w:hAnsi="Arial"/>
                  <w:sz w:val="18"/>
                  <w:szCs w:val="18"/>
                  <w:color w:val="0000EE"/>
                </w:rPr>
                <w:t>302 of the Sarbanes-Oxley Act of 2002.</w:t>
              </w:r>
            </w:hyperlink>
          </w:p>
        </w:tc>
        <w:tc>
          <w:tcPr>
            <w:tcW w:w="840" w:type="dxa"/>
            <w:vAlign w:val="bottom"/>
            <w:gridSpan w:val="3"/>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20" w:type="dxa"/>
            <w:vAlign w:val="bottom"/>
            <w:gridSpan w:val="14"/>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Certification of Principal Executive Officer and</w:t>
              </w:r>
            </w:hyperlink>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40" w:type="dxa"/>
            <w:vAlign w:val="bottom"/>
            <w:tcBorders>
              <w:top w:val="single" w:sz="8" w:color="0000EE"/>
              <w:bottom w:val="single" w:sz="8" w:color="0000EE"/>
            </w:tcBorders>
            <w:gridSpan w:val="4"/>
          </w:tcPr>
          <w:p>
            <w:pPr>
              <w:spacing w:after="0" w:line="170"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Principal Financial Officer Pursuant to 18 U.S.C.</w:t>
              </w:r>
            </w:hyperlink>
          </w:p>
        </w:tc>
        <w:tc>
          <w:tcPr>
            <w:tcW w:w="100" w:type="dxa"/>
            <w:vAlign w:val="bottom"/>
            <w:tcBorders>
              <w:bottom w:val="single" w:sz="8" w:color="0000EE"/>
            </w:tcBorders>
          </w:tcPr>
          <w:p>
            <w:pPr>
              <w:spacing w:after="0"/>
              <w:rPr>
                <w:sz w:val="14"/>
                <w:szCs w:val="14"/>
                <w:color w:val="auto"/>
              </w:rPr>
            </w:pPr>
          </w:p>
        </w:tc>
        <w:tc>
          <w:tcPr>
            <w:tcW w:w="280" w:type="dxa"/>
            <w:vAlign w:val="bottom"/>
            <w:gridSpan w:val="4"/>
          </w:tcPr>
          <w:p>
            <w:pPr>
              <w:spacing w:after="0"/>
              <w:rPr>
                <w:sz w:val="14"/>
                <w:szCs w:val="14"/>
                <w:color w:val="auto"/>
              </w:rPr>
            </w:pPr>
          </w:p>
        </w:tc>
        <w:tc>
          <w:tcPr>
            <w:tcW w:w="1000" w:type="dxa"/>
            <w:vAlign w:val="bottom"/>
            <w:gridSpan w:val="5"/>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20" w:type="dxa"/>
            <w:vAlign w:val="bottom"/>
            <w:gridSpan w:val="14"/>
          </w:tcPr>
          <w:p>
            <w:pPr>
              <w:spacing w:after="0" w:line="170" w:lineRule="exact"/>
              <w:rPr>
                <w:rFonts w:ascii="Arial" w:cs="Arial" w:eastAsia="Arial" w:hAnsi="Arial"/>
                <w:sz w:val="18"/>
                <w:szCs w:val="18"/>
                <w:color w:val="0000EE"/>
              </w:rPr>
            </w:pPr>
            <w:hyperlink w:anchor="page58">
              <w:r>
                <w:rPr>
                  <w:rFonts w:ascii="Arial" w:cs="Arial" w:eastAsia="Arial" w:hAnsi="Arial"/>
                  <w:sz w:val="18"/>
                  <w:szCs w:val="18"/>
                  <w:color w:val="0000EE"/>
                </w:rPr>
                <w:t>Section 1350, as Adopted Pursuant to Section 906 of</w:t>
              </w:r>
            </w:hyperlink>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gridSpan w:val="2"/>
            <w:vMerge w:val="restart"/>
          </w:tcPr>
          <w:p>
            <w:pPr>
              <w:spacing w:after="0"/>
              <w:rPr>
                <w:sz w:val="20"/>
                <w:szCs w:val="20"/>
                <w:color w:val="auto"/>
              </w:rPr>
            </w:pPr>
            <w:r>
              <w:rPr>
                <w:rFonts w:ascii="Arial" w:cs="Arial" w:eastAsia="Arial" w:hAnsi="Arial"/>
                <w:sz w:val="18"/>
                <w:szCs w:val="18"/>
                <w:color w:val="auto"/>
              </w:rPr>
              <w:t>101.INS*</w:t>
            </w:r>
          </w:p>
        </w:tc>
        <w:tc>
          <w:tcPr>
            <w:tcW w:w="3820" w:type="dxa"/>
            <w:vAlign w:val="bottom"/>
            <w:tcBorders>
              <w:top w:val="single" w:sz="8" w:color="0000EE"/>
            </w:tcBorders>
            <w:gridSpan w:val="9"/>
          </w:tcPr>
          <w:p>
            <w:pPr>
              <w:spacing w:after="0" w:line="170" w:lineRule="exact"/>
              <w:rPr>
                <w:rFonts w:ascii="Arial" w:cs="Arial" w:eastAsia="Arial" w:hAnsi="Arial"/>
                <w:sz w:val="18"/>
                <w:szCs w:val="18"/>
                <w:color w:val="0000EE"/>
              </w:rPr>
            </w:pPr>
            <w:hyperlink w:anchor="page58">
              <w:r>
                <w:rPr>
                  <w:rFonts w:ascii="Arial" w:cs="Arial" w:eastAsia="Arial" w:hAnsi="Arial"/>
                  <w:sz w:val="18"/>
                  <w:szCs w:val="18"/>
                  <w:color w:val="0000EE"/>
                </w:rPr>
                <w:t>the Sarbanes-Oxley Act of 2002.</w:t>
              </w:r>
            </w:hyperlink>
          </w:p>
        </w:tc>
        <w:tc>
          <w:tcPr>
            <w:tcW w:w="1000" w:type="dxa"/>
            <w:vAlign w:val="bottom"/>
            <w:gridSpan w:val="5"/>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40" w:type="dxa"/>
            <w:vAlign w:val="bottom"/>
            <w:gridSpan w:val="2"/>
            <w:vMerge w:val="continue"/>
          </w:tcPr>
          <w:p>
            <w:pPr>
              <w:spacing w:after="0"/>
              <w:rPr>
                <w:sz w:val="16"/>
                <w:szCs w:val="16"/>
                <w:color w:val="auto"/>
              </w:rPr>
            </w:pPr>
          </w:p>
        </w:tc>
        <w:tc>
          <w:tcPr>
            <w:tcW w:w="2380" w:type="dxa"/>
            <w:vAlign w:val="bottom"/>
            <w:tcBorders>
              <w:top w:val="single" w:sz="8" w:color="0000EE"/>
            </w:tcBorders>
            <w:gridSpan w:val="2"/>
          </w:tcPr>
          <w:p>
            <w:pPr>
              <w:spacing w:after="0" w:line="195" w:lineRule="exact"/>
              <w:rPr>
                <w:sz w:val="20"/>
                <w:szCs w:val="20"/>
                <w:color w:val="auto"/>
              </w:rPr>
            </w:pPr>
            <w:r>
              <w:rPr>
                <w:rFonts w:ascii="Arial" w:cs="Arial" w:eastAsia="Arial" w:hAnsi="Arial"/>
                <w:sz w:val="18"/>
                <w:szCs w:val="18"/>
                <w:color w:val="auto"/>
              </w:rPr>
              <w:t>XBRL Instance Document</w:t>
            </w:r>
          </w:p>
        </w:tc>
        <w:tc>
          <w:tcPr>
            <w:tcW w:w="2440" w:type="dxa"/>
            <w:vAlign w:val="bottom"/>
            <w:gridSpan w:val="12"/>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40" w:type="dxa"/>
            <w:vAlign w:val="bottom"/>
            <w:gridSpan w:val="2"/>
          </w:tcPr>
          <w:p>
            <w:pPr>
              <w:spacing w:after="0" w:line="202" w:lineRule="exact"/>
              <w:rPr>
                <w:sz w:val="20"/>
                <w:szCs w:val="20"/>
                <w:color w:val="auto"/>
              </w:rPr>
            </w:pPr>
            <w:r>
              <w:rPr>
                <w:rFonts w:ascii="Arial" w:cs="Arial" w:eastAsia="Arial" w:hAnsi="Arial"/>
                <w:sz w:val="18"/>
                <w:szCs w:val="18"/>
                <w:color w:val="auto"/>
              </w:rPr>
              <w:t>101.SCH*</w:t>
            </w:r>
          </w:p>
        </w:tc>
        <w:tc>
          <w:tcPr>
            <w:tcW w:w="4820" w:type="dxa"/>
            <w:vAlign w:val="bottom"/>
            <w:gridSpan w:val="14"/>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0" w:type="dxa"/>
            <w:vAlign w:val="bottom"/>
            <w:gridSpan w:val="2"/>
          </w:tcPr>
          <w:p>
            <w:pPr>
              <w:spacing w:after="0" w:line="189" w:lineRule="exact"/>
              <w:rPr>
                <w:sz w:val="20"/>
                <w:szCs w:val="20"/>
                <w:color w:val="auto"/>
              </w:rPr>
            </w:pPr>
            <w:r>
              <w:rPr>
                <w:rFonts w:ascii="Arial" w:cs="Arial" w:eastAsia="Arial" w:hAnsi="Arial"/>
                <w:sz w:val="18"/>
                <w:szCs w:val="18"/>
                <w:color w:val="auto"/>
              </w:rPr>
              <w:t>101.CAL*</w:t>
            </w:r>
          </w:p>
        </w:tc>
        <w:tc>
          <w:tcPr>
            <w:tcW w:w="4820" w:type="dxa"/>
            <w:vAlign w:val="bottom"/>
            <w:gridSpan w:val="14"/>
          </w:tcPr>
          <w:p>
            <w:pPr>
              <w:spacing w:after="0" w:line="189" w:lineRule="exact"/>
              <w:rPr>
                <w:sz w:val="20"/>
                <w:szCs w:val="20"/>
                <w:color w:val="auto"/>
              </w:rPr>
            </w:pPr>
            <w:r>
              <w:rPr>
                <w:rFonts w:ascii="Arial" w:cs="Arial" w:eastAsia="Arial" w:hAnsi="Arial"/>
                <w:sz w:val="18"/>
                <w:szCs w:val="18"/>
                <w:color w:val="auto"/>
              </w:rPr>
              <w:t>XBRL Taxonomy Extension Calculation Linkbase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gridSpan w:val="14"/>
          </w:tcPr>
          <w:p>
            <w:pPr>
              <w:spacing w:after="0" w:line="202" w:lineRule="exact"/>
              <w:rPr>
                <w:sz w:val="20"/>
                <w:szCs w:val="20"/>
                <w:color w:val="auto"/>
              </w:rPr>
            </w:pPr>
            <w:r>
              <w:rPr>
                <w:rFonts w:ascii="Arial" w:cs="Arial" w:eastAsia="Arial" w:hAnsi="Arial"/>
                <w:sz w:val="18"/>
                <w:szCs w:val="18"/>
                <w:color w:val="auto"/>
              </w:rPr>
              <w:t>Document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0" w:type="dxa"/>
            <w:vAlign w:val="bottom"/>
            <w:gridSpan w:val="2"/>
          </w:tcPr>
          <w:p>
            <w:pPr>
              <w:spacing w:after="0" w:line="189" w:lineRule="exact"/>
              <w:rPr>
                <w:sz w:val="20"/>
                <w:szCs w:val="20"/>
                <w:color w:val="auto"/>
              </w:rPr>
            </w:pPr>
            <w:r>
              <w:rPr>
                <w:rFonts w:ascii="Arial" w:cs="Arial" w:eastAsia="Arial" w:hAnsi="Arial"/>
                <w:sz w:val="18"/>
                <w:szCs w:val="18"/>
                <w:color w:val="auto"/>
              </w:rPr>
              <w:t>101.DEF*</w:t>
            </w:r>
          </w:p>
        </w:tc>
        <w:tc>
          <w:tcPr>
            <w:tcW w:w="4820" w:type="dxa"/>
            <w:vAlign w:val="bottom"/>
            <w:gridSpan w:val="14"/>
          </w:tcPr>
          <w:p>
            <w:pPr>
              <w:spacing w:after="0" w:line="189" w:lineRule="exact"/>
              <w:rPr>
                <w:sz w:val="20"/>
                <w:szCs w:val="20"/>
                <w:color w:val="auto"/>
              </w:rPr>
            </w:pPr>
            <w:r>
              <w:rPr>
                <w:rFonts w:ascii="Arial" w:cs="Arial" w:eastAsia="Arial" w:hAnsi="Arial"/>
                <w:sz w:val="18"/>
                <w:szCs w:val="18"/>
                <w:color w:val="auto"/>
              </w:rPr>
              <w:t>XBRL Taxonomy Extension Definition Linkbase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gridSpan w:val="14"/>
          </w:tcPr>
          <w:p>
            <w:pPr>
              <w:spacing w:after="0" w:line="202" w:lineRule="exact"/>
              <w:rPr>
                <w:sz w:val="20"/>
                <w:szCs w:val="20"/>
                <w:color w:val="auto"/>
              </w:rPr>
            </w:pPr>
            <w:r>
              <w:rPr>
                <w:rFonts w:ascii="Arial" w:cs="Arial" w:eastAsia="Arial" w:hAnsi="Arial"/>
                <w:sz w:val="18"/>
                <w:szCs w:val="18"/>
                <w:color w:val="auto"/>
              </w:rPr>
              <w:t>Document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0" w:type="dxa"/>
            <w:vAlign w:val="bottom"/>
            <w:gridSpan w:val="2"/>
          </w:tcPr>
          <w:p>
            <w:pPr>
              <w:spacing w:after="0" w:line="189" w:lineRule="exact"/>
              <w:rPr>
                <w:sz w:val="20"/>
                <w:szCs w:val="20"/>
                <w:color w:val="auto"/>
              </w:rPr>
            </w:pPr>
            <w:r>
              <w:rPr>
                <w:rFonts w:ascii="Arial" w:cs="Arial" w:eastAsia="Arial" w:hAnsi="Arial"/>
                <w:sz w:val="18"/>
                <w:szCs w:val="18"/>
                <w:color w:val="auto"/>
              </w:rPr>
              <w:t>101.LAB*</w:t>
            </w:r>
          </w:p>
        </w:tc>
        <w:tc>
          <w:tcPr>
            <w:tcW w:w="4820" w:type="dxa"/>
            <w:vAlign w:val="bottom"/>
            <w:gridSpan w:val="14"/>
          </w:tcPr>
          <w:p>
            <w:pPr>
              <w:spacing w:after="0" w:line="189" w:lineRule="exact"/>
              <w:rPr>
                <w:sz w:val="20"/>
                <w:szCs w:val="20"/>
                <w:color w:val="auto"/>
              </w:rPr>
            </w:pPr>
            <w:r>
              <w:rPr>
                <w:rFonts w:ascii="Arial" w:cs="Arial" w:eastAsia="Arial" w:hAnsi="Arial"/>
                <w:sz w:val="18"/>
                <w:szCs w:val="18"/>
                <w:color w:val="auto"/>
              </w:rPr>
              <w:t>XBRL Taxonomy Extension Label Linkbase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2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82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2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14408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hanging="317"/>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5780" w:type="dxa"/>
            <w:vAlign w:val="bottom"/>
            <w:gridSpan w:val="2"/>
          </w:tcPr>
          <w:p>
            <w:pPr>
              <w:ind w:left="1940"/>
              <w:spacing w:after="0"/>
              <w:rPr>
                <w:sz w:val="20"/>
                <w:szCs w:val="20"/>
                <w:color w:val="auto"/>
              </w:rPr>
            </w:pPr>
            <w:r>
              <w:rPr>
                <w:rFonts w:ascii="Arial" w:cs="Arial" w:eastAsia="Arial" w:hAnsi="Arial"/>
                <w:sz w:val="18"/>
                <w:szCs w:val="18"/>
                <w:color w:val="auto"/>
              </w:rPr>
              <w:t>Everspin Technologies, Inc.</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Date: May 9, 2018</w:t>
            </w:r>
          </w:p>
        </w:tc>
        <w:tc>
          <w:tcPr>
            <w:tcW w:w="5780" w:type="dxa"/>
            <w:vAlign w:val="bottom"/>
            <w:gridSpan w:val="2"/>
          </w:tcPr>
          <w:p>
            <w:pPr>
              <w:ind w:left="1940"/>
              <w:spacing w:after="0"/>
              <w:rPr>
                <w:sz w:val="20"/>
                <w:szCs w:val="20"/>
                <w:color w:val="auto"/>
              </w:rPr>
            </w:pPr>
            <w:r>
              <w:rPr>
                <w:rFonts w:ascii="Arial" w:cs="Arial" w:eastAsia="Arial" w:hAnsi="Arial"/>
                <w:sz w:val="18"/>
                <w:szCs w:val="18"/>
                <w:color w:val="auto"/>
              </w:rPr>
              <w:t>By: /s/ Kevin Conley</w:t>
            </w:r>
          </w:p>
        </w:tc>
      </w:tr>
      <w:tr>
        <w:trPr>
          <w:trHeight w:val="195"/>
        </w:trPr>
        <w:tc>
          <w:tcPr>
            <w:tcW w:w="3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Conley</w:t>
            </w:r>
          </w:p>
        </w:tc>
      </w:tr>
      <w:tr>
        <w:trPr>
          <w:trHeight w:val="216"/>
        </w:trPr>
        <w:tc>
          <w:tcPr>
            <w:tcW w:w="3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432"/>
        </w:trPr>
        <w:tc>
          <w:tcPr>
            <w:tcW w:w="3280" w:type="dxa"/>
            <w:vAlign w:val="bottom"/>
          </w:tcPr>
          <w:p>
            <w:pPr>
              <w:spacing w:after="0"/>
              <w:rPr>
                <w:sz w:val="24"/>
                <w:szCs w:val="24"/>
                <w:color w:val="auto"/>
              </w:rPr>
            </w:pPr>
          </w:p>
        </w:tc>
        <w:tc>
          <w:tcPr>
            <w:tcW w:w="5780" w:type="dxa"/>
            <w:vAlign w:val="bottom"/>
            <w:gridSpan w:val="2"/>
          </w:tcPr>
          <w:p>
            <w:pPr>
              <w:ind w:left="1940"/>
              <w:spacing w:after="0"/>
              <w:rPr>
                <w:sz w:val="20"/>
                <w:szCs w:val="20"/>
                <w:color w:val="auto"/>
              </w:rPr>
            </w:pPr>
            <w:r>
              <w:rPr>
                <w:rFonts w:ascii="Arial" w:cs="Arial" w:eastAsia="Arial" w:hAnsi="Arial"/>
                <w:sz w:val="18"/>
                <w:szCs w:val="18"/>
                <w:color w:val="auto"/>
              </w:rPr>
              <w:t>Everspin Technologies, Inc.</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Date: May 9, 2018</w:t>
            </w:r>
          </w:p>
        </w:tc>
        <w:tc>
          <w:tcPr>
            <w:tcW w:w="5780" w:type="dxa"/>
            <w:vAlign w:val="bottom"/>
            <w:gridSpan w:val="2"/>
          </w:tcPr>
          <w:p>
            <w:pPr>
              <w:ind w:left="1940"/>
              <w:spacing w:after="0"/>
              <w:rPr>
                <w:sz w:val="20"/>
                <w:szCs w:val="20"/>
                <w:color w:val="auto"/>
              </w:rPr>
            </w:pPr>
            <w:r>
              <w:rPr>
                <w:rFonts w:ascii="Arial" w:cs="Arial" w:eastAsia="Arial" w:hAnsi="Arial"/>
                <w:sz w:val="18"/>
                <w:szCs w:val="18"/>
                <w:color w:val="auto"/>
              </w:rPr>
              <w:t>By: /s/ Jeffrey Winzeler</w:t>
            </w:r>
          </w:p>
        </w:tc>
      </w:tr>
      <w:tr>
        <w:trPr>
          <w:trHeight w:val="195"/>
        </w:trPr>
        <w:tc>
          <w:tcPr>
            <w:tcW w:w="3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Winzeler</w:t>
            </w:r>
          </w:p>
        </w:tc>
      </w:tr>
      <w:tr>
        <w:trPr>
          <w:trHeight w:val="216"/>
        </w:trPr>
        <w:tc>
          <w:tcPr>
            <w:tcW w:w="3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Kevin Conley, certify that:</w:t>
      </w:r>
    </w:p>
    <w:p>
      <w:pPr>
        <w:spacing w:after="0" w:line="144" w:lineRule="exact"/>
        <w:rPr>
          <w:sz w:val="20"/>
          <w:szCs w:val="20"/>
          <w:color w:val="auto"/>
        </w:rPr>
      </w:pPr>
    </w:p>
    <w:p>
      <w:pPr>
        <w:ind w:left="320" w:hanging="317"/>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380" w:right="240" w:hanging="377"/>
        <w:spacing w:after="0" w:line="23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320" w:firstLine="7"/>
        <w:spacing w:after="0" w:line="219" w:lineRule="auto"/>
        <w:tabs>
          <w:tab w:leader="none" w:pos="572"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320" w:firstLine="7"/>
        <w:spacing w:after="0" w:line="259" w:lineRule="auto"/>
        <w:tabs>
          <w:tab w:leader="none" w:pos="58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320" w:firstLine="7"/>
        <w:spacing w:after="0" w:line="224" w:lineRule="auto"/>
        <w:tabs>
          <w:tab w:leader="none" w:pos="59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320" w:firstLine="7"/>
        <w:spacing w:after="0" w:line="219" w:lineRule="auto"/>
        <w:tabs>
          <w:tab w:leader="none" w:pos="589"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320" w:firstLine="7"/>
        <w:spacing w:after="0" w:line="224" w:lineRule="auto"/>
        <w:tabs>
          <w:tab w:leader="none" w:pos="593"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320" w:firstLine="7"/>
        <w:spacing w:after="0" w:line="235" w:lineRule="auto"/>
        <w:tabs>
          <w:tab w:leader="none" w:pos="58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Kevin Conley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-121920</wp:posOffset>
            </wp:positionV>
            <wp:extent cx="25387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Jeffrey Winzeler, certify that:</w:t>
      </w:r>
    </w:p>
    <w:p>
      <w:pPr>
        <w:spacing w:after="0" w:line="144" w:lineRule="exact"/>
        <w:rPr>
          <w:sz w:val="20"/>
          <w:szCs w:val="20"/>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ind w:left="660" w:right="380" w:hanging="333"/>
        <w:spacing w:after="0" w:line="22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80" w:hanging="333"/>
        <w:spacing w:after="0" w:line="22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hanging="333"/>
        <w:spacing w:after="0" w:line="23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980" w:hanging="329"/>
        <w:spacing w:after="0" w:line="219"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980" w:hanging="329"/>
        <w:spacing w:after="0" w:line="219"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980" w:hanging="329"/>
        <w:spacing w:after="0" w:line="22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980" w:hanging="329"/>
        <w:spacing w:after="0" w:line="219"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660" w:right="80" w:hanging="333"/>
        <w:spacing w:after="0" w:line="22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980" w:hanging="329"/>
        <w:spacing w:after="0" w:line="22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980" w:hanging="329"/>
        <w:spacing w:after="0" w:line="235"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Jeffrey Winzeler</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-121920</wp:posOffset>
            </wp:positionV>
            <wp:extent cx="23926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89"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Kevin Conley, President and Chief Executive Officer of Everspin Technologies, Inc. (the “Company”), and Jeffrey Winzeler, Chief Financial Officer of the Company, each hereby certifies that, to the best of his knowledge:</w:t>
      </w:r>
    </w:p>
    <w:p>
      <w:pPr>
        <w:spacing w:after="0" w:line="163" w:lineRule="exact"/>
        <w:rPr>
          <w:sz w:val="20"/>
          <w:szCs w:val="20"/>
          <w:color w:val="auto"/>
        </w:rPr>
      </w:pPr>
    </w:p>
    <w:p>
      <w:pPr>
        <w:ind w:right="240" w:firstLine="3"/>
        <w:spacing w:after="0" w:line="22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2018, to which this Certification is attached as Exhibit 32.1 (the “Periodic Report”), fully complies with the requirements of Section 13(a) or Section 15(d) of the Exchange Act; and</w:t>
      </w:r>
    </w:p>
    <w:p>
      <w:pPr>
        <w:spacing w:after="0" w:line="163" w:lineRule="exact"/>
        <w:rPr>
          <w:rFonts w:ascii="Arial" w:cs="Arial" w:eastAsia="Arial" w:hAnsi="Arial"/>
          <w:sz w:val="18"/>
          <w:szCs w:val="18"/>
          <w:color w:val="auto"/>
        </w:rPr>
      </w:pPr>
    </w:p>
    <w:p>
      <w:pPr>
        <w:ind w:right="20" w:firstLine="3"/>
        <w:spacing w:after="0" w:line="235"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5754370" cy="857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754370" cy="857885"/>
                    </a:xfrm>
                    <a:prstGeom prst="rect">
                      <a:avLst/>
                    </a:prstGeom>
                    <a:noFill/>
                  </pic:spPr>
                </pic:pic>
              </a:graphicData>
            </a:graphic>
          </wp:anchor>
        </w:drawing>
      </w:r>
    </w:p>
    <w:p>
      <w:pPr>
        <w:ind w:left="5440"/>
        <w:spacing w:after="0" w:line="232" w:lineRule="auto"/>
        <w:rPr>
          <w:sz w:val="20"/>
          <w:szCs w:val="20"/>
          <w:color w:val="auto"/>
        </w:rPr>
      </w:pPr>
      <w:r>
        <w:rPr>
          <w:rFonts w:ascii="Arial" w:cs="Arial" w:eastAsia="Arial" w:hAnsi="Arial"/>
          <w:sz w:val="18"/>
          <w:szCs w:val="18"/>
          <w:color w:val="auto"/>
        </w:rPr>
        <w:t>Kevin Conley</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(Principal Executive Officer)</w:t>
      </w:r>
    </w:p>
    <w:p>
      <w:pPr>
        <w:spacing w:after="0" w:line="15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Jeffrey Winzeler</w:t>
      </w:r>
    </w:p>
    <w:p>
      <w:pPr>
        <w:ind w:left="5440"/>
        <w:spacing w:after="0" w:line="232" w:lineRule="auto"/>
        <w:rPr>
          <w:sz w:val="20"/>
          <w:szCs w:val="20"/>
          <w:color w:val="auto"/>
        </w:rPr>
      </w:pPr>
      <w:r>
        <w:rPr>
          <w:rFonts w:ascii="Arial" w:cs="Arial" w:eastAsia="Arial" w:hAnsi="Arial"/>
          <w:sz w:val="18"/>
          <w:szCs w:val="18"/>
          <w:color w:val="auto"/>
        </w:rPr>
        <w:t>Jeffrey Winzeler</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(Principal Financial Officer)</w:t>
      </w:r>
    </w:p>
    <w:p>
      <w:pPr>
        <w:spacing w:after="0" w:line="142"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71" Type="http://schemas.openxmlformats.org/officeDocument/2006/relationships/hyperlink" Target="http://www.sec.gov/Archives/edgar/data/1438423/000119312516737688/d271840dex31.htm" TargetMode="External"/><Relationship Id="rId72" Type="http://schemas.openxmlformats.org/officeDocument/2006/relationships/hyperlink" Target="http://www.sec.gov/Archives/edgar/data/1438423/000119312516706479/d180963dex36.htm" TargetMode="External"/><Relationship Id="rId73" Type="http://schemas.openxmlformats.org/officeDocument/2006/relationships/hyperlink" Target="http://www.sec.gov/Archives/edgar/data/1438423/000119312516706479/d18096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2019-12-28T22:45:39Z</dcterms:created>
  <dcterms:modified xsi:type="dcterms:W3CDTF">2019-12-28T22:45:39Z</dcterms:modified>
</cp:coreProperties>
</file>