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-228600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2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96520</wp:posOffset>
            </wp:positionV>
            <wp:extent cx="156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1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30" w:right="180" w:hanging="430"/>
        <w:spacing w:after="0" w:line="237" w:lineRule="auto"/>
        <w:tabs>
          <w:tab w:leader="none" w:pos="43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8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30" w:right="180" w:hanging="430"/>
        <w:spacing w:after="0" w:line="262" w:lineRule="auto"/>
        <w:tabs>
          <w:tab w:leader="none" w:pos="43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270"/>
        <w:spacing w:after="0"/>
        <w:tabs>
          <w:tab w:leader="none" w:pos="621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-5080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64770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9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58"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2"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16"/>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6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04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9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5670 W. Chandler Boulevard, Suite 130</w:t>
      </w:r>
    </w:p>
    <w:p>
      <w:pPr>
        <w:spacing w:after="0" w:line="31"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ind w:left="255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88265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03" w:lineRule="exact"/>
        <w:rPr>
          <w:sz w:val="24"/>
          <w:szCs w:val="24"/>
          <w:color w:val="auto"/>
        </w:rPr>
      </w:pPr>
    </w:p>
    <w:p>
      <w:pPr>
        <w:jc w:val="both"/>
        <w:ind w:left="1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right="1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77"/>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60"/>
              <w:spacing w:after="0" w:line="177"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line="177" w:lineRule="exact"/>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77"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6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9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3"/>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4"/>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93"/>
        </w:trPr>
        <w:tc>
          <w:tcPr>
            <w:tcW w:w="948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April 30, 2024, was 21,521,155.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608965</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94615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50"/>
          </w:cols>
          <w:pgMar w:left="830" w:top="661" w:right="81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40" w:type="dxa"/>
            <w:vAlign w:val="bottom"/>
            <w:gridSpan w:val="14"/>
            <w:vMerge w:val="restart"/>
          </w:tcPr>
          <w:p>
            <w:pPr>
              <w:jc w:val="center"/>
              <w:ind w:right="2180"/>
              <w:spacing w:after="0"/>
              <w:rPr>
                <w:sz w:val="20"/>
                <w:szCs w:val="20"/>
                <w:color w:val="auto"/>
              </w:rPr>
            </w:pPr>
            <w:r>
              <w:rPr>
                <w:rFonts w:ascii="Times New Roman" w:cs="Times New Roman" w:eastAsia="Times New Roman" w:hAnsi="Times New Roman"/>
                <w:sz w:val="18"/>
                <w:szCs w:val="18"/>
                <w:b w:val="1"/>
                <w:bCs w:val="1"/>
                <w:color w:val="0000EE"/>
                <w:w w:val="99"/>
              </w:rPr>
              <w:t>PART I—FINANCIAL INFORMATION</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8"/>
              </w:rPr>
              <w:t>Condensed Balance Sheets as of March 31, 2024 (unaudited) and December 31, 2023</w:t>
            </w:r>
          </w:p>
        </w:tc>
        <w:tc>
          <w:tcPr>
            <w:tcW w:w="102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Statements of Operations and Comprehensive (Loss) Income for the three months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2024 and 2023 (unaudited)</w:t>
            </w:r>
          </w:p>
        </w:tc>
        <w:tc>
          <w:tcPr>
            <w:tcW w:w="3280" w:type="dxa"/>
            <w:vAlign w:val="bottom"/>
            <w:tcBorders>
              <w:top w:val="single" w:sz="8" w:color="0000EE"/>
            </w:tcBorders>
            <w:gridSpan w:val="9"/>
          </w:tcPr>
          <w:p>
            <w:pPr>
              <w:spacing w:after="0"/>
              <w:rPr>
                <w:sz w:val="17"/>
                <w:szCs w:val="17"/>
                <w:color w:val="auto"/>
              </w:rPr>
            </w:pPr>
          </w:p>
        </w:tc>
        <w:tc>
          <w:tcPr>
            <w:tcW w:w="46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Condensed Statements of Stockholders’ Equity for the three months ended March 31, 2024 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2023 (unaudited)</w:t>
            </w:r>
          </w:p>
        </w:tc>
        <w:tc>
          <w:tcPr>
            <w:tcW w:w="57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Condensed Statements of Cash Flows for the three months ended March 31, 2024 and 2023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5520" w:type="dxa"/>
            <w:vAlign w:val="bottom"/>
            <w:tcBorders>
              <w:top w:val="single" w:sz="8" w:color="0000EE"/>
            </w:tcBorders>
            <w:gridSpan w:val="15"/>
          </w:tcPr>
          <w:p>
            <w:pPr>
              <w:spacing w:after="0"/>
              <w:rPr>
                <w:sz w:val="17"/>
                <w:szCs w:val="17"/>
                <w:color w:val="auto"/>
              </w:rPr>
            </w:pPr>
          </w:p>
        </w:tc>
        <w:tc>
          <w:tcPr>
            <w:tcW w:w="60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Notes to Condensed Financial Statements (unaudited)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8"/>
                <w:szCs w:val="18"/>
                <w:color w:val="auto"/>
              </w:rPr>
            </w:pPr>
          </w:p>
        </w:tc>
        <w:tc>
          <w:tcPr>
            <w:tcW w:w="104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4.</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EE"/>
                <w:w w:val="98"/>
              </w:rPr>
              <w:t>PART II—OTHER INFORMATION</w:t>
            </w:r>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766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0000EE"/>
              </w:rPr>
              <w:t>Risk Factors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EXHIBIT INDEX</w:t>
            </w:r>
          </w:p>
        </w:tc>
        <w:tc>
          <w:tcPr>
            <w:tcW w:w="712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846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09"/>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r>
      <w:tr>
        <w:trPr>
          <w:trHeight w:val="216"/>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0"/>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13,382</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March 31, 2024 and December 31, 2023, respectively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100,000,000 shares authorized;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21,406,511 and 21,080,472 shares issued and outstanding as of March 31, 2024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191,569</w:t>
            </w: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(137,852)</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(137,650)</w:t>
            </w:r>
          </w:p>
        </w:tc>
      </w:tr>
      <w:tr>
        <w:trPr>
          <w:trHeight w:val="209"/>
        </w:trPr>
        <w:tc>
          <w:tcPr>
            <w:tcW w:w="6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53,921</w:t>
            </w:r>
          </w:p>
        </w:tc>
      </w:tr>
      <w:tr>
        <w:trPr>
          <w:trHeight w:val="21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67,303</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 and 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21,252,359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20,832,074</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Operating expenses include stock-based compensation as follows: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6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64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21,080,472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191,569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(137,650)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53,921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96,116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229,923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21,406,511</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193,636</w:t>
            </w: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(137,852)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55,786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60" w:type="dxa"/>
            <w:vAlign w:val="bottom"/>
          </w:tcPr>
          <w:p>
            <w:pPr>
              <w:spacing w:after="0"/>
              <w:rPr>
                <w:sz w:val="10"/>
                <w:szCs w:val="10"/>
                <w:color w:val="auto"/>
              </w:rPr>
            </w:pPr>
          </w:p>
        </w:tc>
        <w:tc>
          <w:tcPr>
            <w:tcW w:w="164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ind w:right="9"/>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1640" w:type="dxa"/>
            <w:vAlign w:val="bottom"/>
            <w:tcBorders>
              <w:bottom w:val="single" w:sz="8" w:color="auto"/>
            </w:tcBorders>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86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9"/>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20,374,288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185,364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(146,702)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20,534,744</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186,537</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(145,941)</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40,598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840" w:type="dxa"/>
            <w:vAlign w:val="bottom"/>
            <w:tcBorders>
              <w:bottom w:val="single" w:sz="8" w:color="auto"/>
            </w:tcBorders>
            <w:gridSpan w:val="6"/>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 income</w:t>
            </w:r>
          </w:p>
        </w:tc>
        <w:tc>
          <w:tcPr>
            <w:tcW w:w="800" w:type="dxa"/>
            <w:vAlign w:val="bottom"/>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(202)</w:t>
            </w:r>
          </w:p>
        </w:tc>
        <w:tc>
          <w:tcPr>
            <w:tcW w:w="42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761</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income to net cash provided by operating activities: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1,160</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Loss on prepayment and termination of credit facility</w:t>
            </w:r>
          </w:p>
        </w:tc>
        <w:tc>
          <w:tcPr>
            <w:tcW w:w="80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170</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warrant revaluation</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80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0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(1,524)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404</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8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119</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w:t>
            </w:r>
          </w:p>
        </w:tc>
        <w:tc>
          <w:tcPr>
            <w:tcW w:w="0" w:type="dxa"/>
            <w:vAlign w:val="bottom"/>
          </w:tcPr>
          <w:p>
            <w:pPr>
              <w:spacing w:after="0"/>
              <w:rPr>
                <w:sz w:val="1"/>
                <w:szCs w:val="1"/>
                <w:color w:val="auto"/>
              </w:rPr>
            </w:pPr>
          </w:p>
        </w:tc>
      </w:tr>
      <w:tr>
        <w:trPr>
          <w:trHeight w:val="162"/>
        </w:trPr>
        <w:tc>
          <w:tcPr>
            <w:tcW w:w="6080" w:type="dxa"/>
            <w:vAlign w:val="bottom"/>
          </w:tcPr>
          <w:p>
            <w:pPr>
              <w:ind w:left="12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800" w:type="dxa"/>
            <w:vAlign w:val="bottom"/>
          </w:tcPr>
          <w:p>
            <w:pPr>
              <w:spacing w:after="0"/>
              <w:rPr>
                <w:sz w:val="14"/>
                <w:szCs w:val="14"/>
                <w:color w:val="auto"/>
              </w:rPr>
            </w:pPr>
          </w:p>
        </w:tc>
        <w:tc>
          <w:tcPr>
            <w:tcW w:w="6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(2,266)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(1,457)</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(255)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ind w:left="120"/>
              <w:spacing w:after="0" w:line="162" w:lineRule="exact"/>
              <w:rPr>
                <w:sz w:val="20"/>
                <w:szCs w:val="20"/>
                <w:color w:val="auto"/>
              </w:rPr>
            </w:pPr>
            <w:r>
              <w:rPr>
                <w:rFonts w:ascii="Times New Roman" w:cs="Times New Roman" w:eastAsia="Times New Roman" w:hAnsi="Times New Roman"/>
                <w:sz w:val="15"/>
                <w:szCs w:val="15"/>
                <w:color w:val="auto"/>
              </w:rPr>
              <w:t>Lease liabilities, net</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provided by operating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(1,293)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1,204</w:t>
            </w: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(1,205)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(1,011)</w:t>
            </w: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8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(1,205)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(1,011)</w:t>
            </w:r>
          </w:p>
        </w:tc>
        <w:tc>
          <w:tcPr>
            <w:tcW w:w="0" w:type="dxa"/>
            <w:vAlign w:val="bottom"/>
          </w:tcPr>
          <w:p>
            <w:pPr>
              <w:spacing w:after="0"/>
              <w:rPr>
                <w:sz w:val="1"/>
                <w:szCs w:val="1"/>
                <w:color w:val="auto"/>
              </w:rPr>
            </w:pPr>
          </w:p>
        </w:tc>
      </w:tr>
      <w:tr>
        <w:trPr>
          <w:trHeight w:val="156"/>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Payments on long-term debt</w:t>
            </w:r>
          </w:p>
        </w:tc>
        <w:tc>
          <w:tcPr>
            <w:tcW w:w="800" w:type="dxa"/>
            <w:vAlign w:val="bottom"/>
          </w:tcPr>
          <w:p>
            <w:pPr>
              <w:spacing w:after="0"/>
              <w:rPr>
                <w:sz w:val="14"/>
                <w:szCs w:val="14"/>
                <w:color w:val="auto"/>
              </w:rPr>
            </w:pPr>
          </w:p>
        </w:tc>
        <w:tc>
          <w:tcPr>
            <w:tcW w:w="6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(2,790)</w:t>
            </w: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353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tcPr>
          <w:p>
            <w:pPr>
              <w:ind w:left="120"/>
              <w:spacing w:after="0" w:line="156" w:lineRule="exact"/>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353</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(2,777)</w:t>
            </w:r>
          </w:p>
        </w:tc>
        <w:tc>
          <w:tcPr>
            <w:tcW w:w="0" w:type="dxa"/>
            <w:vAlign w:val="bottom"/>
          </w:tcPr>
          <w:p>
            <w:pPr>
              <w:spacing w:after="0"/>
              <w:rPr>
                <w:sz w:val="1"/>
                <w:szCs w:val="1"/>
                <w:color w:val="auto"/>
              </w:rPr>
            </w:pPr>
          </w:p>
        </w:tc>
      </w:tr>
      <w:tr>
        <w:trPr>
          <w:trHeight w:val="155"/>
        </w:trPr>
        <w:tc>
          <w:tcPr>
            <w:tcW w:w="6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8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(2,145)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(2,584)</w:t>
            </w:r>
          </w:p>
        </w:tc>
        <w:tc>
          <w:tcPr>
            <w:tcW w:w="0" w:type="dxa"/>
            <w:vAlign w:val="bottom"/>
          </w:tcPr>
          <w:p>
            <w:pPr>
              <w:spacing w:after="0"/>
              <w:rPr>
                <w:sz w:val="1"/>
                <w:szCs w:val="1"/>
                <w:color w:val="auto"/>
              </w:rPr>
            </w:pPr>
          </w:p>
        </w:tc>
      </w:tr>
      <w:tr>
        <w:trPr>
          <w:trHeight w:val="162"/>
        </w:trPr>
        <w:tc>
          <w:tcPr>
            <w:tcW w:w="6080" w:type="dxa"/>
            <w:vAlign w:val="bottom"/>
            <w:tcBorders>
              <w:bottom w:val="single" w:sz="8" w:color="CCEEFF"/>
            </w:tcBorders>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36,946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26,795</w:t>
            </w:r>
          </w:p>
        </w:tc>
        <w:tc>
          <w:tcPr>
            <w:tcW w:w="0" w:type="dxa"/>
            <w:vAlign w:val="bottom"/>
          </w:tcPr>
          <w:p>
            <w:pPr>
              <w:spacing w:after="0"/>
              <w:rPr>
                <w:sz w:val="1"/>
                <w:szCs w:val="1"/>
                <w:color w:val="auto"/>
              </w:rPr>
            </w:pPr>
          </w:p>
        </w:tc>
      </w:tr>
      <w:tr>
        <w:trPr>
          <w:trHeight w:val="155"/>
        </w:trPr>
        <w:tc>
          <w:tcPr>
            <w:tcW w:w="608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00" w:type="dxa"/>
            <w:vAlign w:val="bottom"/>
            <w:tcBorders>
              <w:bottom w:val="single" w:sz="8" w:color="auto"/>
            </w:tcBorders>
            <w:shd w:val="clear" w:color="auto" w:fill="CCEEFF"/>
          </w:tcPr>
          <w:p>
            <w:pPr>
              <w:jc w:val="right"/>
              <w:ind w:right="645"/>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34,801</w:t>
            </w: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24,211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Interest paid</w:t>
            </w:r>
          </w:p>
        </w:tc>
        <w:tc>
          <w:tcPr>
            <w:tcW w:w="800" w:type="dxa"/>
            <w:vAlign w:val="bottom"/>
            <w:shd w:val="clear" w:color="auto" w:fill="CCEEFF"/>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8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349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143"/>
        </w:trPr>
        <w:tc>
          <w:tcPr>
            <w:tcW w:w="608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800" w:type="dxa"/>
            <w:vAlign w:val="bottom"/>
            <w:tcBorders>
              <w:bottom w:val="single" w:sz="8" w:color="auto"/>
            </w:tcBorders>
            <w:shd w:val="clear" w:color="auto" w:fill="CCEEFF"/>
          </w:tcPr>
          <w:p>
            <w:pPr>
              <w:jc w:val="right"/>
              <w:ind w:right="645"/>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Right-of-use assets obtained in exchange for finance lease liabilities</w:t>
            </w:r>
          </w:p>
        </w:tc>
        <w:tc>
          <w:tcPr>
            <w:tcW w:w="800" w:type="dxa"/>
            <w:vAlign w:val="bottom"/>
            <w:shd w:val="clear" w:color="auto" w:fill="CCEEFF"/>
          </w:tcPr>
          <w:p>
            <w:pPr>
              <w:jc w:val="right"/>
              <w:ind w:right="645"/>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297</w:t>
            </w:r>
          </w:p>
        </w:tc>
        <w:tc>
          <w:tcPr>
            <w:tcW w:w="1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key markets, such as industrial, medical, automotive/transportation, aerospace and data center markets to design high performance, power efficient and reliable systems without the need for bulky batteries or capacitors.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2023,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w:t>
      </w:r>
    </w:p>
    <w:p>
      <w:pPr>
        <w:spacing w:after="0" w:line="6" w:lineRule="exact"/>
        <w:rPr>
          <w:sz w:val="20"/>
          <w:szCs w:val="20"/>
          <w:color w:val="auto"/>
        </w:rPr>
      </w:pPr>
    </w:p>
    <w:p>
      <w:pPr>
        <w:ind w:left="40" w:right="279"/>
        <w:spacing w:after="0" w:line="260" w:lineRule="auto"/>
        <w:rPr>
          <w:sz w:val="20"/>
          <w:szCs w:val="20"/>
          <w:color w:val="auto"/>
        </w:rPr>
      </w:pPr>
      <w:r>
        <w:rPr>
          <w:rFonts w:ascii="Times New Roman" w:cs="Times New Roman" w:eastAsia="Times New Roman" w:hAnsi="Times New Roman"/>
          <w:sz w:val="18"/>
          <w:szCs w:val="18"/>
          <w:color w:val="auto"/>
        </w:rPr>
        <w:t>March 31, 2024, are not necessarily indicative of the results to be expected for the year ending December 31, 2024 or for any other interim period or for any other future year.</w:t>
      </w:r>
    </w:p>
    <w:p>
      <w:pPr>
        <w:spacing w:after="0" w:line="181" w:lineRule="exact"/>
        <w:rPr>
          <w:sz w:val="20"/>
          <w:szCs w:val="20"/>
          <w:color w:val="auto"/>
        </w:rPr>
      </w:pPr>
    </w:p>
    <w:p>
      <w:pPr>
        <w:ind w:left="40" w:right="299"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2023, included in the Company’s Annual Report on Form 10-K filed with the SEC.</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40" w:right="13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11,489</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158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142"/>
        </w:trPr>
        <w:tc>
          <w:tcPr>
            <w:tcW w:w="3560" w:type="dxa"/>
            <w:vAlign w:val="bottom"/>
          </w:tcPr>
          <w:p>
            <w:pPr>
              <w:spacing w:after="0"/>
              <w:rPr>
                <w:sz w:val="12"/>
                <w:szCs w:val="12"/>
                <w:color w:val="auto"/>
              </w:rPr>
            </w:pPr>
          </w:p>
        </w:tc>
        <w:tc>
          <w:tcPr>
            <w:tcW w:w="2540" w:type="dxa"/>
            <w:vAlign w:val="bottom"/>
            <w:tcBorders>
              <w:top w:val="single" w:sz="8" w:color="auto"/>
              <w:bottom w:val="single" w:sz="8" w:color="auto"/>
            </w:tcBorders>
            <w:gridSpan w:val="5"/>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2"/>
                <w:szCs w:val="12"/>
                <w:color w:val="auto"/>
              </w:rPr>
            </w:pPr>
          </w:p>
        </w:tc>
        <w:tc>
          <w:tcPr>
            <w:tcW w:w="128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r>
      <w:tr>
        <w:trPr>
          <w:trHeight w:val="142"/>
        </w:trPr>
        <w:tc>
          <w:tcPr>
            <w:tcW w:w="3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Customers</w:t>
            </w:r>
          </w:p>
        </w:tc>
        <w:tc>
          <w:tcPr>
            <w:tcW w:w="104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21 %</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22 %</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3030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59" w:lineRule="exact"/>
        <w:rPr>
          <w:sz w:val="20"/>
          <w:szCs w:val="20"/>
          <w:color w:val="auto"/>
        </w:rPr>
      </w:pPr>
    </w:p>
    <w:p>
      <w:pPr>
        <w:ind w:left="360" w:hanging="316"/>
        <w:spacing w:after="0"/>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162" w:lineRule="exact"/>
        <w:rPr>
          <w:sz w:val="20"/>
          <w:szCs w:val="20"/>
          <w:color w:val="auto"/>
        </w:rPr>
      </w:pPr>
    </w:p>
    <w:p>
      <w:pPr>
        <w:ind w:left="360" w:right="339"/>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162"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sets forth the fair value of the Company’s financial assets and liabilities measured at fair value on a recurring basis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7"/>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42"/>
        </w:trPr>
        <w:tc>
          <w:tcPr>
            <w:tcW w:w="28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w:t>
            </w:r>
          </w:p>
        </w:tc>
        <w:tc>
          <w:tcPr>
            <w:tcW w:w="20" w:type="dxa"/>
            <w:vAlign w:val="bottom"/>
          </w:tcPr>
          <w:p>
            <w:pPr>
              <w:spacing w:after="0"/>
              <w:rPr>
                <w:sz w:val="18"/>
                <w:szCs w:val="18"/>
                <w:color w:val="auto"/>
              </w:rPr>
            </w:pPr>
          </w:p>
        </w:tc>
        <w:tc>
          <w:tcPr>
            <w:tcW w:w="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34,817</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34,817</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574"/>
        </w:trPr>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2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10"/>
        </w:trPr>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36,946</w:t>
            </w:r>
          </w:p>
        </w:tc>
      </w:tr>
      <w:tr>
        <w:trPr>
          <w:trHeight w:val="20"/>
        </w:trPr>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40" w:right="159" w:firstLine="324"/>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improve an entity’s income tax disclosures, primarily through disaggregated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an entity’s effective income tax rate reconciliation and additional disclosures regarding income taxes paid. ASU 2023-09 is effective for the Company’s annual reporting periods, and interim periods within those years, beginning after December 15, 2024, on a prospective basis. The Company is currently evaluating the impact that the standard will have on its condensed financial statements.</w:t>
      </w:r>
    </w:p>
    <w:p>
      <w:pPr>
        <w:spacing w:after="0" w:line="184" w:lineRule="exact"/>
        <w:rPr>
          <w:sz w:val="20"/>
          <w:szCs w:val="20"/>
          <w:color w:val="auto"/>
        </w:rPr>
      </w:pPr>
    </w:p>
    <w:p>
      <w:pPr>
        <w:ind w:left="40" w:right="219"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The Company </w:t>
      </w:r>
      <w:r>
        <w:rPr>
          <w:rFonts w:ascii="Times New Roman" w:cs="Times New Roman" w:eastAsia="Times New Roman" w:hAnsi="Times New Roman"/>
          <w:sz w:val="18"/>
          <w:szCs w:val="18"/>
          <w:color w:val="000000"/>
        </w:rPr>
        <w:t>reviewed</w:t>
      </w:r>
      <w:r>
        <w:rPr>
          <w:rFonts w:ascii="Times New Roman" w:cs="Times New Roman" w:eastAsia="Times New Roman" w:hAnsi="Times New Roman"/>
          <w:sz w:val="18"/>
          <w:szCs w:val="18"/>
          <w:color w:val="212529"/>
        </w:rPr>
        <w:t xml:space="preserve"> all other recently issued accounting pronouncements and concluded that they were either not applicable or not expected to have a significant impact to the condensed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2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The Company sells products to its distributors, original design manufacturers (ODMs), and original equipment manufacturers (OEMs). The Company also recognizes revenue under licensing, patent, and royalty agreements with some customers.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Non-distributor</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w:t>
            </w:r>
          </w:p>
        </w:tc>
      </w:tr>
      <w:tr>
        <w:trPr>
          <w:trHeight w:val="210"/>
        </w:trPr>
        <w:tc>
          <w:tcPr>
            <w:tcW w:w="2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0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0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3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Licensing</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4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319"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the Company’s products are sold, and not to where the end products in which they are assembled are shipped. The Company’s revenue by region for the periods indicated was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6,473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inventory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8,053</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Payroll-related expenses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2,122</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left="40" w:right="279"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spacing w:after="0" w:line="180"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Company determined the licenses were not distinct within the context of the contract and combined the license with other performance obligations. The total transaction price of $6.5 million was allocated to the single performance obligation.</w:t>
      </w:r>
    </w:p>
    <w:p>
      <w:pPr>
        <w:spacing w:after="0" w:line="121" w:lineRule="exact"/>
        <w:rPr>
          <w:sz w:val="20"/>
          <w:szCs w:val="20"/>
          <w:color w:val="auto"/>
        </w:rPr>
      </w:pPr>
    </w:p>
    <w:p>
      <w:pPr>
        <w:ind w:left="40" w:right="13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spacing w:after="0" w:line="183" w:lineRule="exact"/>
        <w:rPr>
          <w:sz w:val="20"/>
          <w:szCs w:val="20"/>
          <w:color w:val="auto"/>
        </w:rPr>
      </w:pPr>
    </w:p>
    <w:p>
      <w:pPr>
        <w:ind w:left="40" w:right="23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has billed $6.0 million for the performance under the RAD-Hard 1 contractual agreements. Under the input method of recognition, the Company has recognized $0.3 million in revenue for the three months ended March 31, 2024, and $5.9 million in revenue since inception of the contractual agreements. As a result, the Company has recorded $0.1 million in deferred revenue as of March 31, 2024. The Company expects to recognize the remaining $0.6 million of the transaction price as services are performed throughout the contractual period and performance is expected to be complete in the year ended December 31, 2024.</w:t>
      </w: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40" w:right="119" w:firstLine="324"/>
        <w:spacing w:after="0" w:line="266" w:lineRule="auto"/>
        <w:rPr>
          <w:sz w:val="20"/>
          <w:szCs w:val="20"/>
          <w:color w:val="auto"/>
        </w:rPr>
      </w:pPr>
      <w:r>
        <w:rPr>
          <w:rFonts w:ascii="Times New Roman" w:cs="Times New Roman" w:eastAsia="Times New Roman" w:hAnsi="Times New Roman"/>
          <w:sz w:val="18"/>
          <w:szCs w:val="18"/>
          <w:color w:val="auto"/>
        </w:rPr>
        <w:t>Operating leases consist primarily of office space expiring at various dates through 2029. Finance leases relate to server leases expiring at various dates through 2029. The Company’s lease agreements do not contain any material residual value guarantees or material restrictive covenants.</w:t>
      </w:r>
    </w:p>
    <w:p>
      <w:pPr>
        <w:spacing w:after="0" w:line="176"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pacing w:after="0" w:line="171"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5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0"/>
        </w:trPr>
        <w:tc>
          <w:tcPr>
            <w:tcW w:w="580" w:type="dxa"/>
            <w:vAlign w:val="bottom"/>
            <w:tcBorders>
              <w:right w:val="single" w:sz="8" w:color="CCEEFF"/>
            </w:tcBorders>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09"/>
        </w:trPr>
        <w:tc>
          <w:tcPr>
            <w:tcW w:w="580" w:type="dxa"/>
            <w:vAlign w:val="bottom"/>
            <w:tcBorders>
              <w:right w:val="single" w:sz="8" w:color="CCEEFF"/>
            </w:tcBorders>
          </w:tcPr>
          <w:p>
            <w:pPr>
              <w:spacing w:after="0"/>
              <w:rPr>
                <w:sz w:val="18"/>
                <w:szCs w:val="18"/>
                <w:color w:val="auto"/>
              </w:rPr>
            </w:pPr>
          </w:p>
        </w:tc>
        <w:tc>
          <w:tcPr>
            <w:tcW w:w="50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tc>
        <w:tc>
          <w:tcPr>
            <w:tcW w:w="9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 liabilities was as follows: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p>
      <w:pPr>
        <w:spacing w:after="0" w:line="300"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3.92 %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4.50 %</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2019 Credit Facility</w:t>
      </w:r>
    </w:p>
    <w:p>
      <w:pPr>
        <w:spacing w:after="0" w:line="229" w:lineRule="exact"/>
        <w:rPr>
          <w:sz w:val="20"/>
          <w:szCs w:val="20"/>
          <w:color w:val="auto"/>
        </w:rPr>
      </w:pPr>
    </w:p>
    <w:p>
      <w:pPr>
        <w:ind w:left="40" w:right="279" w:firstLine="324"/>
        <w:spacing w:after="0" w:line="258" w:lineRule="auto"/>
        <w:rPr>
          <w:sz w:val="20"/>
          <w:szCs w:val="20"/>
          <w:color w:val="auto"/>
        </w:rPr>
      </w:pPr>
      <w:r>
        <w:rPr>
          <w:rFonts w:ascii="Times New Roman" w:cs="Times New Roman" w:eastAsia="Times New Roman" w:hAnsi="Times New Roman"/>
          <w:sz w:val="18"/>
          <w:szCs w:val="18"/>
          <w:color w:val="auto"/>
        </w:rPr>
        <w:t>In March 2023, our credit facility with a lender pursuant to an Amended and Restated Loan and Security Agreement (the 2019 Credit Facility), consisting of a term loan and line of credit, was paid in full, and there was no outstanding balance as of March 31, 2024. The Company paid an early termination and prepayment fee of $170,000, which was recorded within other income (expense) within the condensed statements of operations and comprehensive (loss) income for the three months ended March 31, 2023.</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was in compliance with all covenants throughout the 2019 Credit Facility payoff date in March 2023.</w:t>
      </w:r>
    </w:p>
    <w:p>
      <w:pPr>
        <w:spacing w:after="0" w:line="225"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The amortization of the debt issuance costs and accretion of the debt discount is included in interest expense within the condensed statements of operations and comprehensive (loss) income and included in non-cash interest expense within the statement of cash flows.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and Award Activity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stock option and award activity for the three months ended March 31,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and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598,397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1,829,428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632,414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RSUs granted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(854,927)</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cancelled/forfeited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exercised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(96,116)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16"/>
        </w:trPr>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Options exercisable—</w:t>
            </w: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1,304,017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324"/>
        <w:spacing w:after="0" w:line="261" w:lineRule="auto"/>
        <w:rPr>
          <w:sz w:val="20"/>
          <w:szCs w:val="20"/>
          <w:color w:val="auto"/>
        </w:rPr>
      </w:pPr>
      <w:r>
        <w:rPr>
          <w:rFonts w:ascii="Times New Roman" w:cs="Times New Roman" w:eastAsia="Times New Roman" w:hAnsi="Times New Roman"/>
          <w:sz w:val="18"/>
          <w:szCs w:val="18"/>
          <w:color w:val="auto"/>
        </w:rPr>
        <w:t>The total grant date fair value of options vested was $0.3 million and $1.9 million during the three months ended March 31, 2024 and 2023, respectively. There were no options granted during the three months ended March 31, 2024. The weighted-average grant date fair value of options granted during the three months ended March 31, 2023 was $3.20 per share.</w:t>
      </w:r>
    </w:p>
    <w:p>
      <w:pPr>
        <w:spacing w:after="0" w:line="180" w:lineRule="exact"/>
        <w:rPr>
          <w:sz w:val="20"/>
          <w:szCs w:val="20"/>
          <w:color w:val="auto"/>
        </w:rPr>
      </w:pPr>
    </w:p>
    <w:p>
      <w:pPr>
        <w:ind w:left="40" w:right="51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there was $1.9 million of total unrecognized stock-based compensation expense related to unvested options which is expected to be recognized over a weighted-average period of 1.5 years. Stock-based compensation cost for options capitalized within inventory at March 31, 2024 and 2023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jc w:val="both"/>
        <w:ind w:left="40" w:right="179" w:firstLine="324"/>
        <w:spacing w:after="0" w:line="261" w:lineRule="auto"/>
        <w:rPr>
          <w:sz w:val="20"/>
          <w:szCs w:val="20"/>
          <w:color w:val="auto"/>
        </w:rPr>
      </w:pPr>
      <w:r>
        <w:rPr>
          <w:rFonts w:ascii="Times New Roman" w:cs="Times New Roman" w:eastAsia="Times New Roman" w:hAnsi="Times New Roman"/>
          <w:sz w:val="18"/>
          <w:szCs w:val="18"/>
          <w:color w:val="auto"/>
        </w:rPr>
        <w:t>In January 2024, there was an increase of 210,804 shares reserved for issuance under the Company’s Employee Stock Purchase Plan (ESPP) pursuant to the terms of the ESPP. The Company had 1,100,966 shares available for future issuance under the Company’s ESPP as of March 31, 2024. Employees did not purchase any shares during the three months ended March 31, 2024 and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three months ended March 31, 2024:</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20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RSUs Outstanding</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 Per</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2023</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854,927</w:t>
            </w:r>
          </w:p>
        </w:tc>
        <w:tc>
          <w:tcPr>
            <w:tcW w:w="1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(229,923)</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2024</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1,530,785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99"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w:t>
      </w:r>
    </w:p>
    <w:p>
      <w:pPr>
        <w:spacing w:after="0" w:line="162" w:lineRule="exact"/>
        <w:rPr>
          <w:sz w:val="20"/>
          <w:szCs w:val="20"/>
          <w:color w:val="auto"/>
        </w:rPr>
      </w:pPr>
    </w:p>
    <w:p>
      <w:pPr>
        <w:ind w:left="40" w:right="139"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there was $10.9 million of unrecognized stock-based compensation expense related to RSUs to be recognized over a weighted-average period of 2.8 years. Stock-based compensation cost related to RSUs capitalized within inventory at March 31, 2024 and 2023 was not material.</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Significant Agreements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left="40" w:right="359" w:firstLine="324"/>
        <w:spacing w:after="0" w:line="258"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JDA was extended on December 31, 2019, to include a new phase of support for 12nm MRAM development.</w:t>
      </w:r>
    </w:p>
    <w:p>
      <w:pPr>
        <w:spacing w:after="0" w:line="183" w:lineRule="exact"/>
        <w:rPr>
          <w:sz w:val="20"/>
          <w:szCs w:val="20"/>
          <w:color w:val="auto"/>
        </w:rPr>
      </w:pPr>
    </w:p>
    <w:p>
      <w:pPr>
        <w:ind w:left="40" w:right="59" w:firstLine="401"/>
        <w:spacing w:after="0" w:line="255"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81" w:lineRule="exact"/>
        <w:rPr>
          <w:sz w:val="20"/>
          <w:szCs w:val="20"/>
          <w:color w:val="auto"/>
        </w:rPr>
      </w:pPr>
    </w:p>
    <w:p>
      <w:pPr>
        <w:ind w:left="40" w:right="79" w:firstLine="401"/>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Net (Loss) Income Per Common Share</w:t>
      </w:r>
    </w:p>
    <w:p>
      <w:pPr>
        <w:spacing w:after="0" w:line="229" w:lineRule="exact"/>
        <w:rPr>
          <w:sz w:val="20"/>
          <w:szCs w:val="20"/>
          <w:color w:val="auto"/>
        </w:rPr>
      </w:pPr>
    </w:p>
    <w:p>
      <w:pPr>
        <w:jc w:val="both"/>
        <w:ind w:left="40" w:right="59" w:firstLine="441"/>
        <w:spacing w:after="0" w:line="256" w:lineRule="auto"/>
        <w:rPr>
          <w:sz w:val="20"/>
          <w:szCs w:val="20"/>
          <w:color w:val="auto"/>
        </w:rPr>
      </w:pPr>
      <w:r>
        <w:rPr>
          <w:rFonts w:ascii="Times New Roman" w:cs="Times New Roman" w:eastAsia="Times New Roman" w:hAnsi="Times New Roman"/>
          <w:sz w:val="18"/>
          <w:szCs w:val="18"/>
          <w:color w:val="auto"/>
        </w:rPr>
        <w:t>Basic net (loss)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income per share attributable to common stockholders (in thousands, except share and per share amounts):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Basic EPS</w:t>
      </w:r>
    </w:p>
    <w:p>
      <w:pPr>
        <w:spacing w:after="0" w:line="232"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 basic</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liability fair value loss recognized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income attributable to common stockholders, diluted</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20,450,994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Dilutive effect of stock options and RSUs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381,080</w:t>
            </w:r>
          </w:p>
        </w:tc>
        <w:tc>
          <w:tcPr>
            <w:tcW w:w="0" w:type="dxa"/>
            <w:vAlign w:val="bottom"/>
          </w:tcPr>
          <w:p>
            <w:pPr>
              <w:spacing w:after="0"/>
              <w:rPr>
                <w:sz w:val="1"/>
                <w:szCs w:val="1"/>
                <w:color w:val="auto"/>
              </w:rPr>
            </w:pPr>
          </w:p>
        </w:tc>
      </w:tr>
      <w:tr>
        <w:trPr>
          <w:trHeight w:val="178"/>
        </w:trPr>
        <w:tc>
          <w:tcPr>
            <w:tcW w:w="580" w:type="dxa"/>
            <w:vAlign w:val="bottom"/>
          </w:tcPr>
          <w:p>
            <w:pPr>
              <w:spacing w:after="0"/>
              <w:rPr>
                <w:sz w:val="15"/>
                <w:szCs w:val="15"/>
                <w:color w:val="auto"/>
              </w:rPr>
            </w:pPr>
          </w:p>
        </w:tc>
        <w:tc>
          <w:tcPr>
            <w:tcW w:w="4800" w:type="dxa"/>
            <w:vAlign w:val="bottom"/>
            <w:tcBorders>
              <w:top w:val="single" w:sz="8" w:color="CCEEFF"/>
            </w:tcBorders>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21,252,359</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20,832,074</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common share, diluted</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8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279" w:firstLine="324"/>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1.5 million and 1.6 million stock options and RSUs that were outstanding during the three months ended March 31, 2024, and 2023, respectively, were excluded from the computation of diluted earnings per common share during these periods as their inclusion would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40" w:right="39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as well as anticipated impacts from, and our responses to, COVID-19 and our expectations regarding current supply constraints,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40" w:right="379" w:firstLine="324"/>
        <w:spacing w:after="0" w:line="255" w:lineRule="auto"/>
        <w:rPr>
          <w:sz w:val="20"/>
          <w:szCs w:val="20"/>
          <w:color w:val="auto"/>
        </w:rPr>
      </w:pPr>
      <w:r>
        <w:rPr>
          <w:rFonts w:ascii="Times New Roman" w:cs="Times New Roman" w:eastAsia="Times New Roman" w:hAnsi="Times New Roman"/>
          <w:sz w:val="18"/>
          <w:szCs w:val="18"/>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OEMs and ODMs.</w:t>
      </w:r>
    </w:p>
    <w:p>
      <w:pPr>
        <w:spacing w:after="0" w:line="225" w:lineRule="exact"/>
        <w:rPr>
          <w:sz w:val="20"/>
          <w:szCs w:val="20"/>
          <w:color w:val="auto"/>
        </w:rPr>
      </w:pPr>
    </w:p>
    <w:p>
      <w:pPr>
        <w:ind w:left="40" w:right="199" w:firstLine="324"/>
        <w:spacing w:after="0" w:line="258"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ind w:left="40" w:right="59" w:firstLine="324"/>
        <w:spacing w:after="0" w:line="261"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266" w:lineRule="auto"/>
        <w:rPr>
          <w:sz w:val="20"/>
          <w:szCs w:val="20"/>
          <w:color w:val="auto"/>
        </w:rPr>
      </w:pPr>
      <w:r>
        <w:rPr>
          <w:rFonts w:ascii="Times New Roman" w:cs="Times New Roman" w:eastAsia="Times New Roman" w:hAnsi="Times New Roman"/>
          <w:sz w:val="18"/>
          <w:szCs w:val="18"/>
          <w:color w:val="auto"/>
        </w:rPr>
        <w:t>EBITDA, a non-GAAP financial measure, and design wins. We define Adjusted EBITDA as net income or loss adjusted for interest expense, taxes, depreciation and amortization, stock-based compensation expense, and restructuring costs, if any.</w:t>
      </w:r>
    </w:p>
    <w:p>
      <w:pPr>
        <w:spacing w:after="0" w:line="174" w:lineRule="exact"/>
        <w:rPr>
          <w:sz w:val="20"/>
          <w:szCs w:val="20"/>
          <w:color w:val="auto"/>
        </w:rPr>
      </w:pPr>
    </w:p>
    <w:p>
      <w:pPr>
        <w:ind w:left="40" w:right="9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Our management and board of directors use Adjusted EBITDA to understand and evaluate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38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4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9"/>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Adjusted EBITDA</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0"/>
        </w:trPr>
        <w:tc>
          <w:tcPr>
            <w:tcW w:w="3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Effect of COVID-19 on our Business</w:t>
      </w:r>
    </w:p>
    <w:p>
      <w:pPr>
        <w:spacing w:after="0" w:line="22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The COVID-19 outbreak resulted in government authorities around the world implementing numerous measures to try to reduce the spread of COVID-19. Overall, our business remained operational in the midst of the COVID-19 pandemic. The United States Government has declared that it was no longer treating COVID-19 as a pandemic. Since our business is dependent on a global supply chain, we expect to continue to navigate the impact of COVID-19, particularly in some Asian countries. 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92" w:lineRule="exact"/>
        <w:rPr>
          <w:sz w:val="20"/>
          <w:szCs w:val="20"/>
          <w:color w:val="auto"/>
        </w:rPr>
      </w:pPr>
    </w:p>
    <w:p>
      <w:pPr>
        <w:jc w:val="both"/>
        <w:ind w:left="40" w:right="439" w:firstLine="324"/>
        <w:spacing w:after="0" w:line="266" w:lineRule="auto"/>
        <w:rPr>
          <w:sz w:val="20"/>
          <w:szCs w:val="20"/>
          <w:color w:val="auto"/>
        </w:rPr>
      </w:pPr>
      <w:r>
        <w:rPr>
          <w:rFonts w:ascii="Times New Roman" w:cs="Times New Roman" w:eastAsia="Times New Roman" w:hAnsi="Times New Roman"/>
          <w:sz w:val="18"/>
          <w:szCs w:val="18"/>
          <w:color w:val="auto"/>
        </w:rPr>
        <w:t>The ultimate extent of the impact of COVID-19 on our business, results of operations and financial condition will depend on future developments, which are highly uncertain, continuously evolving and cannot be predicted, See “Risk Factors” in Part II, Item 1A of this report for additional risks we face due to the existence of COVID-19.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4"/>
          </w:tcPr>
          <w:p>
            <w:pPr>
              <w:jc w:val="right"/>
              <w:ind w:right="23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4"/>
              </w:rPr>
              <w:t>(As a percentage</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Licensing, royalty, patent, and other revenue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Cost of licensing, royalty, patent, and other</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18"/>
                <w:szCs w:val="18"/>
                <w:color w:val="auto"/>
              </w:rPr>
            </w:pPr>
          </w:p>
        </w:tc>
        <w:tc>
          <w:tcPr>
            <w:tcW w:w="110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(loss) income and comprehensive (loss)</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Pr>
          <w:p>
            <w:pPr>
              <w:spacing w:after="0"/>
              <w:rPr>
                <w:sz w:val="15"/>
                <w:szCs w:val="15"/>
                <w:color w:val="auto"/>
              </w:rPr>
            </w:pPr>
          </w:p>
        </w:tc>
        <w:tc>
          <w:tcPr>
            <w:tcW w:w="9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income</w:t>
            </w:r>
          </w:p>
        </w:tc>
        <w:tc>
          <w:tcPr>
            <w:tcW w:w="28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We generated 71% and 87% of our revenue from products sold to distributors for the three months ended March 31, 2024 and 2023, respectively.</w:t>
      </w:r>
    </w:p>
    <w:p>
      <w:pPr>
        <w:spacing w:after="0" w:line="162"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In addition to selling our products to our distributors, we maintain a direct selling relationship, for strategic purposes, with several key customer accounts. We have organized our sales team and representatives into three primary regions: North America; EMEA; and APAC. We recognize revenue by geography based on the region in which our customer is located and to which our products are sold, and not to where the end products in which they are assembled are shipped. Our revenue by region and by type of revenue for the periods indicated were as follows (in thousands):</w:t>
      </w:r>
    </w:p>
    <w:p>
      <w:pPr>
        <w:spacing w:after="0" w:line="25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7,591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4,330</w:t>
            </w:r>
          </w:p>
        </w:tc>
        <w:tc>
          <w:tcPr>
            <w:tcW w:w="0" w:type="dxa"/>
            <w:vAlign w:val="bottom"/>
          </w:tcPr>
          <w:p>
            <w:pPr>
              <w:spacing w:after="0"/>
              <w:rPr>
                <w:sz w:val="1"/>
                <w:szCs w:val="1"/>
                <w:color w:val="auto"/>
              </w:rPr>
            </w:pPr>
          </w:p>
        </w:tc>
      </w:tr>
      <w:tr>
        <w:trPr>
          <w:trHeight w:val="210"/>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60" w:type="dxa"/>
            <w:vAlign w:val="bottom"/>
            <w:gridSpan w:val="2"/>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98"/>
        </w:trPr>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Licensing, royalty, patent, and other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234.0 %</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firstLine="324"/>
        <w:spacing w:after="0" w:line="281" w:lineRule="auto"/>
        <w:rPr>
          <w:sz w:val="20"/>
          <w:szCs w:val="20"/>
          <w:color w:val="auto"/>
        </w:rPr>
      </w:pPr>
      <w:r>
        <w:rPr>
          <w:rFonts w:ascii="Times New Roman" w:cs="Times New Roman" w:eastAsia="Times New Roman" w:hAnsi="Times New Roman"/>
          <w:sz w:val="17"/>
          <w:szCs w:val="17"/>
          <w:color w:val="auto"/>
        </w:rPr>
        <w:t>Total revenue decreased by $0.4 million, or 2.8%, from $14.8 million during the three months ended March 31, 2023 to $14.4 million during the three months ended March 31, 2024. The decrease was primarily due to a decrease in product sales of $2.9 million due to timing of customer demand, offset by an increase in licensing revenue generated from our RAD-Hard projects of $2.3 million, along with an increase of $0.2 million in other revenue related to foundry services.</w:t>
      </w:r>
    </w:p>
    <w:p>
      <w:pPr>
        <w:spacing w:after="0" w:line="164"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Licensing, royalty, patent, and other revenue is a highly variable revenue item characterized by a small number of transactions annually with revenue based on size and terms of each transaction. Our best estimate of royalty revenue earned is made throughout the year for royalty contracts with an annual performance period, with an annual adjustment recognized for actual sales in the first quarter of each fiscal year. Licensing, royalty, patent, and other revenue increased by $2.5 million, from $1.1 million during the three months ended March 31, 2023, to $3.6 million during the three months ended March 31, 2024. The increase was driven by an increase of $2.3 million in licensing revenue generated from our RAD-Hard projects, along with an increase of $0.2 million of other revenue related to foundry services.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2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sales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$ 6,002</w:t>
            </w:r>
          </w:p>
        </w:tc>
        <w:tc>
          <w:tcPr>
            <w:tcW w:w="240" w:type="dxa"/>
            <w:vAlign w:val="bottom"/>
            <w:tcBorders>
              <w:right w:val="single" w:sz="8" w:color="CCEEFF"/>
            </w:tcBorders>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$ 6,123</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(121)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licensing, royalty, patent, and other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$ 6,270</w:t>
            </w:r>
          </w:p>
        </w:tc>
        <w:tc>
          <w:tcPr>
            <w:tcW w:w="240" w:type="dxa"/>
            <w:vAlign w:val="bottom"/>
            <w:tcBorders>
              <w:right w:val="single" w:sz="8" w:color="CCEEFF"/>
            </w:tcBorders>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$ 6,416</w:t>
            </w:r>
          </w:p>
        </w:tc>
        <w:tc>
          <w:tcPr>
            <w:tcW w:w="2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 (146)</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6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0" w:right="199" w:firstLine="324"/>
        <w:spacing w:after="0" w:line="266" w:lineRule="auto"/>
        <w:rPr>
          <w:sz w:val="20"/>
          <w:szCs w:val="20"/>
          <w:color w:val="auto"/>
        </w:rPr>
      </w:pPr>
      <w:r>
        <w:rPr>
          <w:rFonts w:ascii="Times New Roman" w:cs="Times New Roman" w:eastAsia="Times New Roman" w:hAnsi="Times New Roman"/>
          <w:sz w:val="18"/>
          <w:szCs w:val="18"/>
          <w:color w:val="auto"/>
        </w:rPr>
        <w:t>Cost of product sales decreased by $0.1 million, or 2.0%, from $6.1 million during the three months ended March 31, 2023, to $6.0 million during the three months ended March 31, 2024. The decrease was primarily due to a reduction in product sales and increased pricing from suppliers, partially offset by increased yields on our toggle products.</w:t>
      </w:r>
    </w:p>
    <w:p>
      <w:pPr>
        <w:spacing w:after="0" w:line="176" w:lineRule="exact"/>
        <w:rPr>
          <w:sz w:val="20"/>
          <w:szCs w:val="20"/>
          <w:color w:val="auto"/>
        </w:rPr>
      </w:pPr>
    </w:p>
    <w:p>
      <w:pPr>
        <w:jc w:val="both"/>
        <w:ind w:left="40" w:right="79" w:firstLine="324"/>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and other revenue remained consistent at $0.3 million during the three months ended March 31, 2024 and 2023. Cost of licensing, royalty, patent, and other revenue primarily relates to licensing costs related to labor and materials associated with the progression of our RAD-Hard projects.</w:t>
      </w:r>
    </w:p>
    <w:p>
      <w:pPr>
        <w:spacing w:after="0" w:line="176" w:lineRule="exact"/>
        <w:rPr>
          <w:sz w:val="20"/>
          <w:szCs w:val="20"/>
          <w:color w:val="auto"/>
        </w:rPr>
      </w:pPr>
    </w:p>
    <w:p>
      <w:pPr>
        <w:ind w:left="40" w:right="99" w:firstLine="324"/>
        <w:spacing w:after="0" w:line="266" w:lineRule="auto"/>
        <w:rPr>
          <w:sz w:val="20"/>
          <w:szCs w:val="20"/>
          <w:color w:val="auto"/>
        </w:rPr>
      </w:pPr>
      <w:r>
        <w:rPr>
          <w:rFonts w:ascii="Times New Roman" w:cs="Times New Roman" w:eastAsia="Times New Roman" w:hAnsi="Times New Roman"/>
          <w:sz w:val="18"/>
          <w:szCs w:val="18"/>
          <w:color w:val="auto"/>
        </w:rPr>
        <w:t>Gross margin decreased from 56.8% during the three months ended March 31, 2023, to 56.5% during the three months ended March 31, 2024. Gross margin decreased as a result of a decrease in product sales and increased pricing from suppliers, partially offset by increased yields on our toggle products and increased licensing revenue.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left="40" w:right="239" w:firstLine="324"/>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components of each of our operating expense categories.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80" w:type="dxa"/>
            <w:vAlign w:val="bottom"/>
            <w:gridSpan w:val="5"/>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$ 3,418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$ 219</w:t>
            </w: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6.8 %</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as a % of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2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by $0.2 million, or 6.8%,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 million during the three months ended March 31, 2023, to $3.4 million during the three months ended March 31,</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2024. The primary driver of research and development expenses relates to our new xSPI family of STT-MRAM products.</w:t>
      </w:r>
    </w:p>
    <w:p>
      <w:pPr>
        <w:spacing w:after="0" w:line="22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7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w w:val="99"/>
              </w:rPr>
              <w:t>$ 4,036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$ 3,220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$ 816</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as a %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13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$0.8 million, or 25.3%,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 million during the three months ended March 31, 2023, to $4.0 million during the three months ended March 31, 2024. The increase is primarily due to increases related to stock-based compensation, professional services and depreciation costs.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6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2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6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340" w:type="dxa"/>
            <w:vAlign w:val="bottom"/>
            <w:gridSpan w:val="5"/>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$ 1,306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0" w:right="43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remained consistent at $1.3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and 2023, respectively. Sales and marketing expenses relate primarily to variable compensation costs and contract labor.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5"/>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Interest expense decreased by $0.1 million, or 100.0%, from $0.1 million during the three months ended March 31, 2023, to $0 during the three months ended March 31, 2024. The decrease was due to having no outstanding balance under our 2019 Credit Facility that we paid off in full in March 2023, resulting in no interest incurred during the three months ended March 31, 2024.</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38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52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76"/>
              </w:rPr>
              <w:t>thousands)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398</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128</w:t>
            </w:r>
          </w:p>
        </w:tc>
        <w:tc>
          <w:tcPr>
            <w:tcW w:w="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$ 270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0" w:right="259" w:firstLine="324"/>
        <w:spacing w:after="0" w:line="266" w:lineRule="auto"/>
        <w:rPr>
          <w:sz w:val="20"/>
          <w:szCs w:val="20"/>
          <w:color w:val="auto"/>
        </w:rPr>
      </w:pPr>
      <w:r>
        <w:rPr>
          <w:rFonts w:ascii="Times New Roman" w:cs="Times New Roman" w:eastAsia="Times New Roman" w:hAnsi="Times New Roman"/>
          <w:sz w:val="18"/>
          <w:szCs w:val="18"/>
          <w:color w:val="auto"/>
        </w:rPr>
        <w:t>Other income, net increased by $0.3 million in income for the three months ended March 31, 2024. The change was primarily due to an increase in interest income earned on the money market cash account as a result of the increased cash balances and increasing interest rates.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59" w:firstLine="324"/>
        <w:spacing w:after="0" w:line="256" w:lineRule="auto"/>
        <w:rPr>
          <w:sz w:val="20"/>
          <w:szCs w:val="20"/>
          <w:color w:val="auto"/>
        </w:rPr>
      </w:pPr>
      <w:r>
        <w:rPr>
          <w:rFonts w:ascii="Times New Roman" w:cs="Times New Roman" w:eastAsia="Times New Roman" w:hAnsi="Times New Roman"/>
          <w:sz w:val="18"/>
          <w:szCs w:val="18"/>
          <w:color w:val="auto"/>
        </w:rPr>
        <w:t>As of March 31, 2024, we had $34.8 million of cash and cash equivalents, compared to $36.9 million as of December 31, 2023. As of March 31, 2024,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28"/>
        </w:trPr>
        <w:tc>
          <w:tcPr>
            <w:tcW w:w="4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operating activities</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2024, cash used in operating activities was $1.3 million, which consisted of net loss of $0.1 million, cash provided by non-cash charges of $2.1 million and changes of net operating assets and liabilities of $3.3 million. The non-cash charges consisted of stock-based compensation of $1.7 million and depreciation and amortization of $0.4 million. The use of cash due to the change in our net operating assets and liabilities was primarily due to an increase in accounts receivable of $1.5 million due to timing of cash receipts for outstanding balances, offset by a decrease in inventory of $0.3 million, a decrease in prepaid and other current assets of $0.5 million, a decrease in accrued liabilities of $2.3 million, and a decrease in deferred revenue of $0.3 million.</w:t>
      </w:r>
    </w:p>
    <w:p>
      <w:pPr>
        <w:spacing w:after="0" w:line="18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2023, cash provided by operating activities was $1.2 million, which consisted of net income of $0.8 million, cash provided by non-cash charges of $1.7 million and changes of net operating assets and liabilities of $1.3 million. The non-cash charges primarily consisted of stock-based compensation of $1.2 million, depreciation and amortization of $0.3 million, and a loss on prepayment and termination of our 2019 Credit Facility of $0.2 million. The use of cash due to the change in our net operating assets and liabilities was primarily due to an increase in accounts receivable of $0.5 million due to timing of cash receipts for outstanding balances and a decrease in accrued liabilities of $1.5 million primarily due to timing of variable compensation costs. These uses were partially offset by a decrease in inventory of $0.4 million, a decrease in prepaid and other current assets of $0.1 million, an increase in deferred revenue of $0.1 million, and an increase in accounts payable of $0.1 million.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left="40" w:right="7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2024, was $1.2 million, reflecting purchases of manufacturing equipment.</w:t>
      </w:r>
    </w:p>
    <w:p>
      <w:pPr>
        <w:spacing w:after="0" w:line="162"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2023 was $1.0 million, reflecting purchases of manufacturing equipment.</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2024, was $0.4 million, consisting of proceeds from the exercise of employee stock options.</w:t>
      </w:r>
    </w:p>
    <w:p>
      <w:pPr>
        <w:spacing w:after="0" w:line="162" w:lineRule="exact"/>
        <w:rPr>
          <w:sz w:val="20"/>
          <w:szCs w:val="20"/>
          <w:color w:val="auto"/>
        </w:rPr>
      </w:pPr>
    </w:p>
    <w:p>
      <w:pPr>
        <w:ind w:left="40" w:right="239"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the three months ended March 31, 2023, was $2.8 million, consisting mainly of $2.8 million of payments to pay off our 2019 Credit Facility.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2023, filed with the SEC on February 29, 2024, that have had a material impact on our condensed financial statements and related notes.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March 31, 2024, the end of the period covered by this Quarterly Report on Form 10-Q.</w:t>
      </w:r>
    </w:p>
    <w:p>
      <w:pPr>
        <w:spacing w:after="0" w:line="180" w:lineRule="exact"/>
        <w:rPr>
          <w:sz w:val="20"/>
          <w:szCs w:val="20"/>
          <w:color w:val="auto"/>
        </w:rPr>
      </w:pPr>
    </w:p>
    <w:p>
      <w:pPr>
        <w:ind w:left="40" w:right="299" w:firstLine="324"/>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March 31, 2024.</w:t>
      </w:r>
    </w:p>
    <w:p>
      <w:pPr>
        <w:spacing w:after="0" w:line="162" w:lineRule="exact"/>
        <w:rPr>
          <w:sz w:val="20"/>
          <w:szCs w:val="20"/>
          <w:color w:val="auto"/>
        </w:rPr>
      </w:pPr>
    </w:p>
    <w:p>
      <w:pPr>
        <w:ind w:left="40" w:right="419" w:firstLine="401"/>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2024 that materially affected, or are reasonably likely to materially affect, our internal control over financial reporting.</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left="40" w:right="59" w:firstLine="401"/>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99" w:firstLine="324"/>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legal proceedings at this time. From time to time, we may become involved in various legal proceedings that arise in the ordinary course of our business.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40" w:right="17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40" w:right="119" w:firstLine="401"/>
        <w:spacing w:after="0" w:line="258" w:lineRule="auto"/>
        <w:rPr>
          <w:sz w:val="20"/>
          <w:szCs w:val="20"/>
          <w:color w:val="auto"/>
        </w:rPr>
      </w:pPr>
      <w:r>
        <w:rPr>
          <w:rFonts w:ascii="Times New Roman" w:cs="Times New Roman" w:eastAsia="Times New Roman" w:hAnsi="Times New Roman"/>
          <w:sz w:val="18"/>
          <w:szCs w:val="18"/>
          <w:color w:val="auto"/>
        </w:rPr>
        <w:t>We are subject to a variety of risks and uncertainties, including risks related to our financial condition,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75" w:lineRule="exact"/>
        <w:rPr>
          <w:sz w:val="20"/>
          <w:szCs w:val="20"/>
          <w:color w:val="auto"/>
        </w:rPr>
      </w:pPr>
    </w:p>
    <w:p>
      <w:pPr>
        <w:ind w:left="1040" w:right="37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and may be unable to raise capital when needed, which could force us to delay, reduce, or eliminate planned activities.</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sustain profitability.</w:t>
      </w:r>
    </w:p>
    <w:p>
      <w:pPr>
        <w:spacing w:after="0" w:line="117" w:lineRule="exact"/>
        <w:rPr>
          <w:rFonts w:ascii="Times New Roman" w:cs="Times New Roman" w:eastAsia="Times New Roman" w:hAnsi="Times New Roman"/>
          <w:sz w:val="18"/>
          <w:szCs w:val="18"/>
          <w:color w:val="auto"/>
        </w:rPr>
      </w:pPr>
    </w:p>
    <w:p>
      <w:pPr>
        <w:ind w:left="1040" w:right="37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history of STT-MRAM adoption makes it difficult to evaluate our current business and future prospects.</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71" w:lineRule="exact"/>
        <w:rPr>
          <w:rFonts w:ascii="Times New Roman" w:cs="Times New Roman" w:eastAsia="Times New Roman" w:hAnsi="Times New Roman"/>
          <w:sz w:val="18"/>
          <w:szCs w:val="18"/>
          <w:color w:val="auto"/>
        </w:rPr>
      </w:pPr>
    </w:p>
    <w:p>
      <w:pPr>
        <w:ind w:left="1040" w:right="63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expand into new potential markets, we expect to face intense competition, including from our customers and potential customers, and may not be able to compete effectively, which could harm our business.</w:t>
      </w:r>
    </w:p>
    <w:p>
      <w:pPr>
        <w:spacing w:after="0" w:line="67" w:lineRule="exact"/>
        <w:rPr>
          <w:rFonts w:ascii="Times New Roman" w:cs="Times New Roman" w:eastAsia="Times New Roman" w:hAnsi="Times New Roman"/>
          <w:sz w:val="18"/>
          <w:szCs w:val="18"/>
          <w:color w:val="auto"/>
        </w:rPr>
      </w:pPr>
    </w:p>
    <w:p>
      <w:pPr>
        <w:ind w:left="1040" w:right="25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67" w:lineRule="exact"/>
        <w:rPr>
          <w:rFonts w:ascii="Times New Roman" w:cs="Times New Roman" w:eastAsia="Times New Roman" w:hAnsi="Times New Roman"/>
          <w:sz w:val="18"/>
          <w:szCs w:val="18"/>
          <w:color w:val="auto"/>
        </w:rPr>
      </w:pPr>
    </w:p>
    <w:p>
      <w:pPr>
        <w:ind w:left="1040" w:right="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and increased cost of components used in our products may adversely impact our business, results of operations and financial condition, including our ability to fulfill customer demand.</w:t>
      </w:r>
    </w:p>
    <w:p>
      <w:pPr>
        <w:spacing w:after="0" w:line="53" w:lineRule="exact"/>
        <w:rPr>
          <w:rFonts w:ascii="Times New Roman" w:cs="Times New Roman" w:eastAsia="Times New Roman" w:hAnsi="Times New Roman"/>
          <w:sz w:val="18"/>
          <w:szCs w:val="18"/>
          <w:color w:val="auto"/>
        </w:rPr>
      </w:pPr>
    </w:p>
    <w:p>
      <w:pPr>
        <w:ind w:left="1040" w:hanging="64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joint development agreement and strategic relationships involve numerous risks.</w:t>
      </w:r>
    </w:p>
    <w:p>
      <w:pPr>
        <w:spacing w:after="0" w:line="117"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67" w:lineRule="exact"/>
        <w:rPr>
          <w:rFonts w:ascii="Times New Roman" w:cs="Times New Roman" w:eastAsia="Times New Roman" w:hAnsi="Times New Roman"/>
          <w:sz w:val="18"/>
          <w:szCs w:val="18"/>
          <w:color w:val="auto"/>
        </w:rPr>
      </w:pPr>
    </w:p>
    <w:p>
      <w:pPr>
        <w:ind w:left="1040" w:right="219" w:hanging="64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71" w:lineRule="exact"/>
        <w:rPr>
          <w:rFonts w:ascii="Times New Roman" w:cs="Times New Roman" w:eastAsia="Times New Roman" w:hAnsi="Times New Roman"/>
          <w:sz w:val="18"/>
          <w:szCs w:val="18"/>
          <w:color w:val="auto"/>
        </w:rPr>
      </w:pPr>
    </w:p>
    <w:p>
      <w:pPr>
        <w:ind w:left="1040" w:right="15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several of our customers or reduced orders or pricing from existing customers may have a significant adverse effect on our operations and financial results.</w:t>
      </w:r>
    </w:p>
    <w:p>
      <w:pPr>
        <w:spacing w:after="0" w:line="53" w:lineRule="exact"/>
        <w:rPr>
          <w:rFonts w:ascii="Times New Roman" w:cs="Times New Roman" w:eastAsia="Times New Roman" w:hAnsi="Times New Roman"/>
          <w:sz w:val="18"/>
          <w:szCs w:val="18"/>
          <w:color w:val="auto"/>
        </w:rPr>
      </w:pPr>
    </w:p>
    <w:p>
      <w:pPr>
        <w:ind w:left="1040" w:right="2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and expect competition to increase in the future. If we fail to compete effectively, our revenue growth and results of operations will be materially and adversely affected.</w:t>
      </w:r>
    </w:p>
    <w:p>
      <w:pPr>
        <w:spacing w:after="0" w:line="53" w:lineRule="exact"/>
        <w:rPr>
          <w:rFonts w:ascii="Times New Roman" w:cs="Times New Roman" w:eastAsia="Times New Roman" w:hAnsi="Times New Roman"/>
          <w:sz w:val="18"/>
          <w:szCs w:val="18"/>
          <w:color w:val="auto"/>
        </w:rPr>
      </w:pPr>
    </w:p>
    <w:p>
      <w:pPr>
        <w:ind w:left="1040" w:right="61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increase substantially if we or our third-party manufacturing contractors do not achieve satisfactory product yields or quality.</w:t>
      </w:r>
    </w:p>
    <w:p>
      <w:pPr>
        <w:spacing w:after="0" w:line="53" w:lineRule="exact"/>
        <w:rPr>
          <w:rFonts w:ascii="Times New Roman" w:cs="Times New Roman" w:eastAsia="Times New Roman" w:hAnsi="Times New Roman"/>
          <w:sz w:val="18"/>
          <w:szCs w:val="18"/>
          <w:color w:val="auto"/>
        </w:rPr>
      </w:pPr>
    </w:p>
    <w:p>
      <w:pPr>
        <w:ind w:left="1040" w:right="53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may lead to defects, which could negatively impact our reputation with customers and result in liability.</w:t>
      </w:r>
    </w:p>
    <w:p>
      <w:pPr>
        <w:spacing w:after="0" w:line="53" w:lineRule="exact"/>
        <w:rPr>
          <w:rFonts w:ascii="Times New Roman" w:cs="Times New Roman" w:eastAsia="Times New Roman" w:hAnsi="Times New Roman"/>
          <w:sz w:val="18"/>
          <w:szCs w:val="18"/>
          <w:color w:val="auto"/>
        </w:rPr>
      </w:pPr>
    </w:p>
    <w:p>
      <w:pPr>
        <w:ind w:left="1040" w:right="139" w:hanging="64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67" w:lineRule="exact"/>
        <w:rPr>
          <w:rFonts w:ascii="Times New Roman" w:cs="Times New Roman" w:eastAsia="Times New Roman" w:hAnsi="Times New Roman"/>
          <w:sz w:val="18"/>
          <w:szCs w:val="18"/>
          <w:color w:val="auto"/>
        </w:rPr>
      </w:pPr>
    </w:p>
    <w:p>
      <w:pPr>
        <w:ind w:left="1040" w:right="699" w:hanging="64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industry standards and technical requirements relevant to our products and markets could adversely affect our business,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right="279" w:hanging="64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attract and retain key employees, and our failure to do so could harm our ability to grow our business and execute our business strategies.</w:t>
      </w:r>
    </w:p>
    <w:p>
      <w:pPr>
        <w:spacing w:after="0" w:line="53" w:lineRule="exact"/>
        <w:rPr>
          <w:rFonts w:ascii="Times New Roman" w:cs="Times New Roman" w:eastAsia="Times New Roman" w:hAnsi="Times New Roman"/>
          <w:sz w:val="18"/>
          <w:szCs w:val="18"/>
          <w:color w:val="auto"/>
        </w:rPr>
      </w:pPr>
    </w:p>
    <w:p>
      <w:pPr>
        <w:ind w:left="1040" w:right="239" w:hanging="64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maintain, and are seeking to expand, operations outside the United States which exposes us to significant risks.</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Financial Condition</w:t>
      </w:r>
    </w:p>
    <w:p>
      <w:pPr>
        <w:spacing w:after="0" w:line="225"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and may be unable to raise capital when needed, which could force us to delay, reduce, or eliminate planned activities.</w:t>
      </w:r>
    </w:p>
    <w:p>
      <w:pPr>
        <w:spacing w:after="0" w:line="159" w:lineRule="exact"/>
        <w:rPr>
          <w:sz w:val="20"/>
          <w:szCs w:val="20"/>
          <w:color w:val="auto"/>
        </w:rPr>
      </w:pPr>
    </w:p>
    <w:p>
      <w:pPr>
        <w:ind w:left="40" w:right="179" w:firstLine="324"/>
        <w:spacing w:after="0" w:line="253" w:lineRule="auto"/>
        <w:rPr>
          <w:sz w:val="20"/>
          <w:szCs w:val="20"/>
          <w:color w:val="auto"/>
        </w:rPr>
      </w:pPr>
      <w:r>
        <w:rPr>
          <w:rFonts w:ascii="Times New Roman" w:cs="Times New Roman" w:eastAsia="Times New Roman" w:hAnsi="Times New Roman"/>
          <w:sz w:val="18"/>
          <w:szCs w:val="18"/>
          <w:color w:val="auto"/>
        </w:rPr>
        <w:t>Our total revenue was approximately $14.4 million for the three months ended March 31, 2024, and $63.8 million for the year ended December 31, 2023. As of March 31, 2024, we had cash and cash equivalents of approximately $34.8 million. Based on our current operating plan, we believe our existing cash and cash equivalents, coupled with our anticipated growth and sales levels, will be sufficient to meet our anticipated cash requirements for at least the next 12 months. However, our existing capital may be insufficient to meet our long-term requirements. We have no committed sources of funding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94" w:lineRule="exact"/>
        <w:rPr>
          <w:sz w:val="20"/>
          <w:szCs w:val="20"/>
          <w:color w:val="auto"/>
        </w:rPr>
      </w:pPr>
    </w:p>
    <w:p>
      <w:pPr>
        <w:ind w:left="40" w:right="79" w:firstLine="324"/>
        <w:spacing w:after="0" w:line="258" w:lineRule="auto"/>
        <w:rPr>
          <w:sz w:val="20"/>
          <w:szCs w:val="20"/>
          <w:color w:val="auto"/>
        </w:rPr>
      </w:pPr>
      <w:r>
        <w:rPr>
          <w:rFonts w:ascii="Times New Roman" w:cs="Times New Roman" w:eastAsia="Times New Roman" w:hAnsi="Times New Roman"/>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3"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cannot be certain that we will sustain profitability.</w:t>
      </w:r>
    </w:p>
    <w:p>
      <w:pPr>
        <w:spacing w:after="0" w:line="22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COVID-19,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Business and Our Industry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limited history of STT-MRAM adoption makes it difficult to evaluate our current business and future prospects.</w:t>
      </w:r>
    </w:p>
    <w:p>
      <w:pPr>
        <w:spacing w:after="0" w:line="229" w:lineRule="exact"/>
        <w:rPr>
          <w:sz w:val="20"/>
          <w:szCs w:val="20"/>
          <w:color w:val="auto"/>
        </w:rPr>
      </w:pPr>
    </w:p>
    <w:p>
      <w:pPr>
        <w:ind w:left="40" w:right="239" w:firstLine="324"/>
        <w:spacing w:after="0" w:line="258" w:lineRule="auto"/>
        <w:rPr>
          <w:sz w:val="20"/>
          <w:szCs w:val="20"/>
          <w:color w:val="auto"/>
        </w:rPr>
      </w:pPr>
      <w:r>
        <w:rPr>
          <w:rFonts w:ascii="Times New Roman" w:cs="Times New Roman" w:eastAsia="Times New Roman" w:hAnsi="Times New Roman"/>
          <w:sz w:val="18"/>
          <w:szCs w:val="18"/>
          <w:color w:val="auto"/>
        </w:rPr>
        <w:t>We have been in existence as a stand-alone company since 2008, when Freescale Semiconductor, Inc. (subsequently acquired by NXP Semiconductor) spun-out its MRAM business as Everspin. We have been shipping magnetoresistive random-access memory (MRAM) products since our incorporation in 2008. However, we only began to manufacture and ship our STT-MRAM products in the fourth quarter of 2017. We began to manufacture our second set of STT-MRAM products targeting the NVSRAM markets in the fourth quarter of 2022.</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Our limited experience in selling our STT-MRAM products, combined with the rapidly evolving and competitive nature of our markets,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84"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match production with customer demand for a variety of reasons including macroeconomic factors due to the cyclical nature of the semiconductor industry, our inability to accurately forecast customer demand, supply chain constraints, or the capacity constraints of our suppliers, which could adversely affect our operating results.</w:t>
      </w:r>
    </w:p>
    <w:p>
      <w:pPr>
        <w:spacing w:after="0" w:line="175" w:lineRule="exact"/>
        <w:rPr>
          <w:sz w:val="20"/>
          <w:szCs w:val="20"/>
          <w:color w:val="auto"/>
        </w:rPr>
      </w:pPr>
    </w:p>
    <w:p>
      <w:pPr>
        <w:ind w:left="40" w:right="119" w:firstLine="324"/>
        <w:spacing w:after="0" w:line="252" w:lineRule="auto"/>
        <w:rPr>
          <w:sz w:val="20"/>
          <w:szCs w:val="20"/>
          <w:color w:val="auto"/>
        </w:rPr>
      </w:pPr>
      <w:r>
        <w:rPr>
          <w:rFonts w:ascii="Times New Roman" w:cs="Times New Roman" w:eastAsia="Times New Roman" w:hAnsi="Times New Roman"/>
          <w:sz w:val="18"/>
          <w:szCs w:val="18"/>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88" w:lineRule="exact"/>
        <w:rPr>
          <w:sz w:val="20"/>
          <w:szCs w:val="20"/>
          <w:color w:val="auto"/>
        </w:rPr>
      </w:pPr>
    </w:p>
    <w:p>
      <w:pPr>
        <w:ind w:left="4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59" w:lineRule="exact"/>
        <w:rPr>
          <w:sz w:val="20"/>
          <w:szCs w:val="20"/>
          <w:color w:val="auto"/>
        </w:rPr>
      </w:pPr>
    </w:p>
    <w:p>
      <w:pPr>
        <w:ind w:left="40" w:right="119" w:firstLine="324"/>
        <w:spacing w:after="0" w:line="253" w:lineRule="auto"/>
        <w:rPr>
          <w:sz w:val="20"/>
          <w:szCs w:val="20"/>
          <w:color w:val="auto"/>
        </w:rPr>
      </w:pPr>
      <w:r>
        <w:rPr>
          <w:rFonts w:ascii="Times New Roman" w:cs="Times New Roman" w:eastAsia="Times New Roman" w:hAnsi="Times New Roman"/>
          <w:sz w:val="18"/>
          <w:szCs w:val="18"/>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186" w:lineRule="exact"/>
        <w:rPr>
          <w:sz w:val="20"/>
          <w:szCs w:val="20"/>
          <w:color w:val="auto"/>
        </w:rPr>
      </w:pPr>
    </w:p>
    <w:p>
      <w:pPr>
        <w:jc w:val="both"/>
        <w:ind w:left="4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75" w:lineRule="exact"/>
        <w:rPr>
          <w:sz w:val="20"/>
          <w:szCs w:val="20"/>
          <w:color w:val="auto"/>
        </w:rPr>
      </w:pPr>
    </w:p>
    <w:p>
      <w:pPr>
        <w:ind w:left="40" w:right="299" w:firstLine="324"/>
        <w:spacing w:after="0" w:line="312" w:lineRule="auto"/>
        <w:rPr>
          <w:sz w:val="20"/>
          <w:szCs w:val="20"/>
          <w:color w:val="auto"/>
        </w:rPr>
      </w:pPr>
      <w:r>
        <w:rPr>
          <w:rFonts w:ascii="Times New Roman" w:cs="Times New Roman" w:eastAsia="Times New Roman" w:hAnsi="Times New Roman"/>
          <w:sz w:val="17"/>
          <w:szCs w:val="17"/>
          <w:color w:val="auto"/>
        </w:rPr>
        <w:t>Although we operate an integrated magnetic fabrication line located in Chandler, Arizona, we purchase wafers from third parties and outsource the manufacturing, packaging, assembly and testing of our products to third-party foundries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80" w:lineRule="exact"/>
        <w:rPr>
          <w:sz w:val="20"/>
          <w:szCs w:val="20"/>
          <w:color w:val="auto"/>
        </w:rPr>
      </w:pPr>
    </w:p>
    <w:p>
      <w:pPr>
        <w:ind w:left="40" w:right="599" w:firstLine="324"/>
        <w:spacing w:after="0" w:line="282" w:lineRule="auto"/>
        <w:rPr>
          <w:sz w:val="20"/>
          <w:szCs w:val="20"/>
          <w:color w:val="auto"/>
        </w:rPr>
      </w:pPr>
      <w:r>
        <w:rPr>
          <w:rFonts w:ascii="Times New Roman" w:cs="Times New Roman" w:eastAsia="Times New Roman" w:hAnsi="Times New Roman"/>
          <w:sz w:val="18"/>
          <w:szCs w:val="18"/>
          <w:color w:val="auto"/>
        </w:rPr>
        <w:t>Relying on third-party distribution, manufacturing, assembly, packaging, and testing presents a number of risks, including but not limited to:</w:t>
      </w:r>
    </w:p>
    <w:p>
      <w:pPr>
        <w:spacing w:after="0" w:line="175" w:lineRule="exact"/>
        <w:rPr>
          <w:sz w:val="20"/>
          <w:szCs w:val="20"/>
          <w:color w:val="auto"/>
        </w:rPr>
      </w:pPr>
    </w:p>
    <w:p>
      <w:pPr>
        <w:ind w:left="620" w:right="219" w:hanging="252"/>
        <w:spacing w:after="0" w:line="266" w:lineRule="auto"/>
        <w:tabs>
          <w:tab w:leader="none" w:pos="6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and materials shortages during periods of high demand or supply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over delivery schedules, inventories and quality;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potential delays in obtaining access to, key process technologies;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required production or test capacity and acceptable yields on a timely basis;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intellectual property;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party’s ability to perform its obligations due to bankruptcy or other financial constraints;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representatives for certain customer engagements;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warranties on wafers or products supplied to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increases in prices including due to inflation.</w:t>
      </w:r>
    </w:p>
    <w:p>
      <w:pPr>
        <w:spacing w:after="0" w:line="225"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90"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8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COVID-19, or if any of our relationships with our suppliers is terminated, our operating results could be adversely affected. Such occurrences could also damage our customer relationships, result in lost revenue, cause a loss in market share, or damage our reputation.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supply chain and increased cost of components used in our products may adversely impact our business, results of operations and financial condition, including our ability to fulfill customer demand.</w:t>
      </w:r>
    </w:p>
    <w:p>
      <w:pPr>
        <w:spacing w:after="0" w:line="159" w:lineRule="exact"/>
        <w:rPr>
          <w:sz w:val="20"/>
          <w:szCs w:val="20"/>
          <w:color w:val="auto"/>
        </w:rPr>
      </w:pPr>
    </w:p>
    <w:p>
      <w:pPr>
        <w:ind w:left="40" w:right="339" w:firstLine="324"/>
        <w:spacing w:after="0" w:line="258" w:lineRule="auto"/>
        <w:rPr>
          <w:sz w:val="20"/>
          <w:szCs w:val="20"/>
          <w:color w:val="auto"/>
        </w:rPr>
      </w:pPr>
      <w:r>
        <w:rPr>
          <w:rFonts w:ascii="Times New Roman" w:cs="Times New Roman" w:eastAsia="Times New Roman" w:hAnsi="Times New Roman"/>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as a result of COVID-19 or the military conflict in Ukraine, at any of our main suppliers.</w:t>
      </w:r>
    </w:p>
    <w:p>
      <w:pPr>
        <w:spacing w:after="0" w:line="62" w:lineRule="exact"/>
        <w:rPr>
          <w:sz w:val="20"/>
          <w:szCs w:val="20"/>
          <w:color w:val="auto"/>
        </w:rPr>
      </w:pPr>
    </w:p>
    <w:p>
      <w:pPr>
        <w:ind w:left="40" w:right="99" w:firstLine="324"/>
        <w:spacing w:after="0" w:line="253" w:lineRule="auto"/>
        <w:rPr>
          <w:sz w:val="20"/>
          <w:szCs w:val="20"/>
          <w:color w:val="auto"/>
        </w:rPr>
      </w:pPr>
      <w:r>
        <w:rPr>
          <w:rFonts w:ascii="Times New Roman" w:cs="Times New Roman" w:eastAsia="Times New Roman" w:hAnsi="Times New Roman"/>
          <w:sz w:val="18"/>
          <w:szCs w:val="18"/>
          <w:color w:val="auto"/>
        </w:rPr>
        <w:t>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Additionally, the military conflict in Ukraine creates additional uncertainty and risks relating to our supply chain and the cost of components. See “—General Risk Factors—Unfavorable economic, market and geopolitical conditions, domestically and internationally, may adversely affect our business, financial condition, results of operations and cash flows” for additional information.</w:t>
      </w:r>
    </w:p>
    <w:p>
      <w:pPr>
        <w:spacing w:after="0" w:line="57" w:lineRule="exact"/>
        <w:rPr>
          <w:sz w:val="20"/>
          <w:szCs w:val="20"/>
          <w:color w:val="auto"/>
        </w:rPr>
      </w:pPr>
    </w:p>
    <w:p>
      <w:pPr>
        <w:ind w:left="40" w:right="99" w:firstLine="324"/>
        <w:spacing w:after="0" w:line="258" w:lineRule="auto"/>
        <w:rPr>
          <w:sz w:val="20"/>
          <w:szCs w:val="20"/>
          <w:color w:val="auto"/>
        </w:rPr>
      </w:pPr>
      <w:r>
        <w:rPr>
          <w:rFonts w:ascii="Times New Roman" w:cs="Times New Roman" w:eastAsia="Times New Roman" w:hAnsi="Times New Roman"/>
          <w:sz w:val="18"/>
          <w:szCs w:val="18"/>
          <w:color w:val="auto"/>
        </w:rPr>
        <w:t>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joint development agreement and strategic relationships involve numerous risks.</w:t>
      </w:r>
    </w:p>
    <w:p>
      <w:pPr>
        <w:spacing w:after="0" w:line="229" w:lineRule="exact"/>
        <w:rPr>
          <w:sz w:val="20"/>
          <w:szCs w:val="20"/>
          <w:color w:val="auto"/>
        </w:rPr>
      </w:pPr>
    </w:p>
    <w:p>
      <w:pPr>
        <w:ind w:left="40" w:right="219"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396" w:lineRule="exact"/>
        <w:rPr>
          <w:sz w:val="20"/>
          <w:szCs w:val="20"/>
          <w:color w:val="auto"/>
        </w:rPr>
      </w:pPr>
    </w:p>
    <w:p>
      <w:pPr>
        <w:ind w:left="620" w:right="219" w:hanging="252"/>
        <w:spacing w:after="0" w:line="266"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7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a foundry;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getting to and/or ramping production at foundries;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foundries is limited;</w:t>
      </w:r>
    </w:p>
    <w:p>
      <w:pPr>
        <w:spacing w:after="0" w:line="225" w:lineRule="exact"/>
        <w:rPr>
          <w:rFonts w:ascii="Times New Roman" w:cs="Times New Roman" w:eastAsia="Times New Roman" w:hAnsi="Times New Roman"/>
          <w:sz w:val="18"/>
          <w:szCs w:val="18"/>
          <w:color w:val="auto"/>
        </w:rPr>
      </w:pPr>
    </w:p>
    <w:p>
      <w:pPr>
        <w:ind w:left="620" w:right="29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development collaborators may be unable to meet their commitments to us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620" w:right="639" w:hanging="252"/>
        <w:spacing w:after="0" w:line="282" w:lineRule="auto"/>
        <w:tabs>
          <w:tab w:leader="none" w:pos="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collaborators;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79" w:hanging="252"/>
        <w:spacing w:after="0" w:line="282"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migrating toward a fabless model as 300mm production becomes required and this increases risks related to less control over our critical production processes; and</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82" w:lineRule="auto"/>
        <w:rPr>
          <w:sz w:val="20"/>
          <w:szCs w:val="20"/>
          <w:color w:val="auto"/>
        </w:rPr>
      </w:pPr>
      <w:r>
        <w:rPr>
          <w:rFonts w:ascii="Times New Roman" w:cs="Times New Roman" w:eastAsia="Times New Roman" w:hAnsi="Times New Roman"/>
          <w:sz w:val="18"/>
          <w:szCs w:val="18"/>
          <w:color w:val="auto"/>
        </w:rPr>
        <w:t>The term of the agreement, as amended, is the completion, termination, or expiration of the last statement of work entered into pursuant to the joint development agreement.</w:t>
      </w:r>
    </w:p>
    <w:p>
      <w:pPr>
        <w:spacing w:after="0" w:line="162" w:lineRule="exact"/>
        <w:rPr>
          <w:sz w:val="20"/>
          <w:szCs w:val="20"/>
          <w:color w:val="auto"/>
        </w:rPr>
      </w:pPr>
    </w:p>
    <w:p>
      <w:pPr>
        <w:ind w:left="40" w:right="659"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our business, results of operations, or financial condition may be materially adversely affected.</w:t>
      </w:r>
    </w:p>
    <w:p>
      <w:pPr>
        <w:spacing w:after="0" w:line="158"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75"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92" w:lineRule="exact"/>
        <w:rPr>
          <w:sz w:val="20"/>
          <w:szCs w:val="20"/>
          <w:color w:val="auto"/>
        </w:rPr>
      </w:pPr>
    </w:p>
    <w:p>
      <w:pPr>
        <w:ind w:left="40" w:right="8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57"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92" w:lineRule="exact"/>
        <w:rPr>
          <w:sz w:val="20"/>
          <w:szCs w:val="20"/>
          <w:color w:val="auto"/>
        </w:rPr>
      </w:pPr>
    </w:p>
    <w:p>
      <w:pPr>
        <w:ind w:left="40" w:right="79" w:firstLine="324"/>
        <w:spacing w:after="0" w:line="255" w:lineRule="auto"/>
        <w:rPr>
          <w:sz w:val="20"/>
          <w:szCs w:val="20"/>
          <w:color w:val="auto"/>
        </w:rPr>
      </w:pPr>
      <w:r>
        <w:rPr>
          <w:rFonts w:ascii="Times New Roman" w:cs="Times New Roman" w:eastAsia="Times New Roman" w:hAnsi="Times New Roman"/>
          <w:sz w:val="18"/>
          <w:szCs w:val="18"/>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59" w:lineRule="exact"/>
        <w:rPr>
          <w:sz w:val="20"/>
          <w:szCs w:val="20"/>
          <w:color w:val="auto"/>
        </w:rPr>
      </w:pPr>
    </w:p>
    <w:p>
      <w:pPr>
        <w:ind w:left="40" w:right="79" w:firstLine="324"/>
        <w:spacing w:after="0" w:line="254" w:lineRule="auto"/>
        <w:rPr>
          <w:sz w:val="20"/>
          <w:szCs w:val="20"/>
          <w:color w:val="auto"/>
        </w:rPr>
      </w:pPr>
      <w:r>
        <w:rPr>
          <w:rFonts w:ascii="Times New Roman" w:cs="Times New Roman" w:eastAsia="Times New Roman" w:hAnsi="Times New Roman"/>
          <w:sz w:val="18"/>
          <w:szCs w:val="18"/>
          <w:color w:val="auto"/>
        </w:rPr>
        <w:t>We have derived and expect to continue to derive a significant portion of our revenues from a small group of customers during any particular period due in part to the concentration of market share in the semiconductor industry. Our two largest end customers together accounted for 22% of our total revenue for the year ended December 31, 2023, and each of these customers accounted for more than 10% of our revenue during that period. Our four largest end customers together accounted for 24% of our total revenue for the year ended December 31, 2022, and one of those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84" w:lineRule="exact"/>
        <w:rPr>
          <w:sz w:val="20"/>
          <w:szCs w:val="20"/>
          <w:color w:val="auto"/>
        </w:rPr>
      </w:pPr>
    </w:p>
    <w:p>
      <w:pPr>
        <w:ind w:left="4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5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revenue, and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performance of our products and those of our competitors;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other industry participants;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of our products and prices of our competitors’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innovative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greater resources to make acquisitions;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capital to finance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high-level talent, including our management team and engineers; and</w:t>
      </w:r>
    </w:p>
    <w:p>
      <w:pPr>
        <w:spacing w:after="0" w:line="225"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competitors, including merger and acquisition activity, launches of new products and other actions that could change the competitive landscape.</w:t>
      </w:r>
    </w:p>
    <w:p>
      <w:pPr>
        <w:spacing w:after="0" w:line="162"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costs may increase substantially if we or our third-party manufacturing contractors do not achieve satisfactory product yields or quality.</w:t>
      </w:r>
    </w:p>
    <w:p>
      <w:pPr>
        <w:spacing w:after="0" w:line="15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8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products may lead to defects, which could negatively impact our reputation with customers and result in liability.</w:t>
      </w:r>
    </w:p>
    <w:p>
      <w:pPr>
        <w:spacing w:after="0" w:line="159" w:lineRule="exact"/>
        <w:rPr>
          <w:sz w:val="20"/>
          <w:szCs w:val="20"/>
          <w:color w:val="auto"/>
        </w:rPr>
      </w:pPr>
    </w:p>
    <w:p>
      <w:pPr>
        <w:ind w:left="40" w:right="239" w:firstLine="324"/>
        <w:spacing w:after="0" w:line="272" w:lineRule="auto"/>
        <w:rPr>
          <w:sz w:val="20"/>
          <w:szCs w:val="20"/>
          <w:color w:val="auto"/>
        </w:rPr>
      </w:pPr>
      <w:r>
        <w:rPr>
          <w:rFonts w:ascii="Times New Roman" w:cs="Times New Roman" w:eastAsia="Times New Roman" w:hAnsi="Times New Roman"/>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For example, any such problems could result in:</w:t>
      </w:r>
    </w:p>
    <w:p>
      <w:pPr>
        <w:spacing w:after="0" w:line="172" w:lineRule="exact"/>
        <w:rPr>
          <w:sz w:val="20"/>
          <w:szCs w:val="20"/>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development, manufacture and roll-out of new products;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 costs;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delays in, market acceptance;</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technical and other resources from our other development efforts;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others against us; and</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credibility with our current and prospective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such event could have a material adverse effect on our business, financial condition, and results of operations.</w:t>
      </w:r>
    </w:p>
    <w:p>
      <w:pPr>
        <w:spacing w:after="0" w:line="221"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75" w:lineRule="exact"/>
        <w:rPr>
          <w:sz w:val="20"/>
          <w:szCs w:val="20"/>
          <w:color w:val="auto"/>
        </w:rPr>
      </w:pPr>
    </w:p>
    <w:p>
      <w:pPr>
        <w:ind w:left="40" w:right="59" w:firstLine="324"/>
        <w:spacing w:after="0" w:line="281" w:lineRule="auto"/>
        <w:rPr>
          <w:sz w:val="20"/>
          <w:szCs w:val="20"/>
          <w:color w:val="auto"/>
        </w:rPr>
      </w:pPr>
      <w:r>
        <w:rPr>
          <w:rFonts w:ascii="Times New Roman" w:cs="Times New Roman" w:eastAsia="Times New Roman" w:hAnsi="Times New Roman"/>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59" w:firstLine="324"/>
        <w:spacing w:after="0" w:line="261" w:lineRule="auto"/>
        <w:rPr>
          <w:sz w:val="20"/>
          <w:szCs w:val="20"/>
          <w:color w:val="auto"/>
        </w:rPr>
      </w:pPr>
      <w:r>
        <w:rPr>
          <w:rFonts w:ascii="Times New Roman" w:cs="Times New Roman" w:eastAsia="Times New Roman" w:hAnsi="Times New Roman"/>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0"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5"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59"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88"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4"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59" w:lineRule="exact"/>
        <w:rPr>
          <w:sz w:val="20"/>
          <w:szCs w:val="20"/>
          <w:color w:val="auto"/>
        </w:rPr>
      </w:pPr>
    </w:p>
    <w:p>
      <w:pPr>
        <w:ind w:left="40" w:right="99"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ind w:left="4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maintain and are seeking to expand operations outside of the United States which exposes us to significant risks.</w:t>
      </w:r>
    </w:p>
    <w:p>
      <w:pPr>
        <w:spacing w:after="0" w:line="159" w:lineRule="exact"/>
        <w:rPr>
          <w:sz w:val="20"/>
          <w:szCs w:val="20"/>
          <w:color w:val="auto"/>
        </w:rPr>
      </w:pPr>
    </w:p>
    <w:p>
      <w:pPr>
        <w:ind w:left="40" w:right="119" w:firstLine="324"/>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operate successfully from geographically disparate locations and to further expand our international operations and sales. Operating in international markets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spacing w:after="0" w:line="187" w:lineRule="exact"/>
        <w:rPr>
          <w:sz w:val="20"/>
          <w:szCs w:val="20"/>
          <w:color w:val="auto"/>
        </w:rPr>
      </w:pPr>
    </w:p>
    <w:p>
      <w:pPr>
        <w:ind w:left="620" w:right="13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COVID-19, which can result in varying impacts to our business, employees, partners, customers, distributors or suppliers internationally as discussed elsewhere in this “Risk Factors” section;</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inefficiencies and costs associated with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customer qualification and credit checks;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various local approvals to operate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some foreign markets without larger-scale local operations;</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import/export laws, trade restrictions, regulations and customs and duties and tariffs (foreign and domestic);</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including the elimination of tax holidays;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as a result of repatriating cash generated from foreign operations to the United States;</w:t>
      </w:r>
    </w:p>
    <w:p>
      <w:pPr>
        <w:spacing w:after="0" w:line="225" w:lineRule="exact"/>
        <w:rPr>
          <w:rFonts w:ascii="Times New Roman" w:cs="Times New Roman" w:eastAsia="Times New Roman" w:hAnsi="Times New Roman"/>
          <w:sz w:val="18"/>
          <w:szCs w:val="18"/>
          <w:color w:val="auto"/>
        </w:rPr>
      </w:pPr>
    </w:p>
    <w:p>
      <w:pPr>
        <w:ind w:left="620" w:right="51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potential additional tax exposure if we are deemed to have established a permanent establishment outside of the United States;</w:t>
      </w:r>
    </w:p>
    <w:p>
      <w:pPr>
        <w:spacing w:after="0" w:line="161"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and procedures designed to ensure compliance with the Foreign Corrupt Practices Act of 1977 and similar regulations;</w:t>
      </w:r>
    </w:p>
    <w:p>
      <w:pPr>
        <w:spacing w:after="0" w:line="161" w:lineRule="exact"/>
        <w:rPr>
          <w:rFonts w:ascii="Times New Roman" w:cs="Times New Roman" w:eastAsia="Times New Roman" w:hAnsi="Times New Roman"/>
          <w:sz w:val="18"/>
          <w:szCs w:val="18"/>
          <w:color w:val="auto"/>
        </w:rPr>
      </w:pPr>
    </w:p>
    <w:p>
      <w:pPr>
        <w:ind w:left="620" w:right="119" w:hanging="252"/>
        <w:spacing w:after="0" w:line="261" w:lineRule="auto"/>
        <w:tabs>
          <w:tab w:leader="none" w:pos="6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79"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w:t>
      </w:r>
    </w:p>
    <w:p>
      <w:pPr>
        <w:spacing w:after="0" w:line="225"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and acts of war, such as the military conflict in Ukraine, which could have a negative impact on sales throughout Europe and Asia; and</w:t>
      </w:r>
    </w:p>
    <w:p>
      <w:pPr>
        <w:spacing w:after="0" w:line="161" w:lineRule="exact"/>
        <w:rPr>
          <w:rFonts w:ascii="Times New Roman" w:cs="Times New Roman" w:eastAsia="Times New Roman" w:hAnsi="Times New Roman"/>
          <w:sz w:val="18"/>
          <w:szCs w:val="18"/>
          <w:color w:val="auto"/>
        </w:rPr>
      </w:pPr>
    </w:p>
    <w:p>
      <w:pPr>
        <w:ind w:left="620" w:right="439" w:hanging="252"/>
        <w:spacing w:after="0" w:line="282" w:lineRule="auto"/>
        <w:tabs>
          <w:tab w:leader="none" w:pos="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Department of Commerce regulations or restrictions on exports of certain semiconductor technologies and equipment to China.</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failure to manage any of these risks successfully could harm our operations and reduce our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 and Technology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w:t>
      </w:r>
    </w:p>
    <w:p>
      <w:pPr>
        <w:spacing w:after="0" w:line="229" w:lineRule="exact"/>
        <w:rPr>
          <w:sz w:val="20"/>
          <w:szCs w:val="20"/>
          <w:color w:val="auto"/>
        </w:rPr>
      </w:pPr>
    </w:p>
    <w:p>
      <w:pPr>
        <w:ind w:left="40" w:right="59" w:firstLine="324"/>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92" w:lineRule="exact"/>
        <w:rPr>
          <w:sz w:val="20"/>
          <w:szCs w:val="20"/>
          <w:color w:val="auto"/>
        </w:rPr>
      </w:pPr>
    </w:p>
    <w:p>
      <w:pPr>
        <w:jc w:val="both"/>
        <w:ind w:left="40" w:right="259" w:firstLine="324"/>
        <w:spacing w:after="0" w:line="258" w:lineRule="auto"/>
        <w:rPr>
          <w:sz w:val="20"/>
          <w:szCs w:val="20"/>
          <w:color w:val="auto"/>
        </w:rPr>
      </w:pPr>
      <w:r>
        <w:rPr>
          <w:rFonts w:ascii="Times New Roman" w:cs="Times New Roman" w:eastAsia="Times New Roman" w:hAnsi="Times New Roman"/>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3" w:lineRule="exact"/>
        <w:rPr>
          <w:sz w:val="20"/>
          <w:szCs w:val="20"/>
          <w:color w:val="auto"/>
        </w:rPr>
      </w:pPr>
    </w:p>
    <w:p>
      <w:pPr>
        <w:ind w:left="40" w:right="99" w:firstLine="324"/>
        <w:spacing w:after="0" w:line="255" w:lineRule="auto"/>
        <w:rPr>
          <w:sz w:val="20"/>
          <w:szCs w:val="20"/>
          <w:color w:val="auto"/>
        </w:rPr>
      </w:pPr>
      <w:r>
        <w:rPr>
          <w:rFonts w:ascii="Times New Roman" w:cs="Times New Roman" w:eastAsia="Times New Roman" w:hAnsi="Times New Roman"/>
          <w:sz w:val="18"/>
          <w:szCs w:val="18"/>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85" w:lineRule="exact"/>
        <w:rPr>
          <w:sz w:val="20"/>
          <w:szCs w:val="20"/>
          <w:color w:val="auto"/>
        </w:rPr>
      </w:pPr>
    </w:p>
    <w:p>
      <w:pPr>
        <w:ind w:left="4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75"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87"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87" w:lineRule="exact"/>
        <w:rPr>
          <w:sz w:val="20"/>
          <w:szCs w:val="20"/>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the manufacture, use or sale of the infringing products, processes or technology;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infringement;</w:t>
      </w:r>
    </w:p>
    <w:p>
      <w:pPr>
        <w:spacing w:after="0" w:line="225" w:lineRule="exact"/>
        <w:rPr>
          <w:rFonts w:ascii="Times New Roman" w:cs="Times New Roman" w:eastAsia="Times New Roman" w:hAnsi="Times New Roman"/>
          <w:sz w:val="18"/>
          <w:szCs w:val="18"/>
          <w:color w:val="auto"/>
        </w:rPr>
      </w:pPr>
    </w:p>
    <w:p>
      <w:pPr>
        <w:ind w:left="620" w:right="579" w:hanging="252"/>
        <w:spacing w:after="0" w:line="282" w:lineRule="auto"/>
        <w:tabs>
          <w:tab w:leader="none" w:pos="6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resources to develop non-infringing products, processes or technology, which may not be successful;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05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technology from the third-party claiming infringement, which license may not be available on commercially reasonable terms, or at all;</w:t>
      </w:r>
    </w:p>
    <w:p>
      <w:pPr>
        <w:spacing w:after="0" w:line="161"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cross-license our technology to a competitor to resolve an infringement claim, which could weaken our ability to compete with that competitor; or</w:t>
      </w:r>
    </w:p>
    <w:p>
      <w:pPr>
        <w:spacing w:after="0" w:line="161" w:lineRule="exact"/>
        <w:rPr>
          <w:rFonts w:ascii="Times New Roman" w:cs="Times New Roman" w:eastAsia="Times New Roman" w:hAnsi="Times New Roman"/>
          <w:sz w:val="18"/>
          <w:szCs w:val="18"/>
          <w:color w:val="auto"/>
        </w:rPr>
      </w:pPr>
    </w:p>
    <w:p>
      <w:pPr>
        <w:ind w:left="620" w:right="379" w:hanging="252"/>
        <w:spacing w:after="0" w:line="28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to discontinue their use of or to replace infringing technology sold to them with non-infringing technology, if available.</w:t>
      </w:r>
    </w:p>
    <w:p>
      <w:pPr>
        <w:spacing w:after="0" w:line="162" w:lineRule="exact"/>
        <w:rPr>
          <w:sz w:val="20"/>
          <w:szCs w:val="20"/>
          <w:color w:val="auto"/>
        </w:rPr>
      </w:pPr>
    </w:p>
    <w:p>
      <w:pPr>
        <w:ind w:left="40" w:right="79" w:firstLine="324"/>
        <w:spacing w:after="0" w:line="256" w:lineRule="auto"/>
        <w:rPr>
          <w:sz w:val="20"/>
          <w:szCs w:val="20"/>
          <w:color w:val="auto"/>
        </w:rPr>
      </w:pPr>
      <w:r>
        <w:rPr>
          <w:rFonts w:ascii="Times New Roman" w:cs="Times New Roman" w:eastAsia="Times New Roman" w:hAnsi="Times New Roman"/>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83"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59" w:lineRule="exact"/>
        <w:rPr>
          <w:sz w:val="20"/>
          <w:szCs w:val="20"/>
          <w:color w:val="auto"/>
        </w:rPr>
      </w:pPr>
    </w:p>
    <w:p>
      <w:pPr>
        <w:ind w:left="40" w:right="59" w:firstLine="324"/>
        <w:spacing w:after="0" w:line="282" w:lineRule="auto"/>
        <w:rPr>
          <w:sz w:val="20"/>
          <w:szCs w:val="20"/>
          <w:color w:val="auto"/>
        </w:rPr>
      </w:pPr>
      <w:r>
        <w:rPr>
          <w:rFonts w:ascii="Times New Roman" w:cs="Times New Roman" w:eastAsia="Times New Roman" w:hAnsi="Times New Roman"/>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62" w:lineRule="exact"/>
        <w:rPr>
          <w:sz w:val="20"/>
          <w:szCs w:val="20"/>
          <w:color w:val="auto"/>
        </w:rPr>
      </w:pPr>
    </w:p>
    <w:p>
      <w:pPr>
        <w:ind w:left="40" w:right="59" w:firstLine="324"/>
        <w:spacing w:after="0" w:line="254" w:lineRule="auto"/>
        <w:rPr>
          <w:sz w:val="20"/>
          <w:szCs w:val="20"/>
          <w:color w:val="auto"/>
        </w:rPr>
      </w:pPr>
      <w:r>
        <w:rPr>
          <w:rFonts w:ascii="Times New Roman" w:cs="Times New Roman" w:eastAsia="Times New Roman" w:hAnsi="Times New Roman"/>
          <w:sz w:val="18"/>
          <w:szCs w:val="18"/>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4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in or other compromises of our information technology systems or data or that of third parties upon whom we rely could adversely affect our business.</w:t>
      </w:r>
    </w:p>
    <w:p>
      <w:pPr>
        <w:spacing w:after="0" w:line="159" w:lineRule="exact"/>
        <w:rPr>
          <w:sz w:val="20"/>
          <w:szCs w:val="20"/>
          <w:color w:val="auto"/>
        </w:rPr>
      </w:pPr>
    </w:p>
    <w:p>
      <w:pPr>
        <w:ind w:left="40" w:right="79" w:firstLine="324"/>
        <w:spacing w:after="0" w:line="252" w:lineRule="auto"/>
        <w:rPr>
          <w:sz w:val="20"/>
          <w:szCs w:val="20"/>
          <w:color w:val="auto"/>
        </w:rPr>
      </w:pPr>
      <w:r>
        <w:rPr>
          <w:rFonts w:ascii="Times New Roman" w:cs="Times New Roman" w:eastAsia="Times New Roman" w:hAnsi="Times New Roman"/>
          <w:sz w:val="18"/>
          <w:szCs w:val="18"/>
          <w:color w:val="auto"/>
        </w:rPr>
        <w:t>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spacing w:after="0" w:line="192" w:lineRule="exact"/>
        <w:rPr>
          <w:sz w:val="20"/>
          <w:szCs w:val="20"/>
          <w:color w:val="auto"/>
        </w:rPr>
      </w:pPr>
    </w:p>
    <w:p>
      <w:pPr>
        <w:ind w:left="40" w:right="179" w:firstLine="324"/>
        <w:spacing w:after="0" w:line="266" w:lineRule="auto"/>
        <w:rPr>
          <w:sz w:val="20"/>
          <w:szCs w:val="20"/>
          <w:color w:val="auto"/>
        </w:rPr>
      </w:pPr>
      <w:r>
        <w:rPr>
          <w:rFonts w:ascii="Times New Roman" w:cs="Times New Roman" w:eastAsia="Times New Roman" w:hAnsi="Times New Roman"/>
          <w:sz w:val="18"/>
          <w:szCs w:val="18"/>
          <w:color w:val="auto"/>
        </w:rPr>
        <w:t>We may experience attacks on our data and/or information systems, attempts to breach our security and attempts to introduce malicious software into our IT systems. Such threats are prevalent and continue to rise, are increasingly difficult to detect, and come from a variety of sources. During times of war and other major conflicts, we and the third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spacing w:after="0" w:line="189" w:lineRule="exact"/>
        <w:rPr>
          <w:sz w:val="20"/>
          <w:szCs w:val="20"/>
          <w:color w:val="auto"/>
        </w:rPr>
      </w:pPr>
    </w:p>
    <w:p>
      <w:pPr>
        <w:ind w:left="40" w:right="139" w:firstLine="324"/>
        <w:spacing w:after="0" w:line="256" w:lineRule="auto"/>
        <w:rPr>
          <w:sz w:val="20"/>
          <w:szCs w:val="20"/>
          <w:color w:val="auto"/>
        </w:rPr>
      </w:pPr>
      <w:r>
        <w:rPr>
          <w:rFonts w:ascii="Times New Roman" w:cs="Times New Roman" w:eastAsia="Times New Roman" w:hAnsi="Times New Roman"/>
          <w:sz w:val="18"/>
          <w:szCs w:val="18"/>
          <w:color w:val="auto"/>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7" w:lineRule="exact"/>
        <w:rPr>
          <w:sz w:val="20"/>
          <w:szCs w:val="20"/>
          <w:color w:val="auto"/>
        </w:rPr>
      </w:pPr>
    </w:p>
    <w:p>
      <w:pPr>
        <w:ind w:left="40" w:right="159" w:firstLine="324"/>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ind w:left="40" w:right="119" w:firstLine="324"/>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 Factors Related to Regulatory Matters and Compliance</w:t>
      </w:r>
    </w:p>
    <w:p>
      <w:pPr>
        <w:spacing w:after="0" w:line="225" w:lineRule="exact"/>
        <w:rPr>
          <w:sz w:val="20"/>
          <w:szCs w:val="20"/>
          <w:color w:val="auto"/>
        </w:rPr>
      </w:pPr>
    </w:p>
    <w:p>
      <w:pPr>
        <w:ind w:left="4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75" w:lineRule="exact"/>
        <w:rPr>
          <w:sz w:val="20"/>
          <w:szCs w:val="20"/>
          <w:color w:val="auto"/>
        </w:rPr>
      </w:pPr>
    </w:p>
    <w:p>
      <w:pPr>
        <w:ind w:left="40" w:right="79" w:firstLine="324"/>
        <w:spacing w:after="0" w:line="269" w:lineRule="auto"/>
        <w:rPr>
          <w:sz w:val="20"/>
          <w:szCs w:val="20"/>
          <w:color w:val="auto"/>
        </w:rPr>
      </w:pPr>
      <w:r>
        <w:rPr>
          <w:rFonts w:ascii="Times New Roman" w:cs="Times New Roman" w:eastAsia="Times New Roman" w:hAnsi="Times New Roman"/>
          <w:sz w:val="17"/>
          <w:szCs w:val="17"/>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6" w:lineRule="exact"/>
        <w:rPr>
          <w:sz w:val="20"/>
          <w:szCs w:val="20"/>
          <w:color w:val="auto"/>
        </w:rPr>
      </w:pPr>
    </w:p>
    <w:p>
      <w:pPr>
        <w:ind w:left="40" w:right="159" w:firstLine="324"/>
        <w:spacing w:after="0" w:line="281" w:lineRule="auto"/>
        <w:rPr>
          <w:sz w:val="20"/>
          <w:szCs w:val="20"/>
          <w:color w:val="auto"/>
        </w:rPr>
      </w:pPr>
      <w:r>
        <w:rPr>
          <w:rFonts w:ascii="Times New Roman" w:cs="Times New Roman" w:eastAsia="Times New Roman" w:hAnsi="Times New Roman"/>
          <w:sz w:val="17"/>
          <w:szCs w:val="17"/>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229" w:lineRule="exact"/>
        <w:rPr>
          <w:sz w:val="20"/>
          <w:szCs w:val="20"/>
          <w:color w:val="auto"/>
        </w:rPr>
      </w:pPr>
    </w:p>
    <w:p>
      <w:pPr>
        <w:ind w:left="40" w:right="59" w:firstLine="324"/>
        <w:spacing w:after="0" w:line="252" w:lineRule="auto"/>
        <w:rPr>
          <w:sz w:val="20"/>
          <w:szCs w:val="20"/>
          <w:color w:val="auto"/>
        </w:rPr>
      </w:pPr>
      <w:r>
        <w:rPr>
          <w:rFonts w:ascii="Times New Roman" w:cs="Times New Roman" w:eastAsia="Times New Roman" w:hAnsi="Times New Roman"/>
          <w:sz w:val="18"/>
          <w:szCs w:val="18"/>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2023, we had gross federal net operating loss carryforwards of approximately $96.2 million, of which $55.8 million will expire in 2028 through 2037 if not utilized, and $40.5 million will carryover indefinitely. As of December 31, 2023, we had state net operating loss carryforwards of approximately $48.7 million, of which $45.9 million will expire in 2028 through 2043 if not utilized, and $2.8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the NOLs that we are utilizing in the current year were generated prior to 2018, and therefore, are not subject to the 80% limitation.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w:t>
      </w:r>
    </w:p>
    <w:p>
      <w:pPr>
        <w:spacing w:after="0" w:line="229" w:lineRule="exact"/>
        <w:rPr>
          <w:sz w:val="20"/>
          <w:szCs w:val="20"/>
          <w:color w:val="auto"/>
        </w:rPr>
      </w:pPr>
    </w:p>
    <w:p>
      <w:pPr>
        <w:ind w:left="40" w:right="519"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62" w:lineRule="exact"/>
        <w:rPr>
          <w:sz w:val="20"/>
          <w:szCs w:val="20"/>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620" w:right="259" w:hanging="252"/>
        <w:spacing w:after="0" w:line="282" w:lineRule="auto"/>
        <w:tabs>
          <w:tab w:leader="none" w:pos="6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restructurings;</w:t>
      </w:r>
    </w:p>
    <w:p>
      <w:pPr>
        <w:spacing w:after="0" w:line="161"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and directors;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25" w:lineRule="exact"/>
        <w:rPr>
          <w:rFonts w:ascii="Times New Roman" w:cs="Times New Roman" w:eastAsia="Times New Roman" w:hAnsi="Times New Roman"/>
          <w:sz w:val="18"/>
          <w:szCs w:val="18"/>
          <w:color w:val="auto"/>
        </w:rPr>
      </w:pPr>
    </w:p>
    <w:p>
      <w:pPr>
        <w:ind w:left="660" w:hanging="29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225" w:lineRule="exact"/>
        <w:rPr>
          <w:rFonts w:ascii="Times New Roman" w:cs="Times New Roman" w:eastAsia="Times New Roman" w:hAnsi="Times New Roman"/>
          <w:sz w:val="18"/>
          <w:szCs w:val="18"/>
          <w:color w:val="auto"/>
        </w:rPr>
      </w:pPr>
    </w:p>
    <w:p>
      <w:pPr>
        <w:ind w:left="620" w:right="139" w:hanging="252"/>
        <w:spacing w:after="0" w:line="282" w:lineRule="auto"/>
        <w:tabs>
          <w:tab w:leader="none" w:pos="6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including the effects of COVID-19 and the military conflict in Ukraine.</w:t>
      </w:r>
    </w:p>
    <w:p>
      <w:pPr>
        <w:spacing w:after="0" w:line="162" w:lineRule="exact"/>
        <w:rPr>
          <w:sz w:val="20"/>
          <w:szCs w:val="20"/>
          <w:color w:val="auto"/>
        </w:rPr>
      </w:pPr>
    </w:p>
    <w:p>
      <w:pPr>
        <w:ind w:left="40" w:right="119" w:firstLine="324"/>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3" w:lineRule="exact"/>
        <w:rPr>
          <w:sz w:val="20"/>
          <w:szCs w:val="20"/>
          <w:color w:val="auto"/>
        </w:rPr>
      </w:pPr>
    </w:p>
    <w:p>
      <w:pPr>
        <w:ind w:left="40" w:right="379"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and other factors may make the price of our stock volatile and subject to unexpected fluctuation.</w:t>
      </w:r>
    </w:p>
    <w:p>
      <w:pPr>
        <w:spacing w:after="0" w:line="221" w:lineRule="exact"/>
        <w:rPr>
          <w:sz w:val="20"/>
          <w:szCs w:val="20"/>
          <w:color w:val="auto"/>
        </w:rPr>
      </w:pPr>
    </w:p>
    <w:p>
      <w:pPr>
        <w:ind w:left="4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59" w:lineRule="exact"/>
        <w:rPr>
          <w:sz w:val="20"/>
          <w:szCs w:val="20"/>
          <w:color w:val="auto"/>
        </w:rPr>
      </w:pPr>
    </w:p>
    <w:p>
      <w:pPr>
        <w:ind w:left="40" w:right="99"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8" w:lineRule="exact"/>
        <w:rPr>
          <w:sz w:val="20"/>
          <w:szCs w:val="20"/>
          <w:color w:val="auto"/>
        </w:rPr>
      </w:pPr>
    </w:p>
    <w:p>
      <w:pPr>
        <w:ind w:left="620" w:right="139" w:hanging="252"/>
        <w:spacing w:after="0" w:line="266"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3" w:lineRule="exact"/>
        <w:rPr>
          <w:rFonts w:ascii="Times New Roman" w:cs="Times New Roman" w:eastAsia="Times New Roman" w:hAnsi="Times New Roman"/>
          <w:sz w:val="18"/>
          <w:szCs w:val="18"/>
          <w:color w:val="auto"/>
        </w:rPr>
      </w:pPr>
    </w:p>
    <w:p>
      <w:pPr>
        <w:ind w:left="620" w:right="539" w:hanging="252"/>
        <w:spacing w:after="0" w:line="282"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20" w:right="179" w:hanging="252"/>
        <w:spacing w:after="0" w:line="258"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pacing w:after="0" w:line="183" w:lineRule="exact"/>
        <w:rPr>
          <w:rFonts w:ascii="Times New Roman" w:cs="Times New Roman" w:eastAsia="Times New Roman" w:hAnsi="Times New Roman"/>
          <w:sz w:val="18"/>
          <w:szCs w:val="18"/>
          <w:color w:val="auto"/>
        </w:rPr>
      </w:pPr>
    </w:p>
    <w:p>
      <w:pPr>
        <w:ind w:left="620" w:right="239" w:hanging="252"/>
        <w:spacing w:after="0" w:line="282" w:lineRule="auto"/>
        <w:tabs>
          <w:tab w:leader="none" w:pos="6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the board of directors or to propose matters that can be acted upon at a stockholders’ meeting, which may discourage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219"/>
        <w:spacing w:after="0" w:line="282" w:lineRule="auto"/>
        <w:rPr>
          <w:sz w:val="20"/>
          <w:szCs w:val="20"/>
          <w:color w:val="auto"/>
        </w:rPr>
      </w:pPr>
      <w:r>
        <w:rPr>
          <w:rFonts w:ascii="Times New Roman" w:cs="Times New Roman" w:eastAsia="Times New Roman" w:hAnsi="Times New Roman"/>
          <w:sz w:val="18"/>
          <w:szCs w:val="18"/>
          <w:color w:val="auto"/>
        </w:rPr>
        <w:t>or deter a potential acquiror from conducting a solicitation of proxies to elect the acquiror’s own slate of directors or otherwise attempting to obtain control of our company; and</w:t>
      </w:r>
    </w:p>
    <w:p>
      <w:pPr>
        <w:spacing w:after="0" w:line="162" w:lineRule="exact"/>
        <w:rPr>
          <w:sz w:val="20"/>
          <w:szCs w:val="20"/>
          <w:color w:val="auto"/>
        </w:rPr>
      </w:pPr>
    </w:p>
    <w:p>
      <w:pPr>
        <w:ind w:left="620" w:right="159" w:hanging="252"/>
        <w:spacing w:after="0" w:line="266" w:lineRule="auto"/>
        <w:tabs>
          <w:tab w:leader="none" w:pos="6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6" w:lineRule="exact"/>
        <w:rPr>
          <w:sz w:val="20"/>
          <w:szCs w:val="20"/>
          <w:color w:val="auto"/>
        </w:rPr>
      </w:pPr>
    </w:p>
    <w:p>
      <w:pPr>
        <w:ind w:left="40" w:right="99" w:firstLine="324"/>
        <w:spacing w:after="0" w:line="281"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60"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07" w:lineRule="exact"/>
        <w:rPr>
          <w:sz w:val="20"/>
          <w:szCs w:val="20"/>
          <w:color w:val="auto"/>
        </w:rPr>
      </w:pPr>
    </w:p>
    <w:p>
      <w:pPr>
        <w:ind w:left="40" w:right="199"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9" w:lineRule="exact"/>
        <w:rPr>
          <w:rFonts w:ascii="Times New Roman" w:cs="Times New Roman" w:eastAsia="Times New Roman" w:hAnsi="Times New Roman"/>
          <w:sz w:val="18"/>
          <w:szCs w:val="18"/>
          <w:color w:val="auto"/>
        </w:rPr>
      </w:pPr>
    </w:p>
    <w:p>
      <w:pPr>
        <w:ind w:left="620" w:right="199" w:hanging="252"/>
        <w:spacing w:after="0" w:line="250"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07" w:lineRule="exact"/>
        <w:rPr>
          <w:sz w:val="20"/>
          <w:szCs w:val="20"/>
          <w:color w:val="auto"/>
        </w:rPr>
      </w:pPr>
    </w:p>
    <w:p>
      <w:pPr>
        <w:ind w:left="40" w:right="1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Times New Roman" w:cs="Times New Roman" w:eastAsia="Times New Roman" w:hAnsi="Times New Roman"/>
          <w:sz w:val="18"/>
          <w:szCs w:val="18"/>
          <w:color w:val="212529"/>
        </w:rPr>
        <w:t>that, unless we consent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0" w:lineRule="exact"/>
        <w:rPr>
          <w:sz w:val="20"/>
          <w:szCs w:val="20"/>
          <w:color w:val="auto"/>
        </w:rPr>
      </w:pPr>
    </w:p>
    <w:p>
      <w:pPr>
        <w:ind w:left="40" w:right="139" w:firstLine="324"/>
        <w:spacing w:after="0" w:line="277" w:lineRule="auto"/>
        <w:rPr>
          <w:sz w:val="20"/>
          <w:szCs w:val="20"/>
          <w:color w:val="auto"/>
        </w:rPr>
      </w:pPr>
      <w:r>
        <w:rPr>
          <w:rFonts w:ascii="Times New Roman" w:cs="Times New Roman" w:eastAsia="Times New Roman" w:hAnsi="Times New Roman"/>
          <w:sz w:val="17"/>
          <w:szCs w:val="17"/>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Times New Roman" w:cs="Times New Roman" w:eastAsia="Times New Roman" w:hAnsi="Times New Roman"/>
          <w:sz w:val="17"/>
          <w:szCs w:val="17"/>
          <w:color w:val="000000"/>
        </w:rPr>
        <w:t>further significant</w:t>
      </w:r>
      <w:r>
        <w:rPr>
          <w:rFonts w:ascii="Times New Roman" w:cs="Times New Roman" w:eastAsia="Times New Roman" w:hAnsi="Times New Roman"/>
          <w:sz w:val="17"/>
          <w:szCs w:val="17"/>
          <w:color w:val="212529"/>
        </w:rPr>
        <w:t xml:space="preserve"> additional costs associated with resolving the dispute in other jurisdictions, </w:t>
      </w:r>
      <w:r>
        <w:rPr>
          <w:rFonts w:ascii="Times New Roman" w:cs="Times New Roman" w:eastAsia="Times New Roman" w:hAnsi="Times New Roman"/>
          <w:sz w:val="17"/>
          <w:szCs w:val="17"/>
          <w:color w:val="000000"/>
        </w:rPr>
        <w:t>all of</w:t>
      </w:r>
      <w:r>
        <w:rPr>
          <w:rFonts w:ascii="Times New Roman" w:cs="Times New Roman" w:eastAsia="Times New Roman" w:hAnsi="Times New Roman"/>
          <w:sz w:val="17"/>
          <w:szCs w:val="17"/>
          <w:color w:val="212529"/>
        </w:rPr>
        <w:t xml:space="preserve"> which could seriously harm our business.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12529"/>
        </w:rPr>
        <w:t>General Risk Factors</w:t>
      </w:r>
    </w:p>
    <w:p>
      <w:pPr>
        <w:spacing w:after="0" w:line="225" w:lineRule="exact"/>
        <w:rPr>
          <w:sz w:val="20"/>
          <w:szCs w:val="20"/>
          <w:color w:val="auto"/>
        </w:rPr>
      </w:pPr>
    </w:p>
    <w:p>
      <w:pPr>
        <w:ind w:left="4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59" w:lineRule="exact"/>
        <w:rPr>
          <w:sz w:val="20"/>
          <w:szCs w:val="20"/>
          <w:color w:val="auto"/>
        </w:rPr>
      </w:pPr>
    </w:p>
    <w:p>
      <w:pPr>
        <w:ind w:left="40" w:right="339" w:firstLine="324"/>
        <w:spacing w:after="0" w:line="261" w:lineRule="auto"/>
        <w:rPr>
          <w:sz w:val="20"/>
          <w:szCs w:val="20"/>
          <w:color w:val="auto"/>
        </w:rPr>
      </w:pPr>
      <w:r>
        <w:rPr>
          <w:rFonts w:ascii="Times New Roman" w:cs="Times New Roman" w:eastAsia="Times New Roman" w:hAnsi="Times New Roman"/>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our business will be adversely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affected. In addition, the adverse impact of general economic factors that are beyond our control, including, but not limited to, housing markets, recession, inflation, deflation, consumer credit activity, consumer debt levels, exchange rate volatility, fuel and energy costs, interest rates, bank failures, tax rates and policy, unemployment trends, potential industry downturn, the impact of natural disasters such as pandemics, civil disturbances, terrorist activities and acts of war, including the military conflict in Ukraine, may adversely impact consumer spending, which may adversely impact our customers’ spending and demand for our products. As an example, in the United States, capital markets have experienced and continue to experience volatility and disruption. Furthermore, inflation rates in the United States have recently increased to levels not seen in decades resulting in federal action to increase interest rates, affecting capital markets.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Additionally, the military conflict in Ukraine and escalating geopolitical tensions resulting from such conflict have resulted and may continue to result in sanctions, tariffs, and import-export restrictions which, when combined with retaliatory actions taken by Russia, could cause further inflationary pressures and economic and supply chain disruptions, as well as cause us to experience extended lead times and increased prices from our suppliers. Any of the foregoing could adversely affect our business, financial condition, results of operations and cash flows.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natural disasters and other catastrophic events.</w:t>
      </w:r>
    </w:p>
    <w:p>
      <w:pPr>
        <w:spacing w:after="0" w:line="229" w:lineRule="exact"/>
        <w:rPr>
          <w:sz w:val="20"/>
          <w:szCs w:val="20"/>
          <w:color w:val="auto"/>
        </w:rPr>
      </w:pPr>
    </w:p>
    <w:p>
      <w:pPr>
        <w:ind w:left="40" w:right="179" w:firstLine="324"/>
        <w:spacing w:after="0" w:line="253" w:lineRule="auto"/>
        <w:rPr>
          <w:sz w:val="20"/>
          <w:szCs w:val="20"/>
          <w:color w:val="auto"/>
        </w:rPr>
      </w:pPr>
      <w:r>
        <w:rPr>
          <w:rFonts w:ascii="Times New Roman" w:cs="Times New Roman" w:eastAsia="Times New Roman" w:hAnsi="Times New Roman"/>
          <w:sz w:val="18"/>
          <w:szCs w:val="18"/>
          <w:color w:val="auto"/>
        </w:rPr>
        <w:t>Our operations and business, and those of our manufacturing partners, customers, distributors, or suppliers, can be disrupted by natural disasters; industrial accidents; public health issues, such as COVID-19;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ind w:left="40" w:right="219" w:firstLine="401"/>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March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gridSpan w:val="21"/>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0"/>
                <w:szCs w:val="10"/>
                <w:color w:val="auto"/>
              </w:rPr>
            </w:pPr>
          </w:p>
        </w:tc>
        <w:tc>
          <w:tcPr>
            <w:tcW w:w="660" w:type="dxa"/>
            <w:vAlign w:val="bottom"/>
            <w:vMerge w:val="restart"/>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260" w:type="dxa"/>
            <w:vAlign w:val="bottom"/>
          </w:tcPr>
          <w:p>
            <w:pPr>
              <w:spacing w:after="0"/>
              <w:rPr>
                <w:sz w:val="10"/>
                <w:szCs w:val="10"/>
                <w:color w:val="auto"/>
              </w:rPr>
            </w:pPr>
          </w:p>
        </w:tc>
        <w:tc>
          <w:tcPr>
            <w:tcW w:w="13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1"/>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6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Certificate</w:t>
              </w:r>
            </w:hyperlink>
          </w:p>
        </w:tc>
        <w:tc>
          <w:tcPr>
            <w:tcW w:w="660" w:type="dxa"/>
            <w:vAlign w:val="bottom"/>
          </w:tcPr>
          <w:p>
            <w:pPr>
              <w:jc w:val="center"/>
              <w:ind w:left="93"/>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line="196" w:lineRule="exact"/>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ind w:right="36"/>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of Incorporation</w:t>
              </w:r>
            </w:hyperlink>
          </w:p>
        </w:tc>
        <w:tc>
          <w:tcPr>
            <w:tcW w:w="4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 xml:space="preserve">Amendment </w:t>
              </w:r>
              <w:r>
                <w:rPr>
                  <w:rFonts w:ascii="Times New Roman" w:cs="Times New Roman" w:eastAsia="Times New Roman" w:hAnsi="Times New Roman"/>
                  <w:sz w:val="18"/>
                  <w:szCs w:val="18"/>
                  <w:color w:val="0000EE"/>
                  <w:highlight w:val="white"/>
                  <w:w w:val="98"/>
                </w:rPr>
                <w:t>to Amended and</w:t>
              </w:r>
            </w:hyperlink>
          </w:p>
        </w:tc>
        <w:tc>
          <w:tcPr>
            <w:tcW w:w="760" w:type="dxa"/>
            <w:vAlign w:val="bottom"/>
            <w:gridSpan w:val="13"/>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7">
              <w:r>
                <w:rPr>
                  <w:rFonts w:ascii="Times New Roman" w:cs="Times New Roman" w:eastAsia="Times New Roman" w:hAnsi="Times New Roman"/>
                  <w:sz w:val="18"/>
                  <w:szCs w:val="18"/>
                  <w:color w:val="0000EE"/>
                  <w:w w:val="97"/>
                </w:rPr>
                <w:t>Incorporation</w:t>
              </w:r>
            </w:hyperlink>
          </w:p>
        </w:tc>
        <w:tc>
          <w:tcPr>
            <w:tcW w:w="19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Amendment to Amended and</w:t>
              </w:r>
            </w:hyperlink>
          </w:p>
        </w:tc>
        <w:tc>
          <w:tcPr>
            <w:tcW w:w="760" w:type="dxa"/>
            <w:vAlign w:val="bottom"/>
            <w:gridSpan w:val="13"/>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8">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Incorporation</w:t>
              </w:r>
            </w:hyperlink>
          </w:p>
        </w:tc>
        <w:tc>
          <w:tcPr>
            <w:tcW w:w="19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Amendment to Amended and</w:t>
              </w:r>
            </w:hyperlink>
          </w:p>
        </w:tc>
        <w:tc>
          <w:tcPr>
            <w:tcW w:w="760" w:type="dxa"/>
            <w:vAlign w:val="bottom"/>
            <w:gridSpan w:val="13"/>
          </w:tcPr>
          <w:p>
            <w:pPr>
              <w:spacing w:after="0"/>
              <w:rPr>
                <w:sz w:val="24"/>
                <w:szCs w:val="24"/>
                <w:color w:val="auto"/>
              </w:rPr>
            </w:pPr>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3.1</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5/25/2023</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9">
              <w:r>
                <w:rPr>
                  <w:rFonts w:ascii="Times New Roman" w:cs="Times New Roman" w:eastAsia="Times New Roman" w:hAnsi="Times New Roman"/>
                  <w:sz w:val="18"/>
                  <w:szCs w:val="18"/>
                  <w:color w:val="0000EE"/>
                  <w:w w:val="98"/>
                </w:rPr>
                <w:t>Restated Certificate of</w:t>
              </w:r>
            </w:hyperlink>
          </w:p>
        </w:tc>
        <w:tc>
          <w:tcPr>
            <w:tcW w:w="126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59">
              <w:r>
                <w:rPr>
                  <w:rFonts w:ascii="Times New Roman" w:cs="Times New Roman" w:eastAsia="Times New Roman" w:hAnsi="Times New Roman"/>
                  <w:sz w:val="18"/>
                  <w:szCs w:val="18"/>
                  <w:color w:val="0000EE"/>
                  <w:w w:val="97"/>
                </w:rPr>
                <w:t>Incorporation</w:t>
              </w:r>
            </w:hyperlink>
          </w:p>
        </w:tc>
        <w:tc>
          <w:tcPr>
            <w:tcW w:w="190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3"/>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Amended and Restated Bylaws</w:t>
              </w:r>
            </w:hyperlink>
          </w:p>
        </w:tc>
        <w:tc>
          <w:tcPr>
            <w:tcW w:w="66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001-37900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right="36"/>
              <w:spacing w:after="0"/>
              <w:rPr>
                <w:sz w:val="20"/>
                <w:szCs w:val="20"/>
                <w:color w:val="auto"/>
              </w:rPr>
            </w:pPr>
            <w:r>
              <w:rPr>
                <w:rFonts w:ascii="Times New Roman" w:cs="Times New Roman" w:eastAsia="Times New Roman" w:hAnsi="Times New Roman"/>
                <w:sz w:val="18"/>
                <w:szCs w:val="18"/>
                <w:color w:val="auto"/>
                <w:w w:val="97"/>
              </w:rPr>
              <w:t>3.2</w:t>
            </w:r>
          </w:p>
        </w:tc>
        <w:tc>
          <w:tcPr>
            <w:tcW w:w="2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Offer Letter, dated July 10, 2018,</w:t>
            </w:r>
          </w:p>
        </w:tc>
        <w:tc>
          <w:tcPr>
            <w:tcW w:w="4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by and between the registrant and</w:t>
            </w:r>
          </w:p>
        </w:tc>
        <w:tc>
          <w:tcPr>
            <w:tcW w:w="4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David Schrenk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Amended and Restated Executive</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Change in Control Plan</w:t>
            </w:r>
          </w:p>
        </w:tc>
        <w:tc>
          <w:tcPr>
            <w:tcW w:w="46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Pursuant to</w:t>
            </w:r>
          </w:p>
        </w:tc>
        <w:tc>
          <w:tcPr>
            <w:tcW w:w="7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Rules 13a-14(a) and 15d-14(a)</w:t>
            </w:r>
          </w:p>
        </w:tc>
        <w:tc>
          <w:tcPr>
            <w:tcW w:w="64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under the 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72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Rules 13a-</w:t>
            </w:r>
          </w:p>
        </w:tc>
        <w:tc>
          <w:tcPr>
            <w:tcW w:w="300" w:type="dxa"/>
            <w:vAlign w:val="bottom"/>
            <w:tcBorders>
              <w:top w:val="single" w:sz="8" w:color="0000EE"/>
            </w:tcBorders>
            <w:gridSpan w:val="8"/>
          </w:tcPr>
          <w:p>
            <w:pPr>
              <w:spacing w:after="0"/>
              <w:rPr>
                <w:sz w:val="17"/>
                <w:szCs w:val="17"/>
                <w:color w:val="auto"/>
              </w:rPr>
            </w:pPr>
          </w:p>
        </w:tc>
        <w:tc>
          <w:tcPr>
            <w:tcW w:w="3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14(a) and 15d-14(a) under the</w:t>
            </w:r>
          </w:p>
        </w:tc>
        <w:tc>
          <w:tcPr>
            <w:tcW w:w="7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Exchange Act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Certification of Principal</w:t>
            </w:r>
          </w:p>
        </w:tc>
        <w:tc>
          <w:tcPr>
            <w:tcW w:w="108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Officer and Principal</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Officer Pursuant to 18</w:t>
            </w:r>
          </w:p>
        </w:tc>
        <w:tc>
          <w:tcPr>
            <w:tcW w:w="56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U.S.C. Section 1350, as Adopted</w:t>
            </w:r>
          </w:p>
        </w:tc>
        <w:tc>
          <w:tcPr>
            <w:tcW w:w="5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7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84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the instance document does not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appear in the Interactive Data File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because its XBRL tags 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embedded within the Inline XBRL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Extension Schema Document</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Calculation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Definition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Label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900" w:space="42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Inline XBRL Taxonomy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Extension Presentation Linkbase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w:t>
      </w:r>
    </w:p>
    <w:p>
      <w:pPr>
        <w:spacing w:after="0" w:line="200" w:lineRule="exact"/>
        <w:rPr>
          <w:sz w:val="20"/>
          <w:szCs w:val="20"/>
          <w:color w:val="auto"/>
        </w:rPr>
      </w:pPr>
    </w:p>
    <w:p>
      <w:pPr>
        <w:sectPr>
          <w:pgSz w:w="11900" w:h="16838" w:orient="portrait"/>
          <w:cols w:equalWidth="0" w:num="2">
            <w:col w:w="880" w:space="440"/>
            <w:col w:w="7699"/>
          </w:cols>
          <w:pgMar w:left="1440" w:top="513" w:right="1440" w:bottom="1440" w:gutter="0" w:footer="0" w:header="0"/>
          <w:type w:val="continuous"/>
        </w:sectPr>
      </w:pP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Cover Page Interactive Data File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(formatted as Inline XBRL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-806450</wp:posOffset>
            </wp:positionH>
            <wp:positionV relativeFrom="paragraph">
              <wp:posOffset>74295</wp:posOffset>
            </wp:positionV>
            <wp:extent cx="141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720"/>
            <w:col w:w="7699"/>
          </w:cols>
          <w:pgMar w:left="1440" w:top="513" w:right="1440" w:bottom="1440" w:gutter="0" w:footer="0" w:header="0"/>
          <w:type w:val="continuous"/>
        </w:sectPr>
      </w:pPr>
    </w:p>
    <w:p>
      <w:pPr>
        <w:spacing w:after="0" w:line="7" w:lineRule="exact"/>
        <w:rPr>
          <w:sz w:val="20"/>
          <w:szCs w:val="20"/>
          <w:color w:val="auto"/>
        </w:rPr>
      </w:pPr>
    </w:p>
    <w:p>
      <w:pPr>
        <w:ind w:left="360" w:hanging="316"/>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60" w:right="99" w:hanging="316"/>
        <w:spacing w:after="0" w:line="253" w:lineRule="auto"/>
        <w:tabs>
          <w:tab w:leader="none" w:pos="35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Everspin Technologies, Inc.</w:t>
            </w:r>
          </w:p>
        </w:tc>
      </w:tr>
      <w:tr>
        <w:trPr>
          <w:trHeight w:val="4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By:/s/ Sanjeev Aggarwal</w:t>
            </w:r>
          </w:p>
        </w:tc>
      </w:tr>
      <w:tr>
        <w:trPr>
          <w:trHeight w:val="191"/>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Sanjeev Aggarwal</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By:/s/ Anuj Aggarwal</w:t>
            </w:r>
          </w:p>
        </w:tc>
      </w:tr>
      <w:tr>
        <w:trPr>
          <w:trHeight w:val="191"/>
        </w:trPr>
        <w:tc>
          <w:tcPr>
            <w:tcW w:w="2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Anuj Aggarwal</w:t>
            </w:r>
          </w:p>
        </w:tc>
      </w:tr>
      <w:tr>
        <w:trPr>
          <w:trHeight w:val="216"/>
        </w:trPr>
        <w:tc>
          <w:tcPr>
            <w:tcW w:w="2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75"/>
        </w:trPr>
        <w:tc>
          <w:tcPr>
            <w:tcW w:w="2860" w:type="dxa"/>
            <w:vAlign w:val="bottom"/>
          </w:tcPr>
          <w:p>
            <w:pPr>
              <w:spacing w:after="0"/>
              <w:rPr>
                <w:sz w:val="24"/>
                <w:szCs w:val="24"/>
                <w:color w:val="auto"/>
              </w:rPr>
            </w:pPr>
          </w:p>
        </w:tc>
        <w:tc>
          <w:tcPr>
            <w:tcW w:w="25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41</w:t>
            </w:r>
          </w:p>
        </w:tc>
        <w:tc>
          <w:tcPr>
            <w:tcW w:w="35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156845</wp:posOffset>
            </wp:positionV>
            <wp:extent cx="2366010" cy="668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36601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Mr. David Schrenk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Chandler, AZ 85248</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David,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am pleased to provide you this offer to join Everspin Technologies, Inc. as Director of Business Marketing reporting to Rizwan Ahmed, Vice President of Marketing. You will be assigned to our Corporate Headquarters location in Chandler, AZ.</w:t>
      </w:r>
    </w:p>
    <w:p>
      <w:pPr>
        <w:spacing w:after="0" w:line="162" w:lineRule="exact"/>
        <w:rPr>
          <w:sz w:val="20"/>
          <w:szCs w:val="20"/>
          <w:color w:val="auto"/>
        </w:rPr>
      </w:pPr>
    </w:p>
    <w:p>
      <w:pPr>
        <w:jc w:val="both"/>
        <w:ind w:hanging="6"/>
        <w:spacing w:after="0" w:line="266" w:lineRule="auto"/>
        <w:rPr>
          <w:sz w:val="20"/>
          <w:szCs w:val="20"/>
          <w:color w:val="auto"/>
        </w:rPr>
      </w:pPr>
      <w:r>
        <w:rPr>
          <w:rFonts w:ascii="Times New Roman" w:cs="Times New Roman" w:eastAsia="Times New Roman" w:hAnsi="Times New Roman"/>
          <w:sz w:val="18"/>
          <w:szCs w:val="18"/>
          <w:color w:val="auto"/>
        </w:rPr>
        <w:t>Your base salary will be $180,000.00 annually, payable bi-weekly, and subject to deductions for taxes and other withholdings as required by US law or the policies of the company. As part of your compensation you will also be eligible for a bonus target payout of twenty-five percent (25%) of your annual base compensation, pro-rated for 2018.</w:t>
      </w:r>
    </w:p>
    <w:p>
      <w:pPr>
        <w:spacing w:after="0" w:line="176" w:lineRule="exact"/>
        <w:rPr>
          <w:sz w:val="20"/>
          <w:szCs w:val="20"/>
          <w:color w:val="auto"/>
        </w:rPr>
      </w:pPr>
    </w:p>
    <w:p>
      <w:pPr>
        <w:jc w:val="both"/>
        <w:ind w:hanging="6"/>
        <w:spacing w:after="0" w:line="238" w:lineRule="auto"/>
        <w:rPr>
          <w:sz w:val="20"/>
          <w:szCs w:val="20"/>
          <w:color w:val="auto"/>
        </w:rPr>
      </w:pPr>
      <w:r>
        <w:rPr>
          <w:rFonts w:ascii="Times New Roman" w:cs="Times New Roman" w:eastAsia="Times New Roman" w:hAnsi="Times New Roman"/>
          <w:sz w:val="18"/>
          <w:szCs w:val="18"/>
          <w:color w:val="auto"/>
        </w:rPr>
        <w:t>You will receive 11,250 shares stock options and 3750 shares of restricted stock units (RSU's) in Everspin Technologies, Inc., subject to the Everspin Stock Option Plan. The stock options will vest over a 4-year period. An initial 25% of the shares shall become exercisable on the first anniversary of the date of grant and an additional 1/48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exercisable each month thereafter until all such shares will have vested. The RSU's shall vest at 25% per year so that the shares will be fully vested on the fourth anniversary of the Vesting Commencement Date; provided, that the Optionee is providing Continuous Service (as defined in the 2016 Equity Incentive Plan) to the Company on each such vesting date. This grant is subject to other terms as may be set forth in the Everspin Stock Option Plan or your individual stock option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The detailed components of the Company's benefit plan are attached. Major benefits include:</w:t>
      </w:r>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Medical, Dental, and Vision Care Coverage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Prescription Drug Program</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Coverage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Accounts and Health Savings Accounts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Life and Disability Insurance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participation (if eligible)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Time Off and Holidays, consistent with Company policy</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Everspins Employee Stock Purchase Plan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5670 W. Chandler Blvd., Suite 100, Chandler, AZ 85226</w:t>
            </w:r>
          </w:p>
        </w:tc>
        <w:tc>
          <w:tcPr>
            <w:tcW w:w="4280" w:type="dxa"/>
            <w:vAlign w:val="bottom"/>
          </w:tcPr>
          <w:p>
            <w:pPr>
              <w:jc w:val="right"/>
              <w:ind w:right="1470"/>
              <w:spacing w:after="0"/>
              <w:rPr>
                <w:sz w:val="20"/>
                <w:szCs w:val="20"/>
                <w:color w:val="auto"/>
              </w:rPr>
            </w:pPr>
            <w:r>
              <w:rPr>
                <w:rFonts w:ascii="Arial" w:cs="Arial" w:eastAsia="Arial" w:hAnsi="Arial"/>
                <w:sz w:val="18"/>
                <w:szCs w:val="18"/>
                <w:color w:val="auto"/>
              </w:rPr>
              <w:t>(480) 347-1111</w:t>
            </w: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www.Everspin.com</w:t>
            </w:r>
          </w:p>
        </w:tc>
        <w:tc>
          <w:tcPr>
            <w:tcW w:w="4280" w:type="dxa"/>
            <w:vAlign w:val="bottom"/>
          </w:tcPr>
          <w:p>
            <w:pPr>
              <w:spacing w:after="0"/>
              <w:rPr>
                <w:sz w:val="20"/>
                <w:szCs w:val="20"/>
                <w:color w:val="auto"/>
              </w:rPr>
            </w:pPr>
          </w:p>
        </w:tc>
      </w:tr>
      <w:tr>
        <w:trPr>
          <w:trHeight w:val="560"/>
        </w:trPr>
        <w:tc>
          <w:tcPr>
            <w:tcW w:w="56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33" w:right="999" w:bottom="1440" w:gutter="0" w:footer="0" w:header="0"/>
        </w:sectPr>
      </w:pPr>
    </w:p>
    <w:bookmarkStart w:id="42" w:name="page43"/>
    <w:bookmarkEnd w:id="42"/>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Your employment with Everspin Technologies is "at will", meaning that you may terminate your employment at any time and for any reason whatsoever. Likewise, Everspin Technologies may terminate your employment at any time and for any reason, with or without cause or notice.</w:t>
      </w:r>
    </w:p>
    <w:p>
      <w:pPr>
        <w:spacing w:after="0" w:line="176" w:lineRule="exact"/>
        <w:rPr>
          <w:sz w:val="20"/>
          <w:szCs w:val="20"/>
          <w:color w:val="auto"/>
        </w:rPr>
      </w:pPr>
    </w:p>
    <w:p>
      <w:pPr>
        <w:jc w:val="both"/>
        <w:ind w:left="20" w:right="20" w:firstLine="6"/>
        <w:spacing w:after="0" w:line="282" w:lineRule="auto"/>
        <w:rPr>
          <w:sz w:val="20"/>
          <w:szCs w:val="20"/>
          <w:color w:val="auto"/>
        </w:rPr>
      </w:pPr>
      <w:r>
        <w:rPr>
          <w:rFonts w:ascii="Times New Roman" w:cs="Times New Roman" w:eastAsia="Times New Roman" w:hAnsi="Times New Roman"/>
          <w:sz w:val="18"/>
          <w:szCs w:val="18"/>
          <w:color w:val="auto"/>
        </w:rPr>
        <w:t>Other Arrangements: This offer of employment is contingent on your agreement to and execution of an Employee Proprietary Information and Inventions Assignment Agreement. This offer will terminate if not accepted in writing by July 17th, 2018</w:t>
      </w:r>
    </w:p>
    <w:p>
      <w:pPr>
        <w:spacing w:after="0" w:line="175" w:lineRule="exact"/>
        <w:rPr>
          <w:sz w:val="20"/>
          <w:szCs w:val="20"/>
          <w:color w:val="auto"/>
        </w:rPr>
      </w:pPr>
    </w:p>
    <w:p>
      <w:pPr>
        <w:jc w:val="both"/>
        <w:ind w:left="20" w:hanging="6"/>
        <w:spacing w:after="0" w:line="282" w:lineRule="auto"/>
        <w:rPr>
          <w:sz w:val="20"/>
          <w:szCs w:val="20"/>
          <w:color w:val="auto"/>
        </w:rPr>
      </w:pPr>
      <w:r>
        <w:rPr>
          <w:rFonts w:ascii="Times New Roman" w:cs="Times New Roman" w:eastAsia="Times New Roman" w:hAnsi="Times New Roman"/>
          <w:sz w:val="18"/>
          <w:szCs w:val="18"/>
          <w:color w:val="auto"/>
        </w:rPr>
        <w:t>This offer is considered accepted with your signature below. We welcome you to Everspin Technologies, Inc., and are excited about the contribution you can make to its success.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Jim Everett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22028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Jim Everett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of Global Human Resources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Accepted;</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648"/>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Schrenk</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648"/>
        </w:trPr>
        <w:tc>
          <w:tcPr>
            <w:tcW w:w="2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David Schrenk</w:t>
            </w:r>
          </w:p>
        </w:tc>
        <w:tc>
          <w:tcPr>
            <w:tcW w:w="500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7/16/18</w:t>
            </w:r>
          </w:p>
        </w:tc>
        <w:tc>
          <w:tcPr>
            <w:tcW w:w="318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spacing w:after="0"/>
              <w:rPr>
                <w:sz w:val="19"/>
                <w:szCs w:val="19"/>
                <w:color w:val="auto"/>
              </w:rPr>
            </w:pPr>
          </w:p>
        </w:tc>
      </w:tr>
      <w:tr>
        <w:trPr>
          <w:trHeight w:val="41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Anticipated Start Date:</w:t>
            </w:r>
          </w:p>
        </w:tc>
        <w:tc>
          <w:tcPr>
            <w:tcW w:w="50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rPr>
              <w:t>Aug 20, 2018</w:t>
            </w:r>
          </w:p>
        </w:tc>
        <w:tc>
          <w:tcPr>
            <w:tcW w:w="3180" w:type="dxa"/>
            <w:vAlign w:val="bottom"/>
          </w:tcPr>
          <w:p>
            <w:pPr>
              <w:spacing w:after="0"/>
              <w:rPr>
                <w:sz w:val="24"/>
                <w:szCs w:val="24"/>
                <w:color w:val="auto"/>
              </w:rPr>
            </w:pPr>
          </w:p>
        </w:tc>
      </w:tr>
      <w:tr>
        <w:trPr>
          <w:trHeight w:val="623"/>
        </w:trPr>
        <w:tc>
          <w:tcPr>
            <w:tcW w:w="20" w:type="dxa"/>
            <w:vAlign w:val="bottom"/>
          </w:tcPr>
          <w:p>
            <w:pPr>
              <w:spacing w:after="0"/>
              <w:rPr>
                <w:sz w:val="24"/>
                <w:szCs w:val="24"/>
                <w:color w:val="auto"/>
              </w:rPr>
            </w:pPr>
          </w:p>
        </w:tc>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5670 W. Chandler Blvd., Suite 100, Chandler, AZ 85226</w:t>
            </w:r>
          </w:p>
        </w:tc>
        <w:tc>
          <w:tcPr>
            <w:tcW w:w="3180" w:type="dxa"/>
            <w:vAlign w:val="bottom"/>
          </w:tcPr>
          <w:p>
            <w:pPr>
              <w:jc w:val="right"/>
              <w:ind w:right="1470"/>
              <w:spacing w:after="0"/>
              <w:rPr>
                <w:sz w:val="20"/>
                <w:szCs w:val="20"/>
                <w:color w:val="auto"/>
              </w:rPr>
            </w:pPr>
            <w:r>
              <w:rPr>
                <w:rFonts w:ascii="Arial" w:cs="Arial" w:eastAsia="Arial" w:hAnsi="Arial"/>
                <w:sz w:val="18"/>
                <w:szCs w:val="18"/>
                <w:color w:val="auto"/>
              </w:rPr>
              <w:t>(480) 347-1111</w:t>
            </w: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www.Everspin.com</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560"/>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60" w:top="87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CHANGE IN CONTROL PLAN</w:t>
      </w:r>
    </w:p>
    <w:p>
      <w:pPr>
        <w:spacing w:after="0" w:line="225"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Executive Group</w:t>
      </w:r>
      <w:r>
        <w:rPr>
          <w:sz w:val="20"/>
          <w:szCs w:val="20"/>
          <w:color w:val="auto"/>
        </w:rPr>
        <w:tab/>
      </w:r>
      <w:r>
        <w:rPr>
          <w:rFonts w:ascii="Times New Roman" w:cs="Times New Roman" w:eastAsia="Times New Roman" w:hAnsi="Times New Roman"/>
          <w:sz w:val="17"/>
          <w:szCs w:val="17"/>
          <w:b w:val="1"/>
          <w:bCs w:val="1"/>
          <w:color w:val="auto"/>
        </w:rPr>
        <w:t>Executive CIC Benefits in connection with a Change in Control</w:t>
      </w:r>
    </w:p>
    <w:p>
      <w:pPr>
        <w:spacing w:after="0" w:line="4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 12 months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62922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President and CEO, CFO</w:t>
      </w:r>
      <w:r>
        <w:rPr>
          <w:sz w:val="20"/>
          <w:szCs w:val="20"/>
          <w:color w:val="auto"/>
        </w:rPr>
        <w:tab/>
      </w:r>
      <w:r>
        <w:rPr>
          <w:rFonts w:ascii="Times New Roman" w:cs="Times New Roman" w:eastAsia="Times New Roman" w:hAnsi="Times New Roman"/>
          <w:sz w:val="17"/>
          <w:szCs w:val="17"/>
          <w:color w:val="auto"/>
        </w:rPr>
        <w:t>● Full performance-based bonus at target</w:t>
      </w:r>
    </w:p>
    <w:p>
      <w:pPr>
        <w:spacing w:after="0" w:line="9" w:lineRule="exact"/>
        <w:rPr>
          <w:sz w:val="20"/>
          <w:szCs w:val="20"/>
          <w:color w:val="auto"/>
        </w:rPr>
      </w:pPr>
    </w:p>
    <w:p>
      <w:pPr>
        <w:ind w:left="2200" w:right="4600" w:hanging="2186"/>
        <w:spacing w:after="0" w:line="290" w:lineRule="auto"/>
        <w:tabs>
          <w:tab w:leader="none" w:pos="2180" w:val="left"/>
        </w:tabs>
        <w:rPr>
          <w:sz w:val="20"/>
          <w:szCs w:val="20"/>
          <w:color w:val="auto"/>
        </w:rPr>
      </w:pPr>
      <w:r>
        <w:rPr>
          <w:rFonts w:ascii="Times New Roman" w:cs="Times New Roman" w:eastAsia="Times New Roman" w:hAnsi="Times New Roman"/>
          <w:sz w:val="18"/>
          <w:szCs w:val="18"/>
          <w:b w:val="1"/>
          <w:bCs w:val="1"/>
          <w:color w:val="auto"/>
        </w:rPr>
        <w:t>and CTO</w:t>
      </w:r>
      <w:r>
        <w:rPr>
          <w:sz w:val="20"/>
          <w:szCs w:val="20"/>
          <w:color w:val="auto"/>
        </w:rPr>
        <w:tab/>
      </w:r>
      <w:r>
        <w:rPr>
          <w:rFonts w:ascii="Times New Roman" w:cs="Times New Roman" w:eastAsia="Times New Roman" w:hAnsi="Times New Roman"/>
          <w:sz w:val="17"/>
          <w:szCs w:val="17"/>
          <w:color w:val="auto"/>
        </w:rPr>
        <w:t>● 12 months COBRA benefits continuation ● 12 months of Vesting Acceleration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6292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Everspin Technologies, Inc. Executive Change in Control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first adopted effective March 10, 2020 and amended on March 14, 2022, is amended and restated in its entirety on February 28, 2023 (the “</w:t>
      </w:r>
      <w:r>
        <w:rPr>
          <w:rFonts w:ascii="Times New Roman" w:cs="Times New Roman" w:eastAsia="Times New Roman" w:hAnsi="Times New Roman"/>
          <w:sz w:val="18"/>
          <w:szCs w:val="18"/>
          <w:b w:val="1"/>
          <w:bCs w:val="1"/>
          <w:i w:val="1"/>
          <w:iCs w:val="1"/>
          <w:color w:val="auto"/>
        </w:rPr>
        <w:t>Restatement Date</w:t>
      </w:r>
      <w:r>
        <w:rPr>
          <w:rFonts w:ascii="Times New Roman" w:cs="Times New Roman" w:eastAsia="Times New Roman" w:hAnsi="Times New Roman"/>
          <w:sz w:val="18"/>
          <w:szCs w:val="18"/>
          <w:color w:val="auto"/>
        </w:rPr>
        <w:t>”). The purpose of the Plan is to provide for the payment of severance benefits to certain eligible employees of the Company in the event that such employees are subject to qualifying employment terminations in connection with a Change in Control. This Plan shall supersede any severance benefit plan, policy or practice previously maintained by the Company, other than an individually negotiated contract or agreement with the Company relating to severance or change in control benefits that is in effect on an employee’s termination date, in which case such employee’s severance benefit, if any, shall be governed by the terms of such individually negotiated employment contract or agreement and shall be governed by this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Plan, the following terms are defined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shall mean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shall mean your termination for any one or more of the following reasons:</w:t>
      </w:r>
    </w:p>
    <w:p>
      <w:pPr>
        <w:spacing w:after="0" w:line="31" w:lineRule="exact"/>
        <w:rPr>
          <w:sz w:val="20"/>
          <w:szCs w:val="20"/>
          <w:color w:val="auto"/>
        </w:rPr>
      </w:pPr>
    </w:p>
    <w:p>
      <w:pPr>
        <w:ind w:left="980" w:right="2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indictment or conviction of any felony or any crime involving dishonesty or moral turpitude under the laws of the United States or any state thereof;</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refusal to abide by or comply with any reasonable, lawful directives of the CEO or the Board;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willful dishonesty, fraud, or material misconduct with respect to the business or affairs of the Company;</w:t>
      </w:r>
    </w:p>
    <w:p>
      <w:pPr>
        <w:spacing w:after="0" w:line="9"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intentional, material, violation of any contract or agreement with the Company or of any statutory duty owed to the Company; or</w:t>
      </w: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by which you demonstrate gross unfitness to serve.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shall mean (a) any Exchange Act Person becomes the Owner of securities of the company representing more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50% of the combined voting power of the then outstanding securities other than by virtue of a merger, consolidation or similar transaction, (b) a consolidation or merger of the Company with or into any other corporation or other entity or person, or any corporate reorganization in which the stockholders of the Company immediately prior to such consolidation, merger or reorganization, own less than 50% of the voting power of the surviving entity immediately after such consolidation, merger or reorganization, provided, however, that the outstanding voting securities representing more than 50% of the combined voting power of the surviving Entity or its parent are not owned by the IPO entities, (c) a sale or other disposition of all or substantially all of the assets of the Company, or (d) a complete dissolution or liquidation of the Company, except for a liquidation into a parent corporation. A Change in Control shall not include a sale of assets, merger or other transaction effected exclusively for the purpose of changing the domicile of the Company and the definition of Change in Control in an individual written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shall mean Everspin Technologies, Inc., or any acquirer or successor in interest thereof.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“Double Trigger” </w:t>
      </w:r>
      <w:r>
        <w:rPr>
          <w:rFonts w:ascii="Times New Roman" w:cs="Times New Roman" w:eastAsia="Times New Roman" w:hAnsi="Times New Roman"/>
          <w:sz w:val="18"/>
          <w:szCs w:val="18"/>
          <w:color w:val="auto"/>
        </w:rPr>
        <w:t>shall be achieved if your employment is terminated by the Company without Cause or by you for Good Reason at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during the period commencing three months prior to a Change in Control and ending 12 months—or in the case of the President and CEO, 18 months—following the Change in Control. For clarity, no payments or benefits will be provided under this Plan until this Double Trigger requirement has been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“Equity Awards” </w:t>
      </w:r>
      <w:r>
        <w:rPr>
          <w:rFonts w:ascii="Times New Roman" w:cs="Times New Roman" w:eastAsia="Times New Roman" w:hAnsi="Times New Roman"/>
          <w:sz w:val="18"/>
          <w:szCs w:val="18"/>
          <w:color w:val="auto"/>
        </w:rPr>
        <w:t>shall mean any equity awards, including but not limited to options, restricted stock and restricted stock units.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1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Reason” </w:t>
      </w:r>
      <w:r>
        <w:rPr>
          <w:rFonts w:ascii="Times New Roman" w:cs="Times New Roman" w:eastAsia="Times New Roman" w:hAnsi="Times New Roman"/>
          <w:sz w:val="18"/>
          <w:szCs w:val="18"/>
          <w:color w:val="auto"/>
        </w:rPr>
        <w:t>shall mean if one of the following events occurs without your written consent: (i) a material reduction in the amount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aggregate cash compensation which you have the opportunity to earn, or failure by the company to pay such compensation; (ii) you are required by the Company to relocate your Primary Work Location (as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by more than 50 miles;</w:t>
      </w:r>
    </w:p>
    <w:p>
      <w:pPr>
        <w:jc w:val="both"/>
        <w:ind w:firstLine="8"/>
        <w:spacing w:after="0" w:line="253" w:lineRule="auto"/>
        <w:tabs>
          <w:tab w:leader="none" w:pos="32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reduction in your duties, authority or responsibilities, but excluding any change to your reporting responsibilities or any change in title that does not represent a material adverse reduction in your duties, authority or responsibilities as existed immediately prior to such change in title and (iv) a material breach by the Company under this agreement or any written agreement between the executive and the company.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clause (iii) above, if the Company is operated as a separate subsidiary or business unit following a Change in Control, such officers will be deemed to have suffered a material reduction in duties, authority or responsibilities if such duties, authority or responsibilities—excluding reporting responsibilities—with respect to such subsidiary or separate business unit are materially changed following such Change in Control. For example, if you were the CFO of the Company, and then the CFO of a subsidiary after the Change in Control such that the only change to your responsibilities were that you no longer had reporting responsibilities, that would not fit within the definition of Good Reason.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effect a Resignation for Good Reason, you must notify the Board within 30 days after the first occurrence of the event described above, the Company must fail to cure such event within 30 days after receiving written notice, and your resignation date must be no later than 60 days after the expiration of the Company’s cure period.</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each individual who is employed by the Company as its President and CEO, its CFO, its CTO or any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that the Board affirmatively determines in its sole discretion to be a Participant, and has received and returned a signed Participation Notice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Board shall make an affirmative determination that an employee serving in any such capacity shall not be a Participant, then such employee shall not be deemed a Participant. The determination of whether an employee is a Participant shall be made by the Company, in its sole discretion, and such determination shall be binding and conclusive on all persons.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“Separation from Service” </w:t>
      </w:r>
      <w:r>
        <w:rPr>
          <w:rFonts w:ascii="Times New Roman" w:cs="Times New Roman" w:eastAsia="Times New Roman" w:hAnsi="Times New Roman"/>
          <w:sz w:val="18"/>
          <w:szCs w:val="18"/>
          <w:color w:val="auto"/>
        </w:rPr>
        <w:t>shall mean any termination of employment is terminated by the Company without Cause or resignation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 Reason, whether or not a Change in Control has occurred, and such termination constitutes a “separation from service” (as defined under Treasury Regulation Section 1.409A-1(h)).</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“Severance Benefits” </w:t>
      </w:r>
      <w:r>
        <w:rPr>
          <w:rFonts w:ascii="Times New Roman" w:cs="Times New Roman" w:eastAsia="Times New Roman" w:hAnsi="Times New Roman"/>
          <w:sz w:val="18"/>
          <w:szCs w:val="18"/>
          <w:color w:val="auto"/>
        </w:rPr>
        <w:t>shall mean the Vesting Acceleration, continuation of benefits, bonus payments and base salary payments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and below or, in the case of a Vice President of the Company who became a Participant after February 28, 2023, described in such Vice President’s Participation Notice.</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Acceleration” </w:t>
      </w:r>
      <w:r>
        <w:rPr>
          <w:rFonts w:ascii="Times New Roman" w:cs="Times New Roman" w:eastAsia="Times New Roman" w:hAnsi="Times New Roman"/>
          <w:sz w:val="18"/>
          <w:szCs w:val="18"/>
          <w:color w:val="auto"/>
        </w:rPr>
        <w:t>shall mean the vesting of the Shares subject to any Equity Awards held by you on the date of your termination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shall be accelerated such that the then unvested Equity Awards shall vest and become exercisable as to the number of shares subject to such equity award that would have vested if the Participant had completed an additional 12 months for the President and CEO, the CFO and the CTO, or an additional number of months as set forth in your Participation Notice of employment following the termination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February 28, 2023, the eligibility requirements of the Plan were amended by the Company’s Compensation Committee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such that, after February 28, 2023, the only individuals eligible to receive benefits under this Plan are the following individuals:</w:t>
      </w:r>
    </w:p>
    <w:p>
      <w:pPr>
        <w:spacing w:after="0" w:line="20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President and CEO so long as such individual has returned the signed Participation Notice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CFO so long as such individual has returned the signed Participation Notice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CTO so long as such individual has returned the signed Participation Notice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Vice President of the Company who, </w:t>
      </w:r>
      <w:r>
        <w:rPr>
          <w:rFonts w:ascii="Times New Roman" w:cs="Times New Roman" w:eastAsia="Times New Roman" w:hAnsi="Times New Roman"/>
          <w:sz w:val="18"/>
          <w:szCs w:val="18"/>
          <w:b w:val="1"/>
          <w:bCs w:val="1"/>
          <w:i w:val="1"/>
          <w:iCs w:val="1"/>
          <w:color w:val="auto"/>
        </w:rPr>
        <w:t>prior to March 14, 2022</w:t>
      </w:r>
      <w:r>
        <w:rPr>
          <w:rFonts w:ascii="Times New Roman" w:cs="Times New Roman" w:eastAsia="Times New Roman" w:hAnsi="Times New Roman"/>
          <w:sz w:val="18"/>
          <w:szCs w:val="18"/>
          <w:color w:val="auto"/>
        </w:rPr>
        <w:t xml:space="preserve">, returned the signed Participation Notice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For such Vice Presidents, their participation and the Severance Benefits to which they may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is governed by the original Plan document dated March 10, 2020.</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Vice President of the Company who, </w:t>
      </w:r>
      <w:r>
        <w:rPr>
          <w:rFonts w:ascii="Times New Roman" w:cs="Times New Roman" w:eastAsia="Times New Roman" w:hAnsi="Times New Roman"/>
          <w:sz w:val="18"/>
          <w:szCs w:val="18"/>
          <w:b w:val="1"/>
          <w:bCs w:val="1"/>
          <w:i w:val="1"/>
          <w:iCs w:val="1"/>
          <w:color w:val="auto"/>
        </w:rPr>
        <w:t>after February 28, 2023</w:t>
      </w:r>
      <w:r>
        <w:rPr>
          <w:rFonts w:ascii="Times New Roman" w:cs="Times New Roman" w:eastAsia="Times New Roman" w:hAnsi="Times New Roman"/>
          <w:sz w:val="18"/>
          <w:szCs w:val="18"/>
          <w:color w:val="auto"/>
        </w:rPr>
        <w:t>, returned the signed Participation Notice attached hereto as</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condition of your receipt of any Severance Benefits or Vesting Acceleration as set forth in this Agreement, you will be required to execute and allow to become effective a general release of claims in favor of the Company, with such changes as may be required due</w:t>
      </w:r>
    </w:p>
    <w:p>
      <w:pPr>
        <w:spacing w:after="0" w:line="400"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2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both"/>
        <w:spacing w:after="0" w:line="259" w:lineRule="auto"/>
        <w:rPr>
          <w:sz w:val="20"/>
          <w:szCs w:val="20"/>
          <w:color w:val="auto"/>
        </w:rPr>
      </w:pPr>
      <w:r>
        <w:rPr>
          <w:rFonts w:ascii="Times New Roman" w:cs="Times New Roman" w:eastAsia="Times New Roman" w:hAnsi="Times New Roman"/>
          <w:sz w:val="18"/>
          <w:szCs w:val="18"/>
          <w:color w:val="auto"/>
        </w:rPr>
        <w:t>to intervening changes in applicable law (a “</w:t>
      </w:r>
      <w:r>
        <w:rPr>
          <w:rFonts w:ascii="Times New Roman" w:cs="Times New Roman" w:eastAsia="Times New Roman" w:hAnsi="Times New Roman"/>
          <w:sz w:val="18"/>
          <w:szCs w:val="18"/>
          <w:b w:val="1"/>
          <w:bCs w:val="1"/>
          <w:i w:val="1"/>
          <w:iCs w:val="1"/>
          <w:color w:val="auto"/>
        </w:rPr>
        <w:t>General Release</w:t>
      </w:r>
      <w:r>
        <w:rPr>
          <w:rFonts w:ascii="Times New Roman" w:cs="Times New Roman" w:eastAsia="Times New Roman" w:hAnsi="Times New Roman"/>
          <w:sz w:val="18"/>
          <w:szCs w:val="18"/>
          <w:color w:val="auto"/>
        </w:rPr>
        <w:t>”) within 45 days following your employment termination. Unless the Release is timely signed by you, is delivered to the Company, and becomes effective within the required period (the date on which the Release becomes effective, the “</w:t>
      </w:r>
      <w:r>
        <w:rPr>
          <w:rFonts w:ascii="Times New Roman" w:cs="Times New Roman" w:eastAsia="Times New Roman" w:hAnsi="Times New Roman"/>
          <w:sz w:val="18"/>
          <w:szCs w:val="18"/>
          <w:b w:val="1"/>
          <w:bCs w:val="1"/>
          <w:i w:val="1"/>
          <w:iCs w:val="1"/>
          <w:color w:val="auto"/>
        </w:rPr>
        <w:t>Release Date</w:t>
      </w:r>
      <w:r>
        <w:rPr>
          <w:rFonts w:ascii="Times New Roman" w:cs="Times New Roman" w:eastAsia="Times New Roman" w:hAnsi="Times New Roman"/>
          <w:sz w:val="18"/>
          <w:szCs w:val="18"/>
          <w:color w:val="auto"/>
        </w:rPr>
        <w:t>”), you will not be entitled to any Severance Benefits pursuant to this Agreement, and any Vesting Acceleration as provided in this Agreement shall not apply and each Equity Awards may be exercised following the date of your termination only to the extent provided under its original terms.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Salary Continuation will be paid in equal installments on the Company’s regular payroll schedule and will be subject to applicable tax withholdings over the 12-month period outlined above following the date of your Separation from Service; provided, however, that no payments will be made prior to the first payroll date following the effective date of the General Release (the “</w:t>
      </w:r>
      <w:r>
        <w:rPr>
          <w:rFonts w:ascii="Times New Roman" w:cs="Times New Roman" w:eastAsia="Times New Roman" w:hAnsi="Times New Roman"/>
          <w:sz w:val="18"/>
          <w:szCs w:val="18"/>
          <w:b w:val="1"/>
          <w:bCs w:val="1"/>
          <w:i w:val="1"/>
          <w:iCs w:val="1"/>
          <w:color w:val="auto"/>
        </w:rPr>
        <w:t>Initial Payment Date</w:t>
      </w:r>
      <w:r>
        <w:rPr>
          <w:rFonts w:ascii="Times New Roman" w:cs="Times New Roman" w:eastAsia="Times New Roman" w:hAnsi="Times New Roman"/>
          <w:sz w:val="18"/>
          <w:szCs w:val="18"/>
          <w:color w:val="auto"/>
        </w:rPr>
        <w:t>”). On the Initial Payment Date, the Company will pay you in a lump sum the Salary Continuation that you would have received on or prior to such date under the original schedule but for the delay while waiting for Initial Payment Date in compliance with Section 409A and the effectiveness of the General Release, with the balance of the Salary Continuation being paid as originally scheduled. Notwithstanding the foregoing, the Company may pay the Salary Continuation in the form of a lump sum, which amount will be paid on the Initial Payment Date, but such lump sum payment shall be made only if the Company, in consultation with its advisors, determines that such payment will not result in adverse taxation under Section 409A (as defined below). The Pro Rata Bonus will be paid to you in a lump sum on the date on which the Salary Continuation commences.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 provision to the contrary in this Agreement, if you are deemed by the Company at the time of your Separation from Service to be a “specified employee” for purposes of Section 409A of the Internal Revenue Code of 1986, as amended, and the regulations and guidance promulgated thereunder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then to the extent delayed commencement of any portion of the severance benefits to which you are entitled under this Agreement is required in order to avoid adverse taxation under Section 409A, such portion of your benefits shall not be provided to you prior to the earlier of (i) the expiration of the six-month period measured from the date of your Separation from Service with the Company or (ii) the date of your death. Upon the first business day after such earlier date, all payments deferred pursuant to this paragraph shall be paid in a lump sum to you, and any remaining payments due under this Agreement shall be paid as otherwise provided herein. For purposes Section 409A (including, without limitation, for purposes of Treasury Regulation Section 1.409A-2(b)(2)(iii)), your right to receive installment payments under this Agreement shall be treated as a right to receive a series of separate payments and, accordingly, each installment payment hereunder shall at all times be considered a separate and distinct payment. Notwithstanding any other provision of this Agreement, with respect to payments to be made upon execution of an effective release, if the release revocation period spans two calendar years, payments will be made in the second of the two calendar years to the extent necessary to avoid adverse taxation under Section 409A.</w:t>
      </w:r>
    </w:p>
    <w:p>
      <w:pPr>
        <w:spacing w:after="0" w:line="200" w:lineRule="exact"/>
        <w:rPr>
          <w:sz w:val="20"/>
          <w:szCs w:val="20"/>
          <w:color w:val="auto"/>
        </w:rPr>
      </w:pPr>
    </w:p>
    <w:p>
      <w:pPr>
        <w:spacing w:after="0" w:line="226"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3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Section 280G</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Notwithstanding anything in the foregoing to the contrary, if any of the payments to you (prior to any reduction described in this paragraph) provided for in this Agreement, together with any other payments which you have the right to receive from the Company, any acquiror, their affiliates or otherwise (the </w:t>
      </w:r>
      <w:r>
        <w:rPr>
          <w:rFonts w:ascii="Times New Roman" w:cs="Times New Roman" w:eastAsia="Times New Roman" w:hAnsi="Times New Roman"/>
          <w:sz w:val="18"/>
          <w:szCs w:val="18"/>
          <w:b w:val="1"/>
          <w:bCs w:val="1"/>
          <w:i w:val="1"/>
          <w:iCs w:val="1"/>
          <w:color w:val="auto"/>
        </w:rPr>
        <w:t>“Payments”</w:t>
      </w:r>
      <w:r>
        <w:rPr>
          <w:rFonts w:ascii="Times New Roman" w:cs="Times New Roman" w:eastAsia="Times New Roman" w:hAnsi="Times New Roman"/>
          <w:sz w:val="18"/>
          <w:szCs w:val="18"/>
          <w:color w:val="auto"/>
        </w:rPr>
        <w:t>) would constitute a “parachute payment” (as defined in Section 280G(b)(2)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if the Safe Harbor Amount, as defined below, is greater than the Taxed Amount, as defined below, then the total amount of such Payments shall be reduced to the Safe Harbor Amount. The “</w:t>
      </w:r>
      <w:r>
        <w:rPr>
          <w:rFonts w:ascii="Times New Roman" w:cs="Times New Roman" w:eastAsia="Times New Roman" w:hAnsi="Times New Roman"/>
          <w:sz w:val="18"/>
          <w:szCs w:val="18"/>
          <w:b w:val="1"/>
          <w:bCs w:val="1"/>
          <w:i w:val="1"/>
          <w:iCs w:val="1"/>
          <w:color w:val="auto"/>
        </w:rPr>
        <w:t>Safe Harbor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 is the largest portion of the Payments that would result in no portion of the Payments being subject to the excise tax set forth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4999 of the Code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Taxed Amount</w:t>
      </w:r>
      <w:r>
        <w:rPr>
          <w:rFonts w:ascii="Times New Roman" w:cs="Times New Roman" w:eastAsia="Times New Roman" w:hAnsi="Times New Roman"/>
          <w:sz w:val="18"/>
          <w:szCs w:val="18"/>
          <w:color w:val="auto"/>
        </w:rPr>
        <w:t>” is the total amount of the Payments (prior to any reduction as described in this paragraph) notwithstanding that all or some portion of the Payments may be subject to the Excise Tax. Solely for the purpose of comparing which of the Safe Harbor Amount and the Taxed Amount is greater, the determination of each such amount, shall be made on an after-tax basis, taking into account all applicable federal, state and local employment taxes, income taxes, and the Excise Tax. If a reduction of the Payments to the Safe Harbor Amount is necessary, then the reduction shall occur in the following order: reduction of cash payments; cancellation of accelerated vesting of stock awards; and reduction of employee benefits. In the event that acceleration of vesting of a stock award is to be reduced, such acceleration of vesting shall be cancelled in the reverse order of the date of grant of your stock awards. In applying the foregoing principle with respect to reductions, the reduction shall be made in a manner consistent with the requirements of Section 409A of the Code and the regulations promulgated thereunder, and if more than one method of reduction will result in the same economic benefit, the items so reduced will be reduced pro rata. The accounting firm engaged by the Company for general audit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or the Company otherwise determines such accounting firm should not be engaged for purposes of making the determinations required hereunder, the Company may appoint a nationally recognized accounting firm to make the determinations required hereunder. The Company shall bear all expenses with respect to the determinations by such accounting firm required to be made hereunder. The accounting firm engaged to make the determinations hereunder shall provide its calculations, together with detailed supporting documentation, to the Company and you within 15 calendar days after the date on which your right to a Payment is triggered (if requested at that time by the Company or you) or such other time as requested by the Company or you upon written notice that a payment related to a Change in Control of the Company has been or is to be made.</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in connection with a Change in Control, if there is a conflict in terms between this Executive Change in Control Plan and your existing employment agreement, then the terms of this Executive Change in Control Plan shall govern.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record the adoption of the Plan as set forth herein, Everspin Technologies, Inc. has caused its duly authorized officer to execute the same as of the Restatement Date.</w:t>
      </w:r>
    </w:p>
    <w:p>
      <w:pPr>
        <w:spacing w:after="0" w:line="200" w:lineRule="exact"/>
        <w:rPr>
          <w:sz w:val="20"/>
          <w:szCs w:val="20"/>
          <w:color w:val="auto"/>
        </w:rPr>
      </w:pPr>
    </w:p>
    <w:p>
      <w:pPr>
        <w:spacing w:after="0" w:line="39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8"/>
          <w:szCs w:val="18"/>
          <w:color w:val="auto"/>
        </w:rPr>
        <w:t>Name: Sanjeev Aggarwal</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4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PARTICIPATION NOTICE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Everspin Technologies,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has adopted the Everspin Technologies, Inc. Executive Severance and Change in Control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Company is providing you this Participation Notice to inform you that you have been designated as a Participant in the Plan, and you shall be entitled to the benefits set forth in the Plan in connection with your termination without Cause upon a Change in Control or your resignation with Good Reason upon a Change in Control. A copy of the Plan document is attached to this Participation Notice. The terms and conditions of your participation in the Plan are as set forth in the Plan and this Participation Notice, which together constitute the Summary Plan Description for the Plan.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accepting participation, you represent that you have either consulted your personal tax or financial planning advisor about the tax consequences of your participation in the Plan, or you have knowingly declined to do so.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return a signed copy of this Participation Notice to the Company’s [TITLE] and retain a copy of this Participation Notice, along with the Plan document, for your records.</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19685</wp:posOffset>
            </wp:positionV>
            <wp:extent cx="31375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1"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5715</wp:posOffset>
            </wp:positionV>
            <wp:extent cx="31375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704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18"/>
          <w:szCs w:val="18"/>
          <w:color w:val="auto"/>
        </w:rPr>
        <w:t>Primary Work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14605</wp:posOffset>
            </wp:positionV>
            <wp:extent cx="2108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5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NOTICE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-7620</wp:posOffset>
            </wp:positionV>
            <wp:extent cx="14509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14509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136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Everspin Technologies,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the Everspin Technologies, Inc. Executive Severance and Change in Control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Company is providing you this Participation Notice to inform you that you have been designated as a Participant in the Plan, and you shall be entitled to the benefits set forth in the Plan and this Participation Notice in connection with your termination without Cause upon a Change in Control or your resignation with Good Reason upon a Change in Control. A copy of the Plan document is attached to this Participation Notice. The terms and conditions of your participation in the Plan are as set forth in the Plan and this Participation Notice, which together constitute the Summary Plan Description for the Plan. In the event of any conflict between this Notice and the Plan, the terms of the Plan shall prevail. Subject to the provisions of the Plan, the details of your Plan benefits are as follows: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Cash Severance Benefit: </w:t>
      </w:r>
      <w:r>
        <w:rPr>
          <w:rFonts w:ascii="Times New Roman" w:cs="Times New Roman" w:eastAsia="Times New Roman" w:hAnsi="Times New Roman"/>
          <w:sz w:val="18"/>
          <w:szCs w:val="18"/>
          <w:color w:val="auto"/>
        </w:rPr>
        <w:t>______________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Accelerated Vesting of Options: </w:t>
      </w:r>
      <w:r>
        <w:rPr>
          <w:rFonts w:ascii="Times New Roman" w:cs="Times New Roman" w:eastAsia="Times New Roman" w:hAnsi="Times New Roman"/>
          <w:sz w:val="18"/>
          <w:szCs w:val="18"/>
          <w:color w:val="auto"/>
        </w:rPr>
        <w:t>______________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Performance-based Bonus at Target: </w:t>
      </w:r>
      <w:r>
        <w:rPr>
          <w:rFonts w:ascii="Times New Roman" w:cs="Times New Roman" w:eastAsia="Times New Roman" w:hAnsi="Times New Roman"/>
          <w:sz w:val="18"/>
          <w:szCs w:val="18"/>
          <w:color w:val="auto"/>
        </w:rPr>
        <w:t>Full.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Continued COBRA benefits: </w:t>
      </w:r>
      <w:r>
        <w:rPr>
          <w:rFonts w:ascii="Times New Roman" w:cs="Times New Roman" w:eastAsia="Times New Roman" w:hAnsi="Times New Roman"/>
          <w:sz w:val="18"/>
          <w:szCs w:val="18"/>
          <w:color w:val="auto"/>
        </w:rPr>
        <w:t>______________ months, or such earlier date as you shall secure subsequent employment that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shall provide you with similar health benefits.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accepting participation, you represent that you have either consulted your personal tax or financial planning advisor about the tax consequences of your participation in the Plan, or you have knowingly declined to do so.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return a signed copy of this Participation Notice to the Company’s [TITLE] and retain a copy of this Participation Notice, along with the Plan document, for your records.</w:t>
      </w:r>
    </w:p>
    <w:p>
      <w:pPr>
        <w:ind w:left="4980"/>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5715</wp:posOffset>
            </wp:positionV>
            <wp:extent cx="31375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704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5715</wp:posOffset>
            </wp:positionV>
            <wp:extent cx="31375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7040"/>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5715</wp:posOffset>
            </wp:positionV>
            <wp:extent cx="2948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18"/>
          <w:szCs w:val="18"/>
          <w:color w:val="auto"/>
        </w:rPr>
        <w:t>Primary Work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14605</wp:posOffset>
            </wp:positionV>
            <wp:extent cx="2108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0"/>
        <w:spacing w:after="0"/>
        <w:tabs>
          <w:tab w:leader="none" w:pos="3900" w:val="left"/>
        </w:tabs>
        <w:rPr>
          <w:sz w:val="20"/>
          <w:szCs w:val="20"/>
          <w:color w:val="auto"/>
        </w:rPr>
      </w:pPr>
      <w:r>
        <w:rPr>
          <w:rFonts w:ascii="Times New Roman" w:cs="Times New Roman" w:eastAsia="Times New Roman" w:hAnsi="Times New Roman"/>
          <w:sz w:val="18"/>
          <w:szCs w:val="18"/>
          <w:color w:val="auto"/>
        </w:rPr>
        <w:t>Page 6 of 6</w:t>
      </w:r>
      <w:r>
        <w:rPr>
          <w:sz w:val="20"/>
          <w:szCs w:val="20"/>
          <w:color w:val="auto"/>
        </w:rPr>
        <w:tab/>
      </w:r>
      <w:r>
        <w:rPr>
          <w:rFonts w:ascii="Times New Roman" w:cs="Times New Roman" w:eastAsia="Times New Roman" w:hAnsi="Times New Roman"/>
          <w:sz w:val="19"/>
          <w:szCs w:val="19"/>
          <w:color w:val="auto"/>
        </w:rPr>
        <w:t>Everspin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80" w:hanging="330"/>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80" w:right="119" w:hanging="330"/>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79" w:hanging="330"/>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80" w:right="239" w:hanging="330"/>
        <w:spacing w:after="0" w:line="25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55" w:lineRule="auto"/>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380" w:right="319" w:hanging="330"/>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59" w:hanging="6"/>
        <w:spacing w:after="0" w:line="266" w:lineRule="auto"/>
        <w:tabs>
          <w:tab w:leader="none" w:pos="64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79" w:hanging="6"/>
        <w:spacing w:after="0" w:line="282" w:lineRule="auto"/>
        <w:tabs>
          <w:tab w:leader="none" w:pos="64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3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-127635</wp:posOffset>
            </wp:positionV>
            <wp:extent cx="25031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Anuj Aggarwal, certify that:</w:t>
      </w:r>
    </w:p>
    <w:p>
      <w:pPr>
        <w:spacing w:after="0" w:line="225" w:lineRule="exact"/>
        <w:rPr>
          <w:sz w:val="20"/>
          <w:szCs w:val="20"/>
          <w:color w:val="auto"/>
        </w:rPr>
      </w:pPr>
    </w:p>
    <w:p>
      <w:pPr>
        <w:ind w:left="700" w:hanging="32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258"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6" w:lineRule="exact"/>
        <w:rPr>
          <w:rFonts w:ascii="Times New Roman" w:cs="Times New Roman" w:eastAsia="Times New Roman" w:hAnsi="Times New Roman"/>
          <w:sz w:val="18"/>
          <w:szCs w:val="18"/>
          <w:color w:val="auto"/>
        </w:rPr>
      </w:pPr>
    </w:p>
    <w:p>
      <w:pPr>
        <w:jc w:val="both"/>
        <w:ind w:left="1020" w:right="79" w:hanging="322"/>
        <w:spacing w:after="0" w:line="255"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1"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ind w:left="700" w:right="399" w:hanging="326"/>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020" w:right="79" w:hanging="322"/>
        <w:spacing w:after="0" w:line="266"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-127635</wp:posOffset>
            </wp:positionV>
            <wp:extent cx="23577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Anuj Aggarwal, Chief Financial Officer of the Company, each hereby certifies that, to the best of his knowledge:</w:t>
      </w:r>
    </w:p>
    <w:p>
      <w:pPr>
        <w:spacing w:after="0" w:line="187" w:lineRule="exact"/>
        <w:rPr>
          <w:sz w:val="20"/>
          <w:szCs w:val="20"/>
          <w:color w:val="auto"/>
        </w:rPr>
      </w:pPr>
    </w:p>
    <w:p>
      <w:pPr>
        <w:ind w:left="60" w:right="15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60" w:right="439" w:hanging="10"/>
        <w:spacing w:after="0" w:line="266"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0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648960" cy="1303020"/>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Anuj Aggarwal</w:t>
      </w:r>
    </w:p>
    <w:p>
      <w:pPr>
        <w:spacing w:after="0" w:line="3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Anuj Aggarwal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335915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Roman"/>
      <w:start w:val="3"/>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jpe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56" Type="http://schemas.openxmlformats.org/officeDocument/2006/relationships/hyperlink" Target="http://www.sec.gov/Archives/edgar/data/1438423/000119312516737688/d271840dex31.htm" TargetMode="External"/><Relationship Id="rId57" Type="http://schemas.openxmlformats.org/officeDocument/2006/relationships/hyperlink" Target="http://www.sec.gov/Archives/edgar/data/1438423/000119312519154165/d752899dex31.htm" TargetMode="External"/><Relationship Id="rId58" Type="http://schemas.openxmlformats.org/officeDocument/2006/relationships/hyperlink" Target="https://www.sec.gov/Archives/edgar/data/1438423/000119312520153247/d936625dex31.htm" TargetMode="External"/><Relationship Id="rId59" Type="http://schemas.openxmlformats.org/officeDocument/2006/relationships/hyperlink" Target="https://www.sec.gov/Archives/edgar/data/1438423/000110465923064640/tm2316966d1_ex3-1.htm" TargetMode="External"/><Relationship Id="rId60"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2024-05-02T15:15:27Z</dcterms:created>
  <dcterms:modified xsi:type="dcterms:W3CDTF">2024-05-02T15:15:27Z</dcterms:modified>
</cp:coreProperties>
</file>