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246380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288925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35"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92710</wp:posOffset>
            </wp:positionV>
            <wp:extent cx="1560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15" w:lineRule="exact"/>
        <w:rPr>
          <w:sz w:val="24"/>
          <w:szCs w:val="24"/>
          <w:color w:val="auto"/>
        </w:rPr>
      </w:pPr>
    </w:p>
    <w:p>
      <w:pPr>
        <w:ind w:left="1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30" w:right="180" w:hanging="430"/>
        <w:spacing w:after="0" w:line="236" w:lineRule="auto"/>
        <w:tabs>
          <w:tab w:leader="none" w:pos="43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5"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31"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430" w:right="180" w:hanging="430"/>
        <w:spacing w:after="0" w:line="256" w:lineRule="auto"/>
        <w:tabs>
          <w:tab w:leader="none" w:pos="43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ind w:left="3270"/>
        <w:spacing w:after="0"/>
        <w:tabs>
          <w:tab w:leader="none" w:pos="621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3580765</wp:posOffset>
            </wp:positionH>
            <wp:positionV relativeFrom="paragraph">
              <wp:posOffset>-7620</wp:posOffset>
            </wp:positionV>
            <wp:extent cx="837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15"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63500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04" w:lineRule="exact"/>
        <w:rPr>
          <w:sz w:val="24"/>
          <w:szCs w:val="24"/>
          <w:color w:val="auto"/>
        </w:rPr>
      </w:pPr>
    </w:p>
    <w:p>
      <w:pPr>
        <w:jc w:val="center"/>
        <w:ind w:right="10"/>
        <w:spacing w:after="0"/>
        <w:rPr>
          <w:sz w:val="20"/>
          <w:szCs w:val="20"/>
          <w:color w:val="auto"/>
        </w:rPr>
      </w:pPr>
      <w:r>
        <w:rPr>
          <w:rFonts w:ascii="Arial" w:cs="Arial" w:eastAsia="Arial" w:hAnsi="Arial"/>
          <w:sz w:val="43"/>
          <w:szCs w:val="43"/>
          <w:b w:val="1"/>
          <w:bCs w:val="1"/>
          <w:color w:val="auto"/>
        </w:rPr>
        <w:t>Everspin Technologies, Inc.</w:t>
      </w:r>
    </w:p>
    <w:p>
      <w:pPr>
        <w:spacing w:after="0" w:line="50"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47625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26" w:lineRule="exact"/>
        <w:rPr>
          <w:sz w:val="24"/>
          <w:szCs w:val="24"/>
          <w:color w:val="auto"/>
        </w:rPr>
      </w:pPr>
    </w:p>
    <w:tbl>
      <w:tblPr>
        <w:tblLayout w:type="fixed"/>
        <w:tblInd w:w="1230" w:type="dxa"/>
        <w:tblCellMar>
          <w:top w:w="0" w:type="dxa"/>
          <w:left w:w="0" w:type="dxa"/>
          <w:bottom w:w="0" w:type="dxa"/>
          <w:right w:w="0" w:type="dxa"/>
        </w:tblCellMar>
      </w:tblPr>
      <w:tr>
        <w:trPr>
          <w:trHeight w:val="216"/>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3"/>
              </w:rPr>
              <w:t>Delaware</w:t>
            </w:r>
          </w:p>
        </w:tc>
        <w:tc>
          <w:tcPr>
            <w:tcW w:w="3040" w:type="dxa"/>
            <w:vAlign w:val="bottom"/>
          </w:tcPr>
          <w:p>
            <w:pPr>
              <w:jc w:val="center"/>
              <w:ind w:left="1530"/>
              <w:spacing w:after="0"/>
              <w:rPr>
                <w:sz w:val="20"/>
                <w:szCs w:val="20"/>
                <w:color w:val="auto"/>
              </w:rPr>
            </w:pPr>
            <w:r>
              <w:rPr>
                <w:rFonts w:ascii="Arial" w:cs="Arial" w:eastAsia="Arial" w:hAnsi="Arial"/>
                <w:sz w:val="18"/>
                <w:szCs w:val="18"/>
                <w:b w:val="1"/>
                <w:bCs w:val="1"/>
                <w:color w:val="auto"/>
                <w:w w:val="89"/>
              </w:rPr>
              <w:t>26-2640654</w:t>
            </w:r>
          </w:p>
        </w:tc>
      </w:tr>
      <w:tr>
        <w:trPr>
          <w:trHeight w:val="216"/>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(State or other jurisdiction</w:t>
            </w:r>
          </w:p>
        </w:tc>
        <w:tc>
          <w:tcPr>
            <w:tcW w:w="3040" w:type="dxa"/>
            <w:vAlign w:val="bottom"/>
          </w:tcPr>
          <w:p>
            <w:pPr>
              <w:jc w:val="center"/>
              <w:ind w:left="15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of incorporation or organization)</w:t>
            </w:r>
          </w:p>
        </w:tc>
        <w:tc>
          <w:tcPr>
            <w:tcW w:w="3040" w:type="dxa"/>
            <w:vAlign w:val="bottom"/>
          </w:tcPr>
          <w:p>
            <w:pPr>
              <w:jc w:val="center"/>
              <w:ind w:left="153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03"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5670 W. Chandler Boulevard, Suite 100</w:t>
      </w:r>
    </w:p>
    <w:p>
      <w:pPr>
        <w:spacing w:after="0" w:line="27"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Chandler, Arizona 85226</w:t>
      </w:r>
    </w:p>
    <w:p>
      <w:pPr>
        <w:spacing w:after="0" w:line="9"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112" w:lineRule="exact"/>
        <w:rPr>
          <w:sz w:val="24"/>
          <w:szCs w:val="24"/>
          <w:color w:val="auto"/>
        </w:rPr>
      </w:pPr>
    </w:p>
    <w:p>
      <w:pPr>
        <w:ind w:left="2550"/>
        <w:spacing w:after="0"/>
        <w:rPr>
          <w:sz w:val="20"/>
          <w:szCs w:val="20"/>
          <w:color w:val="auto"/>
        </w:rPr>
      </w:pPr>
      <w:r>
        <w:rPr>
          <w:rFonts w:ascii="Arial" w:cs="Arial" w:eastAsia="Arial" w:hAnsi="Arial"/>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85725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9" w:lineRule="exact"/>
        <w:rPr>
          <w:sz w:val="24"/>
          <w:szCs w:val="24"/>
          <w:color w:val="auto"/>
        </w:rPr>
      </w:pPr>
    </w:p>
    <w:p>
      <w:pPr>
        <w:ind w:left="1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34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Title of each class</w:t>
            </w:r>
          </w:p>
        </w:tc>
        <w:tc>
          <w:tcPr>
            <w:tcW w:w="34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Trading Symbol(s)</w:t>
            </w:r>
          </w:p>
        </w:tc>
        <w:tc>
          <w:tcPr>
            <w:tcW w:w="34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2"/>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Common Stock, par value $0.0001</w:t>
            </w:r>
          </w:p>
        </w:tc>
        <w:tc>
          <w:tcPr>
            <w:tcW w:w="3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MRAM</w:t>
            </w:r>
          </w:p>
        </w:tc>
        <w:tc>
          <w:tcPr>
            <w:tcW w:w="3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Nasdaq Stock Market LLC</w:t>
            </w:r>
          </w:p>
        </w:tc>
      </w:tr>
    </w:tbl>
    <w:p>
      <w:pPr>
        <w:spacing w:after="0" w:line="107" w:lineRule="exact"/>
        <w:rPr>
          <w:sz w:val="24"/>
          <w:szCs w:val="24"/>
          <w:color w:val="auto"/>
        </w:rPr>
      </w:pPr>
    </w:p>
    <w:p>
      <w:pPr>
        <w:jc w:val="both"/>
        <w:ind w:left="10"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left="10"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left="10" w:right="18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0" w:type="dxa"/>
        <w:tblCellMar>
          <w:top w:w="0" w:type="dxa"/>
          <w:left w:w="0" w:type="dxa"/>
          <w:bottom w:w="0" w:type="dxa"/>
          <w:right w:w="0" w:type="dxa"/>
        </w:tblCellMar>
      </w:tblPr>
      <w:tr>
        <w:trPr>
          <w:trHeight w:val="185"/>
        </w:trPr>
        <w:tc>
          <w:tcPr>
            <w:tcW w:w="1680" w:type="dxa"/>
            <w:vAlign w:val="bottom"/>
          </w:tcPr>
          <w:p>
            <w:pPr>
              <w:spacing w:after="0" w:line="185" w:lineRule="exact"/>
              <w:rPr>
                <w:sz w:val="20"/>
                <w:szCs w:val="20"/>
                <w:color w:val="auto"/>
              </w:rPr>
            </w:pPr>
            <w:r>
              <w:rPr>
                <w:rFonts w:ascii="Arial" w:cs="Arial" w:eastAsia="Arial" w:hAnsi="Arial"/>
                <w:sz w:val="18"/>
                <w:szCs w:val="18"/>
                <w:color w:val="auto"/>
                <w:w w:val="93"/>
              </w:rPr>
              <w:t>Large accelerated filer</w:t>
            </w:r>
          </w:p>
        </w:tc>
        <w:tc>
          <w:tcPr>
            <w:tcW w:w="2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line="185" w:lineRule="exact"/>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9"/>
              </w:rPr>
              <w:t>Non-accelerated filer</w:t>
            </w:r>
          </w:p>
        </w:tc>
        <w:tc>
          <w:tcPr>
            <w:tcW w:w="2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rPr>
                <w:sz w:val="20"/>
                <w:szCs w:val="20"/>
                <w:color w:val="auto"/>
              </w:rPr>
            </w:pPr>
            <w:r>
              <w:rPr>
                <w:rFonts w:ascii="Arial" w:cs="Arial" w:eastAsia="Arial" w:hAnsi="Arial"/>
                <w:sz w:val="18"/>
                <w:szCs w:val="18"/>
                <w:color w:val="auto"/>
              </w:rPr>
              <w:t>Small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920" w:type="dxa"/>
            <w:vAlign w:val="bottom"/>
          </w:tcPr>
          <w:p>
            <w:pPr>
              <w:ind w:left="264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6"/>
        </w:trPr>
        <w:tc>
          <w:tcPr>
            <w:tcW w:w="9480" w:type="dxa"/>
            <w:vAlign w:val="bottom"/>
            <w:gridSpan w:val="3"/>
          </w:tcPr>
          <w:p>
            <w:pPr>
              <w:spacing w:after="0"/>
              <w:rPr>
                <w:sz w:val="20"/>
                <w:szCs w:val="20"/>
                <w:color w:val="auto"/>
              </w:rPr>
            </w:pPr>
            <w:r>
              <w:rPr>
                <w:rFonts w:ascii="Arial" w:cs="Arial" w:eastAsia="Arial" w:hAnsi="Arial"/>
                <w:sz w:val="18"/>
                <w:szCs w:val="18"/>
                <w:color w:val="auto"/>
                <w:w w:val="92"/>
              </w:rPr>
              <w:t>If an emerging growth company, indicate by check mark if the registrant has elected not to use the extended transition period for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9480" w:type="dxa"/>
            <w:vAlign w:val="bottom"/>
            <w:gridSpan w:val="3"/>
          </w:tcPr>
          <w:p>
            <w:pPr>
              <w:spacing w:after="0"/>
              <w:rPr>
                <w:sz w:val="20"/>
                <w:szCs w:val="20"/>
                <w:color w:val="auto"/>
              </w:rPr>
            </w:pPr>
            <w:r>
              <w:rPr>
                <w:rFonts w:ascii="Arial" w:cs="Arial" w:eastAsia="Arial" w:hAnsi="Arial"/>
                <w:sz w:val="18"/>
                <w:szCs w:val="18"/>
                <w:color w:val="auto"/>
                <w:w w:val="97"/>
              </w:rPr>
              <w:t>complying with any new or revised financial accounting standards provided pursuant to Section 13(a) of the Exchange Act.</w:t>
            </w:r>
          </w:p>
        </w:tc>
        <w:tc>
          <w:tcPr>
            <w:tcW w:w="740" w:type="dxa"/>
            <w:vAlign w:val="bottom"/>
          </w:tcPr>
          <w:p>
            <w:pPr>
              <w:spacing w:after="0"/>
              <w:rPr>
                <w:sz w:val="20"/>
                <w:szCs w:val="20"/>
                <w:color w:val="auto"/>
              </w:rPr>
            </w:pPr>
          </w:p>
        </w:tc>
      </w:tr>
      <w:tr>
        <w:trPr>
          <w:trHeight w:val="384"/>
        </w:trPr>
        <w:tc>
          <w:tcPr>
            <w:tcW w:w="9480" w:type="dxa"/>
            <w:vAlign w:val="bottom"/>
            <w:gridSpan w:val="3"/>
          </w:tcPr>
          <w:p>
            <w:pPr>
              <w:spacing w:after="0" w:line="207" w:lineRule="exact"/>
              <w:rPr>
                <w:sz w:val="20"/>
                <w:szCs w:val="20"/>
                <w:color w:val="auto"/>
              </w:rPr>
            </w:pPr>
            <w:r>
              <w:rPr>
                <w:rFonts w:ascii="Arial" w:cs="Arial" w:eastAsia="Arial" w:hAnsi="Arial"/>
                <w:sz w:val="18"/>
                <w:szCs w:val="18"/>
                <w:color w:val="auto"/>
                <w:w w:val="93"/>
              </w:rPr>
              <w:t xml:space="preserve">Indicate by check mark whether the Registrant is a shell company (as defined in Rule 12b-2 of the Exchange Act).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c>
          <w:tcPr>
            <w:tcW w:w="7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7" w:lineRule="exact"/>
        <w:rPr>
          <w:sz w:val="24"/>
          <w:szCs w:val="24"/>
          <w:color w:val="auto"/>
        </w:rPr>
      </w:pPr>
    </w:p>
    <w:p>
      <w:pPr>
        <w:ind w:left="10"/>
        <w:spacing w:after="0"/>
        <w:rPr>
          <w:sz w:val="20"/>
          <w:szCs w:val="20"/>
          <w:color w:val="auto"/>
        </w:rPr>
      </w:pPr>
      <w:r>
        <w:rPr>
          <w:rFonts w:ascii="Arial" w:cs="Arial" w:eastAsia="Arial" w:hAnsi="Arial"/>
          <w:sz w:val="18"/>
          <w:szCs w:val="18"/>
          <w:color w:val="auto"/>
        </w:rPr>
        <w:t>The number of shares of the Registrant’s Common Stock outstanding as of May 2, 2021 was 19,272,921.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606425</wp:posOffset>
            </wp:positionV>
            <wp:extent cx="6497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92075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74930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50"/>
          </w:cols>
          <w:pgMar w:left="830" w:top="665" w:right="819" w:bottom="1440" w:gutter="0" w:footer="0" w:header="0"/>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40" w:type="dxa"/>
            <w:vAlign w:val="bottom"/>
            <w:gridSpan w:val="14"/>
            <w:vMerge w:val="restart"/>
          </w:tcPr>
          <w:p>
            <w:pPr>
              <w:jc w:val="center"/>
              <w:ind w:right="218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340" w:type="dxa"/>
            <w:vAlign w:val="bottom"/>
            <w:gridSpan w:val="14"/>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640" w:type="dxa"/>
            <w:vAlign w:val="bottom"/>
            <w:gridSpan w:val="3"/>
          </w:tcPr>
          <w:p>
            <w:pPr>
              <w:spacing w:after="0"/>
              <w:rPr>
                <w:sz w:val="18"/>
                <w:szCs w:val="18"/>
                <w:color w:val="auto"/>
              </w:rPr>
            </w:pPr>
          </w:p>
        </w:tc>
        <w:tc>
          <w:tcPr>
            <w:tcW w:w="3160" w:type="dxa"/>
            <w:vAlign w:val="bottom"/>
            <w:tcBorders>
              <w:top w:val="single" w:sz="8" w:color="0000EE"/>
            </w:tcBorders>
            <w:gridSpan w:val="8"/>
          </w:tcPr>
          <w:p>
            <w:pPr>
              <w:spacing w:after="0"/>
              <w:rPr>
                <w:sz w:val="18"/>
                <w:szCs w:val="18"/>
                <w:color w:val="auto"/>
              </w:rPr>
            </w:pPr>
          </w:p>
        </w:tc>
        <w:tc>
          <w:tcPr>
            <w:tcW w:w="2180" w:type="dxa"/>
            <w:vAlign w:val="bottom"/>
            <w:gridSpan w:val="6"/>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100" w:type="dxa"/>
            <w:vAlign w:val="bottom"/>
            <w:tcBorders>
              <w:bottom w:val="single" w:sz="8" w:color="0000EE"/>
            </w:tcBorders>
            <w:gridSpan w:val="2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Balance Sheets as of March 31, 2021 (unaudited) and December 31, 2020</w:t>
              </w:r>
            </w:hyperlink>
          </w:p>
        </w:tc>
        <w:tc>
          <w:tcPr>
            <w:tcW w:w="1020" w:type="dxa"/>
            <w:vAlign w:val="bottom"/>
            <w:gridSpan w:val="4"/>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Statements of Operations and Comprehensive Loss for the three months ended March</w:t>
              </w:r>
            </w:hyperlink>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31, 2021 and 2020 (unaudited)</w:t>
              </w:r>
            </w:hyperlink>
          </w:p>
        </w:tc>
        <w:tc>
          <w:tcPr>
            <w:tcW w:w="4540" w:type="dxa"/>
            <w:vAlign w:val="bottom"/>
            <w:tcBorders>
              <w:top w:val="single" w:sz="8" w:color="0000EE"/>
            </w:tcBorders>
            <w:gridSpan w:val="10"/>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0" w:type="dxa"/>
            <w:vAlign w:val="bottom"/>
            <w:tcBorders>
              <w:bottom w:val="single" w:sz="8" w:color="0000EE"/>
            </w:tcBorders>
            <w:gridSpan w:val="2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Statements of Stockholders’ Equity for the three months ended March 31, 2021 and</w:t>
              </w:r>
            </w:hyperlink>
          </w:p>
        </w:tc>
        <w:tc>
          <w:tcPr>
            <w:tcW w:w="3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2020 (unaudited)</w:t>
              </w:r>
            </w:hyperlink>
          </w:p>
        </w:tc>
        <w:tc>
          <w:tcPr>
            <w:tcW w:w="5700" w:type="dxa"/>
            <w:vAlign w:val="bottom"/>
            <w:gridSpan w:val="1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4"/>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Statements of Cash Flows for the three months ended March 31, 2021 and 2020</w:t>
              </w:r>
            </w:hyperlink>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w:t>
              </w:r>
            </w:hyperlink>
          </w:p>
        </w:tc>
        <w:tc>
          <w:tcPr>
            <w:tcW w:w="5520" w:type="dxa"/>
            <w:vAlign w:val="bottom"/>
            <w:tcBorders>
              <w:top w:val="single" w:sz="8" w:color="0000EE"/>
            </w:tcBorders>
            <w:gridSpan w:val="15"/>
          </w:tcPr>
          <w:p>
            <w:pPr>
              <w:spacing w:after="0"/>
              <w:rPr>
                <w:sz w:val="17"/>
                <w:szCs w:val="17"/>
                <w:color w:val="auto"/>
              </w:rPr>
            </w:pPr>
          </w:p>
        </w:tc>
        <w:tc>
          <w:tcPr>
            <w:tcW w:w="60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Financial Statements (unaudited)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2.</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3.</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8"/>
                <w:szCs w:val="18"/>
                <w:color w:val="auto"/>
              </w:rPr>
            </w:pPr>
          </w:p>
        </w:tc>
        <w:tc>
          <w:tcPr>
            <w:tcW w:w="1040" w:type="dxa"/>
            <w:vAlign w:val="bottom"/>
            <w:gridSpan w:val="5"/>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80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7660" w:type="dxa"/>
            <w:vAlign w:val="bottom"/>
            <w:gridSpan w:val="27"/>
          </w:tcPr>
          <w:p>
            <w:pPr>
              <w:ind w:left="160"/>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II—OTHER INFORMATION</w:t>
              </w:r>
            </w:hyperlink>
          </w:p>
        </w:tc>
        <w:tc>
          <w:tcPr>
            <w:tcW w:w="232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1.</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1A.</w:t>
              </w:r>
            </w:hyperlink>
          </w:p>
        </w:tc>
        <w:tc>
          <w:tcPr>
            <w:tcW w:w="7660" w:type="dxa"/>
            <w:vAlign w:val="bottom"/>
            <w:gridSpan w:val="27"/>
          </w:tcPr>
          <w:p>
            <w:pPr>
              <w:ind w:left="160"/>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2.</w:t>
              </w:r>
            </w:hyperlink>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Unregistered Sales of Equity Securities and Use of Proceeds</w:t>
              </w:r>
            </w:hyperlink>
          </w:p>
        </w:tc>
        <w:tc>
          <w:tcPr>
            <w:tcW w:w="3140" w:type="dxa"/>
            <w:vAlign w:val="bottom"/>
            <w:gridSpan w:val="9"/>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3.</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Defaults Upon Senior Securities</w:t>
              </w:r>
            </w:hyperlink>
          </w:p>
        </w:tc>
        <w:tc>
          <w:tcPr>
            <w:tcW w:w="5160" w:type="dxa"/>
            <w:vAlign w:val="bottom"/>
            <w:gridSpan w:val="12"/>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4.</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Mine Safety Disclosures</w:t>
              </w:r>
            </w:hyperlink>
          </w:p>
        </w:tc>
        <w:tc>
          <w:tcPr>
            <w:tcW w:w="5720" w:type="dxa"/>
            <w:vAlign w:val="bottom"/>
            <w:gridSpan w:val="16"/>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5.</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Other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6.</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0000EE"/>
            </w:tcBorders>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6160" w:type="dxa"/>
            <w:vAlign w:val="bottom"/>
            <w:gridSpan w:val="19"/>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900" w:type="dxa"/>
            <w:vAlign w:val="bottom"/>
            <w:gridSpan w:val="2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42">
              <w:r>
                <w:rPr>
                  <w:rFonts w:ascii="Arial" w:cs="Arial" w:eastAsia="Arial" w:hAnsi="Arial"/>
                  <w:sz w:val="18"/>
                  <w:szCs w:val="18"/>
                  <w:color w:val="0000EE"/>
                  <w:w w:val="99"/>
                </w:rPr>
                <w:t>EXHIBIT INDEX</w:t>
              </w:r>
            </w:hyperlink>
          </w:p>
        </w:tc>
        <w:tc>
          <w:tcPr>
            <w:tcW w:w="7120" w:type="dxa"/>
            <w:vAlign w:val="bottom"/>
            <w:gridSpan w:val="24"/>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9"/>
        </w:trPr>
        <w:tc>
          <w:tcPr>
            <w:tcW w:w="8460" w:type="dxa"/>
            <w:vAlign w:val="bottom"/>
            <w:gridSpan w:val="3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 w:right="119"/>
        <w:spacing w:after="0" w:line="293" w:lineRule="auto"/>
        <w:rPr>
          <w:sz w:val="20"/>
          <w:szCs w:val="20"/>
          <w:color w:val="auto"/>
        </w:rPr>
      </w:pPr>
      <w:r>
        <w:rPr>
          <w:rFonts w:ascii="Arial" w:cs="Arial" w:eastAsia="Arial" w:hAnsi="Arial"/>
          <w:sz w:val="16"/>
          <w:szCs w:val="16"/>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3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14,599</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7,607</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09"/>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28,197</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1,946</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09"/>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32,529</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2,232</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4,242</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10,237</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3,748</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income tax liability</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21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15,117</w:t>
            </w: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2"/>
        </w:trPr>
        <w:tc>
          <w:tcPr>
            <w:tcW w:w="6320" w:type="dxa"/>
            <w:vAlign w:val="bottom"/>
          </w:tcPr>
          <w:p>
            <w:pPr>
              <w:ind w:left="120"/>
              <w:spacing w:after="0" w:line="201" w:lineRule="exact"/>
              <w:rPr>
                <w:sz w:val="20"/>
                <w:szCs w:val="20"/>
                <w:color w:val="auto"/>
              </w:rPr>
            </w:pPr>
            <w:r>
              <w:rPr>
                <w:rFonts w:ascii="Arial" w:cs="Arial" w:eastAsia="Arial" w:hAnsi="Arial"/>
                <w:sz w:val="18"/>
                <w:szCs w:val="18"/>
                <w:color w:val="auto"/>
                <w:w w:val="90"/>
              </w:rPr>
              <w:t>Preferred stock, $0.0001 par value per share; 5,000,000 shares authorized; no shares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6320" w:type="dxa"/>
            <w:vAlign w:val="bottom"/>
          </w:tcPr>
          <w:p>
            <w:pPr>
              <w:ind w:left="120"/>
              <w:spacing w:after="0"/>
              <w:rPr>
                <w:sz w:val="20"/>
                <w:szCs w:val="20"/>
                <w:color w:val="auto"/>
              </w:rPr>
            </w:pPr>
            <w:r>
              <w:rPr>
                <w:rFonts w:ascii="Arial" w:cs="Arial" w:eastAsia="Arial" w:hAnsi="Arial"/>
                <w:sz w:val="18"/>
                <w:szCs w:val="18"/>
                <w:color w:val="auto"/>
              </w:rPr>
              <w:t>issued and outstanding as of March 31, 2021 and December 31, 2020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3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Common stock, $0.0001 par value per share; 100,000,000 shares authorized;</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19,222,342 and 19,031,556 shares issued and outstanding as of March 31, 2021 and</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2020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175,835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174,584</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(157,634)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(157,174)</w:t>
            </w:r>
          </w:p>
        </w:tc>
      </w:tr>
      <w:tr>
        <w:trPr>
          <w:trHeight w:val="210"/>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18,203</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17,412</w:t>
            </w:r>
          </w:p>
        </w:tc>
      </w:tr>
      <w:tr>
        <w:trPr>
          <w:trHeight w:val="210"/>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32,529</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1500" w:right="2040"/>
        <w:spacing w:after="0" w:line="261" w:lineRule="auto"/>
        <w:rPr>
          <w:sz w:val="20"/>
          <w:szCs w:val="20"/>
          <w:color w:val="auto"/>
        </w:rPr>
      </w:pPr>
      <w:r>
        <w:rPr>
          <w:rFonts w:ascii="Arial" w:cs="Arial" w:eastAsia="Arial" w:hAnsi="Arial"/>
          <w:sz w:val="18"/>
          <w:szCs w:val="18"/>
          <w:b w:val="1"/>
          <w:bCs w:val="1"/>
          <w:color w:val="auto"/>
        </w:rPr>
        <w:t>EVERSPIN TECHNOLOGIES, INC. Condensed Statements of Operations and Comprehensive Loss (In thousands, except share and per share amounts) (Unaudited)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760" w:type="dxa"/>
            <w:vAlign w:val="bottom"/>
            <w:gridSpan w:val="6"/>
          </w:tcPr>
          <w:p>
            <w:pPr>
              <w:jc w:val="right"/>
              <w:ind w:right="12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3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71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711"/>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royalty, and other revenue</w:t>
            </w:r>
          </w:p>
        </w:tc>
        <w:tc>
          <w:tcPr>
            <w:tcW w:w="4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4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line="216" w:lineRule="exact"/>
              <w:rPr>
                <w:sz w:val="20"/>
                <w:szCs w:val="20"/>
                <w:color w:val="auto"/>
              </w:rPr>
            </w:pPr>
            <w:r>
              <w:rPr>
                <w:rFonts w:ascii="Arial" w:cs="Arial" w:eastAsia="Arial" w:hAnsi="Arial"/>
                <w:sz w:val="17"/>
                <w:szCs w:val="17"/>
                <w:color w:val="auto"/>
              </w:rPr>
              <w:t>Operating expenses:</w:t>
            </w:r>
            <w:r>
              <w:rPr>
                <w:rFonts w:ascii="Arial" w:cs="Arial" w:eastAsia="Arial" w:hAnsi="Arial"/>
                <w:sz w:val="25"/>
                <w:szCs w:val="25"/>
                <w:color w:val="auto"/>
                <w:vertAlign w:val="superscript"/>
              </w:rPr>
              <w:t>1</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2,843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6,933</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8"/>
                <w:szCs w:val="18"/>
                <w:color w:val="auto"/>
              </w:rPr>
              <w:t>Net loss before income taxes</w:t>
            </w:r>
          </w:p>
        </w:tc>
        <w:tc>
          <w:tcPr>
            <w:tcW w:w="4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40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2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4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line="195" w:lineRule="exact"/>
              <w:rPr>
                <w:sz w:val="20"/>
                <w:szCs w:val="20"/>
                <w:color w:val="auto"/>
              </w:rPr>
            </w:pPr>
            <w:r>
              <w:rPr>
                <w:rFonts w:ascii="Arial" w:cs="Arial" w:eastAsia="Arial" w:hAnsi="Arial"/>
                <w:sz w:val="18"/>
                <w:szCs w:val="18"/>
                <w:color w:val="auto"/>
                <w:w w:val="96"/>
              </w:rPr>
              <w:t>Weighted-average shares used to compute net loss per</w:t>
            </w: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3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19,092,367</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18,055,693</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share, basic and diluted</w:t>
            </w:r>
          </w:p>
        </w:tc>
        <w:tc>
          <w:tcPr>
            <w:tcW w:w="4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vMerge w:val="continue"/>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3"/>
          </w:tcPr>
          <w:p>
            <w:pPr>
              <w:spacing w:after="0" w:line="216" w:lineRule="exact"/>
              <w:rPr>
                <w:sz w:val="20"/>
                <w:szCs w:val="20"/>
                <w:color w:val="auto"/>
              </w:rPr>
            </w:pPr>
            <w:r>
              <w:rPr>
                <w:rFonts w:ascii="Arial" w:cs="Arial" w:eastAsia="Arial" w:hAnsi="Arial"/>
                <w:sz w:val="25"/>
                <w:szCs w:val="25"/>
                <w:color w:val="auto"/>
                <w:vertAlign w:val="superscript"/>
              </w:rPr>
              <w:t>1</w:t>
            </w:r>
            <w:r>
              <w:rPr>
                <w:rFonts w:ascii="Arial" w:cs="Arial" w:eastAsia="Arial" w:hAnsi="Arial"/>
                <w:sz w:val="17"/>
                <w:szCs w:val="17"/>
                <w:color w:val="auto"/>
              </w:rPr>
              <w:t>Operating expenses include stock-based compensation as follows: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86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09"/>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ind w:left="220"/>
              <w:spacing w:after="0"/>
              <w:rPr>
                <w:sz w:val="20"/>
                <w:szCs w:val="20"/>
                <w:color w:val="auto"/>
              </w:rPr>
            </w:pPr>
            <w:r>
              <w:rPr>
                <w:rFonts w:ascii="Arial" w:cs="Arial" w:eastAsia="Arial" w:hAnsi="Arial"/>
                <w:sz w:val="18"/>
                <w:szCs w:val="18"/>
                <w:color w:val="auto"/>
              </w:rPr>
              <w:t>Total stock-based compensation</w:t>
            </w:r>
          </w:p>
        </w:tc>
        <w:tc>
          <w:tcPr>
            <w:tcW w:w="400" w:type="dxa"/>
            <w:vAlign w:val="bottom"/>
          </w:tcPr>
          <w:p>
            <w:pPr>
              <w:spacing w:after="0"/>
              <w:rPr>
                <w:sz w:val="18"/>
                <w:szCs w:val="18"/>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Three Months Ended March 31, 2021</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1700" w:type="dxa"/>
            <w:vAlign w:val="bottom"/>
            <w:gridSpan w:val="4"/>
            <w:vMerge w:val="restart"/>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29"/>
              <w:spacing w:after="0" w:line="119"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jc w:val="center"/>
              <w:ind w:right="9"/>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4"/>
                <w:szCs w:val="14"/>
                <w:color w:val="auto"/>
              </w:rPr>
            </w:pPr>
          </w:p>
        </w:tc>
        <w:tc>
          <w:tcPr>
            <w:tcW w:w="170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9"/>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90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9"/>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37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2020</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19,031,556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174,584</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(157,174)</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54,077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136,709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743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line="142" w:lineRule="exact"/>
              <w:rPr>
                <w:sz w:val="20"/>
                <w:szCs w:val="20"/>
                <w:color w:val="auto"/>
              </w:rPr>
            </w:pPr>
            <w:r>
              <w:rPr>
                <w:rFonts w:ascii="Arial" w:cs="Arial" w:eastAsia="Arial" w:hAnsi="Arial"/>
                <w:sz w:val="14"/>
                <w:szCs w:val="14"/>
                <w:color w:val="auto"/>
              </w:rPr>
              <w:t>Balance at March 31, 2021</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19,222,342</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175,835</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(157,634)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18,203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Three Months Ended March 31, 2020</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1700" w:type="dxa"/>
            <w:vAlign w:val="bottom"/>
            <w:gridSpan w:val="4"/>
            <w:vMerge w:val="restart"/>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49"/>
              <w:spacing w:after="0" w:line="119"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jc w:val="center"/>
              <w:ind w:right="9"/>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4"/>
                <w:szCs w:val="14"/>
                <w:color w:val="auto"/>
              </w:rPr>
            </w:pPr>
          </w:p>
        </w:tc>
        <w:tc>
          <w:tcPr>
            <w:tcW w:w="170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69"/>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90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9"/>
              <w:spacing w:after="0" w:line="142"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7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2019</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18,081,753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167,149</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(148,662)</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18,489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88,375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0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in at-the-market offering, net</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00" w:type="dxa"/>
            <w:vAlign w:val="bottom"/>
          </w:tcPr>
          <w:p>
            <w:pPr>
              <w:ind w:left="220"/>
              <w:spacing w:after="0"/>
              <w:rPr>
                <w:sz w:val="20"/>
                <w:szCs w:val="20"/>
                <w:color w:val="auto"/>
              </w:rPr>
            </w:pPr>
            <w:r>
              <w:rPr>
                <w:rFonts w:ascii="Arial" w:cs="Arial" w:eastAsia="Arial" w:hAnsi="Arial"/>
                <w:sz w:val="14"/>
                <w:szCs w:val="14"/>
                <w:color w:val="auto"/>
              </w:rPr>
              <w:t>of issuance costs</w:t>
            </w:r>
          </w:p>
        </w:tc>
        <w:tc>
          <w:tcPr>
            <w:tcW w:w="900" w:type="dxa"/>
            <w:vAlign w:val="bottom"/>
          </w:tcPr>
          <w:p>
            <w:pPr>
              <w:jc w:val="right"/>
              <w:spacing w:after="0"/>
              <w:rPr>
                <w:sz w:val="20"/>
                <w:szCs w:val="20"/>
                <w:color w:val="auto"/>
              </w:rPr>
            </w:pPr>
            <w:r>
              <w:rPr>
                <w:rFonts w:ascii="Arial" w:cs="Arial" w:eastAsia="Arial" w:hAnsi="Arial"/>
                <w:sz w:val="14"/>
                <w:szCs w:val="14"/>
                <w:color w:val="auto"/>
              </w:rPr>
              <w:t>468,427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(1,732)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line="142" w:lineRule="exact"/>
              <w:rPr>
                <w:sz w:val="20"/>
                <w:szCs w:val="20"/>
                <w:color w:val="auto"/>
              </w:rPr>
            </w:pPr>
            <w:r>
              <w:rPr>
                <w:rFonts w:ascii="Arial" w:cs="Arial" w:eastAsia="Arial" w:hAnsi="Arial"/>
                <w:sz w:val="14"/>
                <w:szCs w:val="14"/>
                <w:color w:val="auto"/>
              </w:rPr>
              <w:t>Balance at March 31, 2020</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18,638,555</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170,353</w:t>
            </w:r>
          </w:p>
        </w:tc>
        <w:tc>
          <w:tcPr>
            <w:tcW w:w="12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(150,394)</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19,961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66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operating activities</w:t>
            </w: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880" w:type="dxa"/>
            <w:vAlign w:val="bottom"/>
          </w:tcPr>
          <w:p>
            <w:pPr>
              <w:jc w:val="right"/>
              <w:ind w:right="765"/>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(460)</w:t>
            </w:r>
          </w:p>
        </w:tc>
        <w:tc>
          <w:tcPr>
            <w:tcW w:w="900" w:type="dxa"/>
            <w:vAlign w:val="bottom"/>
          </w:tcPr>
          <w:p>
            <w:pPr>
              <w:jc w:val="right"/>
              <w:ind w:right="788"/>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(1,732)</w:t>
            </w: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8"/>
              </w:rPr>
              <w:t>Adjustments to reconcile net loss to net cash provided by (used in) operating activities:</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tcPr>
          <w:p>
            <w:pPr>
              <w:ind w:left="120"/>
              <w:spacing w:after="0" w:line="162" w:lineRule="exact"/>
              <w:rPr>
                <w:sz w:val="20"/>
                <w:szCs w:val="20"/>
                <w:color w:val="auto"/>
              </w:rPr>
            </w:pPr>
            <w:r>
              <w:rPr>
                <w:rFonts w:ascii="Arial" w:cs="Arial" w:eastAsia="Arial" w:hAnsi="Arial"/>
                <w:sz w:val="15"/>
                <w:szCs w:val="15"/>
                <w:color w:val="auto"/>
              </w:rPr>
              <w:t>Depreciation and amortization</w:t>
            </w: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383</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409</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Stock-based compensation</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743</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805</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tcPr>
          <w:p>
            <w:pPr>
              <w:ind w:left="120"/>
              <w:spacing w:after="0" w:line="162" w:lineRule="exact"/>
              <w:rPr>
                <w:sz w:val="20"/>
                <w:szCs w:val="20"/>
                <w:color w:val="auto"/>
              </w:rPr>
            </w:pPr>
            <w:r>
              <w:rPr>
                <w:rFonts w:ascii="Arial" w:cs="Arial" w:eastAsia="Arial" w:hAnsi="Arial"/>
                <w:sz w:val="15"/>
                <w:szCs w:val="15"/>
                <w:color w:val="auto"/>
              </w:rPr>
              <w:t>Non-cash gain (loss) on warrant revaluation</w:t>
            </w: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4</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Non-cash interest expense</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86</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73</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Accounts receivable</w:t>
            </w:r>
          </w:p>
        </w:tc>
        <w:tc>
          <w:tcPr>
            <w:tcW w:w="8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(2,708)</w:t>
            </w:r>
          </w:p>
        </w:tc>
        <w:tc>
          <w:tcPr>
            <w:tcW w:w="9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(521)</w:t>
            </w:r>
          </w:p>
        </w:tc>
        <w:tc>
          <w:tcPr>
            <w:tcW w:w="0" w:type="dxa"/>
            <w:vAlign w:val="bottom"/>
          </w:tcPr>
          <w:p>
            <w:pPr>
              <w:spacing w:after="0"/>
              <w:rPr>
                <w:sz w:val="1"/>
                <w:szCs w:val="1"/>
                <w:color w:val="auto"/>
              </w:rPr>
            </w:pPr>
          </w:p>
        </w:tc>
      </w:tr>
      <w:tr>
        <w:trPr>
          <w:trHeight w:val="162"/>
        </w:trPr>
        <w:tc>
          <w:tcPr>
            <w:tcW w:w="5660" w:type="dxa"/>
            <w:vAlign w:val="bottom"/>
          </w:tcPr>
          <w:p>
            <w:pPr>
              <w:ind w:left="120"/>
              <w:spacing w:after="0" w:line="162" w:lineRule="exact"/>
              <w:rPr>
                <w:sz w:val="20"/>
                <w:szCs w:val="20"/>
                <w:color w:val="auto"/>
              </w:rPr>
            </w:pPr>
            <w:r>
              <w:rPr>
                <w:rFonts w:ascii="Arial" w:cs="Arial" w:eastAsia="Arial" w:hAnsi="Arial"/>
                <w:sz w:val="15"/>
                <w:szCs w:val="15"/>
                <w:color w:val="auto"/>
              </w:rPr>
              <w:t>Inventory</w:t>
            </w: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363</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62</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tcPr>
          <w:p>
            <w:pPr>
              <w:ind w:left="120"/>
              <w:spacing w:after="0" w:line="162" w:lineRule="exact"/>
              <w:rPr>
                <w:sz w:val="20"/>
                <w:szCs w:val="20"/>
                <w:color w:val="auto"/>
              </w:rPr>
            </w:pPr>
            <w:r>
              <w:rPr>
                <w:rFonts w:ascii="Arial" w:cs="Arial" w:eastAsia="Arial" w:hAnsi="Arial"/>
                <w:sz w:val="15"/>
                <w:szCs w:val="15"/>
                <w:color w:val="auto"/>
              </w:rPr>
              <w:t>Accounts payable</w:t>
            </w:r>
          </w:p>
        </w:tc>
        <w:tc>
          <w:tcPr>
            <w:tcW w:w="880" w:type="dxa"/>
            <w:vAlign w:val="bottom"/>
          </w:tcPr>
          <w:p>
            <w:pPr>
              <w:spacing w:after="0"/>
              <w:rPr>
                <w:sz w:val="14"/>
                <w:szCs w:val="14"/>
                <w:color w:val="auto"/>
              </w:rPr>
            </w:pPr>
          </w:p>
        </w:tc>
        <w:tc>
          <w:tcPr>
            <w:tcW w:w="7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(63)</w:t>
            </w:r>
          </w:p>
        </w:tc>
        <w:tc>
          <w:tcPr>
            <w:tcW w:w="900" w:type="dxa"/>
            <w:vAlign w:val="bottom"/>
          </w:tcPr>
          <w:p>
            <w:pPr>
              <w:spacing w:after="0"/>
              <w:rPr>
                <w:sz w:val="14"/>
                <w:szCs w:val="14"/>
                <w:color w:val="auto"/>
              </w:rPr>
            </w:pPr>
          </w:p>
        </w:tc>
        <w:tc>
          <w:tcPr>
            <w:tcW w:w="7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(1,067)</w:t>
            </w: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Accrued liabilities</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280</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(435)</w:t>
            </w:r>
          </w:p>
        </w:tc>
        <w:tc>
          <w:tcPr>
            <w:tcW w:w="0" w:type="dxa"/>
            <w:vAlign w:val="bottom"/>
          </w:tcPr>
          <w:p>
            <w:pPr>
              <w:spacing w:after="0"/>
              <w:rPr>
                <w:sz w:val="1"/>
                <w:szCs w:val="1"/>
                <w:color w:val="auto"/>
              </w:rPr>
            </w:pPr>
          </w:p>
        </w:tc>
      </w:tr>
      <w:tr>
        <w:trPr>
          <w:trHeight w:val="162"/>
        </w:trPr>
        <w:tc>
          <w:tcPr>
            <w:tcW w:w="5660" w:type="dxa"/>
            <w:vAlign w:val="bottom"/>
          </w:tcPr>
          <w:p>
            <w:pPr>
              <w:ind w:left="120"/>
              <w:spacing w:after="0" w:line="162" w:lineRule="exact"/>
              <w:rPr>
                <w:sz w:val="20"/>
                <w:szCs w:val="20"/>
                <w:color w:val="auto"/>
              </w:rPr>
            </w:pPr>
            <w:r>
              <w:rPr>
                <w:rFonts w:ascii="Arial" w:cs="Arial" w:eastAsia="Arial" w:hAnsi="Arial"/>
                <w:sz w:val="15"/>
                <w:szCs w:val="15"/>
                <w:color w:val="auto"/>
              </w:rPr>
              <w:t>Deferred revenue</w:t>
            </w: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3,000</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Lease liabilities</w:t>
            </w:r>
          </w:p>
        </w:tc>
        <w:tc>
          <w:tcPr>
            <w:tcW w:w="8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(39)</w:t>
            </w:r>
          </w:p>
        </w:tc>
        <w:tc>
          <w:tcPr>
            <w:tcW w:w="9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56"/>
        </w:trPr>
        <w:tc>
          <w:tcPr>
            <w:tcW w:w="5660" w:type="dxa"/>
            <w:vAlign w:val="bottom"/>
            <w:tcBorders>
              <w:bottom w:val="single" w:sz="8" w:color="CCEEFF"/>
            </w:tcBorders>
          </w:tcPr>
          <w:p>
            <w:pPr>
              <w:ind w:left="120"/>
              <w:spacing w:after="0" w:line="156" w:lineRule="exact"/>
              <w:rPr>
                <w:sz w:val="20"/>
                <w:szCs w:val="20"/>
                <w:color w:val="auto"/>
              </w:rPr>
            </w:pPr>
            <w:r>
              <w:rPr>
                <w:rFonts w:ascii="Arial" w:cs="Arial" w:eastAsia="Arial" w:hAnsi="Arial"/>
                <w:sz w:val="15"/>
                <w:szCs w:val="15"/>
                <w:color w:val="auto"/>
              </w:rPr>
              <w:t>Net cash provided by (used in) operating activities</w:t>
            </w:r>
          </w:p>
        </w:tc>
        <w:tc>
          <w:tcPr>
            <w:tcW w:w="8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1,651</w:t>
            </w:r>
          </w:p>
        </w:tc>
        <w:tc>
          <w:tcPr>
            <w:tcW w:w="22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(2,555)</w:t>
            </w:r>
          </w:p>
        </w:tc>
        <w:tc>
          <w:tcPr>
            <w:tcW w:w="2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6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line="162" w:lineRule="exact"/>
              <w:rPr>
                <w:sz w:val="20"/>
                <w:szCs w:val="20"/>
                <w:color w:val="auto"/>
              </w:rPr>
            </w:pPr>
            <w:r>
              <w:rPr>
                <w:rFonts w:ascii="Arial" w:cs="Arial" w:eastAsia="Arial" w:hAnsi="Arial"/>
                <w:sz w:val="15"/>
                <w:szCs w:val="15"/>
                <w:color w:val="auto"/>
              </w:rPr>
              <w:t>Purchases of property and equipment</w:t>
            </w:r>
          </w:p>
        </w:tc>
        <w:tc>
          <w:tcPr>
            <w:tcW w:w="880" w:type="dxa"/>
            <w:vAlign w:val="bottom"/>
          </w:tcPr>
          <w:p>
            <w:pPr>
              <w:spacing w:after="0"/>
              <w:rPr>
                <w:sz w:val="14"/>
                <w:szCs w:val="14"/>
                <w:color w:val="auto"/>
              </w:rPr>
            </w:pPr>
          </w:p>
        </w:tc>
        <w:tc>
          <w:tcPr>
            <w:tcW w:w="7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(309)</w:t>
            </w:r>
          </w:p>
        </w:tc>
        <w:tc>
          <w:tcPr>
            <w:tcW w:w="900" w:type="dxa"/>
            <w:vAlign w:val="bottom"/>
          </w:tcPr>
          <w:p>
            <w:pPr>
              <w:spacing w:after="0"/>
              <w:rPr>
                <w:sz w:val="14"/>
                <w:szCs w:val="14"/>
                <w:color w:val="auto"/>
              </w:rPr>
            </w:pPr>
          </w:p>
        </w:tc>
        <w:tc>
          <w:tcPr>
            <w:tcW w:w="7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55"/>
        </w:trPr>
        <w:tc>
          <w:tcPr>
            <w:tcW w:w="5660" w:type="dxa"/>
            <w:vAlign w:val="bottom"/>
            <w:tcBorders>
              <w:top w:val="single" w:sz="8" w:color="CCEEFF"/>
            </w:tcBorders>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used in investing activities</w:t>
            </w:r>
          </w:p>
        </w:tc>
        <w:tc>
          <w:tcPr>
            <w:tcW w:w="8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(309)</w:t>
            </w:r>
          </w:p>
        </w:tc>
        <w:tc>
          <w:tcPr>
            <w:tcW w:w="2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(64)</w:t>
            </w:r>
          </w:p>
        </w:tc>
        <w:tc>
          <w:tcPr>
            <w:tcW w:w="2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6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financing activities</w:t>
            </w: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Payments on debt</w:t>
            </w:r>
          </w:p>
        </w:tc>
        <w:tc>
          <w:tcPr>
            <w:tcW w:w="8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(600)</w:t>
            </w:r>
          </w:p>
        </w:tc>
        <w:tc>
          <w:tcPr>
            <w:tcW w:w="9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660" w:type="dxa"/>
            <w:vAlign w:val="bottom"/>
          </w:tcPr>
          <w:p>
            <w:pPr>
              <w:spacing w:after="0" w:line="162" w:lineRule="exact"/>
              <w:rPr>
                <w:sz w:val="20"/>
                <w:szCs w:val="20"/>
                <w:color w:val="auto"/>
              </w:rPr>
            </w:pPr>
            <w:r>
              <w:rPr>
                <w:rFonts w:ascii="Arial" w:cs="Arial" w:eastAsia="Arial" w:hAnsi="Arial"/>
                <w:sz w:val="15"/>
                <w:szCs w:val="15"/>
                <w:color w:val="auto"/>
              </w:rPr>
              <w:t>Payments on finance lease obligation</w:t>
            </w:r>
          </w:p>
        </w:tc>
        <w:tc>
          <w:tcPr>
            <w:tcW w:w="880" w:type="dxa"/>
            <w:vAlign w:val="bottom"/>
          </w:tcPr>
          <w:p>
            <w:pPr>
              <w:spacing w:after="0"/>
              <w:rPr>
                <w:sz w:val="14"/>
                <w:szCs w:val="14"/>
                <w:color w:val="auto"/>
              </w:rPr>
            </w:pPr>
          </w:p>
        </w:tc>
        <w:tc>
          <w:tcPr>
            <w:tcW w:w="7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900" w:type="dxa"/>
            <w:vAlign w:val="bottom"/>
          </w:tcPr>
          <w:p>
            <w:pPr>
              <w:spacing w:after="0"/>
              <w:rPr>
                <w:sz w:val="14"/>
                <w:szCs w:val="14"/>
                <w:color w:val="auto"/>
              </w:rPr>
            </w:pPr>
          </w:p>
        </w:tc>
        <w:tc>
          <w:tcPr>
            <w:tcW w:w="7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49"/>
        </w:trPr>
        <w:tc>
          <w:tcPr>
            <w:tcW w:w="56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Proceeds from exercise of stock options and purchase of shares in employee stock</w:t>
            </w: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660" w:type="dxa"/>
            <w:vAlign w:val="bottom"/>
            <w:shd w:val="clear" w:color="auto" w:fill="CCEEFF"/>
          </w:tcPr>
          <w:p>
            <w:pPr>
              <w:spacing w:after="0"/>
              <w:rPr>
                <w:sz w:val="20"/>
                <w:szCs w:val="20"/>
                <w:color w:val="auto"/>
              </w:rPr>
            </w:pPr>
            <w:r>
              <w:rPr>
                <w:rFonts w:ascii="Arial" w:cs="Arial" w:eastAsia="Arial" w:hAnsi="Arial"/>
                <w:sz w:val="15"/>
                <w:szCs w:val="15"/>
                <w:color w:val="auto"/>
              </w:rPr>
              <w:t>purchase plan</w:t>
            </w: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660" w:type="dxa"/>
            <w:vAlign w:val="bottom"/>
          </w:tcPr>
          <w:p>
            <w:pPr>
              <w:spacing w:after="0" w:line="162" w:lineRule="exact"/>
              <w:rPr>
                <w:sz w:val="20"/>
                <w:szCs w:val="20"/>
                <w:color w:val="auto"/>
              </w:rPr>
            </w:pPr>
            <w:r>
              <w:rPr>
                <w:rFonts w:ascii="Arial" w:cs="Arial" w:eastAsia="Arial" w:hAnsi="Arial"/>
                <w:sz w:val="15"/>
                <w:szCs w:val="15"/>
                <w:color w:val="auto"/>
                <w:w w:val="95"/>
              </w:rPr>
              <w:t>Proceeds from issuance of common stock in at-the-market offering, net of issuance costs</w:t>
            </w:r>
          </w:p>
        </w:tc>
        <w:tc>
          <w:tcPr>
            <w:tcW w:w="880" w:type="dxa"/>
            <w:vAlign w:val="bottom"/>
          </w:tcPr>
          <w:p>
            <w:pPr>
              <w:spacing w:after="0"/>
              <w:rPr>
                <w:sz w:val="14"/>
                <w:szCs w:val="14"/>
                <w:color w:val="auto"/>
              </w:rPr>
            </w:pPr>
          </w:p>
        </w:tc>
        <w:tc>
          <w:tcPr>
            <w:tcW w:w="7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90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2,084</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60" w:type="dxa"/>
            <w:vAlign w:val="bottom"/>
            <w:tcBorders>
              <w:top w:val="single" w:sz="8" w:color="CCEEFF"/>
            </w:tcBorders>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(used in) provided by financing activities</w:t>
            </w:r>
          </w:p>
        </w:tc>
        <w:tc>
          <w:tcPr>
            <w:tcW w:w="8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(456)</w:t>
            </w:r>
          </w:p>
        </w:tc>
        <w:tc>
          <w:tcPr>
            <w:tcW w:w="2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2,082</w:t>
            </w:r>
          </w:p>
        </w:tc>
        <w:tc>
          <w:tcPr>
            <w:tcW w:w="2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60" w:type="dxa"/>
            <w:vAlign w:val="bottom"/>
          </w:tcPr>
          <w:p>
            <w:pPr>
              <w:spacing w:after="0" w:line="156" w:lineRule="exact"/>
              <w:rPr>
                <w:sz w:val="20"/>
                <w:szCs w:val="20"/>
                <w:color w:val="auto"/>
              </w:rPr>
            </w:pPr>
            <w:r>
              <w:rPr>
                <w:rFonts w:ascii="Arial" w:cs="Arial" w:eastAsia="Arial" w:hAnsi="Arial"/>
                <w:sz w:val="15"/>
                <w:szCs w:val="15"/>
                <w:color w:val="auto"/>
              </w:rPr>
              <w:t>Net increase (decrease) in cash and cash equivalents</w:t>
            </w:r>
          </w:p>
        </w:tc>
        <w:tc>
          <w:tcPr>
            <w:tcW w:w="880" w:type="dxa"/>
            <w:vAlign w:val="bottom"/>
          </w:tcPr>
          <w:p>
            <w:pPr>
              <w:spacing w:after="0"/>
              <w:rPr>
                <w:sz w:val="13"/>
                <w:szCs w:val="13"/>
                <w:color w:val="auto"/>
              </w:rPr>
            </w:pPr>
          </w:p>
        </w:tc>
        <w:tc>
          <w:tcPr>
            <w:tcW w:w="520" w:type="dxa"/>
            <w:vAlign w:val="bottom"/>
          </w:tcPr>
          <w:p>
            <w:pPr>
              <w:jc w:val="right"/>
              <w:spacing w:after="0" w:line="156" w:lineRule="exact"/>
              <w:rPr>
                <w:sz w:val="20"/>
                <w:szCs w:val="20"/>
                <w:color w:val="auto"/>
              </w:rPr>
            </w:pPr>
            <w:r>
              <w:rPr>
                <w:rFonts w:ascii="Arial" w:cs="Arial" w:eastAsia="Arial" w:hAnsi="Arial"/>
                <w:sz w:val="15"/>
                <w:szCs w:val="15"/>
                <w:color w:val="auto"/>
              </w:rPr>
              <w:t>886</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spacing w:after="0" w:line="156" w:lineRule="exact"/>
              <w:rPr>
                <w:sz w:val="20"/>
                <w:szCs w:val="20"/>
                <w:color w:val="auto"/>
              </w:rPr>
            </w:pPr>
            <w:r>
              <w:rPr>
                <w:rFonts w:ascii="Arial" w:cs="Arial" w:eastAsia="Arial" w:hAnsi="Arial"/>
                <w:sz w:val="15"/>
                <w:szCs w:val="15"/>
                <w:color w:val="auto"/>
              </w:rPr>
              <w:t>(537)</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8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14,599</w:t>
            </w:r>
          </w:p>
        </w:tc>
        <w:tc>
          <w:tcPr>
            <w:tcW w:w="22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14,487</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66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Cash and cash equivalents at end of period</w:t>
            </w:r>
          </w:p>
        </w:tc>
        <w:tc>
          <w:tcPr>
            <w:tcW w:w="880" w:type="dxa"/>
            <w:vAlign w:val="bottom"/>
            <w:tcBorders>
              <w:bottom w:val="single" w:sz="8" w:color="auto"/>
            </w:tcBorders>
          </w:tcPr>
          <w:p>
            <w:pPr>
              <w:jc w:val="right"/>
              <w:ind w:right="765"/>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15,485</w:t>
            </w: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78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13,950</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660" w:type="dxa"/>
            <w:vAlign w:val="bottom"/>
            <w:shd w:val="clear" w:color="auto" w:fill="CCEEFF"/>
          </w:tcPr>
          <w:p>
            <w:pPr>
              <w:spacing w:after="0" w:line="143" w:lineRule="exact"/>
              <w:rPr>
                <w:sz w:val="20"/>
                <w:szCs w:val="20"/>
                <w:color w:val="auto"/>
              </w:rPr>
            </w:pPr>
            <w:r>
              <w:rPr>
                <w:rFonts w:ascii="Arial" w:cs="Arial" w:eastAsia="Arial" w:hAnsi="Arial"/>
                <w:sz w:val="15"/>
                <w:szCs w:val="15"/>
                <w:b w:val="1"/>
                <w:bCs w:val="1"/>
                <w:color w:val="auto"/>
              </w:rPr>
              <w:t>Supplementary cash flow information:</w:t>
            </w: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66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Interest paid</w:t>
            </w:r>
          </w:p>
        </w:tc>
        <w:tc>
          <w:tcPr>
            <w:tcW w:w="880" w:type="dxa"/>
            <w:vAlign w:val="bottom"/>
            <w:tcBorders>
              <w:bottom w:val="single" w:sz="8" w:color="auto"/>
            </w:tcBorders>
          </w:tcPr>
          <w:p>
            <w:pPr>
              <w:jc w:val="right"/>
              <w:ind w:right="765"/>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66</w:t>
            </w: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78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99</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66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Operating cash flows paid for operating leases</w:t>
            </w:r>
          </w:p>
        </w:tc>
        <w:tc>
          <w:tcPr>
            <w:tcW w:w="88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413</w:t>
            </w:r>
          </w:p>
        </w:tc>
        <w:tc>
          <w:tcPr>
            <w:tcW w:w="2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486</w:t>
            </w:r>
          </w:p>
        </w:tc>
        <w:tc>
          <w:tcPr>
            <w:tcW w:w="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5"/>
                <w:szCs w:val="15"/>
                <w:color w:val="auto"/>
              </w:rPr>
              <w:t>Financing cash flows paid for finance leases</w:t>
            </w:r>
          </w:p>
        </w:tc>
        <w:tc>
          <w:tcPr>
            <w:tcW w:w="8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tcBorders>
              <w:bottom w:val="single" w:sz="8" w:color="CCEEFF"/>
            </w:tcBorders>
            <w:vMerge w:val="continue"/>
          </w:tcPr>
          <w:p>
            <w:pPr>
              <w:spacing w:after="0"/>
              <w:rPr>
                <w:sz w:val="15"/>
                <w:szCs w:val="15"/>
                <w:color w:val="auto"/>
              </w:rPr>
            </w:pPr>
          </w:p>
        </w:tc>
        <w:tc>
          <w:tcPr>
            <w:tcW w:w="880" w:type="dxa"/>
            <w:vAlign w:val="bottom"/>
            <w:tcBorders>
              <w:top w:val="single" w:sz="8" w:color="auto"/>
              <w:bottom w:val="single" w:sz="8" w:color="auto"/>
            </w:tcBorders>
          </w:tcPr>
          <w:p>
            <w:pPr>
              <w:jc w:val="right"/>
              <w:ind w:right="765"/>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2</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660" w:type="dxa"/>
            <w:vAlign w:val="bottom"/>
            <w:shd w:val="clear" w:color="auto" w:fill="CCEEFF"/>
          </w:tcPr>
          <w:p>
            <w:pPr>
              <w:spacing w:after="0" w:line="143" w:lineRule="exact"/>
              <w:rPr>
                <w:sz w:val="20"/>
                <w:szCs w:val="20"/>
                <w:color w:val="auto"/>
              </w:rPr>
            </w:pPr>
            <w:r>
              <w:rPr>
                <w:rFonts w:ascii="Arial" w:cs="Arial" w:eastAsia="Arial" w:hAnsi="Arial"/>
                <w:sz w:val="15"/>
                <w:szCs w:val="15"/>
                <w:b w:val="1"/>
                <w:bCs w:val="1"/>
                <w:color w:val="auto"/>
              </w:rPr>
              <w:t>Non-cash investing and financing activities:</w:t>
            </w: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line="162" w:lineRule="exact"/>
              <w:rPr>
                <w:sz w:val="20"/>
                <w:szCs w:val="20"/>
                <w:color w:val="auto"/>
              </w:rPr>
            </w:pPr>
            <w:r>
              <w:rPr>
                <w:rFonts w:ascii="Arial" w:cs="Arial" w:eastAsia="Arial" w:hAnsi="Arial"/>
                <w:sz w:val="15"/>
                <w:szCs w:val="15"/>
                <w:color w:val="auto"/>
              </w:rPr>
              <w:t>Bonus settled in shares of common stock</w:t>
            </w:r>
          </w:p>
        </w:tc>
        <w:tc>
          <w:tcPr>
            <w:tcW w:w="880" w:type="dxa"/>
            <w:vAlign w:val="bottom"/>
            <w:tcBorders>
              <w:bottom w:val="single" w:sz="8" w:color="auto"/>
            </w:tcBorders>
          </w:tcPr>
          <w:p>
            <w:pPr>
              <w:jc w:val="right"/>
              <w:ind w:right="765"/>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364</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ind w:right="78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315</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Everspin Technologies, Inc. (the Company) was incorporated in Delaware on May 16, 2008. The Company’s magnetoresistive random-access memory (MRAM) solutions offer the persistence of non-volatile memory with the speed and endurance of random-access memory (RAM) and enable the protection of mission critical data particularly in the event of power interruption or failure. The Company’s MRAM solutions allow its customers in the industrial, automotive, transportation, and data center markets to design high performance, power efficient and reliable systems without the need for bulky batteries or capacitors.</w:t>
      </w:r>
    </w:p>
    <w:p>
      <w:pPr>
        <w:spacing w:after="0" w:line="287" w:lineRule="exact"/>
        <w:rPr>
          <w:sz w:val="20"/>
          <w:szCs w:val="20"/>
          <w:color w:val="auto"/>
        </w:rPr>
      </w:pPr>
    </w:p>
    <w:p>
      <w:pPr>
        <w:ind w:left="40" w:right="79" w:firstLine="324"/>
        <w:spacing w:after="0" w:line="289" w:lineRule="auto"/>
        <w:rPr>
          <w:sz w:val="20"/>
          <w:szCs w:val="20"/>
          <w:color w:val="auto"/>
        </w:rPr>
      </w:pPr>
      <w:r>
        <w:rPr>
          <w:rFonts w:ascii="Arial" w:cs="Arial" w:eastAsia="Arial" w:hAnsi="Arial"/>
          <w:sz w:val="16"/>
          <w:szCs w:val="16"/>
          <w:color w:val="auto"/>
        </w:rPr>
        <w:t>The Company believes that its existing cash and cash equivalents as of March 31, 2021, coupled with its anticipated growth and sales levels will be sufficient to meet its anticipated cash requirements for at least the next twelve months from the financial statement issuance date. The Company’s future capital requirements will depend on many factors, including its growth rate, the timing and extent of its spending to support research and development activities, the timing and cost of establishing additional sales and marketing capabilities, and the introduction of new products. The Company may be required at some point in the future to seek additional equity or debt financing, to sustain operations beyond that point, and such additional financing may not be available on acceptable terms or at all. If the Company is unable to raise additional capital or generate sufficient cash from operations to adequately fund its operations, it will need to curtail planned activities to reduce costs. Doing so will likely harm its ability to execute on its business plan.</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119" w:firstLine="324"/>
        <w:spacing w:after="0" w:line="269" w:lineRule="auto"/>
        <w:rPr>
          <w:sz w:val="20"/>
          <w:szCs w:val="20"/>
          <w:color w:val="auto"/>
        </w:rPr>
      </w:pPr>
      <w:r>
        <w:rPr>
          <w:rFonts w:ascii="Arial" w:cs="Arial" w:eastAsia="Arial" w:hAnsi="Arial"/>
          <w:sz w:val="17"/>
          <w:szCs w:val="17"/>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2020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months ended March 31, 2021 are not necessarily indicative of the results to be expected for the year ending December 31, 2021 or for any other interim period or for any other future year.</w:t>
      </w:r>
    </w:p>
    <w:p>
      <w:pPr>
        <w:spacing w:after="0" w:line="182" w:lineRule="exact"/>
        <w:rPr>
          <w:sz w:val="20"/>
          <w:szCs w:val="20"/>
          <w:color w:val="auto"/>
        </w:rPr>
      </w:pPr>
    </w:p>
    <w:p>
      <w:pPr>
        <w:ind w:left="40" w:right="299" w:firstLine="324"/>
        <w:spacing w:after="0" w:line="263"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for the year ended December 31, 2020, included in the Company’s Annual Report on Form 10-K filed with the SEC.</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40" w:right="79" w:firstLine="324"/>
        <w:spacing w:after="0" w:line="272" w:lineRule="auto"/>
        <w:rPr>
          <w:sz w:val="20"/>
          <w:szCs w:val="20"/>
          <w:color w:val="auto"/>
        </w:rPr>
      </w:pPr>
      <w:r>
        <w:rPr>
          <w:rFonts w:ascii="Arial" w:cs="Arial" w:eastAsia="Arial" w:hAnsi="Arial"/>
          <w:sz w:val="17"/>
          <w:szCs w:val="17"/>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reserves, product warranty reserves, deferred tax assets and related valuation allowances, and stock-based compensation. The Company believes its estimates and assumptions are reasonable; however, actual results may differ from the Company’s estimates.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left="40" w:right="559" w:firstLine="324"/>
        <w:spacing w:after="0" w:line="381" w:lineRule="auto"/>
        <w:rPr>
          <w:sz w:val="20"/>
          <w:szCs w:val="20"/>
          <w:color w:val="auto"/>
        </w:rPr>
      </w:pPr>
      <w:r>
        <w:rPr>
          <w:rFonts w:ascii="Arial" w:cs="Arial" w:eastAsia="Arial" w:hAnsi="Arial"/>
          <w:sz w:val="15"/>
          <w:szCs w:val="15"/>
          <w:color w:val="auto"/>
        </w:rPr>
        <w:t>The Company establishes an allowance for product returns. The Company analyzes historical returns, current economic trends and changes in customer demand and acceptance of products when evaluating the adequacy of sales</w:t>
      </w:r>
    </w:p>
    <w:p>
      <w:pPr>
        <w:sectPr>
          <w:pgSz w:w="11900" w:h="16838" w:orient="portrait"/>
          <w:cols w:equalWidth="0" w:num="1">
            <w:col w:w="9019"/>
          </w:cols>
          <w:pgMar w:left="1440" w:top="517" w:right="1440"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179"/>
        <w:spacing w:after="0" w:line="259" w:lineRule="auto"/>
        <w:rPr>
          <w:sz w:val="20"/>
          <w:szCs w:val="20"/>
          <w:color w:val="auto"/>
        </w:rPr>
      </w:pPr>
      <w:r>
        <w:rPr>
          <w:rFonts w:ascii="Arial" w:cs="Arial" w:eastAsia="Arial" w:hAnsi="Arial"/>
          <w:sz w:val="18"/>
          <w:szCs w:val="18"/>
          <w:color w:val="auto"/>
        </w:rPr>
        <w:t>returns. Returns are processed as credits on future purchases, and as a result, the allowance is recorded against the balance of trade accounts receivable. In addition, the Company establishes an allowance for estimated price concessions related to its distributor agreements. The Company estimates credits to distributors based on the historical rate of credits provided to distributors relative to sales.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Accounts receivable, net consisted of the following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9"/>
              </w:rPr>
              <w:t>March 31,</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5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product returns and price concessions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10"/>
        </w:trPr>
        <w:tc>
          <w:tcPr>
            <w:tcW w:w="51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10,315</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7,607</w:t>
            </w: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40" w:right="179" w:firstLine="324"/>
        <w:spacing w:after="0" w:line="257" w:lineRule="auto"/>
        <w:rPr>
          <w:sz w:val="20"/>
          <w:szCs w:val="20"/>
          <w:color w:val="auto"/>
        </w:rPr>
      </w:pPr>
      <w:r>
        <w:rPr>
          <w:rFonts w:ascii="Arial" w:cs="Arial" w:eastAsia="Arial" w:hAnsi="Arial"/>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88"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ind w:left="680"/>
              <w:spacing w:after="0"/>
              <w:rPr>
                <w:sz w:val="20"/>
                <w:szCs w:val="20"/>
                <w:color w:val="auto"/>
              </w:rPr>
            </w:pPr>
            <w:r>
              <w:rPr>
                <w:rFonts w:ascii="Arial" w:cs="Arial" w:eastAsia="Arial" w:hAnsi="Arial"/>
                <w:sz w:val="14"/>
                <w:szCs w:val="14"/>
                <w:b w:val="1"/>
                <w:bCs w:val="1"/>
                <w:color w:val="auto"/>
              </w:rPr>
              <w:t>Revenue</w:t>
            </w:r>
          </w:p>
        </w:tc>
        <w:tc>
          <w:tcPr>
            <w:tcW w:w="224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w w:val="97"/>
              </w:rPr>
              <w:t>Accounts Receivable, net</w:t>
            </w: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20" w:type="dxa"/>
            <w:vAlign w:val="bottom"/>
            <w:tcBorders>
              <w:top w:val="single" w:sz="8" w:color="auto"/>
            </w:tcBorders>
            <w:gridSpan w:val="5"/>
          </w:tcPr>
          <w:p>
            <w:pPr>
              <w:jc w:val="center"/>
              <w:ind w:right="110"/>
              <w:spacing w:after="0" w:line="119" w:lineRule="exact"/>
              <w:rPr>
                <w:sz w:val="20"/>
                <w:szCs w:val="20"/>
                <w:color w:val="auto"/>
              </w:rPr>
            </w:pPr>
            <w:r>
              <w:rPr>
                <w:rFonts w:ascii="Arial" w:cs="Arial" w:eastAsia="Arial" w:hAnsi="Arial"/>
                <w:sz w:val="13"/>
                <w:szCs w:val="13"/>
                <w:b w:val="1"/>
                <w:bCs w:val="1"/>
                <w:color w:val="auto"/>
              </w:rPr>
              <w:t>Three Months Ended</w:t>
            </w:r>
          </w:p>
        </w:tc>
        <w:tc>
          <w:tcPr>
            <w:tcW w:w="3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696"/>
              <w:spacing w:after="0" w:line="119" w:lineRule="exact"/>
              <w:rPr>
                <w:sz w:val="20"/>
                <w:szCs w:val="20"/>
                <w:color w:val="auto"/>
              </w:rPr>
            </w:pPr>
            <w:r>
              <w:rPr>
                <w:rFonts w:ascii="Arial" w:cs="Arial" w:eastAsia="Arial" w:hAnsi="Arial"/>
                <w:sz w:val="13"/>
                <w:szCs w:val="13"/>
                <w:b w:val="1"/>
                <w:bCs w:val="1"/>
                <w:color w:val="auto"/>
              </w:rPr>
              <w:t>As of</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Customers</w:t>
            </w:r>
          </w:p>
        </w:tc>
        <w:tc>
          <w:tcPr>
            <w:tcW w:w="1180" w:type="dxa"/>
            <w:vAlign w:val="bottom"/>
            <w:gridSpan w:val="3"/>
          </w:tcPr>
          <w:p>
            <w:pPr>
              <w:jc w:val="center"/>
              <w:ind w:left="420"/>
              <w:spacing w:after="0"/>
              <w:rPr>
                <w:sz w:val="20"/>
                <w:szCs w:val="20"/>
                <w:color w:val="auto"/>
              </w:rPr>
            </w:pPr>
            <w:r>
              <w:rPr>
                <w:rFonts w:ascii="Arial" w:cs="Arial" w:eastAsia="Arial" w:hAnsi="Arial"/>
                <w:sz w:val="14"/>
                <w:szCs w:val="14"/>
                <w:b w:val="1"/>
                <w:bCs w:val="1"/>
                <w:color w:val="auto"/>
                <w:w w:val="99"/>
              </w:rPr>
              <w:t>March 31,</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w w:val="99"/>
              </w:rPr>
              <w:t>March 31,</w:t>
            </w:r>
          </w:p>
        </w:tc>
        <w:tc>
          <w:tcPr>
            <w:tcW w:w="128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2960" w:type="dxa"/>
            <w:vAlign w:val="bottom"/>
            <w:gridSpan w:val="2"/>
            <w:vMerge w:val="continue"/>
          </w:tcPr>
          <w:p>
            <w:pPr>
              <w:spacing w:after="0"/>
              <w:rPr>
                <w:sz w:val="12"/>
                <w:szCs w:val="12"/>
                <w:color w:val="auto"/>
              </w:rPr>
            </w:pPr>
          </w:p>
        </w:tc>
        <w:tc>
          <w:tcPr>
            <w:tcW w:w="780" w:type="dxa"/>
            <w:vAlign w:val="bottom"/>
            <w:tcBorders>
              <w:top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90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27 %</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380" w:type="dxa"/>
            <w:vAlign w:val="bottom"/>
          </w:tcPr>
          <w:p>
            <w:pPr>
              <w:spacing w:after="0"/>
              <w:rPr>
                <w:sz w:val="18"/>
                <w:szCs w:val="18"/>
                <w:color w:val="auto"/>
              </w:rPr>
            </w:pPr>
          </w:p>
        </w:tc>
        <w:tc>
          <w:tcPr>
            <w:tcW w:w="960" w:type="dxa"/>
            <w:vAlign w:val="bottom"/>
            <w:gridSpan w:val="2"/>
          </w:tcPr>
          <w:p>
            <w:pPr>
              <w:jc w:val="right"/>
              <w:ind w:right="22"/>
              <w:spacing w:after="0"/>
              <w:rPr>
                <w:sz w:val="20"/>
                <w:szCs w:val="20"/>
                <w:color w:val="auto"/>
              </w:rPr>
            </w:pPr>
            <w:r>
              <w:rPr>
                <w:rFonts w:ascii="Arial" w:cs="Arial" w:eastAsia="Arial" w:hAnsi="Arial"/>
                <w:sz w:val="18"/>
                <w:szCs w:val="18"/>
                <w:color w:val="auto"/>
              </w:rPr>
              <w:t>39 %</w:t>
            </w: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3030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167"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8"/>
          <w:szCs w:val="18"/>
          <w:color w:val="auto"/>
        </w:rPr>
        <w:t>*</w:t>
        <w:tab/>
        <w:t>Less than 10%</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40" w:right="79" w:firstLine="324"/>
        <w:spacing w:after="0" w:line="286" w:lineRule="auto"/>
        <w:rPr>
          <w:sz w:val="20"/>
          <w:szCs w:val="20"/>
          <w:color w:val="auto"/>
        </w:rPr>
      </w:pPr>
      <w:r>
        <w:rPr>
          <w:rFonts w:ascii="Arial" w:cs="Arial" w:eastAsia="Arial" w:hAnsi="Arial"/>
          <w:sz w:val="17"/>
          <w:szCs w:val="17"/>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360" w:right="419"/>
        <w:spacing w:after="0" w:line="277" w:lineRule="auto"/>
        <w:rPr>
          <w:sz w:val="20"/>
          <w:szCs w:val="20"/>
          <w:color w:val="auto"/>
        </w:rPr>
      </w:pPr>
      <w:r>
        <w:rPr>
          <w:rFonts w:ascii="Arial" w:cs="Arial" w:eastAsia="Arial" w:hAnsi="Arial"/>
          <w:sz w:val="18"/>
          <w:szCs w:val="18"/>
          <w:color w:val="auto"/>
        </w:rPr>
        <w:t>Level 2— Inputs, other than quoted prices for identical assets or liabilities in active markets, which are observable either directly or indirectly; and</w:t>
      </w:r>
    </w:p>
    <w:p>
      <w:pPr>
        <w:spacing w:after="0" w:line="170" w:lineRule="exact"/>
        <w:rPr>
          <w:sz w:val="20"/>
          <w:szCs w:val="20"/>
          <w:color w:val="auto"/>
        </w:rPr>
      </w:pPr>
    </w:p>
    <w:p>
      <w:pPr>
        <w:ind w:left="360" w:right="339"/>
        <w:spacing w:after="0" w:line="277" w:lineRule="auto"/>
        <w:rPr>
          <w:sz w:val="20"/>
          <w:szCs w:val="20"/>
          <w:color w:val="auto"/>
        </w:rPr>
      </w:pPr>
      <w:r>
        <w:rPr>
          <w:rFonts w:ascii="Arial" w:cs="Arial" w:eastAsia="Arial" w:hAnsi="Arial"/>
          <w:sz w:val="18"/>
          <w:szCs w:val="18"/>
          <w:color w:val="auto"/>
        </w:rPr>
        <w:t>Level 3— Unobservable inputs in which there is little or no market data requiring the reporting entity to develop its own assumptions.</w:t>
      </w:r>
    </w:p>
    <w:p>
      <w:pPr>
        <w:spacing w:after="0" w:line="170" w:lineRule="exact"/>
        <w:rPr>
          <w:sz w:val="20"/>
          <w:szCs w:val="20"/>
          <w:color w:val="auto"/>
        </w:rPr>
      </w:pPr>
    </w:p>
    <w:p>
      <w:pPr>
        <w:ind w:left="40" w:right="179" w:firstLine="324"/>
        <w:spacing w:after="0" w:line="301" w:lineRule="auto"/>
        <w:rPr>
          <w:sz w:val="20"/>
          <w:szCs w:val="20"/>
          <w:color w:val="auto"/>
        </w:rPr>
      </w:pPr>
      <w:r>
        <w:rPr>
          <w:rFonts w:ascii="Arial" w:cs="Arial" w:eastAsia="Arial" w:hAnsi="Arial"/>
          <w:sz w:val="16"/>
          <w:szCs w:val="16"/>
          <w:color w:val="auto"/>
        </w:rPr>
        <w:t>As of March 31, 2021,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consist of Level 1 assets and a Level 3 liability. Level 1 assets consist of highly liquid money market funds that are included in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319"/>
        <w:spacing w:after="0" w:line="277" w:lineRule="auto"/>
        <w:rPr>
          <w:sz w:val="20"/>
          <w:szCs w:val="20"/>
          <w:color w:val="auto"/>
        </w:rPr>
      </w:pPr>
      <w:r>
        <w:rPr>
          <w:rFonts w:ascii="Arial" w:cs="Arial" w:eastAsia="Arial" w:hAnsi="Arial"/>
          <w:sz w:val="18"/>
          <w:szCs w:val="18"/>
          <w:color w:val="auto"/>
        </w:rPr>
        <w:t>cash equivalents. The Company’s Level 3 liability consists of warrants issued in connection with the Company’s current credit facility (Note 6).</w:t>
      </w:r>
    </w:p>
    <w:p>
      <w:pPr>
        <w:spacing w:after="0" w:line="170" w:lineRule="exact"/>
        <w:rPr>
          <w:sz w:val="20"/>
          <w:szCs w:val="20"/>
          <w:color w:val="auto"/>
        </w:rPr>
      </w:pPr>
    </w:p>
    <w:p>
      <w:pPr>
        <w:ind w:left="40" w:right="119" w:firstLine="324"/>
        <w:spacing w:after="0" w:line="277" w:lineRule="auto"/>
        <w:rPr>
          <w:sz w:val="20"/>
          <w:szCs w:val="20"/>
          <w:color w:val="auto"/>
        </w:rPr>
      </w:pPr>
      <w:r>
        <w:rPr>
          <w:rFonts w:ascii="Arial" w:cs="Arial" w:eastAsia="Arial" w:hAnsi="Arial"/>
          <w:sz w:val="18"/>
          <w:szCs w:val="18"/>
          <w:color w:val="auto"/>
        </w:rPr>
        <w:t>The following tables sets forth the fair value of the Company’s financial assets and liabilities measured at fair value on a recurring basis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15,820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15,820</w:t>
            </w:r>
          </w:p>
        </w:tc>
      </w:tr>
      <w:tr>
        <w:trPr>
          <w:trHeight w:val="209"/>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15,820</w:t>
            </w:r>
          </w:p>
        </w:tc>
      </w:tr>
      <w:tr>
        <w:trPr>
          <w:trHeight w:val="20"/>
        </w:trPr>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7"/>
        </w:trPr>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Warrant liability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9"/>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58"/>
        </w:trPr>
        <w:tc>
          <w:tcPr>
            <w:tcW w:w="3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2"/>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14,669</w:t>
            </w:r>
          </w:p>
        </w:tc>
      </w:tr>
      <w:tr>
        <w:trPr>
          <w:trHeight w:val="209"/>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14,669</w:t>
            </w:r>
          </w:p>
        </w:tc>
      </w:tr>
      <w:tr>
        <w:trPr>
          <w:trHeight w:val="20"/>
        </w:trPr>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7"/>
        </w:trPr>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Warrant liability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ind w:left="40" w:right="59" w:firstLine="324"/>
        <w:spacing w:after="0" w:line="288"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xml:space="preserve">, which amends the incurred loss impairment methodology in current GAAP with a methodology that reflects expected credit losses and requires consideration of a broader range of reasonable and supportable information to inform credit loss estimates. As the Company is a smaller reporting company, ASU 2016-13 is effective for the Company’s annual reporting periods, and interim periods within those years, beginning after December 15, 2022, and requires a cumulative effect adjustment to the balance sheet as of the beginning of the first reporting period in which the guidance is effective. In April 2019, the FASB issued ASU No. 2019-04, </w:t>
      </w:r>
      <w:r>
        <w:rPr>
          <w:rFonts w:ascii="Arial" w:cs="Arial" w:eastAsia="Arial" w:hAnsi="Arial"/>
          <w:sz w:val="16"/>
          <w:szCs w:val="16"/>
          <w:i w:val="1"/>
          <w:iCs w:val="1"/>
          <w:color w:val="auto"/>
        </w:rPr>
        <w:t>Codification Improvements Financial Instruments-Credit Losses (Topic 326)</w:t>
      </w:r>
      <w:r>
        <w:rPr>
          <w:rFonts w:ascii="Arial" w:cs="Arial" w:eastAsia="Arial" w:hAnsi="Arial"/>
          <w:sz w:val="16"/>
          <w:szCs w:val="16"/>
          <w:color w:val="auto"/>
        </w:rPr>
        <w:t>. The new ASU provides narrow-scope amendments to help apply ASU No. 2016-13. The Company is evaluating the impact of the adoption of ASU 2016-13 and ASU 2019-04 on its financial statements.</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jc w:val="both"/>
        <w:ind w:left="40" w:right="419" w:firstLine="324"/>
        <w:spacing w:after="0" w:line="263" w:lineRule="auto"/>
        <w:rPr>
          <w:sz w:val="20"/>
          <w:szCs w:val="20"/>
          <w:color w:val="auto"/>
        </w:rPr>
      </w:pPr>
      <w:r>
        <w:rPr>
          <w:rFonts w:ascii="Arial" w:cs="Arial" w:eastAsia="Arial" w:hAnsi="Arial"/>
          <w:sz w:val="18"/>
          <w:szCs w:val="18"/>
          <w:color w:val="auto"/>
        </w:rPr>
        <w:t>The Company sells the majority of its products to distributors and original equipment manufacturers (OEMs). The Company also recognizes revenue under manufacturing and engineering service agreements and licensing and royalty agreements with some customers.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Company’s revenues disaggregated by sales channel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Distributor</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Non-distributor</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12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the Company’s revenues disaggregated by timing of recognition (in thousands):</w:t>
      </w:r>
    </w:p>
    <w:p>
      <w:pPr>
        <w:spacing w:after="0" w:line="174"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40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r>
      <w:tr>
        <w:trPr>
          <w:trHeight w:val="20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Point in time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10,043</w:t>
            </w:r>
          </w:p>
        </w:tc>
        <w:tc>
          <w:tcPr>
            <w:tcW w:w="160" w:type="dxa"/>
            <w:vAlign w:val="bottom"/>
            <w:shd w:val="clear" w:color="auto" w:fill="CCEEFF"/>
          </w:tcPr>
          <w:p>
            <w:pPr>
              <w:spacing w:after="0"/>
              <w:rPr>
                <w:sz w:val="18"/>
                <w:szCs w:val="18"/>
                <w:color w:val="auto"/>
              </w:rPr>
            </w:pPr>
          </w:p>
        </w:tc>
      </w:tr>
      <w:tr>
        <w:trPr>
          <w:trHeight w:val="216"/>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Over time</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bottom w:val="single" w:sz="8" w:color="CCEEFF"/>
            </w:tcBorders>
          </w:tcPr>
          <w:p>
            <w:pPr>
              <w:spacing w:after="0"/>
              <w:rPr>
                <w:sz w:val="18"/>
                <w:szCs w:val="18"/>
                <w:color w:val="auto"/>
              </w:rPr>
            </w:pPr>
          </w:p>
        </w:tc>
      </w:tr>
      <w:tr>
        <w:trPr>
          <w:trHeight w:val="210"/>
        </w:trPr>
        <w:tc>
          <w:tcPr>
            <w:tcW w:w="4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10,108</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Company’s revenues disaggregated by type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4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r>
      <w:tr>
        <w:trPr>
          <w:trHeight w:val="209"/>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16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Royalties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r>
      <w:tr>
        <w:trPr>
          <w:trHeight w:val="210"/>
        </w:trPr>
        <w:tc>
          <w:tcPr>
            <w:tcW w:w="410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10,108</w:t>
            </w:r>
          </w:p>
        </w:tc>
        <w:tc>
          <w:tcPr>
            <w:tcW w:w="160" w:type="dxa"/>
            <w:vAlign w:val="bottom"/>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439" w:firstLine="324"/>
        <w:spacing w:after="0" w:line="286" w:lineRule="auto"/>
        <w:rPr>
          <w:sz w:val="20"/>
          <w:szCs w:val="20"/>
          <w:color w:val="auto"/>
        </w:rPr>
      </w:pPr>
      <w:r>
        <w:rPr>
          <w:rFonts w:ascii="Arial" w:cs="Arial" w:eastAsia="Arial" w:hAnsi="Arial"/>
          <w:sz w:val="17"/>
          <w:szCs w:val="17"/>
          <w:color w:val="auto"/>
        </w:rPr>
        <w:t>The Company recognizes revenue in three primary geographic regions: North America; Europe, Middle East and Africa (EMEA); and Asia-Pacific (APAC). The following table presents the Company’s revenues disaggregated by the geographic region to which the product is delivered or licensee is located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11"/>
          </w:tcPr>
          <w:p>
            <w:pPr>
              <w:ind w:left="180"/>
              <w:spacing w:after="0"/>
              <w:rPr>
                <w:sz w:val="20"/>
                <w:szCs w:val="20"/>
                <w:color w:val="auto"/>
              </w:rPr>
            </w:pPr>
            <w:r>
              <w:rPr>
                <w:rFonts w:ascii="Arial" w:cs="Arial" w:eastAsia="Arial" w:hAnsi="Arial"/>
                <w:sz w:val="14"/>
                <w:szCs w:val="14"/>
                <w:b w:val="1"/>
                <w:bCs w:val="1"/>
                <w:color w:val="auto"/>
                <w:w w:val="94"/>
              </w:rPr>
              <w:t>Three Months Ended March 31,</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7,158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6,896</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North America</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1,740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1,104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2,108</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10,280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10,108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Inventory</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gridSpan w:val="3"/>
          </w:tcPr>
          <w:p>
            <w:pPr>
              <w:ind w:left="320"/>
              <w:spacing w:after="0"/>
              <w:rPr>
                <w:sz w:val="20"/>
                <w:szCs w:val="20"/>
                <w:color w:val="auto"/>
              </w:rPr>
            </w:pPr>
            <w:r>
              <w:rPr>
                <w:rFonts w:ascii="Arial" w:cs="Arial" w:eastAsia="Arial" w:hAnsi="Arial"/>
                <w:sz w:val="18"/>
                <w:szCs w:val="18"/>
                <w:color w:val="auto"/>
              </w:rPr>
              <w:t>Inventory consisted of the following (in thousands):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24"/>
                <w:szCs w:val="24"/>
                <w:color w:val="auto"/>
              </w:rPr>
            </w:pPr>
          </w:p>
        </w:tc>
        <w:tc>
          <w:tcPr>
            <w:tcW w:w="920" w:type="dxa"/>
            <w:vAlign w:val="bottom"/>
            <w:gridSpan w:val="6"/>
          </w:tcPr>
          <w:p>
            <w:pPr>
              <w:ind w:left="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9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47"/>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center"/>
              <w:ind w:right="96"/>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4,779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4,910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Total inventory</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gridSpan w:val="3"/>
          </w:tcPr>
          <w:p>
            <w:pPr>
              <w:jc w:val="center"/>
              <w:ind w:right="9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5,721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gridSpan w:val="3"/>
          </w:tcPr>
          <w:p>
            <w:pPr>
              <w:ind w:left="320"/>
              <w:spacing w:after="0"/>
              <w:rPr>
                <w:sz w:val="20"/>
                <w:szCs w:val="20"/>
                <w:color w:val="auto"/>
              </w:rPr>
            </w:pPr>
            <w:r>
              <w:rPr>
                <w:rFonts w:ascii="Arial" w:cs="Arial" w:eastAsia="Arial" w:hAnsi="Arial"/>
                <w:sz w:val="18"/>
                <w:szCs w:val="18"/>
                <w:color w:val="auto"/>
                <w:w w:val="95"/>
              </w:rPr>
              <w:t>Accrued liabilities consisted of the following (in thousands):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9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Payroll-related expenses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1,691</w:t>
            </w:r>
          </w:p>
        </w:tc>
        <w:tc>
          <w:tcPr>
            <w:tcW w:w="180" w:type="dxa"/>
            <w:vAlign w:val="bottom"/>
            <w:gridSpan w:val="3"/>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Total accrued liabilities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2,148</w:t>
            </w:r>
          </w:p>
        </w:tc>
        <w:tc>
          <w:tcPr>
            <w:tcW w:w="180" w:type="dxa"/>
            <w:vAlign w:val="bottom"/>
            <w:gridSpan w:val="3"/>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40" w:right="219" w:firstLine="324"/>
        <w:spacing w:after="0" w:line="259" w:lineRule="auto"/>
        <w:rPr>
          <w:sz w:val="20"/>
          <w:szCs w:val="20"/>
          <w:color w:val="auto"/>
        </w:rPr>
      </w:pPr>
      <w:r>
        <w:rPr>
          <w:rFonts w:ascii="Arial" w:cs="Arial" w:eastAsia="Arial" w:hAnsi="Arial"/>
          <w:sz w:val="18"/>
          <w:szCs w:val="18"/>
          <w:color w:val="auto"/>
        </w:rPr>
        <w:t>In the three months ended March 31, 2021, the Company executed contractual arrangements with a customer for the development of a RAD-Hard product, consisting of a technology license, design license agreement and development subcontract. The Company does not share in the rights to future revenues or royalties. The total arrangements are for $6.5 million in consideration.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99" w:firstLine="324"/>
        <w:spacing w:after="0" w:line="293" w:lineRule="auto"/>
        <w:rPr>
          <w:sz w:val="20"/>
          <w:szCs w:val="20"/>
          <w:color w:val="auto"/>
        </w:rPr>
      </w:pPr>
      <w:r>
        <w:rPr>
          <w:rFonts w:ascii="Arial" w:cs="Arial" w:eastAsia="Arial" w:hAnsi="Arial"/>
          <w:sz w:val="16"/>
          <w:szCs w:val="16"/>
          <w:color w:val="auto"/>
        </w:rPr>
        <w:t>The Company concluded these contractual arrangements represent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the Company determined the licenses were not distinct within the context of the contract and combined the license with other performance obligations.</w:t>
      </w:r>
    </w:p>
    <w:p>
      <w:pPr>
        <w:spacing w:after="0" w:line="164" w:lineRule="exact"/>
        <w:rPr>
          <w:sz w:val="20"/>
          <w:szCs w:val="20"/>
          <w:color w:val="auto"/>
        </w:rPr>
      </w:pPr>
    </w:p>
    <w:p>
      <w:pPr>
        <w:ind w:left="40" w:right="119" w:firstLine="324"/>
        <w:spacing w:after="0" w:line="263" w:lineRule="auto"/>
        <w:rPr>
          <w:sz w:val="20"/>
          <w:szCs w:val="20"/>
          <w:color w:val="auto"/>
        </w:rPr>
      </w:pPr>
      <w:r>
        <w:rPr>
          <w:rFonts w:ascii="Arial" w:cs="Arial" w:eastAsia="Arial" w:hAnsi="Arial"/>
          <w:sz w:val="18"/>
          <w:szCs w:val="18"/>
          <w:color w:val="auto"/>
        </w:rPr>
        <w:t>As a result, the Company expects to recognize revenue related to the performance obligations over time and expects to begin recognizing revenue in the second quarter of 2021 over the performance obligation time period. No revenue was recorded during the three months ended March 31, 2021.</w:t>
      </w:r>
    </w:p>
    <w:p>
      <w:pPr>
        <w:spacing w:after="0" w:line="184"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Under the agreements, we received a non-refundable, upfront payment of $3.0 million, which was recorded as deferred revenue, current, as of March 31, 2021, as the Company expects to recognize this to revenue within the next twelve months.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Leases</w:t>
      </w:r>
    </w:p>
    <w:p>
      <w:pPr>
        <w:spacing w:after="0" w:line="256" w:lineRule="exact"/>
        <w:rPr>
          <w:sz w:val="20"/>
          <w:szCs w:val="20"/>
          <w:color w:val="auto"/>
        </w:rPr>
      </w:pPr>
    </w:p>
    <w:p>
      <w:pPr>
        <w:ind w:left="40" w:right="139" w:firstLine="324"/>
        <w:spacing w:after="0" w:line="259" w:lineRule="auto"/>
        <w:rPr>
          <w:sz w:val="20"/>
          <w:szCs w:val="20"/>
          <w:color w:val="auto"/>
        </w:rPr>
      </w:pPr>
      <w:r>
        <w:rPr>
          <w:rFonts w:ascii="Arial" w:cs="Arial" w:eastAsia="Arial" w:hAnsi="Arial"/>
          <w:sz w:val="18"/>
          <w:szCs w:val="18"/>
          <w:color w:val="auto"/>
        </w:rPr>
        <w:t>Operating leases consist primarily of office space expiring at various dates through 2023. Our lease agreements do not contain any material residual value guarantees or material restrictive covenants. In May 2020, the Company executed an amendment to its lease agreement for its manufacturing facility. The amendment extended the lease term by one year and reduced the monthly rent payment.</w:t>
      </w:r>
    </w:p>
    <w:p>
      <w:pPr>
        <w:spacing w:after="0" w:line="187" w:lineRule="exact"/>
        <w:rPr>
          <w:sz w:val="20"/>
          <w:szCs w:val="20"/>
          <w:color w:val="auto"/>
        </w:rPr>
      </w:pPr>
    </w:p>
    <w:p>
      <w:pPr>
        <w:ind w:left="40" w:right="359" w:firstLine="324"/>
        <w:spacing w:after="0" w:line="277" w:lineRule="auto"/>
        <w:rPr>
          <w:sz w:val="20"/>
          <w:szCs w:val="20"/>
          <w:color w:val="auto"/>
        </w:rPr>
      </w:pPr>
      <w:r>
        <w:rPr>
          <w:rFonts w:ascii="Arial" w:cs="Arial" w:eastAsia="Arial" w:hAnsi="Arial"/>
          <w:sz w:val="18"/>
          <w:szCs w:val="18"/>
          <w:color w:val="auto"/>
        </w:rPr>
        <w:t>The undiscounted future non-cancellable lease payments under the Company’s operating leases were as follows (in thousands):</w:t>
      </w:r>
    </w:p>
    <w:p>
      <w:pPr>
        <w:spacing w:after="0" w:line="243"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5660" w:type="dxa"/>
            <w:vAlign w:val="bottom"/>
            <w:gridSpan w:val="2"/>
          </w:tcPr>
          <w:p>
            <w:pPr>
              <w:ind w:left="560"/>
              <w:spacing w:after="0"/>
              <w:rPr>
                <w:sz w:val="20"/>
                <w:szCs w:val="20"/>
                <w:color w:val="auto"/>
              </w:rPr>
            </w:pPr>
            <w:r>
              <w:rPr>
                <w:rFonts w:ascii="Arial" w:cs="Arial" w:eastAsia="Arial" w:hAnsi="Arial"/>
                <w:sz w:val="14"/>
                <w:szCs w:val="14"/>
                <w:b w:val="1"/>
                <w:bCs w:val="1"/>
                <w:color w:val="auto"/>
              </w:rPr>
              <w:t>As of March 31, 2021</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tcPr>
          <w:p>
            <w:pPr>
              <w:ind w:left="140"/>
              <w:spacing w:after="0"/>
              <w:rPr>
                <w:sz w:val="20"/>
                <w:szCs w:val="20"/>
                <w:color w:val="auto"/>
              </w:rPr>
            </w:pPr>
            <w:r>
              <w:rPr>
                <w:rFonts w:ascii="Arial" w:cs="Arial" w:eastAsia="Arial" w:hAnsi="Arial"/>
                <w:sz w:val="14"/>
                <w:szCs w:val="14"/>
                <w:b w:val="1"/>
                <w:bCs w:val="1"/>
                <w:color w:val="auto"/>
              </w:rPr>
              <w:t>Amount</w:t>
            </w:r>
          </w:p>
        </w:tc>
      </w:tr>
      <w:tr>
        <w:trPr>
          <w:trHeight w:val="209"/>
        </w:trPr>
        <w:tc>
          <w:tcPr>
            <w:tcW w:w="580" w:type="dxa"/>
            <w:vAlign w:val="bottom"/>
            <w:tcBorders>
              <w:right w:val="single" w:sz="8" w:color="CCEEFF"/>
            </w:tcBorders>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2022</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861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Total lease payments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2,118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imputed interest</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Total operating lease liabilities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2,029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current portion of operating lease liabilities</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Total operating lease liabilities, net of current portion</w:t>
            </w:r>
          </w:p>
        </w:tc>
        <w:tc>
          <w:tcPr>
            <w:tcW w:w="8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0"/>
        </w:trPr>
        <w:tc>
          <w:tcPr>
            <w:tcW w:w="6620" w:type="dxa"/>
            <w:vAlign w:val="bottom"/>
            <w:gridSpan w:val="4"/>
          </w:tcPr>
          <w:p>
            <w:pPr>
              <w:jc w:val="right"/>
              <w:ind w:right="387"/>
              <w:spacing w:after="0"/>
              <w:rPr>
                <w:sz w:val="20"/>
                <w:szCs w:val="20"/>
                <w:color w:val="auto"/>
              </w:rPr>
            </w:pPr>
            <w:r>
              <w:rPr>
                <w:rFonts w:ascii="Arial" w:cs="Arial" w:eastAsia="Arial" w:hAnsi="Arial"/>
                <w:sz w:val="18"/>
                <w:szCs w:val="18"/>
                <w:color w:val="auto"/>
                <w:w w:val="91"/>
              </w:rPr>
              <w:t>Other information related to the Company’s operating lease liabilities was as follows: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5"/>
        </w:trPr>
        <w:tc>
          <w:tcPr>
            <w:tcW w:w="5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December 31,</w:t>
            </w:r>
          </w:p>
        </w:tc>
      </w:tr>
      <w:tr>
        <w:trPr>
          <w:trHeight w:val="142"/>
        </w:trPr>
        <w:tc>
          <w:tcPr>
            <w:tcW w:w="5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8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1.52</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w w:val="92"/>
              </w:rPr>
              <w:t>6.00 %</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6.00 %</w:t>
            </w:r>
          </w:p>
        </w:tc>
        <w:tc>
          <w:tcPr>
            <w:tcW w:w="40" w:type="dxa"/>
            <w:vAlign w:val="bottom"/>
          </w:tcPr>
          <w:p>
            <w:pPr>
              <w:spacing w:after="0"/>
              <w:rPr>
                <w:sz w:val="20"/>
                <w:szCs w:val="20"/>
                <w:color w:val="auto"/>
              </w:rPr>
            </w:pPr>
          </w:p>
        </w:tc>
      </w:tr>
    </w:tbl>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2019 Credit Facility</w:t>
      </w:r>
    </w:p>
    <w:p>
      <w:pPr>
        <w:spacing w:after="0" w:line="225" w:lineRule="exact"/>
        <w:rPr>
          <w:sz w:val="20"/>
          <w:szCs w:val="20"/>
          <w:color w:val="auto"/>
        </w:rPr>
      </w:pPr>
    </w:p>
    <w:p>
      <w:pPr>
        <w:ind w:left="40" w:right="79" w:firstLine="324"/>
        <w:spacing w:after="0" w:line="296" w:lineRule="auto"/>
        <w:rPr>
          <w:sz w:val="20"/>
          <w:szCs w:val="20"/>
          <w:color w:val="auto"/>
        </w:rPr>
      </w:pPr>
      <w:r>
        <w:rPr>
          <w:rFonts w:ascii="Arial" w:cs="Arial" w:eastAsia="Arial" w:hAnsi="Arial"/>
          <w:sz w:val="16"/>
          <w:szCs w:val="16"/>
          <w:color w:val="auto"/>
        </w:rPr>
        <w:t>In August 2019, the Company executed an Amended and Restated Loan and Security Agreement (2019 Credit Facility), which amended and restated the Company’s prior loan and security agreement (2017 Credit Facility), providing for a formula revolving line of credit (Line of Credit) and a term loan (2019 Term Loan) with Silicon Valley Bank (SVB) to refinance in full the outstanding principal balance of $8.0 million under the 2017 Credit Facility. In August 2019, the Company paid the final payment of $0.8 million, which was due upon the refinancing of the 2017 Credit Facility.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39" w:firstLine="324"/>
        <w:spacing w:after="0" w:line="259" w:lineRule="auto"/>
        <w:rPr>
          <w:sz w:val="20"/>
          <w:szCs w:val="20"/>
          <w:color w:val="auto"/>
        </w:rPr>
      </w:pPr>
      <w:r>
        <w:rPr>
          <w:rFonts w:ascii="Arial" w:cs="Arial" w:eastAsia="Arial" w:hAnsi="Arial"/>
          <w:sz w:val="18"/>
          <w:szCs w:val="18"/>
          <w:color w:val="auto"/>
        </w:rPr>
        <w:t>In July 2020, the Company executed the first amendment to the 2019 Credit Facility with SVB. The amendment, among other things, extended the initial 12-month interest-only period for the 2019 Term Loan to a 16-month interest-only period and lowered the floor interest rate. The floor interest rates for 2019 Term Loan and the Line of Credit were reduced from 4.75% and 6.75% to 3.75% and 4.75%, respectively.</w:t>
      </w:r>
    </w:p>
    <w:p>
      <w:pPr>
        <w:spacing w:after="0" w:line="187"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The Line of Credit under the amended 2019 Credit Facility allows for a maximum draw of $5.0 million, subject to a formula borrowing base, has a two-year term and bears interest at a floating rate equal to the Wall Street Journal (WSJ) prime rate plus 1.5%, per annum, subject to a floor of 4.75%. As of March 31, 2021, the interest rate was 4.75%. The Line of Credit required a commitment fee of 1.6% of the maximum availability of the Line of Credit, which was paid in August 2019 upon closing, and was accounted for as a debt discount. The Line of Credit also provides for a termination fee equal to 1% of the maximum availability under the Line of Credit, which is due in case of a termination of the Line of Credit prior to the scheduled maturity date, and an unused facility fee equal to 0.125% per annum of the average unused portion of the Line of Credit, which is expensed as incurred. At execution, $2.0 million from the Line of Credit was used to refinance a portion of the outstanding balance of the 2017 Credit Facility, and $3.0 million remains available under the Line of Credit, subject to borrowing base availability. As of March 31, 2021, the effective interest rate under the Line of Credit was 10.18% and the outstanding balance was $2.0 million. The Line of Credit matures on August 5, 2021.</w:t>
      </w:r>
    </w:p>
    <w:p>
      <w:pPr>
        <w:spacing w:after="0" w:line="172" w:lineRule="exact"/>
        <w:rPr>
          <w:sz w:val="20"/>
          <w:szCs w:val="20"/>
          <w:color w:val="auto"/>
        </w:rPr>
      </w:pPr>
    </w:p>
    <w:p>
      <w:pPr>
        <w:ind w:left="40" w:right="99" w:firstLine="324"/>
        <w:spacing w:after="0" w:line="269" w:lineRule="auto"/>
        <w:rPr>
          <w:sz w:val="20"/>
          <w:szCs w:val="20"/>
          <w:color w:val="auto"/>
        </w:rPr>
      </w:pPr>
      <w:r>
        <w:rPr>
          <w:rFonts w:ascii="Arial" w:cs="Arial" w:eastAsia="Arial" w:hAnsi="Arial"/>
          <w:sz w:val="17"/>
          <w:szCs w:val="17"/>
          <w:color w:val="auto"/>
        </w:rPr>
        <w:t>The Term Loan under the amended 2019 Credit Facility provides for a $6.0 million term loan, which was used to refinance the remaining balance of the 2017 Credit Facility. The 2019 Term Loan has a term of 46 months, and a 16-month interest-only period followed by 30 months of equal principal payments, plus accrued interest. The 2019 Term Loan bears interest at a floating rate equal to the WSJ prime rate minus 0.75%, subject to a floor of 3.75%. As of March 31, 2021, the interest rate was 3.75%. A final payment of 7% of the original principal amount of the 2019 Term Loan must be made when the 2019 Term Loan is prepaid or repaid, whether at maturity or as a result of a prepayment or acceleration or otherwise. The additional payment, which is accounted for as a debt discount, is being accreted using the effective interest method. The 2019 Term Loan has a prepayment fee equal to 2% of the total commitment, which is due only if the 2019 Term Loan is prepaid prior to the scheduled maturity date for any reason. As of March 31, 2021, the effective interest rate under the 2019 Term Loan was 7.85% and the outstanding balance was $5.4 million. The 2019 Term Loan matures on June 1, 2023.</w:t>
      </w:r>
    </w:p>
    <w:p>
      <w:pPr>
        <w:spacing w:after="0" w:line="182"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In conjunction with entering into the 2019 Credit Facility, on August 5, 2019, the Company and SVB amended and restated the warrant issued to SVB in connection with the first amendment to the 2017 Credit Facility, which was a warrant to purchase 9,375 shares of the Company’s common stock at an exercise price of $8.91 per share, to add an option by SVB to put the warrant back to the Company for $50,000 upon expiration or a liquidity event, to be prorated if SVB exercises a portion of the warrant. The warrant expires on July 6, 2023. The warrant is classified as a liability and recorded at fair value within other liabilities in the Company’s condensed balance sheet. Due to the put right, the warrant is subject to fair value remeasurement at each subsequent reporting date until the exercise or expiration of the warrant. Any resulting change in the fair value of the warrant will be recorded as other (expense) income, net in the Company’s condensed statement of operations and comprehensive loss. The Company recognized other expense of $4,000 and other income of $5,000 for the three months ended March 31, 2021 and 2020, respectively.</w:t>
      </w:r>
    </w:p>
    <w:p>
      <w:pPr>
        <w:spacing w:after="0" w:line="185"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In conjunction with entering into the first amendment to the 2019 Credit Facility, on July 15, 2020, the Company issued a warrant to SVB to purchase 21,500 shares of the Company’s common stock at an exercise price of $0.01 per share. The warrant expires on July 15, 2025. The warrant is classified as equity and was recorded as a debt discount that will be amortized to interest expense using the effective interest method. The fair value of the warrant was $152,000 on the date of issuance using the Black-Scholes option-pricing model.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firstLine="324"/>
        <w:spacing w:after="0" w:line="287" w:lineRule="auto"/>
        <w:rPr>
          <w:sz w:val="20"/>
          <w:szCs w:val="20"/>
          <w:color w:val="auto"/>
        </w:rPr>
      </w:pPr>
      <w:r>
        <w:rPr>
          <w:rFonts w:ascii="Arial" w:cs="Arial" w:eastAsia="Arial" w:hAnsi="Arial"/>
          <w:sz w:val="16"/>
          <w:szCs w:val="16"/>
          <w:color w:val="auto"/>
        </w:rPr>
        <w:t>Collateral for the 2019 Credit Facility includes all of the Company’s assets except for intellectual property. The Company is required to comply with certain covenants under the 2019 Credit Facility, including requirements to maintain a minimum cash balance and availability under the Line of Credit, and restrictions on certain actions without the consent of the lender, such as limitations on its ability to engage in mergers or acquisitions, sell assets, incur indebtedness or grant liens or negative pledges on its assets, make loans or make other investments. Under these covenants, the Company is prohibited from paying cash dividends with respect to its capital stock. The Company was in compliance with all covenants at March 31, 2021. The 2019 Credit Facility contains a material adverse effect clause which provides that an event of default will occur if, among other triggers, an event occurs that could reasonably be expected to result in a material adverse effect on the Company’s business, operations or condition, or on the Company’s ability to perform its obligations under the term loan. As of March 31, 2021, management does not believe that it is probable that the clause will be triggered within the next 12 months, and therefore the term loan is classified as long-term debt.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value of the Company’s 2019 Credit Facility at March 31, 2021 was as follows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Current</w:t>
            </w:r>
          </w:p>
        </w:tc>
        <w:tc>
          <w:tcPr>
            <w:tcW w:w="6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Long-Term</w:t>
            </w:r>
          </w:p>
        </w:tc>
        <w:tc>
          <w:tcPr>
            <w:tcW w:w="140" w:type="dxa"/>
            <w:vAlign w:val="bottom"/>
          </w:tcPr>
          <w:p>
            <w:pPr>
              <w:spacing w:after="0"/>
              <w:rPr>
                <w:sz w:val="14"/>
                <w:szCs w:val="14"/>
                <w:color w:val="auto"/>
              </w:rPr>
            </w:pPr>
          </w:p>
        </w:tc>
        <w:tc>
          <w:tcPr>
            <w:tcW w:w="5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Portion</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Debt</w:t>
            </w: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Unamortized debt discounts</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carrying value of the Company’s 2019 Credit Facility at December 31, 2020 was as follows (in thousands):</w:t>
      </w:r>
    </w:p>
    <w:p>
      <w:pPr>
        <w:spacing w:after="0" w:line="2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Current</w:t>
            </w:r>
          </w:p>
        </w:tc>
        <w:tc>
          <w:tcPr>
            <w:tcW w:w="6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Long-Term</w:t>
            </w:r>
          </w:p>
        </w:tc>
        <w:tc>
          <w:tcPr>
            <w:tcW w:w="140" w:type="dxa"/>
            <w:vAlign w:val="bottom"/>
          </w:tcPr>
          <w:p>
            <w:pPr>
              <w:spacing w:after="0"/>
              <w:rPr>
                <w:sz w:val="14"/>
                <w:szCs w:val="14"/>
                <w:color w:val="auto"/>
              </w:rPr>
            </w:pPr>
          </w:p>
        </w:tc>
        <w:tc>
          <w:tcPr>
            <w:tcW w:w="5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Portion</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Debt</w:t>
            </w: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Unamortized debt discounts</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includes the principal repayments due under the 2019 Credit Facility (in thousands):</w:t>
      </w:r>
    </w:p>
    <w:p>
      <w:pPr>
        <w:spacing w:after="0" w:line="36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0"/>
              </w:rPr>
              <w:t>Principal Repayment</w:t>
            </w:r>
          </w:p>
        </w:tc>
      </w:tr>
      <w:tr>
        <w:trPr>
          <w:trHeight w:val="171"/>
        </w:trPr>
        <w:tc>
          <w:tcPr>
            <w:tcW w:w="5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as of March 31, 2021</w:t>
            </w: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r>
      <w:tr>
        <w:trPr>
          <w:trHeight w:val="209"/>
        </w:trPr>
        <w:tc>
          <w:tcPr>
            <w:tcW w:w="5820" w:type="dxa"/>
            <w:vAlign w:val="bottom"/>
          </w:tcPr>
          <w:p>
            <w:pPr>
              <w:spacing w:after="0"/>
              <w:rPr>
                <w:sz w:val="20"/>
                <w:szCs w:val="20"/>
                <w:color w:val="auto"/>
              </w:rPr>
            </w:pPr>
            <w:r>
              <w:rPr>
                <w:rFonts w:ascii="Arial" w:cs="Arial" w:eastAsia="Arial" w:hAnsi="Arial"/>
                <w:sz w:val="18"/>
                <w:szCs w:val="18"/>
                <w:color w:val="auto"/>
              </w:rPr>
              <w:t>Total principal repayments</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7,820</w:t>
            </w: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At-the-Market Sales Agreement</w:t>
      </w:r>
    </w:p>
    <w:p>
      <w:pPr>
        <w:spacing w:after="0" w:line="225" w:lineRule="exact"/>
        <w:rPr>
          <w:sz w:val="20"/>
          <w:szCs w:val="20"/>
          <w:color w:val="auto"/>
        </w:rPr>
      </w:pPr>
    </w:p>
    <w:p>
      <w:pPr>
        <w:ind w:left="40" w:right="99" w:firstLine="324"/>
        <w:spacing w:after="0" w:line="289" w:lineRule="auto"/>
        <w:rPr>
          <w:sz w:val="20"/>
          <w:szCs w:val="20"/>
          <w:color w:val="auto"/>
        </w:rPr>
      </w:pPr>
      <w:r>
        <w:rPr>
          <w:rFonts w:ascii="Arial" w:cs="Arial" w:eastAsia="Arial" w:hAnsi="Arial"/>
          <w:sz w:val="16"/>
          <w:szCs w:val="16"/>
          <w:color w:val="auto"/>
        </w:rPr>
        <w:t>In August 2019, the Company entered into an Open Market Sale Agreement (2019 Sales Agreement) with Jefferies, LLC (Jefferies), for the offer and sale of shares of its common stock having an aggregate offering of up to $25.0 million from time to time through Jefferies, acting as the Company’s sales agent. The issuance and sale of these shares by the Company pursuant to the 2019 Sales Agreement are deemed an “at-the-market” (ATM) offering under the Securities Act of 1933, as amended. Under the 2019 Sales Agreement, the Company agreed to pay Jefferies a commission of up to 3% of the gross proceeds of any sales made pursuant to the Sales Agreement. During the three months ended March 31, 2020, the Company received net proceeds of $2.1 million, after deducting commissions and expenses payable by the Company, from the sale of 468,427 shares of common stock pursuant to the 2019 Sales Agreement. The Company suspended sales under the 2019 Sales Agreement in March 2020 and terminated the ATM program in November 2020.</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the stock option and award activity for the three months ended March 31, 2021:</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Options and</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9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Weighted-</w:t>
            </w:r>
          </w:p>
        </w:tc>
        <w:tc>
          <w:tcPr>
            <w:tcW w:w="120" w:type="dxa"/>
            <w:vAlign w:val="bottom"/>
          </w:tcPr>
          <w:p>
            <w:pPr>
              <w:spacing w:after="0"/>
              <w:rPr>
                <w:sz w:val="10"/>
                <w:szCs w:val="10"/>
                <w:color w:val="auto"/>
              </w:rPr>
            </w:pPr>
          </w:p>
        </w:tc>
        <w:tc>
          <w:tcPr>
            <w:tcW w:w="80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Exercise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980" w:type="dxa"/>
            <w:vAlign w:val="bottom"/>
            <w:gridSpan w:val="2"/>
            <w:vMerge w:val="continue"/>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Price Per</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Grant</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Life (years)</w:t>
            </w: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179,219</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2,272,905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Authorized</w:t>
            </w:r>
          </w:p>
        </w:tc>
        <w:tc>
          <w:tcPr>
            <w:tcW w:w="820" w:type="dxa"/>
            <w:vAlign w:val="bottom"/>
          </w:tcPr>
          <w:p>
            <w:pPr>
              <w:jc w:val="right"/>
              <w:spacing w:after="0"/>
              <w:rPr>
                <w:sz w:val="20"/>
                <w:szCs w:val="20"/>
                <w:color w:val="auto"/>
              </w:rPr>
            </w:pPr>
            <w:r>
              <w:rPr>
                <w:rFonts w:ascii="Arial" w:cs="Arial" w:eastAsia="Arial" w:hAnsi="Arial"/>
                <w:sz w:val="18"/>
                <w:szCs w:val="18"/>
                <w:color w:val="auto"/>
              </w:rPr>
              <w:t>570,946</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 granted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(236,605)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RSUs cancelled/forfeited</w:t>
            </w:r>
          </w:p>
        </w:tc>
        <w:tc>
          <w:tcPr>
            <w:tcW w:w="820" w:type="dxa"/>
            <w:vAlign w:val="bottom"/>
          </w:tcPr>
          <w:p>
            <w:pPr>
              <w:jc w:val="right"/>
              <w:spacing w:after="0"/>
              <w:rPr>
                <w:sz w:val="20"/>
                <w:szCs w:val="20"/>
                <w:color w:val="auto"/>
              </w:rPr>
            </w:pPr>
            <w:r>
              <w:rPr>
                <w:rFonts w:ascii="Arial" w:cs="Arial" w:eastAsia="Arial" w:hAnsi="Arial"/>
                <w:sz w:val="18"/>
                <w:szCs w:val="18"/>
                <w:color w:val="auto"/>
              </w:rPr>
              <w:t>31,626</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granted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Options exercised</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(54,077)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cancelled/forfeited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134,857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(136,432)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Balance—March 31,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640,543</w:t>
            </w:r>
          </w:p>
        </w:tc>
        <w:tc>
          <w:tcPr>
            <w:tcW w:w="14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2,121,896</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exercisable—March 31, 2021</w:t>
            </w: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1,288,863</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6.81</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color w:val="auto"/>
        </w:rPr>
        <w:t>The total grant date fair value of options vested was $312,000 and $799,000 during the three months ended March 31, 2021 and 2020, respectively.</w:t>
      </w:r>
    </w:p>
    <w:p>
      <w:pPr>
        <w:spacing w:after="0" w:line="170" w:lineRule="exact"/>
        <w:rPr>
          <w:sz w:val="20"/>
          <w:szCs w:val="20"/>
          <w:color w:val="auto"/>
        </w:rPr>
      </w:pPr>
    </w:p>
    <w:p>
      <w:pPr>
        <w:ind w:left="40" w:right="459" w:firstLine="324"/>
        <w:spacing w:after="0" w:line="277" w:lineRule="auto"/>
        <w:rPr>
          <w:sz w:val="20"/>
          <w:szCs w:val="20"/>
          <w:color w:val="auto"/>
        </w:rPr>
      </w:pPr>
      <w:r>
        <w:rPr>
          <w:rFonts w:ascii="Arial" w:cs="Arial" w:eastAsia="Arial" w:hAnsi="Arial"/>
          <w:sz w:val="18"/>
          <w:szCs w:val="18"/>
          <w:color w:val="auto"/>
        </w:rPr>
        <w:t>The weighted-average grant date fair value of employee options granted was $3.53 and $1.52 per share during the three months ended March 31, 2021 and 2020, respectively.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5" w:lineRule="exact"/>
        <w:rPr>
          <w:sz w:val="20"/>
          <w:szCs w:val="20"/>
          <w:color w:val="auto"/>
        </w:rPr>
      </w:pPr>
    </w:p>
    <w:p>
      <w:pPr>
        <w:ind w:left="40" w:right="179" w:firstLine="324"/>
        <w:spacing w:after="0" w:line="259" w:lineRule="auto"/>
        <w:rPr>
          <w:sz w:val="20"/>
          <w:szCs w:val="20"/>
          <w:color w:val="auto"/>
        </w:rPr>
      </w:pPr>
      <w:r>
        <w:rPr>
          <w:rFonts w:ascii="Arial" w:cs="Arial" w:eastAsia="Arial" w:hAnsi="Arial"/>
          <w:sz w:val="18"/>
          <w:szCs w:val="18"/>
          <w:color w:val="auto"/>
        </w:rPr>
        <w:t>In January 2021, there was an increase of 190,315 shares reserved for issuance under the Company’s Employee Stock Purchase Plan (ESPP) pursuant to the terms of the ESPP. The Company had 717,181 shares available for future issuance under the Company’s ESPP as of March 31, 2021. Employees did not purchase any shares during the three months ended March 31, 2021 and 2020.</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restricted stock units (RSUs) activity for the three months ended March 31, 2021:</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08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416,742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236,605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(136,709)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Cancelled/forfeited</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(31,626)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Balance—March 31, 2021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199" w:firstLine="324"/>
        <w:spacing w:after="0" w:line="263" w:lineRule="auto"/>
        <w:rPr>
          <w:sz w:val="20"/>
          <w:szCs w:val="20"/>
          <w:color w:val="auto"/>
        </w:rPr>
      </w:pPr>
      <w:r>
        <w:rPr>
          <w:rFonts w:ascii="Arial" w:cs="Arial" w:eastAsia="Arial" w:hAnsi="Arial"/>
          <w:sz w:val="18"/>
          <w:szCs w:val="18"/>
          <w:color w:val="auto"/>
        </w:rPr>
        <w:t>The fair value of RSUs is determined on the date of grant based on the market price of the Company’s common stock on that date. As of March 31, 2021, there was $1.7 million of unrecognized stock-based compensation expense related to RSUs to be recognized over a weighted-average period of 1.5 years.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left="40" w:right="519" w:firstLine="324"/>
        <w:spacing w:after="0" w:line="286" w:lineRule="auto"/>
        <w:rPr>
          <w:sz w:val="20"/>
          <w:szCs w:val="20"/>
          <w:color w:val="auto"/>
        </w:rPr>
      </w:pPr>
      <w:r>
        <w:rPr>
          <w:rFonts w:ascii="Arial" w:cs="Arial" w:eastAsia="Arial" w:hAnsi="Arial"/>
          <w:sz w:val="17"/>
          <w:szCs w:val="17"/>
          <w:color w:val="auto"/>
        </w:rPr>
        <w:t>As of March 31, 2021, there was $2.0 million of total unrecognized stock-based compensation expense related to unvested options which is expected to be recognized over a weighted-average period of 2.7 years. Compensation cost capitalized within inventory at March 31, 2021 and at December 31, 2020 was not material.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Significant Agreements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GLOBALFOUNDRIES, Inc. Joint Development Agreement</w:t>
      </w:r>
    </w:p>
    <w:p>
      <w:pPr>
        <w:spacing w:after="0" w:line="225" w:lineRule="exact"/>
        <w:rPr>
          <w:sz w:val="20"/>
          <w:szCs w:val="20"/>
          <w:color w:val="auto"/>
        </w:rPr>
      </w:pPr>
    </w:p>
    <w:p>
      <w:pPr>
        <w:ind w:left="40" w:right="119" w:firstLine="324"/>
        <w:spacing w:after="0" w:line="272" w:lineRule="auto"/>
        <w:rPr>
          <w:sz w:val="20"/>
          <w:szCs w:val="20"/>
          <w:color w:val="auto"/>
        </w:rPr>
      </w:pPr>
      <w:r>
        <w:rPr>
          <w:rFonts w:ascii="Arial" w:cs="Arial" w:eastAsia="Arial" w:hAnsi="Arial"/>
          <w:sz w:val="17"/>
          <w:szCs w:val="17"/>
          <w:color w:val="auto"/>
        </w:rPr>
        <w:t>Since October 17, 2014, the Company has participated in a joint development agreement (JDA) with GLOBALFOUNDRIES Inc. (GF), a semiconductor foundry, for the joint development of Spin-transfer Torque MRAM (STT-MRAM), technology to produce a family of discrete and embedded MRAM technologies. The term of the agreement is until the completion, termination, or expiration of the last statement of work entered into pursuant to the joint development agreement. The Company entered into a Statement of Work (SOW) and an Amendment to the SOW, under the JDA with GF effective August 2016 and June 2018, respectively. The agreement was extended on December 31, 2019 to include a new phase of support for 12nm MRAM development.</w:t>
      </w:r>
    </w:p>
    <w:p>
      <w:pPr>
        <w:spacing w:after="0" w:line="177" w:lineRule="exact"/>
        <w:rPr>
          <w:sz w:val="20"/>
          <w:szCs w:val="20"/>
          <w:color w:val="auto"/>
        </w:rPr>
      </w:pPr>
    </w:p>
    <w:p>
      <w:pPr>
        <w:ind w:left="40" w:right="59" w:firstLine="324"/>
        <w:spacing w:after="0" w:line="272" w:lineRule="auto"/>
        <w:rPr>
          <w:sz w:val="20"/>
          <w:szCs w:val="20"/>
          <w:color w:val="auto"/>
        </w:rPr>
      </w:pPr>
      <w:r>
        <w:rPr>
          <w:rFonts w:ascii="Arial" w:cs="Arial" w:eastAsia="Arial" w:hAnsi="Arial"/>
          <w:sz w:val="17"/>
          <w:szCs w:val="17"/>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77"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under the JDA. If GF manufactures, sells or transfers to customers wafers containing production quantified STT-MRAM devices that utilize certain design information, GF will be required to pay the Company a royalty.</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project costs were incurred during the three months ended March 31, 2020 and 2021.</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Silterra Malaysia Sdn. Bhd. Joint Collaboration Agreement</w:t>
      </w:r>
    </w:p>
    <w:p>
      <w:pPr>
        <w:spacing w:after="0" w:line="225" w:lineRule="exact"/>
        <w:rPr>
          <w:sz w:val="20"/>
          <w:szCs w:val="20"/>
          <w:color w:val="auto"/>
        </w:rPr>
      </w:pPr>
    </w:p>
    <w:p>
      <w:pPr>
        <w:ind w:left="40" w:right="159" w:firstLine="405"/>
        <w:spacing w:after="0" w:line="272" w:lineRule="auto"/>
        <w:rPr>
          <w:sz w:val="20"/>
          <w:szCs w:val="20"/>
          <w:color w:val="auto"/>
        </w:rPr>
      </w:pPr>
      <w:r>
        <w:rPr>
          <w:rFonts w:ascii="Arial" w:cs="Arial" w:eastAsia="Arial" w:hAnsi="Arial"/>
          <w:sz w:val="17"/>
          <w:szCs w:val="17"/>
          <w:color w:val="auto"/>
        </w:rPr>
        <w:t>In September 2018, the Company entered into a Joint Collaboration Agreement (JCA) with Silterra Malaysia Sdn. Bhd., and another third party. The JCA will create additional manufacturing capacity for the Company’s Toggle MRAM products. The Company had previously anticipated initial production starting in 2020. However, as a result of recent delays, the Company now anticipates initial production to start some time in 2021. Under the JCA, the Company is required to pay non-recurring engineering costs of $1.0 million. As of March 31, 2021, the Company has paid $600,000 of these JCA costs. There were no JCA costs paid during the three months ended March 31, 2021. The Company does not expect to incur additional JCA costs for the remainder of 2021.</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Net Loss Per Common Share</w:t>
      </w:r>
    </w:p>
    <w:p>
      <w:pPr>
        <w:spacing w:after="0" w:line="229" w:lineRule="exact"/>
        <w:rPr>
          <w:sz w:val="20"/>
          <w:szCs w:val="20"/>
          <w:color w:val="auto"/>
        </w:rPr>
      </w:pPr>
    </w:p>
    <w:p>
      <w:pPr>
        <w:ind w:left="40" w:right="659" w:firstLine="324"/>
        <w:spacing w:after="0" w:line="277" w:lineRule="auto"/>
        <w:rPr>
          <w:sz w:val="20"/>
          <w:szCs w:val="20"/>
          <w:color w:val="auto"/>
        </w:rPr>
      </w:pPr>
      <w:r>
        <w:rPr>
          <w:rFonts w:ascii="Arial" w:cs="Arial" w:eastAsia="Arial" w:hAnsi="Arial"/>
          <w:sz w:val="18"/>
          <w:szCs w:val="18"/>
          <w:color w:val="auto"/>
        </w:rPr>
        <w:t>The following outstanding shares of potentially dilutive securities have been excluded from diluted net loss per common share for the periods presented, because their inclusion would be anti-dilutive:</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20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498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2,121,896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2,437,124</w:t>
            </w:r>
          </w:p>
        </w:tc>
        <w:tc>
          <w:tcPr>
            <w:tcW w:w="1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485,012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326,903</w:t>
            </w:r>
          </w:p>
        </w:tc>
        <w:tc>
          <w:tcPr>
            <w:tcW w:w="16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49,336</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27,836</w:t>
            </w:r>
          </w:p>
        </w:tc>
        <w:tc>
          <w:tcPr>
            <w:tcW w:w="160" w:type="dxa"/>
            <w:vAlign w:val="bottom"/>
            <w:shd w:val="clear" w:color="auto" w:fill="CCEEFF"/>
          </w:tcPr>
          <w:p>
            <w:pPr>
              <w:spacing w:after="0"/>
              <w:rPr>
                <w:sz w:val="18"/>
                <w:szCs w:val="18"/>
                <w:color w:val="auto"/>
              </w:rPr>
            </w:pPr>
          </w:p>
        </w:tc>
      </w:tr>
      <w:tr>
        <w:trPr>
          <w:trHeight w:val="209"/>
        </w:trPr>
        <w:tc>
          <w:tcPr>
            <w:tcW w:w="4980" w:type="dxa"/>
            <w:vAlign w:val="bottom"/>
          </w:tcPr>
          <w:p>
            <w:pPr>
              <w:ind w:left="10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2,656,244</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2,791,863</w:t>
            </w:r>
          </w:p>
        </w:tc>
        <w:tc>
          <w:tcPr>
            <w:tcW w:w="16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40" w:right="399" w:firstLine="32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2020.</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left="40" w:right="99" w:firstLine="324"/>
        <w:spacing w:after="0" w:line="286" w:lineRule="auto"/>
        <w:rPr>
          <w:sz w:val="20"/>
          <w:szCs w:val="20"/>
          <w:color w:val="auto"/>
        </w:rPr>
      </w:pPr>
      <w:r>
        <w:rPr>
          <w:rFonts w:ascii="Arial" w:cs="Arial" w:eastAsia="Arial" w:hAnsi="Arial"/>
          <w:sz w:val="16"/>
          <w:szCs w:val="16"/>
          <w:i w:val="1"/>
          <w:iCs w:val="1"/>
          <w:color w:val="auto"/>
        </w:rPr>
        <w:t>This discussion contains certain forward-looking statements within the meaning of Section 27A of the Securities Act of 1933, as amended (Securities Act), and Section 21E of the Securities Exchange Act of 1934, as amended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strategies,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as well as in our other filings with the Securities and Exchange Commission (SEC).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379" w:firstLine="324"/>
        <w:spacing w:after="0" w:line="272" w:lineRule="auto"/>
        <w:rPr>
          <w:sz w:val="20"/>
          <w:szCs w:val="20"/>
          <w:color w:val="auto"/>
        </w:rPr>
      </w:pPr>
      <w:r>
        <w:rPr>
          <w:rFonts w:ascii="Arial" w:cs="Arial" w:eastAsia="Arial" w:hAnsi="Arial"/>
          <w:sz w:val="17"/>
          <w:szCs w:val="17"/>
          <w:color w:val="auto"/>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10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intellectual property.</w:t>
      </w:r>
    </w:p>
    <w:p>
      <w:pPr>
        <w:spacing w:after="0" w:line="177" w:lineRule="exact"/>
        <w:rPr>
          <w:sz w:val="20"/>
          <w:szCs w:val="20"/>
          <w:color w:val="auto"/>
        </w:rPr>
      </w:pPr>
    </w:p>
    <w:p>
      <w:pPr>
        <w:ind w:left="40" w:right="179" w:firstLine="324"/>
        <w:spacing w:after="0" w:line="277" w:lineRule="auto"/>
        <w:rPr>
          <w:sz w:val="20"/>
          <w:szCs w:val="20"/>
          <w:color w:val="auto"/>
        </w:rPr>
      </w:pPr>
      <w:r>
        <w:rPr>
          <w:rFonts w:ascii="Arial" w:cs="Arial" w:eastAsia="Arial" w:hAnsi="Arial"/>
          <w:sz w:val="18"/>
          <w:szCs w:val="18"/>
          <w:color w:val="auto"/>
        </w:rPr>
        <w:t>We sell our products directly and through our established distribution channels to industry-leading original equipment manufacturers (OEMs) and original design manufacturers (ODMs).</w:t>
      </w:r>
    </w:p>
    <w:p>
      <w:pPr>
        <w:spacing w:after="0" w:line="170" w:lineRule="exact"/>
        <w:rPr>
          <w:sz w:val="20"/>
          <w:szCs w:val="20"/>
          <w:color w:val="auto"/>
        </w:rPr>
      </w:pPr>
    </w:p>
    <w:p>
      <w:pPr>
        <w:ind w:left="40" w:right="199" w:firstLine="324"/>
        <w:spacing w:after="0" w:line="275" w:lineRule="auto"/>
        <w:rPr>
          <w:sz w:val="20"/>
          <w:szCs w:val="20"/>
          <w:color w:val="auto"/>
        </w:rPr>
      </w:pPr>
      <w:r>
        <w:rPr>
          <w:rFonts w:ascii="Arial" w:cs="Arial" w:eastAsia="Arial" w:hAnsi="Arial"/>
          <w:sz w:val="17"/>
          <w:szCs w:val="17"/>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CMOS wafers with our STT-MRAM magnetic-bit technology integrated in BEOL as part of our strategic relationship with GLOBALFOUNDRIES.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left="40" w:right="59" w:firstLine="324"/>
        <w:spacing w:after="0" w:line="293" w:lineRule="auto"/>
        <w:rPr>
          <w:sz w:val="20"/>
          <w:szCs w:val="20"/>
          <w:color w:val="auto"/>
        </w:rPr>
      </w:pPr>
      <w:r>
        <w:rPr>
          <w:rFonts w:ascii="Arial" w:cs="Arial" w:eastAsia="Arial" w:hAnsi="Arial"/>
          <w:sz w:val="16"/>
          <w:szCs w:val="16"/>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 and design wins. We define Adjusted EBITDA as net income or loss adjusted for interest expense, taxes, depreciation and amortization, stock-based compensation expense, and restructuring costs, if any.</w:t>
      </w:r>
    </w:p>
    <w:p>
      <w:pPr>
        <w:spacing w:after="0" w:line="164" w:lineRule="exact"/>
        <w:rPr>
          <w:sz w:val="20"/>
          <w:szCs w:val="20"/>
          <w:color w:val="auto"/>
        </w:rPr>
      </w:pPr>
    </w:p>
    <w:p>
      <w:pPr>
        <w:ind w:left="40" w:right="299" w:firstLine="324"/>
        <w:spacing w:after="0" w:line="31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Our management and board of directors use Adjusted EBITDA to understand and evaluate our</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performance and trends, to prepare and approve our annual budget and to develop short-term and long-term operating and financing plans. Accordingly, we believe that Adjusted EBITDA provides useful information for investors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299"/>
        <w:spacing w:after="0" w:line="301" w:lineRule="auto"/>
        <w:rPr>
          <w:sz w:val="20"/>
          <w:szCs w:val="20"/>
          <w:color w:val="auto"/>
        </w:rPr>
      </w:pPr>
      <w:r>
        <w:rPr>
          <w:rFonts w:ascii="Arial" w:cs="Arial" w:eastAsia="Arial" w:hAnsi="Arial"/>
          <w:sz w:val="16"/>
          <w:szCs w:val="16"/>
          <w:color w:val="auto"/>
        </w:rPr>
        <w:t>in understanding and evaluating our operating results in the same manner as our management and our board of directors. Adjusted EBITDA is a non-GAAP financial measure and should be considered in addition to, not as superior to, or as a substitute for, net income (loss) reported in accordance with GAAP. The following table presents a reconciliation of net loss, the most directly comparable GAAP measure, to Adjusted EBIDTA for the periods indicated:</w:t>
      </w:r>
    </w:p>
    <w:p>
      <w:pPr>
        <w:spacing w:after="0" w:line="16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0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42"/>
        </w:trPr>
        <w:tc>
          <w:tcPr>
            <w:tcW w:w="5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(460)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(1,732)</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5100" w:type="dxa"/>
            <w:vAlign w:val="bottom"/>
          </w:tcPr>
          <w:p>
            <w:pPr>
              <w:ind w:left="100"/>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r>
      <w:tr>
        <w:trPr>
          <w:trHeight w:val="20"/>
        </w:trPr>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139" w:firstLine="324"/>
        <w:spacing w:after="0" w:line="255" w:lineRule="auto"/>
        <w:rPr>
          <w:sz w:val="20"/>
          <w:szCs w:val="20"/>
          <w:color w:val="auto"/>
        </w:rPr>
      </w:pPr>
      <w:r>
        <w:rPr>
          <w:rFonts w:ascii="Arial" w:cs="Arial" w:eastAsia="Arial" w:hAnsi="Arial"/>
          <w:sz w:val="18"/>
          <w:szCs w:val="18"/>
          <w:i w:val="1"/>
          <w:iCs w:val="1"/>
          <w:color w:val="auto"/>
        </w:rPr>
        <w:t>Design wins</w:t>
      </w:r>
      <w:r>
        <w:rPr>
          <w:rFonts w:ascii="Arial" w:cs="Arial" w:eastAsia="Arial" w:hAnsi="Arial"/>
          <w:sz w:val="18"/>
          <w:szCs w:val="18"/>
          <w:color w:val="auto"/>
        </w:rPr>
        <w:t>. To continue to grow our revenue, we must continue to achieve design wins for our MRAM products. We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 a design win to occur when an OEM or contract manufacturer notifies us that it has qualified one of our products as a component in a product or system for production. Because the life cycles for our customers’ products can last for many years, if these products have successful commercial introductions, we expect to continue to generate revenues over an extended period of time for each successful design win. New design wins in the first quarter of 2021 and 2020 were 40 and 37, respectively.</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Effect of the COVID-19 Pandemic on our Business</w:t>
      </w:r>
    </w:p>
    <w:p>
      <w:pPr>
        <w:spacing w:after="0" w:line="229" w:lineRule="exact"/>
        <w:rPr>
          <w:sz w:val="20"/>
          <w:szCs w:val="20"/>
          <w:color w:val="auto"/>
        </w:rPr>
      </w:pPr>
    </w:p>
    <w:p>
      <w:pPr>
        <w:ind w:left="40" w:right="159" w:firstLine="324"/>
        <w:spacing w:after="0" w:line="275" w:lineRule="auto"/>
        <w:rPr>
          <w:sz w:val="20"/>
          <w:szCs w:val="20"/>
          <w:color w:val="auto"/>
        </w:rPr>
      </w:pPr>
      <w:r>
        <w:rPr>
          <w:rFonts w:ascii="Arial" w:cs="Arial" w:eastAsia="Arial" w:hAnsi="Arial"/>
          <w:sz w:val="17"/>
          <w:szCs w:val="17"/>
          <w:color w:val="auto"/>
        </w:rPr>
        <w:t>The novel coronavirus (COVID-19) outbreak has resulted in government authorities around the world implementing numerous measures to try to reduce the spread of COVID-19, such as travel bans and restrictions, quarantines, “shelter-in-place,” “stay-at-home,” total lock-down orders, business limitations or shutdowns and similar orders. The COVID-19 pandemic has negatively impacted the global economy, disrupted global supply chains and workforce participation, and initially created significant volatility and disruption of financial markets.</w:t>
      </w:r>
    </w:p>
    <w:p>
      <w:pPr>
        <w:spacing w:after="0" w:line="176" w:lineRule="exact"/>
        <w:rPr>
          <w:sz w:val="20"/>
          <w:szCs w:val="20"/>
          <w:color w:val="auto"/>
        </w:rPr>
      </w:pPr>
    </w:p>
    <w:p>
      <w:pPr>
        <w:ind w:left="40" w:right="59" w:firstLine="324"/>
        <w:spacing w:after="0" w:line="270" w:lineRule="auto"/>
        <w:rPr>
          <w:sz w:val="20"/>
          <w:szCs w:val="20"/>
          <w:color w:val="auto"/>
        </w:rPr>
      </w:pPr>
      <w:r>
        <w:rPr>
          <w:rFonts w:ascii="Arial" w:cs="Arial" w:eastAsia="Arial" w:hAnsi="Arial"/>
          <w:sz w:val="17"/>
          <w:szCs w:val="17"/>
          <w:color w:val="auto"/>
        </w:rPr>
        <w:t>Overall, our business remains operational in the midst of the pandemic. However, as a result of the COVID-19 outbreak and the related responses from government authorities, our business, results of operations and financial condition have been, and continue to be, adversely impacted. For example, we have experienced electronics supply chain and demand disruptions from extended factory shutdowns, particularly in some Asian countries, which created unusual order patterns, and subsequently slowed Toggle MRAM demand, particularly from our industrial customers. We continue to see an impact as reflected in reduced demand from some customers and distributors. While we are working closely with our manufacturing partners and suppliers to support demand for our products, the full impact on our demand from customers remains unknown. Management is thus planning for a broad range of possible demand outcomes in an effort to ensure the success of our business under a variety of end market conditions.</w:t>
      </w:r>
    </w:p>
    <w:p>
      <w:pPr>
        <w:spacing w:after="0" w:line="181" w:lineRule="exact"/>
        <w:rPr>
          <w:sz w:val="20"/>
          <w:szCs w:val="20"/>
          <w:color w:val="auto"/>
        </w:rPr>
      </w:pPr>
    </w:p>
    <w:p>
      <w:pPr>
        <w:ind w:left="40" w:right="279" w:firstLine="324"/>
        <w:spacing w:after="0" w:line="293" w:lineRule="auto"/>
        <w:rPr>
          <w:sz w:val="20"/>
          <w:szCs w:val="20"/>
          <w:color w:val="auto"/>
        </w:rPr>
      </w:pPr>
      <w:r>
        <w:rPr>
          <w:rFonts w:ascii="Arial" w:cs="Arial" w:eastAsia="Arial" w:hAnsi="Arial"/>
          <w:sz w:val="16"/>
          <w:szCs w:val="16"/>
          <w:color w:val="auto"/>
        </w:rPr>
        <w:t>Further, in an effort to protect the health and safety of our employees, we transitioned most of our office and support employees and contractors to working from home; suspended all non-essential business travel; and implemented social distancing guidelines for our employees and contractors who must work in our manufacturing and laboratory locations. Consequently, the remote working environment we have implemented for our employees has adversely impacted manufacturing operations given delays in data gathering, analysis and inefficiencies of teams solving technical problems via remote-only means, which has impacted, and continues to impact, our cost of sales.</w:t>
      </w:r>
    </w:p>
    <w:p>
      <w:pPr>
        <w:spacing w:after="0" w:line="164"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We will continue to monitor the situation and take additional actions as warranted. These actions may include further altering our operations in order to protect the best interests of our employees, customers and suppliers, and to comply with government requirements, while also planning and executing our business to best support our customers, suppliers, and partners.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39" w:firstLine="324"/>
        <w:spacing w:after="0" w:line="291" w:lineRule="auto"/>
        <w:rPr>
          <w:sz w:val="20"/>
          <w:szCs w:val="20"/>
          <w:color w:val="auto"/>
        </w:rPr>
      </w:pPr>
      <w:r>
        <w:rPr>
          <w:rFonts w:ascii="Arial" w:cs="Arial" w:eastAsia="Arial" w:hAnsi="Arial"/>
          <w:sz w:val="16"/>
          <w:szCs w:val="16"/>
          <w:color w:val="auto"/>
        </w:rPr>
        <w:t>The ultimate extent of the impact of the COVID-19 pandemic on our business, results of operations and financial condition will depend on future developments, which are highly uncertain, continuously evolving and cannot be predicted, including, but not limited to, the duration and spread of the COVID-19 outbreak, its severity, the actions to contain the virus or treat its impact, such as the efficacy of vaccines (particularly with respect to emerging strains of the virus), and how quickly and to what extent normal economic and operating conditions can resume. Accordingly, our current results and financial condition discussed herein may not be indicative of future operating results and trends. See “Risk Factors” in Part II, Item 1A of this report for additional risks we face due to the COVID-19 pandemic.</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w w:val="96"/>
              </w:rPr>
              <w:t>Three Months Ended March 31,</w:t>
            </w: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5"/>
          </w:tcPr>
          <w:p>
            <w:pPr>
              <w:jc w:val="right"/>
              <w:ind w:right="491"/>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2080" w:type="dxa"/>
            <w:vAlign w:val="bottom"/>
            <w:gridSpan w:val="3"/>
          </w:tcPr>
          <w:p>
            <w:pPr>
              <w:jc w:val="right"/>
              <w:ind w:right="91"/>
              <w:spacing w:after="0" w:line="142" w:lineRule="exact"/>
              <w:rPr>
                <w:sz w:val="20"/>
                <w:szCs w:val="20"/>
                <w:color w:val="auto"/>
              </w:rPr>
            </w:pPr>
            <w:r>
              <w:rPr>
                <w:rFonts w:ascii="Arial" w:cs="Arial" w:eastAsia="Arial" w:hAnsi="Arial"/>
                <w:sz w:val="14"/>
                <w:szCs w:val="14"/>
                <w:b w:val="1"/>
                <w:bCs w:val="1"/>
                <w:color w:val="auto"/>
                <w:w w:val="97"/>
              </w:rPr>
              <w:t>(As a percentage of revenue)</w:t>
            </w:r>
          </w:p>
        </w:tc>
        <w:tc>
          <w:tcPr>
            <w:tcW w:w="220" w:type="dxa"/>
            <w:vAlign w:val="bottom"/>
            <w:gridSpan w:val="2"/>
          </w:tcPr>
          <w:p>
            <w:pPr>
              <w:spacing w:after="0"/>
              <w:rPr>
                <w:sz w:val="12"/>
                <w:szCs w:val="1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95 %</w:t>
            </w:r>
          </w:p>
        </w:tc>
      </w:tr>
      <w:tr>
        <w:trPr>
          <w:trHeight w:val="216"/>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royalty, and other revenue</w:t>
            </w: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r>
      <w:tr>
        <w:trPr>
          <w:trHeight w:val="210"/>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r>
      <w:tr>
        <w:trPr>
          <w:trHeight w:val="209"/>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0"/>
        </w:trPr>
        <w:tc>
          <w:tcPr>
            <w:tcW w:w="3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6,933</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r>
      <w:tr>
        <w:trPr>
          <w:trHeight w:val="209"/>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0"/>
        </w:trPr>
        <w:tc>
          <w:tcPr>
            <w:tcW w:w="3520" w:type="dxa"/>
            <w:vAlign w:val="bottom"/>
          </w:tcPr>
          <w:p>
            <w:pPr>
              <w:spacing w:after="0"/>
              <w:rPr>
                <w:sz w:val="20"/>
                <w:szCs w:val="20"/>
                <w:color w:val="auto"/>
              </w:rPr>
            </w:pPr>
            <w:r>
              <w:rPr>
                <w:rFonts w:ascii="Arial" w:cs="Arial" w:eastAsia="Arial" w:hAnsi="Arial"/>
                <w:sz w:val="18"/>
                <w:szCs w:val="18"/>
                <w:color w:val="auto"/>
              </w:rPr>
              <w:t>Net loss before income taxes</w:t>
            </w:r>
          </w:p>
        </w:tc>
        <w:tc>
          <w:tcPr>
            <w:tcW w:w="8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2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0"/>
        </w:trPr>
        <w:tc>
          <w:tcPr>
            <w:tcW w:w="352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2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r>
      <w:tr>
        <w:trPr>
          <w:trHeight w:val="20"/>
        </w:trPr>
        <w:tc>
          <w:tcPr>
            <w:tcW w:w="3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color w:val="auto"/>
        </w:rPr>
        <w:t>We generated 77% and 69% of our revenue from products sold through distributors for the three months ended March 31, 2021 and 2020, respectively.</w:t>
      </w:r>
    </w:p>
    <w:p>
      <w:pPr>
        <w:spacing w:after="0" w:line="170" w:lineRule="exact"/>
        <w:rPr>
          <w:sz w:val="20"/>
          <w:szCs w:val="20"/>
          <w:color w:val="auto"/>
        </w:rPr>
      </w:pPr>
    </w:p>
    <w:p>
      <w:pPr>
        <w:ind w:left="40" w:right="199" w:firstLine="324"/>
        <w:spacing w:after="0" w:line="296" w:lineRule="auto"/>
        <w:rPr>
          <w:sz w:val="20"/>
          <w:szCs w:val="20"/>
          <w:color w:val="auto"/>
        </w:rPr>
      </w:pPr>
      <w:r>
        <w:rPr>
          <w:rFonts w:ascii="Arial" w:cs="Arial" w:eastAsia="Arial" w:hAnsi="Arial"/>
          <w:sz w:val="16"/>
          <w:szCs w:val="16"/>
          <w:color w:val="auto"/>
        </w:rPr>
        <w:t>In addition to selling our products to our distributors, we maintain a direct selling relationship, for strategic purposes, with several key customer accounts. We have organized our sales team and representatives into three primary regions: North America; Europe, Middle East and Africa (EMEA); and Asia-Pacific (APAC). We recognize revenue by geography based on the region in which our products are sold, and not to where the end products in which they are assembled are shipped. Our revenue by region for the periods indicated was as follows (in thousands):</w:t>
      </w:r>
    </w:p>
    <w:p>
      <w:pPr>
        <w:spacing w:after="0" w:line="234"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0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96"/>
        </w:trPr>
        <w:tc>
          <w:tcPr>
            <w:tcW w:w="50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North America</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1,104</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r>
      <w:tr>
        <w:trPr>
          <w:trHeight w:val="209"/>
        </w:trPr>
        <w:tc>
          <w:tcPr>
            <w:tcW w:w="508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10,280</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10,108</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4"/>
          </w:tcPr>
          <w:p>
            <w:pPr>
              <w:jc w:val="right"/>
              <w:ind w:right="237"/>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Amount</w:t>
            </w:r>
          </w:p>
        </w:tc>
        <w:tc>
          <w:tcPr>
            <w:tcW w:w="58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(Dollars in</w:t>
            </w:r>
          </w:p>
        </w:tc>
        <w:tc>
          <w:tcPr>
            <w:tcW w:w="16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5"/>
              </w:rPr>
              <w:t>Licensing, royalty, and other revenue</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3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156.2 %</w:t>
            </w:r>
          </w:p>
        </w:tc>
        <w:tc>
          <w:tcPr>
            <w:tcW w:w="0" w:type="dxa"/>
            <w:vAlign w:val="bottom"/>
          </w:tcPr>
          <w:p>
            <w:pPr>
              <w:spacing w:after="0"/>
              <w:rPr>
                <w:sz w:val="1"/>
                <w:szCs w:val="1"/>
                <w:color w:val="auto"/>
              </w:rPr>
            </w:pPr>
          </w:p>
        </w:tc>
      </w:tr>
      <w:tr>
        <w:trPr>
          <w:trHeight w:val="210"/>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19" w:firstLine="324"/>
        <w:spacing w:after="0" w:line="263" w:lineRule="auto"/>
        <w:rPr>
          <w:sz w:val="20"/>
          <w:szCs w:val="20"/>
          <w:color w:val="auto"/>
        </w:rPr>
      </w:pPr>
      <w:r>
        <w:rPr>
          <w:rFonts w:ascii="Arial" w:cs="Arial" w:eastAsia="Arial" w:hAnsi="Arial"/>
          <w:sz w:val="18"/>
          <w:szCs w:val="18"/>
          <w:color w:val="auto"/>
        </w:rPr>
        <w:t>Total revenue increased by $0.2 million, or 1.7%, from $10.1 million during the three months ended March 31, 2020, to $10.3 million during the three months ended March 31, 2021. Product sales decreased by $0.6 million, or 5.9%, from $9.6 million to $9.0 million due to a lower volume of units produced and sold.</w:t>
      </w:r>
    </w:p>
    <w:p>
      <w:pPr>
        <w:spacing w:after="0" w:line="184" w:lineRule="exact"/>
        <w:rPr>
          <w:sz w:val="20"/>
          <w:szCs w:val="20"/>
          <w:color w:val="auto"/>
        </w:rPr>
      </w:pPr>
    </w:p>
    <w:p>
      <w:pPr>
        <w:ind w:left="40" w:right="99" w:firstLine="324"/>
        <w:spacing w:after="0" w:line="296" w:lineRule="auto"/>
        <w:rPr>
          <w:sz w:val="20"/>
          <w:szCs w:val="20"/>
          <w:color w:val="auto"/>
        </w:rPr>
      </w:pPr>
      <w:r>
        <w:rPr>
          <w:rFonts w:ascii="Arial" w:cs="Arial" w:eastAsia="Arial" w:hAnsi="Arial"/>
          <w:sz w:val="16"/>
          <w:szCs w:val="16"/>
          <w:color w:val="auto"/>
        </w:rPr>
        <w:t>Licensing, royalty, and other revenue is a highly variable revenue item characterized by a small number of transactions annually with revenue based on size and terms of each transaction. Our best estimate of royalty revenue earned is made through the year, with an annual adjustment recognized for actual sales in the first quarter of each fiscal year. Licensing, royalty and other revenue increased by $0.7 million, from $0.5 million during the three months ended March 31, 2020 to $1.2 million during the three months ended March 31, 2021. The increase was driven by the royalty catch-up.</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7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12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7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160" w:type="dxa"/>
            <w:vAlign w:val="bottom"/>
          </w:tcPr>
          <w:p>
            <w:pPr>
              <w:spacing w:after="0"/>
              <w:rPr>
                <w:sz w:val="11"/>
                <w:szCs w:val="11"/>
                <w:color w:val="auto"/>
              </w:rPr>
            </w:pPr>
          </w:p>
        </w:tc>
        <w:tc>
          <w:tcPr>
            <w:tcW w:w="2340" w:type="dxa"/>
            <w:vAlign w:val="bottom"/>
            <w:gridSpan w:val="4"/>
          </w:tcPr>
          <w:p>
            <w:pPr>
              <w:ind w:left="720"/>
              <w:spacing w:after="0" w:line="129" w:lineRule="exact"/>
              <w:rPr>
                <w:sz w:val="20"/>
                <w:szCs w:val="20"/>
                <w:color w:val="auto"/>
              </w:rPr>
            </w:pPr>
            <w:r>
              <w:rPr>
                <w:rFonts w:ascii="Arial" w:cs="Arial" w:eastAsia="Arial" w:hAnsi="Arial"/>
                <w:sz w:val="14"/>
                <w:szCs w:val="14"/>
                <w:b w:val="1"/>
                <w:bCs w:val="1"/>
                <w:color w:val="auto"/>
              </w:rPr>
              <w:t>(Dollars in thousands)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0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w w:val="89"/>
              </w:rPr>
              <w:t>$ 4,295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$ 4,757</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 (462)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Gross margin</w:t>
            </w:r>
          </w:p>
        </w:tc>
        <w:tc>
          <w:tcPr>
            <w:tcW w:w="800" w:type="dxa"/>
            <w:vAlign w:val="bottom"/>
          </w:tcPr>
          <w:p>
            <w:pPr>
              <w:jc w:val="right"/>
              <w:spacing w:after="0"/>
              <w:rPr>
                <w:sz w:val="20"/>
                <w:szCs w:val="20"/>
                <w:color w:val="auto"/>
              </w:rPr>
            </w:pPr>
            <w:r>
              <w:rPr>
                <w:rFonts w:ascii="Arial" w:cs="Arial" w:eastAsia="Arial" w:hAnsi="Arial"/>
                <w:sz w:val="18"/>
                <w:szCs w:val="18"/>
                <w:color w:val="auto"/>
              </w:rPr>
              <w:t>58.2 %</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52.9 %</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99" w:firstLine="324"/>
        <w:spacing w:after="0" w:line="263" w:lineRule="auto"/>
        <w:rPr>
          <w:sz w:val="20"/>
          <w:szCs w:val="20"/>
          <w:color w:val="auto"/>
        </w:rPr>
      </w:pPr>
      <w:r>
        <w:rPr>
          <w:rFonts w:ascii="Arial" w:cs="Arial" w:eastAsia="Arial" w:hAnsi="Arial"/>
          <w:sz w:val="18"/>
          <w:szCs w:val="18"/>
          <w:color w:val="auto"/>
        </w:rPr>
        <w:t>Cost of sales decreased by $0.5 million, or 9.7%, from $4.8 million during the three months ended March 31, 2020 to $4.3 million during the three months ended March 31, 2021. The decrease was due to a lower volume of units produced and sold, as well as improved manufacturing yields.</w:t>
      </w:r>
    </w:p>
    <w:p>
      <w:pPr>
        <w:spacing w:after="0" w:line="184" w:lineRule="exact"/>
        <w:rPr>
          <w:sz w:val="20"/>
          <w:szCs w:val="20"/>
          <w:color w:val="auto"/>
        </w:rPr>
      </w:pPr>
    </w:p>
    <w:p>
      <w:pPr>
        <w:jc w:val="both"/>
        <w:ind w:left="40" w:right="99" w:firstLine="324"/>
        <w:spacing w:after="0" w:line="263" w:lineRule="auto"/>
        <w:rPr>
          <w:sz w:val="20"/>
          <w:szCs w:val="20"/>
          <w:color w:val="auto"/>
        </w:rPr>
      </w:pPr>
      <w:r>
        <w:rPr>
          <w:rFonts w:ascii="Arial" w:cs="Arial" w:eastAsia="Arial" w:hAnsi="Arial"/>
          <w:sz w:val="18"/>
          <w:szCs w:val="18"/>
          <w:color w:val="auto"/>
        </w:rPr>
        <w:t>Gross margin increased from 52.9% during the three months ended March 31, 2020 to 58.2% during the three months ended March 31, 2021. The increase in gross margin was due primarily to higher licensing and royalty revenue, that had no associated cost of sales and improved manufacturing yields.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40" w:right="239" w:firstLine="324"/>
        <w:spacing w:after="0" w:line="263"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84" w:lineRule="exact"/>
        <w:rPr>
          <w:sz w:val="20"/>
          <w:szCs w:val="20"/>
          <w:color w:val="auto"/>
        </w:rPr>
      </w:pPr>
    </w:p>
    <w:p>
      <w:pPr>
        <w:ind w:left="40" w:right="179" w:firstLine="324"/>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Our research and development expenses consist primarily of personnel-related</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for the design and development of our products and technologies, development wafers required to validate and characterize our technology, and expenses associated with our joint development activities. Research and development expenses also include consulting services, circuit design costs, materials and laboratory supplies, fabrication and new packaging technology, and an allocation of related facilities and equipment costs. We recognize research and development expenses as they are incurred.</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7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13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7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340" w:type="dxa"/>
            <w:vAlign w:val="bottom"/>
            <w:gridSpan w:val="4"/>
          </w:tcPr>
          <w:p>
            <w:pPr>
              <w:ind w:left="7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w w:val="89"/>
              </w:rPr>
              <w:t>$ 2,439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$ 3,030</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 (591)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Research and development as a % of 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24 %</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30 %</w:t>
            </w: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199" w:firstLine="324"/>
        <w:spacing w:after="0" w:line="263" w:lineRule="auto"/>
        <w:rPr>
          <w:sz w:val="20"/>
          <w:szCs w:val="20"/>
          <w:color w:val="auto"/>
        </w:rPr>
      </w:pPr>
      <w:r>
        <w:rPr>
          <w:rFonts w:ascii="Arial" w:cs="Arial" w:eastAsia="Arial" w:hAnsi="Arial"/>
          <w:sz w:val="18"/>
          <w:szCs w:val="18"/>
          <w:color w:val="auto"/>
        </w:rPr>
        <w:t>Research and development expenses decreased by $0.6 million, or 19.5%, from $3.0 million during the three months ended March 31, 2020 to $2.4 million during the three months ended March 31, 2021. The decrease was due to less spend on supplies and software.</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78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7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80" w:type="dxa"/>
            <w:vAlign w:val="bottom"/>
            <w:gridSpan w:val="4"/>
          </w:tcPr>
          <w:p>
            <w:pPr>
              <w:ind w:lef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$ 2,843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$ 2,800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   43</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1.5 %</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General and administrative as a % of revenue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28 %</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59" w:firstLine="324"/>
        <w:spacing w:after="0" w:line="342"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increased by $43,000, or 1.5%, from $2.8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during the three months ended March 31, 2020 to $2.8 million during the three months ended March 31, 2021.</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9"/>
              </w:rPr>
              <w:t>Three Months Ended</w:t>
            </w:r>
          </w:p>
        </w:tc>
        <w:tc>
          <w:tcPr>
            <w:tcW w:w="60" w:type="dxa"/>
            <w:vAlign w:val="bottom"/>
          </w:tcPr>
          <w:p>
            <w:pPr>
              <w:spacing w:after="0"/>
              <w:rPr>
                <w:sz w:val="14"/>
                <w:szCs w:val="14"/>
                <w:color w:val="auto"/>
              </w:rPr>
            </w:pPr>
          </w:p>
        </w:tc>
        <w:tc>
          <w:tcPr>
            <w:tcW w:w="13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987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$ 1,103</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(116)</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11 %</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239" w:firstLine="324"/>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decreased by $0.1 million or 10.5%, from $1.1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March 31, 2020 to $1.0 million during the three months ended March 31, 2021. The decrease was primarily due to a decrease in employee and contract labor related costs due to a decrease in headcount as a result of our corporate restructuring plan completed in January 2020.</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130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152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172</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19" w:firstLine="324"/>
        <w:spacing w:after="0" w:line="342" w:lineRule="auto"/>
        <w:rPr>
          <w:sz w:val="20"/>
          <w:szCs w:val="20"/>
          <w:color w:val="auto"/>
        </w:rPr>
      </w:pPr>
      <w:r>
        <w:rPr>
          <w:rFonts w:ascii="Arial" w:cs="Arial" w:eastAsia="Arial" w:hAnsi="Arial"/>
          <w:sz w:val="16"/>
          <w:szCs w:val="16"/>
          <w:color w:val="auto"/>
        </w:rPr>
        <w:t>Interest expense remained relatively flat during the three months ended March 31, 2021, compared to the three months ended March 31, 2020. The slight decrease was partially due to a decrease in outstanding principal on the Term Loan.</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(Expense) Income, Net</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146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March 31,</w:t>
            </w:r>
          </w:p>
        </w:tc>
        <w:tc>
          <w:tcPr>
            <w:tcW w:w="14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w w:val="99"/>
              </w:rPr>
              <w:t>(Dollars in</w:t>
            </w:r>
          </w:p>
        </w:tc>
        <w:tc>
          <w:tcPr>
            <w:tcW w:w="700" w:type="dxa"/>
            <w:vAlign w:val="bottom"/>
          </w:tcPr>
          <w:p>
            <w:pPr>
              <w:spacing w:after="0" w:line="129" w:lineRule="exact"/>
              <w:rPr>
                <w:sz w:val="20"/>
                <w:szCs w:val="20"/>
                <w:color w:val="auto"/>
              </w:rPr>
            </w:pPr>
            <w:r>
              <w:rPr>
                <w:rFonts w:ascii="Arial" w:cs="Arial" w:eastAsia="Arial" w:hAnsi="Arial"/>
                <w:sz w:val="14"/>
                <w:szCs w:val="14"/>
                <w:b w:val="1"/>
                <w:bCs w:val="1"/>
                <w:color w:val="auto"/>
                <w:w w:val="90"/>
              </w:rPr>
              <w:t>thousands)</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(131.3)%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199" w:firstLine="324"/>
        <w:spacing w:after="0" w:line="311" w:lineRule="auto"/>
        <w:rPr>
          <w:sz w:val="20"/>
          <w:szCs w:val="20"/>
          <w:color w:val="auto"/>
        </w:rPr>
      </w:pPr>
      <w:r>
        <w:rPr>
          <w:rFonts w:ascii="Arial" w:cs="Arial" w:eastAsia="Arial" w:hAnsi="Arial"/>
          <w:sz w:val="16"/>
          <w:szCs w:val="16"/>
          <w:color w:val="auto"/>
        </w:rPr>
        <w:t>Other (expense) income, net was an expense of $15,000 during the three months ended March 31, 2021 compared to income of $48,000 during the three months ended March 31, 2020. The change was primarily due to a decrease in interest income earned on our cash balances during the quarter from the lower interest rate environment.</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99" w:firstLine="324"/>
        <w:spacing w:after="0" w:line="273" w:lineRule="auto"/>
        <w:rPr>
          <w:sz w:val="20"/>
          <w:szCs w:val="20"/>
          <w:color w:val="auto"/>
        </w:rPr>
      </w:pPr>
      <w:r>
        <w:rPr>
          <w:rFonts w:ascii="Arial" w:cs="Arial" w:eastAsia="Arial" w:hAnsi="Arial"/>
          <w:sz w:val="17"/>
          <w:szCs w:val="17"/>
          <w:color w:val="auto"/>
        </w:rPr>
        <w:t>We have generated significant losses since our inception and had an accumulated deficit of $157.6 million as of March 31, 2021, compared to $157.2 million as of December 31, 2020. We have historically financed our operations primarily through the sale of our common stock in our initial public offering (IPO) and follow-on public offering, sales of our common stock under our at-the-market (ATM) program (which was terminated in November 2020), sales of our redeemable convertible preferred stock, debt financing and the sale of our products. As of March 31, 2021, we had $15.5 million of cash and cash equivalents, compared to $14.6 million as of December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7"/>
          <w:szCs w:val="17"/>
          <w:color w:val="auto"/>
        </w:rPr>
        <w:t>We believe that our existing cash and cash equivalents as of March 31, 2021, coupled with the amount available under our credit facility and our anticipated growth and sales levels, will be sufficient to meet our anticipated cash requirements for at least the next twelve months.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40" w:right="179" w:firstLine="324"/>
        <w:spacing w:after="0" w:line="296" w:lineRule="auto"/>
        <w:rPr>
          <w:sz w:val="20"/>
          <w:szCs w:val="20"/>
          <w:color w:val="auto"/>
        </w:rPr>
      </w:pPr>
      <w:r>
        <w:rPr>
          <w:rFonts w:ascii="Arial" w:cs="Arial" w:eastAsia="Arial" w:hAnsi="Arial"/>
          <w:sz w:val="16"/>
          <w:szCs w:val="16"/>
          <w:color w:val="auto"/>
        </w:rPr>
        <w:t>In May 2017, we executed a Loan and Security Agreement (2017 Credit Facility) with Silicon Valley Bank (SVB) for a $12.0 million term loan, which we subsequently amended in January 2019 and June 2019. In August 2019, we executed an Amended and Restated Loan and Security Agreement (2019 Credit Facility), which amended and restated the 2017 Credit Facility, providing for a formula revolving line of credit (Line of Credit) and a term loan (2019 Term Loan) with SVB to refinance in full the outstanding principal balance of $8.0 million under the 2017 Credit Facility.</w:t>
      </w:r>
    </w:p>
    <w:p>
      <w:pPr>
        <w:spacing w:after="0" w:line="161"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8"/>
          <w:szCs w:val="18"/>
          <w:color w:val="auto"/>
        </w:rPr>
        <w:t>In July 2020, we executed the first amendment to the 2019 Credit Facility with SVB. The amendment, among other things, extended the initial 12-month interest-only period for the term loan to a 16-month interest-only period and lowered the floor interest rate. The floor interest rates for 2019 Term Loan and the Line of Credit Facility were reduced from 4.75% and 6.75% to 3.75% and 4.75%, respectively.</w:t>
      </w:r>
    </w:p>
    <w:p>
      <w:pPr>
        <w:spacing w:after="0" w:line="187" w:lineRule="exact"/>
        <w:rPr>
          <w:sz w:val="20"/>
          <w:szCs w:val="20"/>
          <w:color w:val="auto"/>
        </w:rPr>
      </w:pPr>
    </w:p>
    <w:p>
      <w:pPr>
        <w:ind w:left="40" w:right="179" w:firstLine="324"/>
        <w:spacing w:after="0" w:line="273" w:lineRule="auto"/>
        <w:rPr>
          <w:sz w:val="20"/>
          <w:szCs w:val="20"/>
          <w:color w:val="auto"/>
        </w:rPr>
      </w:pPr>
      <w:r>
        <w:rPr>
          <w:rFonts w:ascii="Arial" w:cs="Arial" w:eastAsia="Arial" w:hAnsi="Arial"/>
          <w:sz w:val="17"/>
          <w:szCs w:val="17"/>
          <w:color w:val="auto"/>
        </w:rPr>
        <w:t>The amended Line of Credit allows for a maximum draw of $5.0 million, subject to a formula borrowing base, has a two-year term and bears interest at a floating rate equal to the Wall Street Journal (WSJ) prime rate plus 1.5%, per annum, subject to a floor of 4.75%. At execution, $2.0 million from the Line of Credit was used to refinance a portion of the outstanding balance of the 2017 Credit Facility, and $3.0 million remains available under the Line of Credit, subject to borrowing base availability. As of March 31, 2021, the effective interest rate under the Line of Credit was 10.18% and the outstanding balance was $2.0 million. The Line of Credit matures on August 5, 2021.</w:t>
      </w:r>
    </w:p>
    <w:p>
      <w:pPr>
        <w:spacing w:after="0" w:line="178" w:lineRule="exact"/>
        <w:rPr>
          <w:sz w:val="20"/>
          <w:szCs w:val="20"/>
          <w:color w:val="auto"/>
        </w:rPr>
      </w:pPr>
    </w:p>
    <w:p>
      <w:pPr>
        <w:ind w:left="40" w:right="239" w:firstLine="324"/>
        <w:spacing w:after="0" w:line="255" w:lineRule="auto"/>
        <w:rPr>
          <w:sz w:val="20"/>
          <w:szCs w:val="20"/>
          <w:color w:val="auto"/>
        </w:rPr>
      </w:pPr>
      <w:r>
        <w:rPr>
          <w:rFonts w:ascii="Arial" w:cs="Arial" w:eastAsia="Arial" w:hAnsi="Arial"/>
          <w:sz w:val="18"/>
          <w:szCs w:val="18"/>
          <w:color w:val="auto"/>
        </w:rPr>
        <w:t>The amended 2019 Term Loan provides for a $6.0 million term loan, which was used to refinance the remaining balance of the 2017 Credit Facility. The amended 2019 Term Loan has a term of 46 months, and a 16-month interest only period followed by 30 months of equal principal payments, plus accrued interest. The 2019 Term Loan bears interest at a floating rate equal to the WSJ prime rate minus 0.75%, subject to a floor of 3.75%. As of March 31, 2021, the effective interest rate under the 2019 Term Loan was 7.85% and the outstanding balance was $5.4 million. The 2019 Term Loan matures on June 1, 2023.</w:t>
      </w:r>
    </w:p>
    <w:p>
      <w:pPr>
        <w:spacing w:after="0" w:line="192"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Collateral for the 2019 Credit Facility includes all of our assets except for intellectual property. We are required to comply with certain covenants under the 2019 Credit Facility, including requirements to maintain a minimum cash balance and availability under the Line of Credit, and restrictions on certain actions without the consent of the lender, such as limitations on our ability to engage in mergers or acquisitions, sell assets, incur indebtedness or grant liens or negative pledges on our assets, make loans or make other investments. Under these covenants, we are prohibited from paying cash dividends with respect to our capital stock. We were in compliance with all covenants at March 31, 2021. The 2019 Credit Facility contains a material adverse effect clause which provides that an event of default will occur if, among other triggers, an event occurs that could reasonably be expected to result in a material adverse effect on our business, operations or condition, or on our ability to perform our obligations under the 2019 Term Loan. As of March 31, 2021, we do not believe that it is probable that the clause will be triggered within the next 12 months.</w:t>
      </w:r>
    </w:p>
    <w:p>
      <w:pPr>
        <w:spacing w:after="0" w:line="185" w:lineRule="exact"/>
        <w:rPr>
          <w:sz w:val="20"/>
          <w:szCs w:val="20"/>
          <w:color w:val="auto"/>
        </w:rPr>
      </w:pPr>
    </w:p>
    <w:p>
      <w:pPr>
        <w:ind w:left="40" w:right="99" w:firstLine="324"/>
        <w:spacing w:after="0" w:line="272" w:lineRule="auto"/>
        <w:rPr>
          <w:sz w:val="20"/>
          <w:szCs w:val="20"/>
          <w:color w:val="auto"/>
        </w:rPr>
      </w:pPr>
      <w:r>
        <w:rPr>
          <w:rFonts w:ascii="Arial" w:cs="Arial" w:eastAsia="Arial" w:hAnsi="Arial"/>
          <w:sz w:val="17"/>
          <w:szCs w:val="17"/>
          <w:color w:val="auto"/>
        </w:rPr>
        <w:t>In conjunction with entering into the 2019 Credit Facility, on August 5, 2019, we and SVB amended and restated the warrant issued to SVB in connection with the first amendment to the 2017 Credit Facility, which was a warrant to purchase 9,375 shares of our common stock at an exercise price of $8.91 per share, to add an option by SVB to put the warrant back to us for $50,000 upon expiration or a liquidity event, to be prorated if SVB exercises a portion of the warrant. The warrant expires on July 6, 2023. Additionally, in conjunction with entering into the first amendment to the 2019 Credit Facility, on July 15, 2020, we issued an additional warrant to SVB to purchase 21,500 shares of our common stock at an exercise price of $0.01 per share which expires on July 15, 2025.</w:t>
      </w:r>
    </w:p>
    <w:p>
      <w:pPr>
        <w:spacing w:after="0" w:line="177" w:lineRule="exact"/>
        <w:rPr>
          <w:sz w:val="20"/>
          <w:szCs w:val="20"/>
          <w:color w:val="auto"/>
        </w:rPr>
      </w:pPr>
    </w:p>
    <w:p>
      <w:pPr>
        <w:ind w:left="40" w:right="279" w:firstLine="324"/>
        <w:spacing w:after="0" w:line="277" w:lineRule="auto"/>
        <w:rPr>
          <w:sz w:val="20"/>
          <w:szCs w:val="20"/>
          <w:color w:val="auto"/>
        </w:rPr>
      </w:pPr>
      <w:r>
        <w:rPr>
          <w:rFonts w:ascii="Arial" w:cs="Arial" w:eastAsia="Arial" w:hAnsi="Arial"/>
          <w:sz w:val="18"/>
          <w:szCs w:val="18"/>
          <w:color w:val="auto"/>
        </w:rPr>
        <w:t>For additional information about the 2019 Credit Facility, see Note 6 to our condensed financial statements in Part I, Item 1 of this report.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At-the-Market Sales Agreement</w:t>
      </w:r>
    </w:p>
    <w:p>
      <w:pPr>
        <w:spacing w:after="0" w:line="239" w:lineRule="exact"/>
        <w:rPr>
          <w:sz w:val="20"/>
          <w:szCs w:val="20"/>
          <w:color w:val="auto"/>
        </w:rPr>
      </w:pPr>
    </w:p>
    <w:p>
      <w:pPr>
        <w:ind w:left="40" w:right="179" w:firstLine="324"/>
        <w:spacing w:after="0" w:line="289" w:lineRule="auto"/>
        <w:rPr>
          <w:sz w:val="20"/>
          <w:szCs w:val="20"/>
          <w:color w:val="auto"/>
        </w:rPr>
      </w:pPr>
      <w:r>
        <w:rPr>
          <w:rFonts w:ascii="Arial" w:cs="Arial" w:eastAsia="Arial" w:hAnsi="Arial"/>
          <w:sz w:val="16"/>
          <w:szCs w:val="16"/>
          <w:color w:val="auto"/>
        </w:rPr>
        <w:t>In August 2019, the Company entered into an Open Market Sale Agreement (2019 Sales Agreement) with Jefferies, LLC (Jefferies) for the offer and sale of shares of its common stock having an aggregate offering of up to $25.0 million from time to time through Jefferies, acting as the Company’s sales agent. The issuance and sale of these shares by the Company pursuant to the 2019 Sales Agreement are deemed an ATM offering under the Securities Act of 1933, as amended. Under the 2019 Sales Agreement, the Company agreed to pay Jefferies a commission of up to 3% of the gross proceeds of any sales made pursuant to the 2019 Sales Agreement. During the three months ended March 31, 2020, the Company received net proceeds of $2.1 million after deducting commissions and expenses payable by the Company, from the sale of 468,427 shares of common stock pursuant to the 2019 Sales Agreement. The Company suspended sales under the 2019 Sales Agreement in March 2020 and terminated the ATM program in November 2020.</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Three Months Ended</w:t>
      </w:r>
    </w:p>
    <w:p>
      <w:pPr>
        <w:ind w:left="67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4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r>
      <w:tr>
        <w:trPr>
          <w:trHeight w:val="128"/>
        </w:trPr>
        <w:tc>
          <w:tcPr>
            <w:tcW w:w="4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4"/>
          </w:tcPr>
          <w:p>
            <w:pPr>
              <w:jc w:val="right"/>
              <w:ind w:right="475"/>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operating activities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2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financing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During the three months ended March 31, 2021, cash provided by operating activities was $1.7 million, which consisted of a net loss of $0.5 million, adjusted by non-cash charges of $1.2 million and a change of $0.9 million in our net operating assets and liabilities. The non-cash charges primarily consisted of stock-based compensation of $0.7 million, depreciation and amortization of $0.4 million, and interest expense related to the amortization of debt issuance costs of $0.1 million. The inflow of cash due to the change in our net operating assets and liabilities was primarily due to an increase of $3.0 million in deferred revenue, a decrease in inventory of $0.4 million, an increase in accrued liabilities of $0.3 million, an increase of $2.7 million in accounts receivable due to timing of cash receipts for outstanding balances, and a decrease of $0.1 million in accounts payable.</w:t>
      </w:r>
    </w:p>
    <w:p>
      <w:pPr>
        <w:spacing w:after="0" w:line="178"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During the three months ended March 31, 2020, cash used in operating activities was $2.6 million, which consisted of a net loss of $1.7 million, adjusted by non-cash charges of $1.3 million and a change of $2.1 million in our net operating assets and liabilities. The non-cash charges primarily consisted of stock-based compensation of $0.8 million, depreciation and amortization of $0.4 million, and interest expense related to the amortization of debt issuance costs of $0.1 million. The change in our net operating assets and liabilities was primarily due to a decrease of $1.5 million in accounts payable and accrued liabilities due to the timing of payments, an increase in accounts receivable of $0.5 million due to timing of cash receipts for outstanding balances, and an increase of $0.1 million in inventory due to adjusting purchasing practices to meet expected sales volumes.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40" w:right="239" w:firstLine="324"/>
        <w:spacing w:after="0" w:line="277" w:lineRule="auto"/>
        <w:rPr>
          <w:sz w:val="20"/>
          <w:szCs w:val="20"/>
          <w:color w:val="auto"/>
        </w:rPr>
      </w:pPr>
      <w:r>
        <w:rPr>
          <w:rFonts w:ascii="Arial" w:cs="Arial" w:eastAsia="Arial" w:hAnsi="Arial"/>
          <w:sz w:val="18"/>
          <w:szCs w:val="18"/>
          <w:color w:val="auto"/>
        </w:rPr>
        <w:t>Cash used in investing activities during the three months ended March 31, 2021 and 2020, was $0.3 million and $0.1 million, respectively, for the purchase of manufacturing and computer equipment.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40" w:right="259" w:firstLine="324"/>
        <w:spacing w:after="0" w:line="308" w:lineRule="auto"/>
        <w:rPr>
          <w:sz w:val="20"/>
          <w:szCs w:val="20"/>
          <w:color w:val="auto"/>
        </w:rPr>
      </w:pPr>
      <w:r>
        <w:rPr>
          <w:rFonts w:ascii="Arial" w:cs="Arial" w:eastAsia="Arial" w:hAnsi="Arial"/>
          <w:sz w:val="17"/>
          <w:szCs w:val="17"/>
          <w:color w:val="auto"/>
        </w:rPr>
        <w:t>Cash used in financing activities during the three months ended March 31, 2021 was $0.5 million, consisting of $0.1 million in proceeds from stock option exercises and $0.6 million in payments of term loan installments.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firstLine="324"/>
        <w:spacing w:after="0" w:line="263" w:lineRule="auto"/>
        <w:rPr>
          <w:sz w:val="20"/>
          <w:szCs w:val="20"/>
          <w:color w:val="auto"/>
        </w:rPr>
      </w:pPr>
      <w:r>
        <w:rPr>
          <w:rFonts w:ascii="Arial" w:cs="Arial" w:eastAsia="Arial" w:hAnsi="Arial"/>
          <w:sz w:val="18"/>
          <w:szCs w:val="18"/>
          <w:color w:val="auto"/>
        </w:rPr>
        <w:t>Cash provided by financing activities during the three months ended March 31, 2020 was $2.1 million, consisting primarily of net proceeds from the sale of our common stock through our previous ATM program, which was terminated in November 2020.</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not entered into any off-balance sheet arrangements and do not have any holdings in variable interest entities.</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29" w:lineRule="exact"/>
        <w:rPr>
          <w:sz w:val="20"/>
          <w:szCs w:val="20"/>
          <w:color w:val="auto"/>
        </w:rPr>
      </w:pPr>
    </w:p>
    <w:p>
      <w:pPr>
        <w:ind w:left="40" w:right="79" w:firstLine="324"/>
        <w:spacing w:after="0" w:line="271" w:lineRule="auto"/>
        <w:rPr>
          <w:sz w:val="20"/>
          <w:szCs w:val="20"/>
          <w:color w:val="auto"/>
        </w:rPr>
      </w:pPr>
      <w:r>
        <w:rPr>
          <w:rFonts w:ascii="Arial" w:cs="Arial" w:eastAsia="Arial" w:hAnsi="Arial"/>
          <w:sz w:val="17"/>
          <w:szCs w:val="17"/>
          <w:color w:val="auto"/>
        </w:rPr>
        <w:t>Our condensed financial statements have been prepared in accordance with generally accepted accounting principles in the United States, or U.S.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jc w:val="both"/>
        <w:ind w:left="40" w:right="179" w:firstLine="324"/>
        <w:spacing w:after="0" w:line="263" w:lineRule="auto"/>
        <w:rPr>
          <w:sz w:val="20"/>
          <w:szCs w:val="20"/>
          <w:color w:val="auto"/>
        </w:rPr>
      </w:pPr>
      <w:r>
        <w:rPr>
          <w:rFonts w:ascii="Arial" w:cs="Arial" w:eastAsia="Arial" w:hAnsi="Arial"/>
          <w:sz w:val="18"/>
          <w:szCs w:val="18"/>
          <w:color w:val="auto"/>
        </w:rPr>
        <w:t>There have been no changes to our critical accounting policies and estimates described in the Annual Report on Form 10-K for the year ended December 31, 2020, filed with the SEC on March 4, 2021, that have had a material impact on our condensed financial statements and related notes.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required for a smaller reporting company.</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left="40" w:right="179" w:firstLine="324"/>
        <w:spacing w:after="0" w:line="259" w:lineRule="auto"/>
        <w:rPr>
          <w:sz w:val="20"/>
          <w:szCs w:val="20"/>
          <w:color w:val="auto"/>
        </w:rPr>
      </w:pPr>
      <w:r>
        <w:rPr>
          <w:rFonts w:ascii="Arial" w:cs="Arial" w:eastAsia="Arial" w:hAnsi="Arial"/>
          <w:sz w:val="18"/>
          <w:szCs w:val="18"/>
          <w:color w:val="auto"/>
        </w:rPr>
        <w:t>Our management, including our Interim Chief Executive Officer (CEO) and Interim Chief Financial Officer (CFO), evaluated the effectiveness of the design and operation of our disclosure controls and procedures (as defined in Rules 13a-15(e) and 15d-15(e) under the Exchange Act), as of March 31, 2021, the end of the period covered by this quarterly report on Form 10-Q.</w:t>
      </w:r>
    </w:p>
    <w:p>
      <w:pPr>
        <w:spacing w:after="0" w:line="187" w:lineRule="exact"/>
        <w:rPr>
          <w:sz w:val="20"/>
          <w:szCs w:val="20"/>
          <w:color w:val="auto"/>
        </w:rPr>
      </w:pPr>
    </w:p>
    <w:p>
      <w:pPr>
        <w:ind w:left="40" w:right="579" w:firstLine="324"/>
        <w:spacing w:after="0" w:line="277" w:lineRule="auto"/>
        <w:rPr>
          <w:sz w:val="20"/>
          <w:szCs w:val="20"/>
          <w:color w:val="auto"/>
        </w:rPr>
      </w:pPr>
      <w:r>
        <w:rPr>
          <w:rFonts w:ascii="Arial" w:cs="Arial" w:eastAsia="Arial" w:hAnsi="Arial"/>
          <w:sz w:val="18"/>
          <w:szCs w:val="18"/>
          <w:color w:val="auto"/>
        </w:rPr>
        <w:t>Based on this evaluation, our interim CEO and CFO concluded that our disclosure controls and procedures were effective at the reasonable assurance level as of March 31, 2021.</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225"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(as defined in Rules 13a-15(f) and 15d-15(f) under the Exchange Act) such that there is a reasonable possibility that a material misstatement of the annual or interim financial statements will not be prevented or detected on a timely basis. In connection with the preparation of our audited annual financial statements for the year ended December 31, 2020, we determined our controls around inventory, including unit reconciliations and communication protocols between operations and accounting were not sufficiently designed to prevent and detect a material misstatement. This error was the result of a material weakness in our internal control over financial reporting, which we are in process of remediating as of March 31, 2021 through the plan outlined below.</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Management’s steps taken to remediate the material weakness.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remediate this material weakness, we are taking the following actions:</w:t>
      </w:r>
    </w:p>
    <w:p>
      <w:pPr>
        <w:spacing w:after="0" w:line="225" w:lineRule="exact"/>
        <w:rPr>
          <w:sz w:val="20"/>
          <w:szCs w:val="20"/>
          <w:color w:val="auto"/>
        </w:rPr>
      </w:pPr>
    </w:p>
    <w:p>
      <w:pPr>
        <w:ind w:left="640" w:right="99" w:hanging="245"/>
        <w:spacing w:after="0" w:line="263"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updated our information technology tools, including implementing a new ERP system as of January 1, 2020, to enhance our ability to monitor inventory and its movement through our manufacturing process and to provide checks and balances to third-party reports.</w:t>
      </w:r>
    </w:p>
    <w:p>
      <w:pPr>
        <w:spacing w:after="0" w:line="183" w:lineRule="exact"/>
        <w:rPr>
          <w:rFonts w:ascii="Arial" w:cs="Arial" w:eastAsia="Arial" w:hAnsi="Arial"/>
          <w:sz w:val="18"/>
          <w:szCs w:val="18"/>
          <w:color w:val="auto"/>
        </w:rPr>
      </w:pPr>
    </w:p>
    <w:p>
      <w:pPr>
        <w:ind w:left="640" w:right="29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put in place management dashboard tools to alert all involved as to the performance of inventory against our business goals.</w:t>
      </w:r>
    </w:p>
    <w:p>
      <w:pPr>
        <w:spacing w:after="0" w:line="170" w:lineRule="exact"/>
        <w:rPr>
          <w:rFonts w:ascii="Arial" w:cs="Arial" w:eastAsia="Arial" w:hAnsi="Arial"/>
          <w:sz w:val="18"/>
          <w:szCs w:val="18"/>
          <w:color w:val="auto"/>
        </w:rPr>
      </w:pPr>
    </w:p>
    <w:p>
      <w:pPr>
        <w:ind w:left="640" w:right="57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established multi-discipline processes to actively manage and make decisions regarding our inventory to support our business objectives.</w:t>
      </w:r>
    </w:p>
    <w:p>
      <w:pPr>
        <w:spacing w:after="0" w:line="170" w:lineRule="exact"/>
        <w:rPr>
          <w:rFonts w:ascii="Arial" w:cs="Arial" w:eastAsia="Arial" w:hAnsi="Arial"/>
          <w:sz w:val="18"/>
          <w:szCs w:val="18"/>
          <w:color w:val="auto"/>
        </w:rPr>
      </w:pPr>
    </w:p>
    <w:p>
      <w:pPr>
        <w:ind w:left="640" w:right="23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provided additional training to our Operations Teams and updating procedures with our third-party Assembly Houses.</w:t>
      </w:r>
    </w:p>
    <w:p>
      <w:pPr>
        <w:spacing w:after="0" w:line="170" w:lineRule="exact"/>
        <w:rPr>
          <w:rFonts w:ascii="Arial" w:cs="Arial" w:eastAsia="Arial" w:hAnsi="Arial"/>
          <w:sz w:val="18"/>
          <w:szCs w:val="18"/>
          <w:color w:val="auto"/>
        </w:rPr>
      </w:pPr>
    </w:p>
    <w:p>
      <w:pPr>
        <w:ind w:left="640" w:right="5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hired additional qualified personnel to assist management with its financial statement close process and provide oversight of our financial reporting.</w:t>
      </w:r>
    </w:p>
    <w:p>
      <w:pPr>
        <w:spacing w:after="0" w:line="170" w:lineRule="exact"/>
        <w:rPr>
          <w:sz w:val="20"/>
          <w:szCs w:val="20"/>
          <w:color w:val="auto"/>
        </w:rPr>
      </w:pPr>
    </w:p>
    <w:p>
      <w:pPr>
        <w:ind w:left="40" w:right="339" w:firstLine="324"/>
        <w:spacing w:after="0" w:line="257" w:lineRule="auto"/>
        <w:rPr>
          <w:sz w:val="20"/>
          <w:szCs w:val="20"/>
          <w:color w:val="auto"/>
        </w:rPr>
      </w:pPr>
      <w:r>
        <w:rPr>
          <w:rFonts w:ascii="Arial" w:cs="Arial" w:eastAsia="Arial" w:hAnsi="Arial"/>
          <w:sz w:val="18"/>
          <w:szCs w:val="18"/>
          <w:color w:val="auto"/>
        </w:rPr>
        <w:t>We will continue to monitor stability of the platform and further enhance the business controls around inventory management. We continue to assess our accounting policies and internal controls documentation to ensure they are effective in helping us manage the business. Our management has concluded that the financial statements included elsewhere in this Quarterly Report on Form 10-Q present fairly, in all material respects, our financial position, results of operations and cash flows in conformity with GAAP.</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left="40" w:right="99" w:firstLine="324"/>
        <w:spacing w:after="0" w:line="263" w:lineRule="auto"/>
        <w:rPr>
          <w:sz w:val="20"/>
          <w:szCs w:val="20"/>
          <w:color w:val="auto"/>
        </w:rPr>
      </w:pPr>
      <w:r>
        <w:rPr>
          <w:rFonts w:ascii="Arial" w:cs="Arial" w:eastAsia="Arial" w:hAnsi="Arial"/>
          <w:sz w:val="18"/>
          <w:szCs w:val="18"/>
          <w:color w:val="auto"/>
        </w:rPr>
        <w:t>Except with respect to the remediation efforts described above, there have been no changes in our internal control over financial reporting that occurred during the three months ended March 31, 2021 that have materially affected, or are reasonably likely to materially affect, our internal control over financial reporting.</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25" w:lineRule="exact"/>
        <w:rPr>
          <w:sz w:val="20"/>
          <w:szCs w:val="20"/>
          <w:color w:val="auto"/>
        </w:rPr>
      </w:pPr>
    </w:p>
    <w:p>
      <w:pPr>
        <w:ind w:left="40" w:right="59" w:firstLine="324"/>
        <w:spacing w:after="0" w:line="253"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We are not party to any material legal proceedings at this time. From time to time, we may become involved in various legal proceedings that arise in the ordinary course of our business.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179" w:firstLine="324"/>
        <w:spacing w:after="0" w:line="301" w:lineRule="auto"/>
        <w:rPr>
          <w:sz w:val="20"/>
          <w:szCs w:val="20"/>
          <w:color w:val="auto"/>
        </w:rPr>
      </w:pPr>
      <w:r>
        <w:rPr>
          <w:rFonts w:ascii="Arial" w:cs="Arial" w:eastAsia="Arial" w:hAnsi="Arial"/>
          <w:sz w:val="16"/>
          <w:szCs w:val="16"/>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419"/>
        <w:spacing w:after="0" w:line="263" w:lineRule="auto"/>
        <w:rPr>
          <w:sz w:val="20"/>
          <w:szCs w:val="20"/>
          <w:color w:val="auto"/>
        </w:rPr>
      </w:pPr>
      <w:r>
        <w:rPr>
          <w:rFonts w:ascii="Arial" w:cs="Arial" w:eastAsia="Arial" w:hAnsi="Arial"/>
          <w:sz w:val="18"/>
          <w:szCs w:val="18"/>
          <w:i w:val="1"/>
          <w:iCs w:val="1"/>
          <w:color w:val="auto"/>
        </w:rPr>
        <w:t>financial condition, results of operations and cash flows could be harmed. In addition, many of the following risks and uncertainties may be exacerbated by the COVID-19 pandemic and any worsening of the global business and economic environment as a result.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Our Financial Condition and Our Indebtedness</w:t>
      </w:r>
    </w:p>
    <w:p>
      <w:pPr>
        <w:spacing w:after="0" w:line="229"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We may need additional funding and may be unable to raise capital when needed, which could force us to delay, reduce, or eliminate planned activities.</w:t>
      </w:r>
    </w:p>
    <w:p>
      <w:pPr>
        <w:spacing w:after="0" w:line="170"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Our total revenue was approximately $10.3 million for the three months ended March 31, 2021, and $42.0 million for the year ended December 31, 2020. As of March 31, 2021, we had cash and cash equivalents of approximately $15.5 million. Based on our current operating plan, we believe our existing cash and cash equivalents, coupled with availability under our credit facility and our anticipated growth and sales levels, will be sufficient to meet our anticipated cash requirements for at least the next 12 months. However, our existing capital may be insufficient to meet our long-term requirements. We have no committed sources of funding other than our revolving line of credit facility and there is no assurance that additional funding will be available to us in the future or be secured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spacing w:after="0" w:line="185"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8"/>
          <w:szCs w:val="18"/>
          <w:color w:val="auto"/>
        </w:rPr>
        <w:t>Further, we may need to raise additional funds through financings or borrowings in order to accomplish our long-term planned objectives. 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w:t>
      </w:r>
    </w:p>
    <w:p>
      <w:pPr>
        <w:spacing w:after="0" w:line="188" w:lineRule="exact"/>
        <w:rPr>
          <w:sz w:val="20"/>
          <w:szCs w:val="20"/>
          <w:color w:val="auto"/>
        </w:rPr>
      </w:pPr>
    </w:p>
    <w:p>
      <w:pPr>
        <w:ind w:left="40" w:right="79" w:firstLine="324"/>
        <w:spacing w:after="0" w:line="273" w:lineRule="auto"/>
        <w:rPr>
          <w:sz w:val="20"/>
          <w:szCs w:val="20"/>
          <w:color w:val="auto"/>
        </w:rPr>
      </w:pPr>
      <w:r>
        <w:rPr>
          <w:rFonts w:ascii="Arial" w:cs="Arial" w:eastAsia="Arial" w:hAnsi="Arial"/>
          <w:sz w:val="17"/>
          <w:szCs w:val="17"/>
          <w:color w:val="auto"/>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 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spacing w:after="0" w:line="178"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0" w:lineRule="exact"/>
        <w:rPr>
          <w:sz w:val="20"/>
          <w:szCs w:val="20"/>
          <w:color w:val="auto"/>
        </w:rPr>
      </w:pPr>
    </w:p>
    <w:p>
      <w:pPr>
        <w:ind w:left="40" w:right="119" w:firstLine="324"/>
        <w:spacing w:after="0" w:line="287" w:lineRule="auto"/>
        <w:rPr>
          <w:sz w:val="20"/>
          <w:szCs w:val="20"/>
          <w:color w:val="auto"/>
        </w:rPr>
      </w:pPr>
      <w:r>
        <w:rPr>
          <w:rFonts w:ascii="Arial" w:cs="Arial" w:eastAsia="Arial" w:hAnsi="Arial"/>
          <w:sz w:val="16"/>
          <w:szCs w:val="16"/>
          <w:color w:val="auto"/>
        </w:rPr>
        <w:t>We have incurred net losses since our inception. We incurred net losses of $8.5 million and $0.5 million for the year ended December 31, 2020 and the three months ended March 31, 2021, respectively. As of March 31, 2021, we had an accumulated deficit of $157.6 million. While our products offer unique benefits over other industry memory technologies, the rate of adoption of our products and our ability to capture market share from legacy technologies is uncertain. Our revenue may also be adversely impacted by a number of other possible reasons, many of which are outside our control, including business conditions that adversely affect the semiconductor memory industry resulting in a decline in end market demand for our products, adverse impacts resulting from the COVID-19 pandemic, increased competition, or our failure to capitalize on growth opportunities. We also rely on achieving specific cost reduction targets that have uncertainty in their timing and magnitude. We may also incur unforeseen expenses in the ongoing operation of our business that cause us to exceed our operational spending plan. As a result, our ability to generate sufficient revenue growth and/or controlling expenses to transition to profitability and generate consistent positive cash flows is uncertain.</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Provisions of our credit facility may restrict our ability to pursue our business strategies.</w:t>
      </w:r>
    </w:p>
    <w:p>
      <w:pPr>
        <w:spacing w:after="0" w:line="225"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7"/>
          <w:szCs w:val="17"/>
          <w:color w:val="auto"/>
        </w:rPr>
        <w:t>Borrowings under our existing credit facility are secured by substantially all of our assets, except for intellectual property. Additionally, the operating restrictions and covenants relating to our existing credit facility restrict, and any future financing agreements that we may enter into may further restrict, our ability to finance our operations, engage in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business activities or expand or fully pursue our business strategies. For example, our existing credit facility prohibits our ability to, among other things:</w:t>
      </w:r>
    </w:p>
    <w:p>
      <w:pPr>
        <w:spacing w:after="0" w:line="170" w:lineRule="exact"/>
        <w:rPr>
          <w:sz w:val="20"/>
          <w:szCs w:val="20"/>
          <w:color w:val="auto"/>
        </w:rPr>
      </w:pPr>
    </w:p>
    <w:p>
      <w:pPr>
        <w:ind w:left="660" w:hanging="29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consolidate or merge with other entities;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redeem subordinated indebtedness.</w:t>
      </w:r>
    </w:p>
    <w:p>
      <w:pPr>
        <w:spacing w:after="0" w:line="225" w:lineRule="exact"/>
        <w:rPr>
          <w:sz w:val="20"/>
          <w:szCs w:val="20"/>
          <w:color w:val="auto"/>
        </w:rPr>
      </w:pPr>
    </w:p>
    <w:p>
      <w:pPr>
        <w:ind w:left="40" w:right="79" w:firstLine="324"/>
        <w:spacing w:after="0" w:line="290" w:lineRule="auto"/>
        <w:rPr>
          <w:sz w:val="20"/>
          <w:szCs w:val="20"/>
          <w:color w:val="auto"/>
        </w:rPr>
      </w:pPr>
      <w:r>
        <w:rPr>
          <w:rFonts w:ascii="Arial" w:cs="Arial" w:eastAsia="Arial" w:hAnsi="Arial"/>
          <w:sz w:val="16"/>
          <w:szCs w:val="16"/>
          <w:color w:val="auto"/>
        </w:rPr>
        <w:t>These restrictions are subject to certain exceptions. In addition, our existing credit facility requires that we meet certain operating covenants, such as maintaining insurance on the collateral and meeting certain financial covenants, such as maintaining a minimum cash balance and availability under our revolving line of credit facility. Our ability to comply with these covenants may be affected by events beyond our control, and we may not be able to meet those covenants. A breach of any of these covenants could result in an event of default under the credit facility. We are required to make mandatory prepayments of the outstanding loan upon the acceleration by lender following the occurrence of an event of default, along with a payment of the end of term fee, the prepayment fee and any other obligations that are due and payable at the time of prepayment. In the event of default, the interest rate in effect will increase by 5.0% per annum.</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229" w:lineRule="exact"/>
        <w:rPr>
          <w:sz w:val="20"/>
          <w:szCs w:val="20"/>
          <w:color w:val="auto"/>
        </w:rPr>
      </w:pPr>
    </w:p>
    <w:p>
      <w:pPr>
        <w:ind w:left="40" w:right="519"/>
        <w:spacing w:after="0" w:line="259" w:lineRule="auto"/>
        <w:rPr>
          <w:sz w:val="20"/>
          <w:szCs w:val="20"/>
          <w:color w:val="auto"/>
        </w:rPr>
      </w:pPr>
      <w:r>
        <w:rPr>
          <w:rFonts w:ascii="Arial" w:cs="Arial" w:eastAsia="Arial" w:hAnsi="Arial"/>
          <w:sz w:val="18"/>
          <w:szCs w:val="18"/>
          <w:b w:val="1"/>
          <w:bCs w:val="1"/>
          <w:i w:val="1"/>
          <w:iCs w:val="1"/>
          <w:color w:val="auto"/>
        </w:rPr>
        <w:t>The recent novel coronavirus (COVID-19) global pandemic has adversely affected, and is expected to continue to adversely affect, our business, results of operations and financial condition. The widespread outbreak of any other illnesses or communicable diseases could also adversely affect our business, results of operations and financial condition.</w:t>
      </w:r>
    </w:p>
    <w:p>
      <w:pPr>
        <w:spacing w:after="0" w:line="187" w:lineRule="exact"/>
        <w:rPr>
          <w:sz w:val="20"/>
          <w:szCs w:val="20"/>
          <w:color w:val="auto"/>
        </w:rPr>
      </w:pPr>
    </w:p>
    <w:p>
      <w:pPr>
        <w:ind w:left="40" w:right="99" w:firstLine="324"/>
        <w:spacing w:after="0" w:line="290" w:lineRule="auto"/>
        <w:rPr>
          <w:sz w:val="20"/>
          <w:szCs w:val="20"/>
          <w:color w:val="auto"/>
        </w:rPr>
      </w:pPr>
      <w:r>
        <w:rPr>
          <w:rFonts w:ascii="Arial" w:cs="Arial" w:eastAsia="Arial" w:hAnsi="Arial"/>
          <w:sz w:val="16"/>
          <w:szCs w:val="16"/>
          <w:color w:val="auto"/>
        </w:rPr>
        <w:t>We could be negatively impacted by the widespread outbreak of an illness, any other communicable disease or any other public health crisis that results in economic and trade disruptions, including the disruption of global supply chains. In late 2019, there was an outbreak of a new strain of coronavirus, COVID-19, which has since spread globally. On March 11, 2020, the World Health Organization declared COVID-19 a pandemic. Further, the COVID-19 outbreak has resulted in government authorities around the world implementing numerous measures to try to reduce the spread of COVID-19, such as travel bans and restrictions, quarantines, “shelter-in-place,” “stay-at-home,” total lock-down orders, business limitations or shutdowns and similar orders. The COVID-19 pandemic has negatively impacted the global economy, disrupted global supply chains and workforce participation, and initially created significant volatility and disruption of financial markets.</w:t>
      </w:r>
    </w:p>
    <w:p>
      <w:pPr>
        <w:spacing w:after="0" w:line="165" w:lineRule="exact"/>
        <w:rPr>
          <w:sz w:val="20"/>
          <w:szCs w:val="20"/>
          <w:color w:val="auto"/>
        </w:rPr>
      </w:pPr>
    </w:p>
    <w:p>
      <w:pPr>
        <w:ind w:left="40" w:right="139" w:firstLine="324"/>
        <w:spacing w:after="0" w:line="288" w:lineRule="auto"/>
        <w:rPr>
          <w:sz w:val="20"/>
          <w:szCs w:val="20"/>
          <w:color w:val="auto"/>
        </w:rPr>
      </w:pPr>
      <w:r>
        <w:rPr>
          <w:rFonts w:ascii="Arial" w:cs="Arial" w:eastAsia="Arial" w:hAnsi="Arial"/>
          <w:sz w:val="16"/>
          <w:szCs w:val="16"/>
          <w:color w:val="auto"/>
        </w:rPr>
        <w:t>As a result of the COVID-19 pandemic and the related responses from government authorities, our business, results of operations and financial condition have been, and continue to be, adversely impacted. For example, we have experienced electronics supply chain and demand disruptions from extended factory shutdowns, particularly in some Asian countries, which created unusual order patterns, and subsequently slowed Toggle MRAM demand, particularly from our industrial customers. We continue to see an impact as reflected in reduced demand from some customers and distributors. Further, in an effort to protect the health and safety of our employees, we took the following actions: transitioned most of our office and support employees and contractors to working from home; suspended all non-essential business travel; and implemented social distancing guidelines for our employees and contractors who must work in our manufacturing and laboratory locations. Consequently, the remote working environment we have implemented for our employees has adversely impacted manufacturing operations given delays in data gathering,</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color w:val="auto"/>
        </w:rPr>
        <w:t>analysis and inefficiencies of teams solving technical problems via remote-only means, which has impacted, and continues to impact, our cost of sales.</w:t>
      </w:r>
    </w:p>
    <w:p>
      <w:pPr>
        <w:spacing w:after="0" w:line="170" w:lineRule="exact"/>
        <w:rPr>
          <w:sz w:val="20"/>
          <w:szCs w:val="20"/>
          <w:color w:val="auto"/>
        </w:rPr>
      </w:pPr>
    </w:p>
    <w:p>
      <w:pPr>
        <w:ind w:left="40" w:right="439" w:firstLine="324"/>
        <w:spacing w:after="0" w:line="277" w:lineRule="auto"/>
        <w:rPr>
          <w:sz w:val="20"/>
          <w:szCs w:val="20"/>
          <w:color w:val="auto"/>
        </w:rPr>
      </w:pPr>
      <w:r>
        <w:rPr>
          <w:rFonts w:ascii="Arial" w:cs="Arial" w:eastAsia="Arial" w:hAnsi="Arial"/>
          <w:sz w:val="18"/>
          <w:szCs w:val="18"/>
          <w:color w:val="auto"/>
        </w:rPr>
        <w:t xml:space="preserve">Additionally, our business, results of operations and financial condition </w:t>
      </w:r>
      <w:r>
        <w:rPr>
          <w:rFonts w:ascii="Arial" w:cs="Arial" w:eastAsia="Arial" w:hAnsi="Arial"/>
          <w:sz w:val="18"/>
          <w:szCs w:val="18"/>
          <w:color w:val="212529"/>
        </w:rPr>
        <w:t>have been and may be further impacted in</w:t>
      </w:r>
      <w:r>
        <w:rPr>
          <w:rFonts w:ascii="Arial" w:cs="Arial" w:eastAsia="Arial" w:hAnsi="Arial"/>
          <w:sz w:val="18"/>
          <w:szCs w:val="18"/>
          <w:color w:val="auto"/>
        </w:rPr>
        <w:t xml:space="preserve"> </w:t>
      </w:r>
      <w:r>
        <w:rPr>
          <w:rFonts w:ascii="Arial" w:cs="Arial" w:eastAsia="Arial" w:hAnsi="Arial"/>
          <w:sz w:val="18"/>
          <w:szCs w:val="18"/>
          <w:color w:val="212529"/>
        </w:rPr>
        <w:t>several ways, including, but not limited to, the following:</w:t>
      </w:r>
    </w:p>
    <w:p>
      <w:pPr>
        <w:spacing w:after="0" w:line="170" w:lineRule="exact"/>
        <w:rPr>
          <w:sz w:val="20"/>
          <w:szCs w:val="20"/>
          <w:color w:val="auto"/>
        </w:rPr>
      </w:pPr>
    </w:p>
    <w:p>
      <w:pPr>
        <w:ind w:left="1040" w:right="159" w:hanging="321"/>
        <w:spacing w:after="0" w:line="26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further disruptions to our operations, including due to additional facility closures, restrictions on our operations and sales, marketing and distribution efforts and/or interruptions to our research and development activities, product development and other important business activities;</w:t>
      </w:r>
    </w:p>
    <w:p>
      <w:pPr>
        <w:spacing w:after="0" w:line="183" w:lineRule="exact"/>
        <w:rPr>
          <w:rFonts w:ascii="Arial" w:cs="Arial" w:eastAsia="Arial" w:hAnsi="Arial"/>
          <w:sz w:val="18"/>
          <w:szCs w:val="18"/>
          <w:color w:val="auto"/>
        </w:rPr>
      </w:pPr>
    </w:p>
    <w:p>
      <w:pPr>
        <w:ind w:left="1040" w:right="259" w:hanging="321"/>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further reduced demand for our products, particularly due to disruptions to the businesses and operations of our customers;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interruptions, availability or delays in global shipping to transport our products;</w:t>
      </w:r>
    </w:p>
    <w:p>
      <w:pPr>
        <w:spacing w:after="0" w:line="225" w:lineRule="exact"/>
        <w:rPr>
          <w:rFonts w:ascii="Arial" w:cs="Arial" w:eastAsia="Arial" w:hAnsi="Arial"/>
          <w:sz w:val="18"/>
          <w:szCs w:val="18"/>
          <w:color w:val="auto"/>
        </w:rPr>
      </w:pPr>
    </w:p>
    <w:p>
      <w:pPr>
        <w:ind w:left="1040" w:right="239" w:hanging="321"/>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further slowdowns, stoppages or other limitations in the supply chain for our products, in addition to higher costs, such as due to suppliers opportunistically raising prices;</w:t>
      </w:r>
    </w:p>
    <w:p>
      <w:pPr>
        <w:spacing w:after="0" w:line="170" w:lineRule="exact"/>
        <w:rPr>
          <w:rFonts w:ascii="Arial" w:cs="Arial" w:eastAsia="Arial" w:hAnsi="Arial"/>
          <w:sz w:val="18"/>
          <w:szCs w:val="18"/>
          <w:color w:val="auto"/>
        </w:rPr>
      </w:pPr>
    </w:p>
    <w:p>
      <w:pPr>
        <w:ind w:left="1040" w:right="359" w:hanging="321"/>
        <w:spacing w:after="0" w:line="342"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limitations on employee resources and availability, including due to sickness, government restrictions, the desire of employees to avoid contact with large groups of people or mass transit disruptions;</w:t>
      </w:r>
    </w:p>
    <w:p>
      <w:pPr>
        <w:spacing w:after="0" w:line="123" w:lineRule="exact"/>
        <w:rPr>
          <w:rFonts w:ascii="Arial" w:cs="Arial" w:eastAsia="Arial" w:hAnsi="Arial"/>
          <w:sz w:val="16"/>
          <w:szCs w:val="16"/>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greater difficulty in collecting customer receivables;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fluctuation in foreign currency exchange rates or interest rates could result from market uncertainties; and</w:t>
      </w:r>
    </w:p>
    <w:p>
      <w:pPr>
        <w:spacing w:after="0" w:line="248" w:lineRule="exact"/>
        <w:rPr>
          <w:rFonts w:ascii="Arial" w:cs="Arial" w:eastAsia="Arial" w:hAnsi="Arial"/>
          <w:sz w:val="16"/>
          <w:szCs w:val="16"/>
          <w:color w:val="auto"/>
        </w:rPr>
      </w:pPr>
    </w:p>
    <w:p>
      <w:pPr>
        <w:ind w:left="1040" w:right="179" w:hanging="321"/>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the cost or the difficulty to obtain debt or equity financing could affect our financial condition or our ability to fund operations or future investment opportunities.</w:t>
      </w:r>
    </w:p>
    <w:p>
      <w:pPr>
        <w:spacing w:after="0" w:line="170"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Additionally, COVID-19 could impact our internal controls over financial reporting as a portion of our workforce is required to work from home and therefore new processes, procedures, and controls could be required to respond to changes in our business environment. Further, should any key employees become ill from COVID-19 and unable to work, the attention of the management team could be diverted.</w:t>
      </w:r>
    </w:p>
    <w:p>
      <w:pPr>
        <w:spacing w:after="0" w:line="187" w:lineRule="exact"/>
        <w:rPr>
          <w:sz w:val="20"/>
          <w:szCs w:val="20"/>
          <w:color w:val="auto"/>
        </w:rPr>
      </w:pPr>
    </w:p>
    <w:p>
      <w:pPr>
        <w:ind w:left="40" w:right="319" w:firstLine="324"/>
        <w:spacing w:after="0" w:line="259" w:lineRule="auto"/>
        <w:rPr>
          <w:sz w:val="20"/>
          <w:szCs w:val="20"/>
          <w:color w:val="auto"/>
        </w:rPr>
      </w:pPr>
      <w:r>
        <w:rPr>
          <w:rFonts w:ascii="Arial" w:cs="Arial" w:eastAsia="Arial" w:hAnsi="Arial"/>
          <w:sz w:val="18"/>
          <w:szCs w:val="18"/>
          <w:color w:val="auto"/>
        </w:rPr>
        <w:t>Although we will continue to monitor the situation and take further actions, which may include further altering our operations, in order to protect the best interests of our employees, customers and suppliers and comply with government requirements, there is no certainty that such measures will be enough to mitigate the risks posed by the virus, and our ability to perform critical functions could be harmed.</w:t>
      </w:r>
    </w:p>
    <w:p>
      <w:pPr>
        <w:spacing w:after="0" w:line="187" w:lineRule="exact"/>
        <w:rPr>
          <w:sz w:val="20"/>
          <w:szCs w:val="20"/>
          <w:color w:val="auto"/>
        </w:rPr>
      </w:pPr>
    </w:p>
    <w:p>
      <w:pPr>
        <w:ind w:left="40" w:right="139" w:firstLine="324"/>
        <w:spacing w:after="0" w:line="272" w:lineRule="auto"/>
        <w:rPr>
          <w:sz w:val="20"/>
          <w:szCs w:val="20"/>
          <w:color w:val="auto"/>
        </w:rPr>
      </w:pPr>
      <w:r>
        <w:rPr>
          <w:rFonts w:ascii="Arial" w:cs="Arial" w:eastAsia="Arial" w:hAnsi="Arial"/>
          <w:sz w:val="17"/>
          <w:szCs w:val="17"/>
          <w:color w:val="auto"/>
        </w:rPr>
        <w:t>Any of the foregoing could adversely affect our business, results of operations and financial condition. The potential effects of COVID-19 may also impact many of our other risk factors discussed in this “Risk Factors” section. The ultimate extent of the impact of the COVID-19 pandemic on our business, results of operations and financial condition will depend on future developments, which are highly uncertain, continuously evolving and cannot be predicted, including, but not limited to, the duration and spread of the COVID-19 outbreak, its severity, the actions to contain the virus or treat its impact, such as the efficacy of vaccines (particularly with respect to emerging strains of the virus), and how quickly and to what extent normal economic and operating conditions can resume.</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The limited history of STT-MRAM adoption makes it difficult to evaluate our current business and future prospects.</w:t>
      </w:r>
    </w:p>
    <w:p>
      <w:pPr>
        <w:spacing w:after="0" w:line="248" w:lineRule="exact"/>
        <w:rPr>
          <w:sz w:val="20"/>
          <w:szCs w:val="20"/>
          <w:color w:val="auto"/>
        </w:rPr>
      </w:pPr>
    </w:p>
    <w:p>
      <w:pPr>
        <w:ind w:left="40" w:right="239" w:firstLine="324"/>
        <w:spacing w:after="0" w:line="301" w:lineRule="auto"/>
        <w:rPr>
          <w:sz w:val="20"/>
          <w:szCs w:val="20"/>
          <w:color w:val="auto"/>
        </w:rPr>
      </w:pPr>
      <w:r>
        <w:rPr>
          <w:rFonts w:ascii="Arial" w:cs="Arial" w:eastAsia="Arial" w:hAnsi="Arial"/>
          <w:sz w:val="16"/>
          <w:szCs w:val="16"/>
          <w:color w:val="auto"/>
        </w:rPr>
        <w:t>We have been in existence as a stand-alone company since 2008, when Freescale Semiconductor, Inc. (subsequently acquired by NXP Semiconductor) spun-out its MRAM business as Everspin. We have been shipping magnetoresistive random-access memory (MRAM) products since our incorporation in 2008. However, we only began to manufacture and ship our Spin Transfer Torque MRAM (STT-MRAM) products in the fourth quarter of 2017.</w:t>
      </w:r>
    </w:p>
    <w:p>
      <w:pPr>
        <w:spacing w:after="0" w:line="157" w:lineRule="exact"/>
        <w:rPr>
          <w:sz w:val="20"/>
          <w:szCs w:val="20"/>
          <w:color w:val="auto"/>
        </w:rPr>
      </w:pPr>
    </w:p>
    <w:p>
      <w:pPr>
        <w:ind w:left="40" w:right="179" w:firstLine="324"/>
        <w:spacing w:after="0" w:line="301" w:lineRule="auto"/>
        <w:rPr>
          <w:sz w:val="20"/>
          <w:szCs w:val="20"/>
          <w:color w:val="auto"/>
        </w:rPr>
      </w:pPr>
      <w:r>
        <w:rPr>
          <w:rFonts w:ascii="Arial" w:cs="Arial" w:eastAsia="Arial" w:hAnsi="Arial"/>
          <w:sz w:val="16"/>
          <w:szCs w:val="16"/>
          <w:color w:val="auto"/>
        </w:rPr>
        <w:t>Our limited experience selling our STT-MRAM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239"/>
        <w:spacing w:after="0" w:line="257" w:lineRule="auto"/>
        <w:rPr>
          <w:sz w:val="20"/>
          <w:szCs w:val="20"/>
          <w:color w:val="auto"/>
        </w:rPr>
      </w:pPr>
      <w:r>
        <w:rPr>
          <w:rFonts w:ascii="Arial" w:cs="Arial" w:eastAsia="Arial" w:hAnsi="Arial"/>
          <w:sz w:val="18"/>
          <w:szCs w:val="18"/>
          <w:color w:val="auto"/>
        </w:rPr>
        <w:t>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data center market segments and changes in macroeconomic conditions. If we do not manage these risks and overcome these difficulties successfully, our business will suffer.</w:t>
      </w:r>
    </w:p>
    <w:p>
      <w:pPr>
        <w:spacing w:after="0" w:line="120" w:lineRule="exact"/>
        <w:rPr>
          <w:sz w:val="20"/>
          <w:szCs w:val="20"/>
          <w:color w:val="auto"/>
        </w:rPr>
      </w:pPr>
    </w:p>
    <w:p>
      <w:pPr>
        <w:ind w:left="40" w:right="499"/>
        <w:spacing w:after="0" w:line="263" w:lineRule="auto"/>
        <w:rPr>
          <w:sz w:val="20"/>
          <w:szCs w:val="20"/>
          <w:color w:val="auto"/>
        </w:rPr>
      </w:pPr>
      <w:r>
        <w:rPr>
          <w:rFonts w:ascii="Arial" w:cs="Arial" w:eastAsia="Arial" w:hAnsi="Arial"/>
          <w:sz w:val="18"/>
          <w:szCs w:val="18"/>
          <w:b w:val="1"/>
          <w:bCs w:val="1"/>
          <w:i w:val="1"/>
          <w:iCs w:val="1"/>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184" w:lineRule="exact"/>
        <w:rPr>
          <w:sz w:val="20"/>
          <w:szCs w:val="20"/>
          <w:color w:val="auto"/>
        </w:rPr>
      </w:pPr>
    </w:p>
    <w:p>
      <w:pPr>
        <w:ind w:left="40" w:right="119" w:firstLine="324"/>
        <w:spacing w:after="0" w:line="285" w:lineRule="auto"/>
        <w:rPr>
          <w:sz w:val="20"/>
          <w:szCs w:val="20"/>
          <w:color w:val="auto"/>
        </w:rPr>
      </w:pPr>
      <w:r>
        <w:rPr>
          <w:rFonts w:ascii="Arial" w:cs="Arial" w:eastAsia="Arial" w:hAnsi="Arial"/>
          <w:sz w:val="16"/>
          <w:szCs w:val="16"/>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if we underestimate customer demand or if sufficient manufacturing capacity is unavailable, we could lose sales opportunities and could lose market share or damage our customer relationships.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174" w:lineRule="exact"/>
        <w:rPr>
          <w:sz w:val="20"/>
          <w:szCs w:val="20"/>
          <w:color w:val="auto"/>
        </w:rPr>
      </w:pPr>
    </w:p>
    <w:p>
      <w:pPr>
        <w:ind w:left="40" w:right="479"/>
        <w:spacing w:after="0" w:line="342"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left="40" w:right="119" w:firstLine="324"/>
        <w:spacing w:after="0" w:line="269" w:lineRule="auto"/>
        <w:rPr>
          <w:sz w:val="20"/>
          <w:szCs w:val="20"/>
          <w:color w:val="auto"/>
        </w:rPr>
      </w:pPr>
      <w:r>
        <w:rPr>
          <w:rFonts w:ascii="Arial" w:cs="Arial" w:eastAsia="Arial" w:hAnsi="Arial"/>
          <w:sz w:val="17"/>
          <w:szCs w:val="17"/>
          <w:color w:val="auto"/>
        </w:rPr>
        <w:t>We expect that our new and future MRAM products will be applicable to markets in which we are not currently operating.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79" w:lineRule="exact"/>
        <w:rPr>
          <w:sz w:val="20"/>
          <w:szCs w:val="20"/>
          <w:color w:val="auto"/>
        </w:rPr>
      </w:pPr>
    </w:p>
    <w:p>
      <w:pPr>
        <w:jc w:val="both"/>
        <w:ind w:left="40" w:right="459"/>
        <w:spacing w:after="0" w:line="286" w:lineRule="auto"/>
        <w:rPr>
          <w:sz w:val="20"/>
          <w:szCs w:val="20"/>
          <w:color w:val="auto"/>
        </w:rPr>
      </w:pPr>
      <w:r>
        <w:rPr>
          <w:rFonts w:ascii="Arial" w:cs="Arial" w:eastAsia="Arial" w:hAnsi="Arial"/>
          <w:sz w:val="17"/>
          <w:szCs w:val="17"/>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65" w:lineRule="exact"/>
        <w:rPr>
          <w:sz w:val="20"/>
          <w:szCs w:val="20"/>
          <w:color w:val="auto"/>
        </w:rPr>
      </w:pPr>
    </w:p>
    <w:p>
      <w:pPr>
        <w:ind w:left="40" w:right="119" w:firstLine="324"/>
        <w:spacing w:after="0" w:line="273" w:lineRule="auto"/>
        <w:rPr>
          <w:sz w:val="20"/>
          <w:szCs w:val="20"/>
          <w:color w:val="auto"/>
        </w:rPr>
      </w:pPr>
      <w:r>
        <w:rPr>
          <w:rFonts w:ascii="Arial" w:cs="Arial" w:eastAsia="Arial" w:hAnsi="Arial"/>
          <w:sz w:val="17"/>
          <w:szCs w:val="17"/>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639" w:firstLine="324"/>
        <w:spacing w:after="0" w:line="277" w:lineRule="auto"/>
        <w:rPr>
          <w:sz w:val="20"/>
          <w:szCs w:val="20"/>
          <w:color w:val="auto"/>
        </w:rPr>
      </w:pPr>
      <w:r>
        <w:rPr>
          <w:rFonts w:ascii="Arial" w:cs="Arial" w:eastAsia="Arial" w:hAnsi="Arial"/>
          <w:sz w:val="18"/>
          <w:szCs w:val="18"/>
          <w:color w:val="auto"/>
        </w:rPr>
        <w:t>The post-COVID-19 upturn in the semiconductor industry has stretched the supply chain, and we are subject to potential supply shortages, as well as higher costs as suppliers opportunistically raise prices.</w:t>
      </w:r>
    </w:p>
    <w:p>
      <w:pPr>
        <w:spacing w:after="0" w:line="170" w:lineRule="exact"/>
        <w:rPr>
          <w:sz w:val="20"/>
          <w:szCs w:val="20"/>
          <w:color w:val="auto"/>
        </w:rPr>
      </w:pPr>
    </w:p>
    <w:p>
      <w:pPr>
        <w:ind w:left="40" w:right="639" w:firstLine="324"/>
        <w:spacing w:after="0" w:line="277" w:lineRule="auto"/>
        <w:rPr>
          <w:sz w:val="20"/>
          <w:szCs w:val="20"/>
          <w:color w:val="auto"/>
        </w:rPr>
      </w:pPr>
      <w:r>
        <w:rPr>
          <w:rFonts w:ascii="Arial" w:cs="Arial" w:eastAsia="Arial" w:hAnsi="Arial"/>
          <w:sz w:val="18"/>
          <w:szCs w:val="18"/>
          <w:color w:val="auto"/>
        </w:rPr>
        <w:t>Relying on third-party distribution, manufacturing, assembly, packaging and testing presents a number of risks, including but not limited to:</w:t>
      </w:r>
    </w:p>
    <w:p>
      <w:pPr>
        <w:spacing w:after="0" w:line="184" w:lineRule="exact"/>
        <w:rPr>
          <w:sz w:val="20"/>
          <w:szCs w:val="20"/>
          <w:color w:val="auto"/>
        </w:rPr>
      </w:pPr>
    </w:p>
    <w:p>
      <w:pPr>
        <w:ind w:left="620" w:right="219" w:hanging="252"/>
        <w:spacing w:after="0" w:line="263" w:lineRule="auto"/>
        <w:tabs>
          <w:tab w:leader="none" w:pos="649"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3"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capacity and materials shortages during periods of high demand;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control over delivery schedules, inventories and quality;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unavailability of, or potential delays in obtaining access to, key process technologies;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to achieve required production or test capacity and acceptable yields on a timely basis;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misappropriation of our intellectual property;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third party’s ability to perform its obligations due to bankruptcy or other financial constraints;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exclusive representatives for certain customer engagements;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limited warranties on wafers or products supplied to us;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increases in prices.</w:t>
      </w:r>
    </w:p>
    <w:p>
      <w:pPr>
        <w:spacing w:after="0" w:line="225"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marketplace. Moreover, if we are unable to find another foundry to manufacture our products or if we have to redesign our core technology, this could cause material harm to our business and operating results.</w:t>
      </w:r>
    </w:p>
    <w:p>
      <w:pPr>
        <w:spacing w:after="0" w:line="168" w:lineRule="exact"/>
        <w:rPr>
          <w:sz w:val="20"/>
          <w:szCs w:val="20"/>
          <w:color w:val="auto"/>
        </w:rPr>
      </w:pPr>
    </w:p>
    <w:p>
      <w:pPr>
        <w:ind w:left="40" w:right="159" w:firstLine="324"/>
        <w:spacing w:after="0" w:line="255"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 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92" w:lineRule="exact"/>
        <w:rPr>
          <w:sz w:val="20"/>
          <w:szCs w:val="20"/>
          <w:color w:val="auto"/>
        </w:rPr>
      </w:pPr>
    </w:p>
    <w:p>
      <w:pPr>
        <w:ind w:left="40" w:right="99" w:firstLine="324"/>
        <w:spacing w:after="0" w:line="275" w:lineRule="auto"/>
        <w:rPr>
          <w:sz w:val="20"/>
          <w:szCs w:val="20"/>
          <w:color w:val="auto"/>
        </w:rPr>
      </w:pPr>
      <w:r>
        <w:rPr>
          <w:rFonts w:ascii="Arial" w:cs="Arial" w:eastAsia="Arial" w:hAnsi="Arial"/>
          <w:sz w:val="17"/>
          <w:szCs w:val="17"/>
          <w:color w:val="auto"/>
        </w:rPr>
        <w:t>If any of our current or future foundries or packaging, assembly and testing subcontractors significantly increases the costs of wafers or other materials or services, interrupts or reduces our supply, including for reasons outside of their control, such as due to the COVID-19 pandemic, or if any of our relationships with our suppliers is terminated, our operating results could be adversely affected. Such occurrences could also damage our customer relationships, result in lost revenue, cause a loss in market share or damage our reputation.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225" w:lineRule="exact"/>
        <w:rPr>
          <w:sz w:val="20"/>
          <w:szCs w:val="20"/>
          <w:color w:val="auto"/>
        </w:rPr>
      </w:pPr>
    </w:p>
    <w:p>
      <w:pPr>
        <w:ind w:left="40" w:right="219" w:firstLine="324"/>
        <w:spacing w:after="0" w:line="279" w:lineRule="auto"/>
        <w:rPr>
          <w:sz w:val="20"/>
          <w:szCs w:val="20"/>
          <w:color w:val="auto"/>
        </w:rPr>
      </w:pPr>
      <w:r>
        <w:rPr>
          <w:rFonts w:ascii="Arial" w:cs="Arial" w:eastAsia="Arial" w:hAnsi="Arial"/>
          <w:sz w:val="17"/>
          <w:szCs w:val="17"/>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185" w:lineRule="exact"/>
        <w:rPr>
          <w:sz w:val="20"/>
          <w:szCs w:val="20"/>
          <w:color w:val="auto"/>
        </w:rPr>
      </w:pPr>
    </w:p>
    <w:p>
      <w:pPr>
        <w:ind w:left="620" w:right="219" w:hanging="252"/>
        <w:spacing w:after="0" w:line="263" w:lineRule="auto"/>
        <w:tabs>
          <w:tab w:leader="none" w:pos="649"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3" w:lineRule="exact"/>
        <w:rPr>
          <w:rFonts w:ascii="Arial" w:cs="Arial" w:eastAsia="Arial" w:hAnsi="Arial"/>
          <w:sz w:val="18"/>
          <w:szCs w:val="18"/>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a foundry;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and delays in getting to and/or ramping production at foundries;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control over the operations of foundries is limited;</w:t>
      </w:r>
    </w:p>
    <w:p>
      <w:pPr>
        <w:spacing w:after="0" w:line="225" w:lineRule="exact"/>
        <w:rPr>
          <w:rFonts w:ascii="Arial" w:cs="Arial" w:eastAsia="Arial" w:hAnsi="Arial"/>
          <w:sz w:val="18"/>
          <w:szCs w:val="18"/>
          <w:color w:val="auto"/>
        </w:rPr>
      </w:pPr>
    </w:p>
    <w:p>
      <w:pPr>
        <w:ind w:left="620" w:right="299" w:hanging="252"/>
        <w:spacing w:after="0" w:line="277" w:lineRule="auto"/>
        <w:tabs>
          <w:tab w:leader="none" w:pos="649" w:val="left"/>
        </w:tabs>
        <w:numPr>
          <w:ilvl w:val="0"/>
          <w:numId w:val="7"/>
        </w:numPr>
        <w:rPr>
          <w:rFonts w:ascii="Arial" w:cs="Arial" w:eastAsia="Arial" w:hAnsi="Arial"/>
          <w:sz w:val="18"/>
          <w:szCs w:val="18"/>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170" w:lineRule="exact"/>
        <w:rPr>
          <w:rFonts w:ascii="Arial" w:cs="Arial" w:eastAsia="Arial" w:hAnsi="Arial"/>
          <w:sz w:val="18"/>
          <w:szCs w:val="18"/>
          <w:color w:val="auto"/>
        </w:rPr>
      </w:pPr>
    </w:p>
    <w:p>
      <w:pPr>
        <w:ind w:left="620" w:right="639" w:hanging="252"/>
        <w:spacing w:after="0" w:line="308" w:lineRule="auto"/>
        <w:tabs>
          <w:tab w:leader="none" w:pos="649" w:val="left"/>
        </w:tabs>
        <w:numPr>
          <w:ilvl w:val="0"/>
          <w:numId w:val="7"/>
        </w:numPr>
        <w:rPr>
          <w:rFonts w:ascii="Arial" w:cs="Arial" w:eastAsia="Arial" w:hAnsi="Arial"/>
          <w:sz w:val="17"/>
          <w:szCs w:val="17"/>
          <w:color w:val="auto"/>
        </w:rPr>
      </w:pPr>
      <w:r>
        <w:rPr>
          <w:rFonts w:ascii="Arial" w:cs="Arial" w:eastAsia="Arial" w:hAnsi="Arial"/>
          <w:sz w:val="17"/>
          <w:szCs w:val="17"/>
          <w:color w:val="auto"/>
        </w:rPr>
        <w:t>due to differing business models or long-term business goals, our collaborators may decide not to join us in funding capital investment, which may result in higher levels of cash expenditures by us;</w:t>
      </w:r>
    </w:p>
    <w:p>
      <w:pPr>
        <w:spacing w:after="0" w:line="146" w:lineRule="exact"/>
        <w:rPr>
          <w:rFonts w:ascii="Arial" w:cs="Arial" w:eastAsia="Arial" w:hAnsi="Arial"/>
          <w:sz w:val="17"/>
          <w:szCs w:val="17"/>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cash flows may be inadequate to fund increased capital requirements;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collaborators;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pacing w:after="0" w:line="225" w:lineRule="exact"/>
        <w:rPr>
          <w:rFonts w:ascii="Arial" w:cs="Arial" w:eastAsia="Arial" w:hAnsi="Arial"/>
          <w:sz w:val="18"/>
          <w:szCs w:val="18"/>
          <w:color w:val="auto"/>
        </w:rPr>
      </w:pPr>
    </w:p>
    <w:p>
      <w:pPr>
        <w:ind w:left="620" w:right="79" w:hanging="252"/>
        <w:spacing w:after="0" w:line="277" w:lineRule="auto"/>
        <w:tabs>
          <w:tab w:leader="none" w:pos="649"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our agreements.</w:t>
      </w:r>
    </w:p>
    <w:p>
      <w:pPr>
        <w:spacing w:after="0" w:line="225" w:lineRule="exact"/>
        <w:rPr>
          <w:sz w:val="20"/>
          <w:szCs w:val="20"/>
          <w:color w:val="auto"/>
        </w:rPr>
      </w:pPr>
    </w:p>
    <w:p>
      <w:pPr>
        <w:ind w:left="40" w:right="439" w:firstLine="324"/>
        <w:spacing w:after="0" w:line="277" w:lineRule="auto"/>
        <w:rPr>
          <w:sz w:val="20"/>
          <w:szCs w:val="20"/>
          <w:color w:val="auto"/>
        </w:rPr>
      </w:pPr>
      <w:r>
        <w:rPr>
          <w:rFonts w:ascii="Arial" w:cs="Arial" w:eastAsia="Arial" w:hAnsi="Arial"/>
          <w:sz w:val="18"/>
          <w:szCs w:val="18"/>
          <w:color w:val="auto"/>
        </w:rPr>
        <w:t>The term of the agreement, as amended, is the completion, termination, or expiration of the last statement of work entered into pursuant to the joint development agreement.</w:t>
      </w:r>
    </w:p>
    <w:p>
      <w:pPr>
        <w:spacing w:after="0" w:line="170" w:lineRule="exact"/>
        <w:rPr>
          <w:sz w:val="20"/>
          <w:szCs w:val="20"/>
          <w:color w:val="auto"/>
        </w:rPr>
      </w:pPr>
    </w:p>
    <w:p>
      <w:pPr>
        <w:ind w:left="40" w:right="659" w:firstLine="324"/>
        <w:spacing w:after="0" w:line="277"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170"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70"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Our customers for some of our products may see the average selling price of competitive products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119" w:firstLine="324"/>
        <w:spacing w:after="0" w:line="255" w:lineRule="auto"/>
        <w:rPr>
          <w:sz w:val="20"/>
          <w:szCs w:val="20"/>
          <w:color w:val="auto"/>
        </w:rPr>
      </w:pPr>
      <w:r>
        <w:rPr>
          <w:rFonts w:ascii="Arial" w:cs="Arial" w:eastAsia="Arial" w:hAnsi="Arial"/>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192"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84"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if we are unable to generate more customer adoption of our 1Gb product and address new growth opportunities with subsequent STT-MRAM products,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82" w:lineRule="exact"/>
        <w:rPr>
          <w:sz w:val="20"/>
          <w:szCs w:val="20"/>
          <w:color w:val="auto"/>
        </w:rPr>
      </w:pPr>
    </w:p>
    <w:p>
      <w:pPr>
        <w:ind w:left="40" w:right="879"/>
        <w:spacing w:after="0" w:line="340" w:lineRule="auto"/>
        <w:rPr>
          <w:sz w:val="20"/>
          <w:szCs w:val="20"/>
          <w:color w:val="auto"/>
        </w:rPr>
      </w:pPr>
      <w:r>
        <w:rPr>
          <w:rFonts w:ascii="Arial" w:cs="Arial" w:eastAsia="Arial" w:hAnsi="Arial"/>
          <w:sz w:val="15"/>
          <w:szCs w:val="15"/>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31"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We sell to customers, including OEMs and ODMs, that incorporate MRAM into their products. A design win occurs after a customer has tested our product, verified that it meets the customer’s requirements and qualified our solutions for their products. We believe we are dependent, among other things, on the adoption of our 256Mb and 1Gb MRAM 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w:t>
      </w:r>
    </w:p>
    <w:p>
      <w:pPr>
        <w:spacing w:after="0" w:line="182" w:lineRule="exact"/>
        <w:rPr>
          <w:sz w:val="20"/>
          <w:szCs w:val="20"/>
          <w:color w:val="auto"/>
        </w:rPr>
      </w:pPr>
    </w:p>
    <w:p>
      <w:pPr>
        <w:ind w:left="40" w:right="79" w:firstLine="324"/>
        <w:spacing w:after="0" w:line="291" w:lineRule="auto"/>
        <w:rPr>
          <w:sz w:val="20"/>
          <w:szCs w:val="20"/>
          <w:color w:val="auto"/>
        </w:rPr>
      </w:pPr>
      <w:r>
        <w:rPr>
          <w:rFonts w:ascii="Arial" w:cs="Arial" w:eastAsia="Arial" w:hAnsi="Arial"/>
          <w:sz w:val="16"/>
          <w:szCs w:val="16"/>
          <w:color w:val="auto"/>
        </w:rPr>
        <w:t>If a current or prospective customer incorporates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66"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70" w:lineRule="exact"/>
        <w:rPr>
          <w:sz w:val="20"/>
          <w:szCs w:val="20"/>
          <w:color w:val="auto"/>
        </w:rPr>
      </w:pPr>
    </w:p>
    <w:p>
      <w:pPr>
        <w:jc w:val="center"/>
        <w:ind w:left="40" w:right="519"/>
        <w:spacing w:after="0" w:line="342" w:lineRule="auto"/>
        <w:rPr>
          <w:sz w:val="20"/>
          <w:szCs w:val="20"/>
          <w:color w:val="auto"/>
        </w:rPr>
      </w:pPr>
      <w:r>
        <w:rPr>
          <w:rFonts w:ascii="Arial" w:cs="Arial" w:eastAsia="Arial" w:hAnsi="Arial"/>
          <w:sz w:val="16"/>
          <w:szCs w:val="16"/>
          <w:color w:val="auto"/>
        </w:rPr>
        <w:t>We have derived and expect to continue to derive a significant portion of our revenues from a small group of customers during any particular period due in part to the concentration of market share in the semiconductor industry.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239"/>
        <w:spacing w:after="0" w:line="254" w:lineRule="auto"/>
        <w:rPr>
          <w:sz w:val="20"/>
          <w:szCs w:val="20"/>
          <w:color w:val="auto"/>
        </w:rPr>
      </w:pPr>
      <w:r>
        <w:rPr>
          <w:rFonts w:ascii="Arial" w:cs="Arial" w:eastAsia="Arial" w:hAnsi="Arial"/>
          <w:sz w:val="18"/>
          <w:szCs w:val="18"/>
          <w:color w:val="auto"/>
        </w:rPr>
        <w:t>Our four largest end customers together accounted for 44% of our total revenue for the three months ended March 31, 2021, and one of these customers accounted for more than 10% of our revenue during that period. Our four largest end customers together accounted for 45% of our total revenue for the year ended December 31, 2020, and 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92" w:lineRule="exact"/>
        <w:rPr>
          <w:sz w:val="20"/>
          <w:szCs w:val="20"/>
          <w:color w:val="auto"/>
        </w:rPr>
      </w:pPr>
    </w:p>
    <w:p>
      <w:pPr>
        <w:ind w:left="40" w:right="539"/>
        <w:spacing w:after="0" w:line="277"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70"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Fujitsu, Infineon, Integrated Silicon Solution, Intel, Macronix, Microchip, Micron, Renesas, Samsung, and Toshiba. In addition, as the MRAM market opportunity grows, we expect new entrants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functionality and performance of our products and those of our competitors;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relationships with our customers and other industry participants;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prices of our products and prices of our competitors’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innovative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competitors’ greater resources to make acquisitions;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adequate capital to finance operations;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 and</w:t>
      </w:r>
    </w:p>
    <w:p>
      <w:pPr>
        <w:spacing w:after="0" w:line="225" w:lineRule="exact"/>
        <w:rPr>
          <w:rFonts w:ascii="Arial" w:cs="Arial" w:eastAsia="Arial" w:hAnsi="Arial"/>
          <w:sz w:val="18"/>
          <w:szCs w:val="18"/>
          <w:color w:val="auto"/>
        </w:rPr>
      </w:pPr>
    </w:p>
    <w:p>
      <w:pPr>
        <w:ind w:left="620" w:right="539" w:hanging="252"/>
        <w:spacing w:after="0" w:line="277" w:lineRule="auto"/>
        <w:tabs>
          <w:tab w:leader="none" w:pos="64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pacing w:after="0" w:line="170"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Competition could result in pricing pressure, reduced revenue and loss of market share, any of which could materially and adversely affect our business, results of operations and prospects. 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92"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70" w:lineRule="exact"/>
        <w:rPr>
          <w:sz w:val="20"/>
          <w:szCs w:val="20"/>
          <w:color w:val="auto"/>
        </w:rPr>
      </w:pPr>
    </w:p>
    <w:p>
      <w:pPr>
        <w:ind w:left="40" w:right="139" w:firstLine="324"/>
        <w:spacing w:after="0" w:line="311" w:lineRule="auto"/>
        <w:rPr>
          <w:sz w:val="20"/>
          <w:szCs w:val="20"/>
          <w:color w:val="auto"/>
        </w:rPr>
      </w:pPr>
      <w:r>
        <w:rPr>
          <w:rFonts w:ascii="Arial" w:cs="Arial" w:eastAsia="Arial" w:hAnsi="Arial"/>
          <w:sz w:val="16"/>
          <w:szCs w:val="16"/>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
        <w:spacing w:after="0" w:line="263" w:lineRule="auto"/>
        <w:rPr>
          <w:sz w:val="20"/>
          <w:szCs w:val="20"/>
          <w:color w:val="auto"/>
        </w:rPr>
      </w:pPr>
      <w:r>
        <w:rPr>
          <w:rFonts w:ascii="Arial" w:cs="Arial" w:eastAsia="Arial" w:hAnsi="Arial"/>
          <w:sz w:val="18"/>
          <w:szCs w:val="18"/>
          <w:color w:val="auto"/>
        </w:rPr>
        <w:t>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84" w:lineRule="exact"/>
        <w:rPr>
          <w:sz w:val="20"/>
          <w:szCs w:val="20"/>
          <w:color w:val="auto"/>
        </w:rPr>
      </w:pPr>
    </w:p>
    <w:p>
      <w:pPr>
        <w:ind w:left="40" w:right="159" w:firstLine="324"/>
        <w:spacing w:after="0" w:line="269" w:lineRule="auto"/>
        <w:rPr>
          <w:sz w:val="20"/>
          <w:szCs w:val="20"/>
          <w:color w:val="auto"/>
        </w:rPr>
      </w:pPr>
      <w:r>
        <w:rPr>
          <w:rFonts w:ascii="Arial" w:cs="Arial" w:eastAsia="Arial" w:hAnsi="Arial"/>
          <w:sz w:val="17"/>
          <w:szCs w:val="17"/>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may also increase our costs and reduce our gross margin. In addition to significantly harming our results of operations and cash flow, poor yields may delay shipment of our products and harm our relationships with existing and potential customers.</w:t>
      </w:r>
    </w:p>
    <w:p>
      <w:pPr>
        <w:spacing w:after="0" w:line="182"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70" w:lineRule="exact"/>
        <w:rPr>
          <w:sz w:val="20"/>
          <w:szCs w:val="20"/>
          <w:color w:val="auto"/>
        </w:rPr>
      </w:pPr>
    </w:p>
    <w:p>
      <w:pPr>
        <w:ind w:left="40" w:right="239" w:firstLine="324"/>
        <w:spacing w:after="0" w:line="290" w:lineRule="auto"/>
        <w:rPr>
          <w:sz w:val="20"/>
          <w:szCs w:val="20"/>
          <w:color w:val="auto"/>
        </w:rPr>
      </w:pPr>
      <w:r>
        <w:rPr>
          <w:rFonts w:ascii="Arial" w:cs="Arial" w:eastAsia="Arial" w:hAnsi="Arial"/>
          <w:sz w:val="16"/>
          <w:szCs w:val="16"/>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our stockholders that problems will not be found in new products, both before and after commencement of commercial production, despite testing by us, our suppliers or our customers. Any such problems could result in:</w:t>
      </w:r>
    </w:p>
    <w:p>
      <w:pPr>
        <w:spacing w:after="0" w:line="165" w:lineRule="exact"/>
        <w:rPr>
          <w:sz w:val="20"/>
          <w:szCs w:val="20"/>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development, manufacture and roll-out of new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development costs;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or delays in, market acceptance;</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technical and other resources from our other development efforts;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claims for damages by our customers or others against us;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credibility with our current and prospective customers.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Any such event could have a material adverse effect on our business, financial condition and results of operations.</w:t>
      </w:r>
    </w:p>
    <w:p>
      <w:pPr>
        <w:spacing w:after="0" w:line="237" w:lineRule="exact"/>
        <w:rPr>
          <w:sz w:val="20"/>
          <w:szCs w:val="20"/>
          <w:color w:val="auto"/>
        </w:rPr>
      </w:pPr>
    </w:p>
    <w:p>
      <w:pPr>
        <w:ind w:left="40" w:right="399"/>
        <w:spacing w:after="0" w:line="263"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84" w:lineRule="exact"/>
        <w:rPr>
          <w:sz w:val="20"/>
          <w:szCs w:val="20"/>
          <w:color w:val="auto"/>
        </w:rPr>
      </w:pPr>
    </w:p>
    <w:p>
      <w:pPr>
        <w:ind w:left="40" w:right="59" w:firstLine="324"/>
        <w:spacing w:after="0" w:line="301" w:lineRule="auto"/>
        <w:rPr>
          <w:sz w:val="20"/>
          <w:szCs w:val="20"/>
          <w:color w:val="auto"/>
        </w:rPr>
      </w:pPr>
      <w:r>
        <w:rPr>
          <w:rFonts w:ascii="Arial" w:cs="Arial" w:eastAsia="Arial" w:hAnsi="Arial"/>
          <w:sz w:val="16"/>
          <w:szCs w:val="16"/>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w:t>
      </w:r>
    </w:p>
    <w:p>
      <w:pPr>
        <w:spacing w:after="0" w:line="157"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For example, 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39" w:firstLine="324"/>
        <w:spacing w:after="0" w:line="291" w:lineRule="auto"/>
        <w:rPr>
          <w:sz w:val="20"/>
          <w:szCs w:val="20"/>
          <w:color w:val="auto"/>
        </w:rPr>
      </w:pPr>
      <w:r>
        <w:rPr>
          <w:rFonts w:ascii="Arial" w:cs="Arial" w:eastAsia="Arial" w:hAnsi="Arial"/>
          <w:sz w:val="16"/>
          <w:szCs w:val="16"/>
          <w:color w:val="auto"/>
        </w:rPr>
        <w:t>We may face difficulties, delays and increased expense as we transition our products to new processes, and potentially to new foundries. We will depend on our third-party foundries as we transition to new processes. We cannot assure our stockholders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66"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70" w:lineRule="exact"/>
        <w:rPr>
          <w:sz w:val="20"/>
          <w:szCs w:val="20"/>
          <w:color w:val="auto"/>
        </w:rPr>
      </w:pPr>
    </w:p>
    <w:p>
      <w:pPr>
        <w:ind w:left="40" w:right="59" w:firstLine="324"/>
        <w:spacing w:after="0" w:line="253" w:lineRule="auto"/>
        <w:rPr>
          <w:sz w:val="20"/>
          <w:szCs w:val="20"/>
          <w:color w:val="auto"/>
        </w:rPr>
      </w:pPr>
      <w:r>
        <w:rPr>
          <w:rFonts w:ascii="Arial" w:cs="Arial" w:eastAsia="Arial" w:hAnsi="Arial"/>
          <w:sz w:val="18"/>
          <w:szCs w:val="18"/>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96" w:lineRule="exact"/>
        <w:rPr>
          <w:sz w:val="20"/>
          <w:szCs w:val="20"/>
          <w:color w:val="auto"/>
        </w:rPr>
      </w:pPr>
    </w:p>
    <w:p>
      <w:pPr>
        <w:ind w:left="40" w:right="59" w:firstLine="324"/>
        <w:spacing w:after="0" w:line="270" w:lineRule="auto"/>
        <w:rPr>
          <w:sz w:val="20"/>
          <w:szCs w:val="20"/>
          <w:color w:val="auto"/>
        </w:rPr>
      </w:pPr>
      <w:r>
        <w:rPr>
          <w:rFonts w:ascii="Arial" w:cs="Arial" w:eastAsia="Arial" w:hAnsi="Arial"/>
          <w:sz w:val="17"/>
          <w:szCs w:val="17"/>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81"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70"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our key employees are at-will.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82" w:lineRule="exact"/>
        <w:rPr>
          <w:sz w:val="20"/>
          <w:szCs w:val="20"/>
          <w:color w:val="auto"/>
        </w:rPr>
      </w:pPr>
    </w:p>
    <w:p>
      <w:pPr>
        <w:ind w:left="40" w:right="879"/>
        <w:spacing w:after="0" w:line="277" w:lineRule="auto"/>
        <w:rPr>
          <w:sz w:val="20"/>
          <w:szCs w:val="20"/>
          <w:color w:val="auto"/>
        </w:rPr>
      </w:pPr>
      <w:r>
        <w:rPr>
          <w:rFonts w:ascii="Arial" w:cs="Arial" w:eastAsia="Arial" w:hAnsi="Arial"/>
          <w:sz w:val="18"/>
          <w:szCs w:val="18"/>
          <w:b w:val="1"/>
          <w:bCs w:val="1"/>
          <w:i w:val="1"/>
          <w:iCs w:val="1"/>
          <w:color w:val="auto"/>
        </w:rPr>
        <w:t>We currently maintain, and are seeking to expand operations outside of the United States which exposes us to significant risks.</w:t>
      </w:r>
    </w:p>
    <w:p>
      <w:pPr>
        <w:spacing w:after="0" w:line="170" w:lineRule="exact"/>
        <w:rPr>
          <w:sz w:val="20"/>
          <w:szCs w:val="20"/>
          <w:color w:val="auto"/>
        </w:rPr>
      </w:pPr>
    </w:p>
    <w:p>
      <w:pPr>
        <w:ind w:left="40" w:right="99" w:firstLine="324"/>
        <w:spacing w:after="0" w:line="254" w:lineRule="auto"/>
        <w:rPr>
          <w:sz w:val="20"/>
          <w:szCs w:val="20"/>
          <w:color w:val="auto"/>
        </w:rPr>
      </w:pPr>
      <w:r>
        <w:rPr>
          <w:rFonts w:ascii="Arial" w:cs="Arial" w:eastAsia="Arial" w:hAnsi="Arial"/>
          <w:sz w:val="18"/>
          <w:szCs w:val="18"/>
          <w:color w:val="auto"/>
        </w:rPr>
        <w:t>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Among the risks we believe are most likely to affect us are: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20" w:right="599" w:hanging="252"/>
        <w:spacing w:after="0" w:line="263" w:lineRule="auto"/>
        <w:tabs>
          <w:tab w:leader="none" w:pos="6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health issues, such as the COVID-19 pandemic, which can result in varying impacts to our business, employees, partners, customers, distributors or suppliers internationally as discussed elsewhere in this “Risk Factors” section;</w:t>
      </w:r>
    </w:p>
    <w:p>
      <w:pPr>
        <w:spacing w:after="0" w:line="183"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inefficiencies and costs associated with staffing and managing foreign operations;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and more difficult customer qualification and credit checks;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need for various local approvals to operate in some countries;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entering some foreign markets without larger-scale local operations;</w:t>
      </w:r>
    </w:p>
    <w:p>
      <w:pPr>
        <w:spacing w:after="0" w:line="225" w:lineRule="exact"/>
        <w:rPr>
          <w:rFonts w:ascii="Arial" w:cs="Arial" w:eastAsia="Arial" w:hAnsi="Arial"/>
          <w:sz w:val="18"/>
          <w:szCs w:val="18"/>
          <w:color w:val="auto"/>
        </w:rPr>
      </w:pPr>
    </w:p>
    <w:p>
      <w:pPr>
        <w:ind w:left="620" w:right="579" w:hanging="252"/>
        <w:spacing w:after="0" w:line="277" w:lineRule="auto"/>
        <w:tabs>
          <w:tab w:leader="none" w:pos="6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import/export laws, trade restrictions, regulations and customs and duties and tariffs (foreign and domestic);</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local laws and regulations;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changes in regulatory requirements, including the elimination of tax holidays;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248" w:lineRule="exact"/>
        <w:rPr>
          <w:rFonts w:ascii="Arial" w:cs="Arial" w:eastAsia="Arial" w:hAnsi="Arial"/>
          <w:sz w:val="16"/>
          <w:szCs w:val="16"/>
          <w:color w:val="auto"/>
        </w:rPr>
      </w:pPr>
    </w:p>
    <w:p>
      <w:pPr>
        <w:ind w:left="620" w:right="519" w:hanging="252"/>
        <w:spacing w:after="0" w:line="277" w:lineRule="auto"/>
        <w:tabs>
          <w:tab w:leader="none" w:pos="6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170" w:lineRule="exact"/>
        <w:rPr>
          <w:rFonts w:ascii="Arial" w:cs="Arial" w:eastAsia="Arial" w:hAnsi="Arial"/>
          <w:sz w:val="18"/>
          <w:szCs w:val="18"/>
          <w:color w:val="auto"/>
        </w:rPr>
      </w:pPr>
    </w:p>
    <w:p>
      <w:pPr>
        <w:ind w:left="620" w:right="139" w:hanging="252"/>
        <w:spacing w:after="0" w:line="277" w:lineRule="auto"/>
        <w:tabs>
          <w:tab w:leader="none" w:pos="6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170" w:lineRule="exact"/>
        <w:rPr>
          <w:rFonts w:ascii="Arial" w:cs="Arial" w:eastAsia="Arial" w:hAnsi="Arial"/>
          <w:sz w:val="18"/>
          <w:szCs w:val="18"/>
          <w:color w:val="auto"/>
        </w:rPr>
      </w:pPr>
    </w:p>
    <w:p>
      <w:pPr>
        <w:ind w:left="620" w:right="119" w:hanging="252"/>
        <w:spacing w:after="0" w:line="259" w:lineRule="auto"/>
        <w:tabs>
          <w:tab w:leader="none" w:pos="6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86"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and different sources of competition;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and economic instability, and terrorism.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b w:val="1"/>
          <w:bCs w:val="1"/>
          <w:i w:val="1"/>
          <w:iCs w:val="1"/>
          <w:color w:val="auto"/>
        </w:rPr>
        <w:t>We may not successfully manage the transitions associated with certain of our executive officers, which could have an adverse impact on us.</w:t>
      </w:r>
    </w:p>
    <w:p>
      <w:pPr>
        <w:spacing w:after="0" w:line="170" w:lineRule="exact"/>
        <w:rPr>
          <w:sz w:val="20"/>
          <w:szCs w:val="20"/>
          <w:color w:val="auto"/>
        </w:rPr>
      </w:pPr>
    </w:p>
    <w:p>
      <w:pPr>
        <w:ind w:left="40" w:right="159" w:firstLine="324"/>
        <w:spacing w:after="0" w:line="291" w:lineRule="auto"/>
        <w:rPr>
          <w:sz w:val="20"/>
          <w:szCs w:val="20"/>
          <w:color w:val="auto"/>
        </w:rPr>
      </w:pPr>
      <w:r>
        <w:rPr>
          <w:rFonts w:ascii="Arial" w:cs="Arial" w:eastAsia="Arial" w:hAnsi="Arial"/>
          <w:sz w:val="16"/>
          <w:szCs w:val="16"/>
          <w:color w:val="auto"/>
        </w:rPr>
        <w:t>In December 2020, Kevin Conley notified our board of directors of his decision to resign as President and Chief Executive Officer of the Company. In connection with Mr. Conley’s resignation, our board of directors appointed Darin Billerbeck to serve as Interim Chief Executive Officer of the Company until a permanent successor can be named. Additionally, in March 2021, Daniel Berenbaum notified our board of directors of his decision to resign as Chief Financial Officer of the Company. On April 30, 2021, our board of directors appointed Anuj Aggarwal to serve as interim Chief Financial Officer of the Company until a permanent successor can be named. Our board of directors intends to initiate a search process to select the Company’s next Chief Executive Officer and next Chief Financial Officer.</w:t>
      </w:r>
    </w:p>
    <w:p>
      <w:pPr>
        <w:spacing w:after="0" w:line="166" w:lineRule="exact"/>
        <w:rPr>
          <w:sz w:val="20"/>
          <w:szCs w:val="20"/>
          <w:color w:val="auto"/>
        </w:rPr>
      </w:pPr>
    </w:p>
    <w:p>
      <w:pPr>
        <w:ind w:left="40" w:right="219" w:firstLine="324"/>
        <w:spacing w:after="0" w:line="273" w:lineRule="auto"/>
        <w:rPr>
          <w:sz w:val="20"/>
          <w:szCs w:val="20"/>
          <w:color w:val="auto"/>
        </w:rPr>
      </w:pPr>
      <w:r>
        <w:rPr>
          <w:rFonts w:ascii="Arial" w:cs="Arial" w:eastAsia="Arial" w:hAnsi="Arial"/>
          <w:sz w:val="17"/>
          <w:szCs w:val="17"/>
          <w:color w:val="auto"/>
        </w:rPr>
        <w:t>Although our board of directors is confident in the interim leadership of Mr. Billerbeck, leadership transitions can be inherently difficult to manage. An inadequate transition to a permanent Chief Executive Officer or permanent Chief Financial Officer may cause disruption within the Company. In addition, if we are unable to attract and retain a qualified candidate to become the permanent Chief Executive Officer or permanent Chief Financial Officer in a timely manner, our financial performance and ability to meet operational goals and strategic plans may be adversely impacted. This may also impact our ability to retain and hire other key members of management.</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Our Intellectual Property and Technology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225"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72"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7"/>
          <w:szCs w:val="17"/>
          <w:color w:val="auto"/>
        </w:rPr>
        <w:t>In addition to patents, we also rely on contractual protections with our customers, suppliers, distributors, employees and consultants, and we implement security measures designed to protect our trade secrets and know-how. However, we cannot assure our stockholders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76"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66" w:lineRule="exact"/>
        <w:rPr>
          <w:sz w:val="20"/>
          <w:szCs w:val="20"/>
          <w:color w:val="auto"/>
        </w:rPr>
      </w:pPr>
    </w:p>
    <w:p>
      <w:pPr>
        <w:ind w:left="40" w:right="399"/>
        <w:spacing w:after="0" w:line="311" w:lineRule="auto"/>
        <w:rPr>
          <w:sz w:val="20"/>
          <w:szCs w:val="20"/>
          <w:color w:val="auto"/>
        </w:rPr>
      </w:pPr>
      <w:r>
        <w:rPr>
          <w:rFonts w:ascii="Arial" w:cs="Arial" w:eastAsia="Arial" w:hAnsi="Arial"/>
          <w:sz w:val="16"/>
          <w:szCs w:val="16"/>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49" w:lineRule="exact"/>
        <w:rPr>
          <w:sz w:val="20"/>
          <w:szCs w:val="20"/>
          <w:color w:val="auto"/>
        </w:rPr>
      </w:pPr>
    </w:p>
    <w:p>
      <w:pPr>
        <w:ind w:left="40" w:right="179" w:firstLine="324"/>
        <w:spacing w:after="0" w:line="311" w:lineRule="auto"/>
        <w:rPr>
          <w:sz w:val="20"/>
          <w:szCs w:val="20"/>
          <w:color w:val="auto"/>
        </w:rPr>
      </w:pPr>
      <w:r>
        <w:rPr>
          <w:rFonts w:ascii="Arial" w:cs="Arial" w:eastAsia="Arial" w:hAnsi="Arial"/>
          <w:sz w:val="16"/>
          <w:szCs w:val="16"/>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99"/>
        <w:spacing w:after="0" w:line="263" w:lineRule="auto"/>
        <w:rPr>
          <w:sz w:val="20"/>
          <w:szCs w:val="20"/>
          <w:color w:val="auto"/>
        </w:rPr>
      </w:pPr>
      <w:r>
        <w:rPr>
          <w:rFonts w:ascii="Arial" w:cs="Arial" w:eastAsia="Arial" w:hAnsi="Arial"/>
          <w:sz w:val="18"/>
          <w:szCs w:val="18"/>
          <w:color w:val="auto"/>
        </w:rPr>
        <w:t>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84"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92" w:lineRule="exact"/>
        <w:rPr>
          <w:sz w:val="20"/>
          <w:szCs w:val="20"/>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cease the manufacture, use or sale of the infringing products, processes or technology;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substantial damages for infringement;</w:t>
      </w:r>
    </w:p>
    <w:p>
      <w:pPr>
        <w:spacing w:after="0" w:line="225" w:lineRule="exact"/>
        <w:rPr>
          <w:rFonts w:ascii="Arial" w:cs="Arial" w:eastAsia="Arial" w:hAnsi="Arial"/>
          <w:sz w:val="18"/>
          <w:szCs w:val="18"/>
          <w:color w:val="auto"/>
        </w:rPr>
      </w:pPr>
    </w:p>
    <w:p>
      <w:pPr>
        <w:ind w:left="620" w:right="579" w:hanging="252"/>
        <w:spacing w:after="0" w:line="277" w:lineRule="auto"/>
        <w:tabs>
          <w:tab w:leader="none" w:pos="6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70" w:lineRule="exact"/>
        <w:rPr>
          <w:rFonts w:ascii="Arial" w:cs="Arial" w:eastAsia="Arial" w:hAnsi="Arial"/>
          <w:sz w:val="18"/>
          <w:szCs w:val="18"/>
          <w:color w:val="auto"/>
        </w:rPr>
      </w:pPr>
    </w:p>
    <w:p>
      <w:pPr>
        <w:ind w:left="620" w:right="1059" w:hanging="252"/>
        <w:spacing w:after="0" w:line="277" w:lineRule="auto"/>
        <w:tabs>
          <w:tab w:leader="none" w:pos="6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170" w:lineRule="exact"/>
        <w:rPr>
          <w:rFonts w:ascii="Arial" w:cs="Arial" w:eastAsia="Arial" w:hAnsi="Arial"/>
          <w:sz w:val="18"/>
          <w:szCs w:val="18"/>
          <w:color w:val="auto"/>
        </w:rPr>
      </w:pPr>
    </w:p>
    <w:p>
      <w:pPr>
        <w:ind w:left="620" w:right="239" w:hanging="252"/>
        <w:spacing w:after="0" w:line="277" w:lineRule="auto"/>
        <w:tabs>
          <w:tab w:leader="none" w:pos="6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170" w:lineRule="exact"/>
        <w:rPr>
          <w:rFonts w:ascii="Arial" w:cs="Arial" w:eastAsia="Arial" w:hAnsi="Arial"/>
          <w:sz w:val="18"/>
          <w:szCs w:val="18"/>
          <w:color w:val="auto"/>
        </w:rPr>
      </w:pPr>
    </w:p>
    <w:p>
      <w:pPr>
        <w:ind w:left="620" w:right="379" w:hanging="252"/>
        <w:spacing w:after="0" w:line="277" w:lineRule="auto"/>
        <w:tabs>
          <w:tab w:leader="none" w:pos="6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pacing w:after="0" w:line="170"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92" w:lineRule="exact"/>
        <w:rPr>
          <w:sz w:val="20"/>
          <w:szCs w:val="20"/>
          <w:color w:val="auto"/>
        </w:rPr>
      </w:pPr>
    </w:p>
    <w:p>
      <w:pPr>
        <w:ind w:left="40" w:right="439"/>
        <w:spacing w:after="0" w:line="277"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70" w:lineRule="exact"/>
        <w:rPr>
          <w:sz w:val="20"/>
          <w:szCs w:val="20"/>
          <w:color w:val="auto"/>
        </w:rPr>
      </w:pPr>
    </w:p>
    <w:p>
      <w:pPr>
        <w:ind w:left="40" w:right="59" w:firstLine="324"/>
        <w:spacing w:after="0" w:line="277" w:lineRule="auto"/>
        <w:rPr>
          <w:sz w:val="20"/>
          <w:szCs w:val="20"/>
          <w:color w:val="auto"/>
        </w:rPr>
      </w:pPr>
      <w:r>
        <w:rPr>
          <w:rFonts w:ascii="Arial" w:cs="Arial" w:eastAsia="Arial" w:hAnsi="Arial"/>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70"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225" w:lineRule="exact"/>
        <w:rPr>
          <w:sz w:val="20"/>
          <w:szCs w:val="20"/>
          <w:color w:val="auto"/>
        </w:rPr>
      </w:pPr>
    </w:p>
    <w:p>
      <w:pPr>
        <w:ind w:left="40" w:right="219" w:firstLine="324"/>
        <w:spacing w:after="0" w:line="293" w:lineRule="auto"/>
        <w:rPr>
          <w:sz w:val="20"/>
          <w:szCs w:val="20"/>
          <w:color w:val="auto"/>
        </w:rPr>
      </w:pPr>
      <w:r>
        <w:rPr>
          <w:rFonts w:ascii="Arial" w:cs="Arial" w:eastAsia="Arial" w:hAnsi="Arial"/>
          <w:sz w:val="16"/>
          <w:szCs w:val="16"/>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187" w:lineRule="exact"/>
        <w:rPr>
          <w:sz w:val="20"/>
          <w:szCs w:val="20"/>
          <w:color w:val="auto"/>
        </w:rPr>
      </w:pPr>
    </w:p>
    <w:p>
      <w:pPr>
        <w:ind w:left="40" w:right="179" w:firstLine="324"/>
        <w:spacing w:after="0" w:line="275" w:lineRule="auto"/>
        <w:rPr>
          <w:sz w:val="20"/>
          <w:szCs w:val="20"/>
          <w:color w:val="auto"/>
        </w:rPr>
      </w:pPr>
      <w:r>
        <w:rPr>
          <w:rFonts w:ascii="Arial" w:cs="Arial" w:eastAsia="Arial" w:hAnsi="Arial"/>
          <w:sz w:val="17"/>
          <w:szCs w:val="17"/>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76" w:lineRule="exact"/>
        <w:rPr>
          <w:sz w:val="20"/>
          <w:szCs w:val="20"/>
          <w:color w:val="auto"/>
        </w:rPr>
      </w:pPr>
    </w:p>
    <w:p>
      <w:pPr>
        <w:ind w:left="40" w:right="299" w:firstLine="324"/>
        <w:spacing w:after="0" w:line="257" w:lineRule="auto"/>
        <w:rPr>
          <w:sz w:val="20"/>
          <w:szCs w:val="20"/>
          <w:color w:val="auto"/>
        </w:rPr>
      </w:pPr>
      <w:r>
        <w:rPr>
          <w:rFonts w:ascii="Arial" w:cs="Arial" w:eastAsia="Arial" w:hAnsi="Arial"/>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Regulatory Matters and Compliance</w:t>
      </w:r>
    </w:p>
    <w:p>
      <w:pPr>
        <w:spacing w:after="0" w:line="229"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84"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74" w:lineRule="exact"/>
        <w:rPr>
          <w:sz w:val="20"/>
          <w:szCs w:val="20"/>
          <w:color w:val="auto"/>
        </w:rPr>
      </w:pPr>
    </w:p>
    <w:p>
      <w:pPr>
        <w:ind w:left="40" w:right="159" w:firstLine="324"/>
        <w:spacing w:after="0" w:line="301" w:lineRule="auto"/>
        <w:rPr>
          <w:sz w:val="20"/>
          <w:szCs w:val="20"/>
          <w:color w:val="auto"/>
        </w:rPr>
      </w:pPr>
      <w:r>
        <w:rPr>
          <w:rFonts w:ascii="Arial" w:cs="Arial" w:eastAsia="Arial" w:hAnsi="Arial"/>
          <w:sz w:val="16"/>
          <w:szCs w:val="16"/>
          <w:color w:val="auto"/>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spacing w:after="0" w:line="157"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Pursuant to the Dodd-Frank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for these minerals and metals used in our products through the due diligence procedures that we implement, which may harm our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237" w:lineRule="exact"/>
        <w:rPr>
          <w:sz w:val="20"/>
          <w:szCs w:val="20"/>
          <w:color w:val="auto"/>
        </w:rPr>
      </w:pPr>
    </w:p>
    <w:p>
      <w:pPr>
        <w:ind w:left="40" w:right="59" w:firstLine="324"/>
        <w:spacing w:after="0" w:line="286" w:lineRule="auto"/>
        <w:rPr>
          <w:sz w:val="20"/>
          <w:szCs w:val="20"/>
          <w:color w:val="auto"/>
        </w:rPr>
      </w:pPr>
      <w:r>
        <w:rPr>
          <w:rFonts w:ascii="Arial" w:cs="Arial" w:eastAsia="Arial" w:hAnsi="Arial"/>
          <w:sz w:val="16"/>
          <w:szCs w:val="16"/>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2020, we had gross federal net operating loss carryforwards of approximately $140.5 million, of which $99.7 million will expire in 2028 through 2037 if not utilized, and $40.8 million will carryover indefinitely. As of December 31, 2020, we had state net operating loss carryforwards of approximately $54.1 million, of which $51.5 million will expire in 2023 through 2040 if not utilized, and $2.6 million will carryover indefinitely. The federal NOLs generated prior to 2018 will continue to be governed by the NOL tax rules as they existed prior to the adoption of the 2017 Tax Cuts and Jobs Act (2017 Tax Act), which means that generally they will expire 20 years after they were generated if not used prior thereto. The 2017 Tax Act repealed the 20-year carryforward and two-year carryback of NOLs originating after December 31, 2017 and also limits the NOL deduction to 80% of taxable income for tax years beginning after December 31, 2017. Any NOLs generated in 2018 and forward will be carried forward and will not expire. There is no current impact to us as we continue to be in a loss position for U.S. income tax purposes. Future changes in our stock ownership, many of which are outside of our control, could result in an ownership change under Section 382 of the Code. The ability to utilize our net operating losses and tax credits could also be impaired under state law. As a result, we might not be able to utilize a material portion of our state NOLs and tax credits.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225" w:lineRule="exact"/>
        <w:rPr>
          <w:sz w:val="20"/>
          <w:szCs w:val="20"/>
          <w:color w:val="auto"/>
        </w:rPr>
      </w:pPr>
    </w:p>
    <w:p>
      <w:pPr>
        <w:ind w:left="40" w:right="519" w:firstLine="324"/>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70" w:lineRule="exact"/>
        <w:rPr>
          <w:sz w:val="20"/>
          <w:szCs w:val="20"/>
          <w:color w:val="auto"/>
        </w:rPr>
      </w:pPr>
    </w:p>
    <w:p>
      <w:pPr>
        <w:ind w:left="620" w:right="119" w:hanging="252"/>
        <w:spacing w:after="0" w:line="277" w:lineRule="auto"/>
        <w:tabs>
          <w:tab w:leader="none" w:pos="6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duration and severity of the COVID-19 pandemic and its effects on our business, financial condition, results of operations and cash flows;</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others in our industry;</w:t>
      </w:r>
    </w:p>
    <w:p>
      <w:pPr>
        <w:spacing w:after="0" w:line="225" w:lineRule="exact"/>
        <w:rPr>
          <w:rFonts w:ascii="Arial" w:cs="Arial" w:eastAsia="Arial" w:hAnsi="Arial"/>
          <w:sz w:val="18"/>
          <w:szCs w:val="18"/>
          <w:color w:val="auto"/>
        </w:rPr>
      </w:pPr>
    </w:p>
    <w:p>
      <w:pPr>
        <w:ind w:left="620" w:right="259" w:hanging="252"/>
        <w:spacing w:after="0" w:line="277" w:lineRule="auto"/>
        <w:tabs>
          <w:tab w:leader="none" w:pos="6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or restructurings;</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others in our industry;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and directors;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w:t>
      </w:r>
    </w:p>
    <w:p>
      <w:pPr>
        <w:spacing w:after="0" w:line="225" w:lineRule="exact"/>
        <w:rPr>
          <w:rFonts w:ascii="Arial" w:cs="Arial" w:eastAsia="Arial" w:hAnsi="Arial"/>
          <w:sz w:val="18"/>
          <w:szCs w:val="18"/>
          <w:color w:val="auto"/>
        </w:rPr>
      </w:pPr>
    </w:p>
    <w:p>
      <w:pPr>
        <w:jc w:val="both"/>
        <w:ind w:left="620" w:right="559" w:hanging="252"/>
        <w:spacing w:after="0" w:line="263" w:lineRule="auto"/>
        <w:tabs>
          <w:tab w:leader="none" w:pos="6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 including those due to the duration and severity of the COVID-19 pandemic.</w:t>
      </w:r>
    </w:p>
    <w:p>
      <w:pPr>
        <w:spacing w:after="0" w:line="184" w:lineRule="exact"/>
        <w:rPr>
          <w:sz w:val="20"/>
          <w:szCs w:val="20"/>
          <w:color w:val="auto"/>
        </w:rPr>
      </w:pPr>
    </w:p>
    <w:p>
      <w:pPr>
        <w:ind w:left="40" w:right="259" w:firstLine="324"/>
        <w:spacing w:after="0" w:line="342" w:lineRule="auto"/>
        <w:rPr>
          <w:sz w:val="20"/>
          <w:szCs w:val="20"/>
          <w:color w:val="auto"/>
        </w:rPr>
      </w:pPr>
      <w:r>
        <w:rPr>
          <w:rFonts w:ascii="Arial" w:cs="Arial" w:eastAsia="Arial" w:hAnsi="Arial"/>
          <w:sz w:val="16"/>
          <w:szCs w:val="16"/>
          <w:color w:val="auto"/>
        </w:rPr>
        <w:t>Stock markets generally have experienced extreme price and volume fluctuations that have often been unrelated or disproportionate to the operating performance of those companies. Further, the semiconductor memory industry is highly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spacing w:after="0" w:line="263" w:lineRule="auto"/>
        <w:rPr>
          <w:sz w:val="20"/>
          <w:szCs w:val="20"/>
          <w:color w:val="auto"/>
        </w:rPr>
      </w:pPr>
      <w:r>
        <w:rPr>
          <w:rFonts w:ascii="Arial" w:cs="Arial" w:eastAsia="Arial" w:hAnsi="Arial"/>
          <w:sz w:val="18"/>
          <w:szCs w:val="18"/>
          <w:color w:val="auto"/>
        </w:rPr>
        <w:t>cyclical and our markets may experience significant cyclical fluctuations in demand as a result of changing economic conditions, budgeting and buying patterns of customers and other factors. Fluctuations in our revenue and operating results could also cause our stock price to decline.</w:t>
      </w:r>
    </w:p>
    <w:p>
      <w:pPr>
        <w:spacing w:after="0" w:line="184" w:lineRule="exact"/>
        <w:rPr>
          <w:sz w:val="20"/>
          <w:szCs w:val="20"/>
          <w:color w:val="auto"/>
        </w:rPr>
      </w:pPr>
    </w:p>
    <w:p>
      <w:pPr>
        <w:ind w:left="40" w:right="379" w:firstLine="324"/>
        <w:spacing w:after="0" w:line="257"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pacing w:after="0" w:line="225" w:lineRule="exact"/>
        <w:rPr>
          <w:sz w:val="20"/>
          <w:szCs w:val="20"/>
          <w:color w:val="auto"/>
        </w:rPr>
      </w:pPr>
    </w:p>
    <w:p>
      <w:pPr>
        <w:ind w:left="40" w:right="179"/>
        <w:spacing w:after="0" w:line="30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6" w:lineRule="exact"/>
        <w:rPr>
          <w:sz w:val="20"/>
          <w:szCs w:val="20"/>
          <w:color w:val="auto"/>
        </w:rPr>
      </w:pPr>
    </w:p>
    <w:p>
      <w:pPr>
        <w:ind w:left="40" w:right="99" w:firstLine="324"/>
        <w:spacing w:after="0" w:line="270"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1" w:lineRule="exact"/>
        <w:rPr>
          <w:sz w:val="20"/>
          <w:szCs w:val="20"/>
          <w:color w:val="auto"/>
        </w:rPr>
      </w:pPr>
    </w:p>
    <w:p>
      <w:pPr>
        <w:ind w:left="620" w:right="139" w:hanging="252"/>
        <w:spacing w:after="0" w:line="263" w:lineRule="auto"/>
        <w:tabs>
          <w:tab w:leader="none" w:pos="6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3" w:lineRule="exact"/>
        <w:rPr>
          <w:rFonts w:ascii="Arial" w:cs="Arial" w:eastAsia="Arial" w:hAnsi="Arial"/>
          <w:sz w:val="18"/>
          <w:szCs w:val="18"/>
          <w:color w:val="auto"/>
        </w:rPr>
      </w:pPr>
    </w:p>
    <w:p>
      <w:pPr>
        <w:ind w:left="620" w:right="179" w:hanging="252"/>
        <w:spacing w:after="0" w:line="257" w:lineRule="auto"/>
        <w:tabs>
          <w:tab w:leader="none" w:pos="6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pursuant to a resolution adopted by a majority of the total number of authorized directors, the chairman of the board or the chief executive officer;</w:t>
      </w:r>
    </w:p>
    <w:p>
      <w:pPr>
        <w:spacing w:after="0" w:line="187" w:lineRule="exact"/>
        <w:rPr>
          <w:rFonts w:ascii="Arial" w:cs="Arial" w:eastAsia="Arial" w:hAnsi="Arial"/>
          <w:sz w:val="18"/>
          <w:szCs w:val="18"/>
          <w:color w:val="auto"/>
        </w:rPr>
      </w:pPr>
    </w:p>
    <w:p>
      <w:pPr>
        <w:ind w:left="620" w:right="539" w:hanging="252"/>
        <w:spacing w:after="0" w:line="277" w:lineRule="auto"/>
        <w:tabs>
          <w:tab w:leader="none" w:pos="6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prohibits cumulative voting in the election of directors, which limits the ability of minority stockholders to elect director candidates;</w:t>
      </w:r>
    </w:p>
    <w:p>
      <w:pPr>
        <w:spacing w:after="0" w:line="170" w:lineRule="exact"/>
        <w:rPr>
          <w:rFonts w:ascii="Arial" w:cs="Arial" w:eastAsia="Arial" w:hAnsi="Arial"/>
          <w:sz w:val="18"/>
          <w:szCs w:val="18"/>
          <w:color w:val="auto"/>
        </w:rPr>
      </w:pPr>
    </w:p>
    <w:p>
      <w:pPr>
        <w:ind w:left="620" w:right="179" w:hanging="252"/>
        <w:spacing w:after="0" w:line="257" w:lineRule="auto"/>
        <w:tabs>
          <w:tab w:leader="none" w:pos="6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amended and restated bylaws, although such bylaws may be amended by a simple majority vote of our board of directors;</w:t>
      </w:r>
    </w:p>
    <w:p>
      <w:pPr>
        <w:spacing w:after="0" w:line="187" w:lineRule="exact"/>
        <w:rPr>
          <w:rFonts w:ascii="Arial" w:cs="Arial" w:eastAsia="Arial" w:hAnsi="Arial"/>
          <w:sz w:val="18"/>
          <w:szCs w:val="18"/>
          <w:color w:val="auto"/>
        </w:rPr>
      </w:pPr>
    </w:p>
    <w:p>
      <w:pPr>
        <w:ind w:left="620" w:right="219" w:hanging="252"/>
        <w:spacing w:after="0" w:line="279" w:lineRule="auto"/>
        <w:tabs>
          <w:tab w:leader="none" w:pos="649"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71" w:lineRule="exact"/>
        <w:rPr>
          <w:rFonts w:ascii="Arial" w:cs="Arial" w:eastAsia="Arial" w:hAnsi="Arial"/>
          <w:sz w:val="17"/>
          <w:szCs w:val="17"/>
          <w:color w:val="auto"/>
        </w:rPr>
      </w:pPr>
    </w:p>
    <w:p>
      <w:pPr>
        <w:ind w:left="620" w:right="159" w:hanging="252"/>
        <w:spacing w:after="0" w:line="286" w:lineRule="auto"/>
        <w:tabs>
          <w:tab w:leader="none" w:pos="649"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65" w:lineRule="exact"/>
        <w:rPr>
          <w:sz w:val="20"/>
          <w:szCs w:val="20"/>
          <w:color w:val="auto"/>
        </w:rPr>
      </w:pPr>
    </w:p>
    <w:p>
      <w:pPr>
        <w:ind w:left="40" w:right="199" w:firstLine="324"/>
        <w:spacing w:after="0" w:line="311"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319"/>
        <w:spacing w:after="0" w:line="277" w:lineRule="auto"/>
        <w:rPr>
          <w:sz w:val="20"/>
          <w:szCs w:val="20"/>
          <w:color w:val="auto"/>
        </w:rPr>
      </w:pPr>
      <w:r>
        <w:rPr>
          <w:rFonts w:ascii="Arial" w:cs="Arial" w:eastAsia="Arial" w:hAnsi="Arial"/>
          <w:sz w:val="18"/>
          <w:szCs w:val="18"/>
          <w:color w:val="auto"/>
        </w:rPr>
        <w:t>acquired in excess of 15% of our outstanding voting stock, unless the merger or combination is approved in a prescribed manner.</w:t>
      </w:r>
    </w:p>
    <w:p>
      <w:pPr>
        <w:spacing w:after="0" w:line="170"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ind w:left="40" w:right="199" w:firstLine="324"/>
        <w:spacing w:after="0" w:line="291"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9" w:lineRule="exact"/>
        <w:rPr>
          <w:rFonts w:ascii="Arial" w:cs="Arial" w:eastAsia="Arial" w:hAnsi="Arial"/>
          <w:sz w:val="18"/>
          <w:szCs w:val="18"/>
          <w:color w:val="auto"/>
        </w:rPr>
      </w:pPr>
    </w:p>
    <w:p>
      <w:pPr>
        <w:ind w:left="620" w:right="199" w:hanging="252"/>
        <w:spacing w:after="0" w:line="250" w:lineRule="auto"/>
        <w:tabs>
          <w:tab w:leader="none" w:pos="6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w:t>
      </w:r>
    </w:p>
    <w:p>
      <w:pPr>
        <w:ind w:left="620" w:right="399" w:hanging="252"/>
        <w:spacing w:after="0" w:line="250" w:lineRule="auto"/>
        <w:tabs>
          <w:tab w:leader="none" w:pos="6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11" w:lineRule="exact"/>
        <w:rPr>
          <w:sz w:val="20"/>
          <w:szCs w:val="20"/>
          <w:color w:val="auto"/>
        </w:rPr>
      </w:pPr>
    </w:p>
    <w:p>
      <w:pPr>
        <w:ind w:left="40" w:right="159" w:firstLine="324"/>
        <w:spacing w:after="0" w:line="287" w:lineRule="auto"/>
        <w:rPr>
          <w:sz w:val="20"/>
          <w:szCs w:val="20"/>
          <w:color w:val="auto"/>
        </w:rPr>
      </w:pPr>
      <w:r>
        <w:rPr>
          <w:rFonts w:ascii="Arial" w:cs="Arial" w:eastAsia="Arial" w:hAnsi="Arial"/>
          <w:sz w:val="16"/>
          <w:szCs w:val="16"/>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w:t>
      </w:r>
      <w:r>
        <w:rPr>
          <w:rFonts w:ascii="Arial" w:cs="Arial" w:eastAsia="Arial" w:hAnsi="Arial"/>
          <w:sz w:val="16"/>
          <w:szCs w:val="16"/>
          <w:color w:val="212529"/>
        </w:rPr>
        <w:t>that, unless we consent in</w:t>
      </w:r>
      <w:r>
        <w:rPr>
          <w:rFonts w:ascii="Arial" w:cs="Arial" w:eastAsia="Arial" w:hAnsi="Arial"/>
          <w:sz w:val="16"/>
          <w:szCs w:val="16"/>
          <w:color w:val="auto"/>
        </w:rPr>
        <w:t xml:space="preserve"> </w:t>
      </w:r>
      <w:r>
        <w:rPr>
          <w:rFonts w:ascii="Arial" w:cs="Arial" w:eastAsia="Arial" w:hAnsi="Arial"/>
          <w:sz w:val="16"/>
          <w:szCs w:val="16"/>
          <w:color w:val="212529"/>
        </w:rPr>
        <w:t>writing to the selection of an alternative forum,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68" w:lineRule="exact"/>
        <w:rPr>
          <w:sz w:val="20"/>
          <w:szCs w:val="20"/>
          <w:color w:val="auto"/>
        </w:rPr>
      </w:pPr>
    </w:p>
    <w:p>
      <w:pPr>
        <w:ind w:left="40" w:right="139" w:firstLine="324"/>
        <w:spacing w:after="0" w:line="296" w:lineRule="auto"/>
        <w:rPr>
          <w:sz w:val="20"/>
          <w:szCs w:val="20"/>
          <w:color w:val="auto"/>
        </w:rPr>
      </w:pPr>
      <w:r>
        <w:rPr>
          <w:rFonts w:ascii="Arial" w:cs="Arial" w:eastAsia="Arial" w:hAnsi="Arial"/>
          <w:sz w:val="16"/>
          <w:szCs w:val="16"/>
          <w:color w:val="212529"/>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w:t>
      </w:r>
      <w:r>
        <w:rPr>
          <w:rFonts w:ascii="Arial" w:cs="Arial" w:eastAsia="Arial" w:hAnsi="Arial"/>
          <w:sz w:val="16"/>
          <w:szCs w:val="16"/>
          <w:color w:val="000000"/>
        </w:rPr>
        <w:t>further significant</w:t>
      </w:r>
      <w:r>
        <w:rPr>
          <w:rFonts w:ascii="Arial" w:cs="Arial" w:eastAsia="Arial" w:hAnsi="Arial"/>
          <w:sz w:val="16"/>
          <w:szCs w:val="16"/>
          <w:color w:val="212529"/>
        </w:rPr>
        <w:t xml:space="preserve"> additional costs associated with resolving the dispute in other jurisdictions, </w:t>
      </w:r>
      <w:r>
        <w:rPr>
          <w:rFonts w:ascii="Arial" w:cs="Arial" w:eastAsia="Arial" w:hAnsi="Arial"/>
          <w:sz w:val="16"/>
          <w:szCs w:val="16"/>
          <w:color w:val="000000"/>
        </w:rPr>
        <w:t>all of</w:t>
      </w:r>
      <w:r>
        <w:rPr>
          <w:rFonts w:ascii="Arial" w:cs="Arial" w:eastAsia="Arial" w:hAnsi="Arial"/>
          <w:sz w:val="16"/>
          <w:szCs w:val="16"/>
          <w:color w:val="212529"/>
        </w:rPr>
        <w:t xml:space="preserve"> which could seriously harm our business.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12529"/>
        </w:rPr>
        <w:t>General Risk Factors</w:t>
      </w:r>
    </w:p>
    <w:p>
      <w:pPr>
        <w:spacing w:after="0" w:line="229" w:lineRule="exact"/>
        <w:rPr>
          <w:sz w:val="20"/>
          <w:szCs w:val="20"/>
          <w:color w:val="auto"/>
        </w:rPr>
      </w:pPr>
    </w:p>
    <w:p>
      <w:pPr>
        <w:ind w:left="40" w:right="499"/>
        <w:spacing w:after="0" w:line="277" w:lineRule="auto"/>
        <w:rPr>
          <w:sz w:val="20"/>
          <w:szCs w:val="20"/>
          <w:color w:val="auto"/>
        </w:rPr>
      </w:pPr>
      <w:r>
        <w:rPr>
          <w:rFonts w:ascii="Arial" w:cs="Arial" w:eastAsia="Arial" w:hAnsi="Arial"/>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70" w:lineRule="exact"/>
        <w:rPr>
          <w:sz w:val="20"/>
          <w:szCs w:val="20"/>
          <w:color w:val="auto"/>
        </w:rPr>
      </w:pPr>
    </w:p>
    <w:p>
      <w:pPr>
        <w:ind w:left="40" w:right="219" w:firstLine="324"/>
        <w:spacing w:after="0" w:line="254" w:lineRule="auto"/>
        <w:rPr>
          <w:sz w:val="20"/>
          <w:szCs w:val="20"/>
          <w:color w:val="auto"/>
        </w:rPr>
      </w:pPr>
      <w:r>
        <w:rPr>
          <w:rFonts w:ascii="Arial" w:cs="Arial" w:eastAsia="Arial" w:hAnsi="Arial"/>
          <w:sz w:val="18"/>
          <w:szCs w:val="18"/>
          <w:color w:val="auto"/>
        </w:rPr>
        <w:t>We have significant customer sales both in the United States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slowdowns in their business, serious financial difficulties or cease operations, including as a result of the COVID-19 pandemic, our business will be adversely affected. In addition, the adverse impact of an unfavorable economy may adversely impact consumer spending, which may adversely impact our customers’ spending and demand for our products.</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business may be adversely impacted by natural disasters and other catastrophic events.</w:t>
      </w:r>
    </w:p>
    <w:p>
      <w:pPr>
        <w:spacing w:after="0" w:line="225" w:lineRule="exact"/>
        <w:rPr>
          <w:sz w:val="20"/>
          <w:szCs w:val="20"/>
          <w:color w:val="auto"/>
        </w:rPr>
      </w:pPr>
    </w:p>
    <w:p>
      <w:pPr>
        <w:ind w:left="40" w:right="339" w:firstLine="324"/>
        <w:spacing w:after="0" w:line="301" w:lineRule="auto"/>
        <w:rPr>
          <w:sz w:val="20"/>
          <w:szCs w:val="20"/>
          <w:color w:val="auto"/>
        </w:rPr>
      </w:pPr>
      <w:r>
        <w:rPr>
          <w:rFonts w:ascii="Arial" w:cs="Arial" w:eastAsia="Arial" w:hAnsi="Arial"/>
          <w:sz w:val="16"/>
          <w:szCs w:val="16"/>
          <w:color w:val="auto"/>
        </w:rPr>
        <w:t>Our operations and business, and those of our manufacturing partners, customers, distributors or suppliers, can be disrupted by natural disasters; industrial accidents; public health issues, such as the COVID-19 pandemic; cybersecurity incidents; interruptions of service from utilities, transportation, telecommunications, or IT systems providers; manufacturing equipment failures; or other catastrophic events. For example, some of our foundries and suppliers’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spacing w:after="0" w:line="255" w:lineRule="auto"/>
        <w:rPr>
          <w:sz w:val="20"/>
          <w:szCs w:val="20"/>
          <w:color w:val="auto"/>
        </w:rPr>
      </w:pPr>
      <w:r>
        <w:rPr>
          <w:rFonts w:ascii="Arial" w:cs="Arial" w:eastAsia="Arial" w:hAnsi="Arial"/>
          <w:sz w:val="18"/>
          <w:szCs w:val="18"/>
          <w:color w:val="auto"/>
        </w:rPr>
        <w:t>facilities in Asia are located near known earthquake fault zones and, therefore, are vulnerable to damage from earthquakes. We are also vulnerable to damage from other types of disasters, such as power loss, fire, floods and similar events. If any such natural disasters or other catastrophic events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20" w:type="dxa"/>
            <w:vAlign w:val="bottom"/>
            <w:gridSpan w:val="6"/>
          </w:tcPr>
          <w:p>
            <w:pPr>
              <w:spacing w:after="0"/>
              <w:rPr>
                <w:sz w:val="20"/>
                <w:szCs w:val="20"/>
                <w:color w:val="auto"/>
              </w:rPr>
            </w:pPr>
            <w:r>
              <w:rPr>
                <w:rFonts w:ascii="Arial" w:cs="Arial" w:eastAsia="Arial" w:hAnsi="Arial"/>
                <w:sz w:val="14"/>
                <w:szCs w:val="14"/>
                <w:b w:val="1"/>
                <w:bCs w:val="1"/>
                <w:color w:val="auto"/>
              </w:rPr>
              <w:t>Incorporation By Reference</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4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20" w:type="dxa"/>
            <w:vAlign w:val="bottom"/>
            <w:gridSpan w:val="13"/>
            <w:vMerge w:val="restart"/>
          </w:tcPr>
          <w:p>
            <w:pPr>
              <w:jc w:val="right"/>
              <w:ind w:right="1520"/>
              <w:spacing w:after="0"/>
              <w:rPr>
                <w:sz w:val="20"/>
                <w:szCs w:val="20"/>
                <w:color w:val="auto"/>
              </w:rPr>
            </w:pPr>
            <w:r>
              <w:rPr>
                <w:rFonts w:ascii="Arial" w:cs="Arial" w:eastAsia="Arial" w:hAnsi="Arial"/>
                <w:sz w:val="14"/>
                <w:szCs w:val="14"/>
                <w:b w:val="1"/>
                <w:bCs w:val="1"/>
                <w:color w:val="auto"/>
              </w:rPr>
              <w:t>Description</w:t>
            </w:r>
          </w:p>
        </w:tc>
        <w:tc>
          <w:tcPr>
            <w:tcW w:w="460" w:type="dxa"/>
            <w:vAlign w:val="bottom"/>
            <w:tcBorders>
              <w:top w:val="single" w:sz="8" w:color="auto"/>
            </w:tcBorders>
            <w:vMerge w:val="restart"/>
          </w:tcPr>
          <w:p>
            <w:pPr>
              <w:jc w:val="center"/>
              <w:ind w:left="34"/>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SEC File No.</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140" w:type="dxa"/>
            <w:vAlign w:val="bottom"/>
          </w:tcPr>
          <w:p>
            <w:pPr>
              <w:spacing w:after="0"/>
              <w:rPr>
                <w:sz w:val="10"/>
                <w:szCs w:val="10"/>
                <w:color w:val="auto"/>
              </w:rPr>
            </w:pPr>
          </w:p>
        </w:tc>
        <w:tc>
          <w:tcPr>
            <w:tcW w:w="15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1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Reference</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4"/>
                <w:szCs w:val="14"/>
                <w:color w:val="auto"/>
              </w:rPr>
            </w:pPr>
          </w:p>
        </w:tc>
        <w:tc>
          <w:tcPr>
            <w:tcW w:w="3460" w:type="dxa"/>
            <w:vAlign w:val="bottom"/>
            <w:tcBorders>
              <w:top w:val="single" w:sz="8" w:color="auto"/>
            </w:tcBorders>
            <w:gridSpan w:val="14"/>
          </w:tcPr>
          <w:p>
            <w:pPr>
              <w:spacing w:after="0" w:line="169" w:lineRule="exact"/>
              <w:rPr>
                <w:rFonts w:ascii="Arial" w:cs="Arial" w:eastAsia="Arial" w:hAnsi="Arial"/>
                <w:sz w:val="18"/>
                <w:szCs w:val="18"/>
                <w:color w:val="0000EE"/>
              </w:rPr>
            </w:pPr>
            <w:hyperlink r:id="rId60">
              <w:r>
                <w:rPr>
                  <w:rFonts w:ascii="Arial" w:cs="Arial" w:eastAsia="Arial" w:hAnsi="Arial"/>
                  <w:sz w:val="18"/>
                  <w:szCs w:val="18"/>
                  <w:color w:val="0000EE"/>
                </w:rPr>
                <w:t>Amended and Restated Certificate of</w:t>
              </w:r>
            </w:hyperlink>
          </w:p>
        </w:tc>
        <w:tc>
          <w:tcPr>
            <w:tcW w:w="14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Incorporation</w:t>
              </w:r>
            </w:hyperlink>
          </w:p>
        </w:tc>
        <w:tc>
          <w:tcPr>
            <w:tcW w:w="1680" w:type="dxa"/>
            <w:vAlign w:val="bottom"/>
            <w:tcBorders>
              <w:top w:val="single" w:sz="8" w:color="0000EE"/>
            </w:tcBorders>
            <w:gridSpan w:val="5"/>
          </w:tcPr>
          <w:p>
            <w:pPr>
              <w:spacing w:after="0"/>
              <w:rPr>
                <w:sz w:val="17"/>
                <w:szCs w:val="17"/>
                <w:color w:val="auto"/>
              </w:rPr>
            </w:pPr>
          </w:p>
        </w:tc>
        <w:tc>
          <w:tcPr>
            <w:tcW w:w="940" w:type="dxa"/>
            <w:vAlign w:val="bottom"/>
            <w:gridSpan w:val="8"/>
          </w:tcPr>
          <w:p>
            <w:pPr>
              <w:spacing w:after="0"/>
              <w:rPr>
                <w:sz w:val="17"/>
                <w:szCs w:val="17"/>
                <w:color w:val="auto"/>
              </w:rPr>
            </w:pPr>
          </w:p>
        </w:tc>
        <w:tc>
          <w:tcPr>
            <w:tcW w:w="460" w:type="dxa"/>
            <w:vAlign w:val="bottom"/>
          </w:tcPr>
          <w:p>
            <w:pPr>
              <w:jc w:val="center"/>
              <w:ind w:left="14"/>
              <w:spacing w:after="0" w:line="196" w:lineRule="exact"/>
              <w:rPr>
                <w:sz w:val="20"/>
                <w:szCs w:val="20"/>
                <w:color w:val="auto"/>
              </w:rPr>
            </w:pPr>
            <w:r>
              <w:rPr>
                <w:rFonts w:ascii="Arial" w:cs="Arial" w:eastAsia="Arial" w:hAnsi="Arial"/>
                <w:sz w:val="18"/>
                <w:szCs w:val="18"/>
                <w:color w:val="auto"/>
                <w:w w:val="99"/>
              </w:rPr>
              <w:t>8-K</w:t>
            </w:r>
          </w:p>
        </w:tc>
        <w:tc>
          <w:tcPr>
            <w:tcW w:w="1240" w:type="dxa"/>
            <w:vAlign w:val="bottom"/>
            <w:gridSpan w:val="3"/>
          </w:tcPr>
          <w:p>
            <w:pPr>
              <w:ind w:left="360"/>
              <w:spacing w:after="0" w:line="196" w:lineRule="exact"/>
              <w:rPr>
                <w:sz w:val="20"/>
                <w:szCs w:val="20"/>
                <w:color w:val="auto"/>
              </w:rPr>
            </w:pPr>
            <w:r>
              <w:rPr>
                <w:rFonts w:ascii="Arial" w:cs="Arial" w:eastAsia="Arial" w:hAnsi="Arial"/>
                <w:sz w:val="18"/>
                <w:szCs w:val="18"/>
                <w:color w:val="auto"/>
                <w:w w:val="99"/>
              </w:rPr>
              <w:t>001-37900</w:t>
            </w:r>
          </w:p>
        </w:tc>
        <w:tc>
          <w:tcPr>
            <w:tcW w:w="14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5"/>
              </w:rPr>
              <w:t>3.1</w:t>
            </w:r>
          </w:p>
        </w:tc>
        <w:tc>
          <w:tcPr>
            <w:tcW w:w="14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Arial" w:cs="Arial" w:eastAsia="Arial" w:hAnsi="Arial"/>
                <w:sz w:val="18"/>
                <w:szCs w:val="18"/>
                <w:color w:val="auto"/>
                <w:w w:val="90"/>
              </w:rPr>
              <w:t>10/13/2016</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3600" w:type="dxa"/>
            <w:vAlign w:val="bottom"/>
            <w:gridSpan w:val="15"/>
          </w:tcPr>
          <w:p>
            <w:pPr>
              <w:spacing w:after="0"/>
              <w:rPr>
                <w:rFonts w:ascii="Arial" w:cs="Arial" w:eastAsia="Arial" w:hAnsi="Arial"/>
                <w:sz w:val="18"/>
                <w:szCs w:val="18"/>
                <w:color w:val="0000EE"/>
              </w:rPr>
            </w:pPr>
            <w:hyperlink r:id="rId61">
              <w:r>
                <w:rPr>
                  <w:rFonts w:ascii="Arial" w:cs="Arial" w:eastAsia="Arial" w:hAnsi="Arial"/>
                  <w:sz w:val="18"/>
                  <w:szCs w:val="18"/>
                  <w:color w:val="0000EE"/>
                </w:rPr>
                <w:t xml:space="preserve">Amendment </w:t>
              </w:r>
              <w:r>
                <w:rPr>
                  <w:rFonts w:ascii="Arial" w:cs="Arial" w:eastAsia="Arial" w:hAnsi="Arial"/>
                  <w:sz w:val="18"/>
                  <w:szCs w:val="18"/>
                  <w:color w:val="0000EE"/>
                  <w:highlight w:val="white"/>
                </w:rPr>
                <w:t>to Amended and Restated</w:t>
              </w:r>
            </w:hyperlink>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Certificate of Incorporation</w:t>
              </w:r>
            </w:hyperlink>
          </w:p>
        </w:tc>
        <w:tc>
          <w:tcPr>
            <w:tcW w:w="800" w:type="dxa"/>
            <w:vAlign w:val="bottom"/>
            <w:tcBorders>
              <w:top w:val="single" w:sz="8" w:color="0000EE"/>
            </w:tcBorders>
            <w:gridSpan w:val="4"/>
          </w:tcPr>
          <w:p>
            <w:pPr>
              <w:spacing w:after="0"/>
              <w:rPr>
                <w:sz w:val="17"/>
                <w:szCs w:val="17"/>
                <w:color w:val="auto"/>
              </w:rPr>
            </w:pPr>
          </w:p>
        </w:tc>
        <w:tc>
          <w:tcPr>
            <w:tcW w:w="820" w:type="dxa"/>
            <w:vAlign w:val="bottom"/>
            <w:gridSpan w:val="6"/>
          </w:tcPr>
          <w:p>
            <w:pPr>
              <w:spacing w:after="0"/>
              <w:rPr>
                <w:sz w:val="17"/>
                <w:szCs w:val="17"/>
                <w:color w:val="auto"/>
              </w:rPr>
            </w:pPr>
          </w:p>
        </w:tc>
        <w:tc>
          <w:tcPr>
            <w:tcW w:w="460" w:type="dxa"/>
            <w:vAlign w:val="bottom"/>
          </w:tcPr>
          <w:p>
            <w:pPr>
              <w:jc w:val="center"/>
              <w:ind w:left="14"/>
              <w:spacing w:after="0" w:line="196" w:lineRule="exact"/>
              <w:rPr>
                <w:sz w:val="20"/>
                <w:szCs w:val="20"/>
                <w:color w:val="auto"/>
              </w:rPr>
            </w:pPr>
            <w:r>
              <w:rPr>
                <w:rFonts w:ascii="Arial" w:cs="Arial" w:eastAsia="Arial" w:hAnsi="Arial"/>
                <w:sz w:val="18"/>
                <w:szCs w:val="18"/>
                <w:color w:val="auto"/>
                <w:w w:val="99"/>
              </w:rPr>
              <w:t>8-K</w:t>
            </w:r>
          </w:p>
        </w:tc>
        <w:tc>
          <w:tcPr>
            <w:tcW w:w="1240" w:type="dxa"/>
            <w:vAlign w:val="bottom"/>
            <w:gridSpan w:val="3"/>
          </w:tcPr>
          <w:p>
            <w:pPr>
              <w:ind w:left="360"/>
              <w:spacing w:after="0" w:line="196" w:lineRule="exact"/>
              <w:rPr>
                <w:sz w:val="20"/>
                <w:szCs w:val="20"/>
                <w:color w:val="auto"/>
              </w:rPr>
            </w:pPr>
            <w:r>
              <w:rPr>
                <w:rFonts w:ascii="Arial" w:cs="Arial" w:eastAsia="Arial" w:hAnsi="Arial"/>
                <w:sz w:val="18"/>
                <w:szCs w:val="18"/>
                <w:color w:val="auto"/>
                <w:w w:val="99"/>
              </w:rPr>
              <w:t>001-37900</w:t>
            </w:r>
          </w:p>
        </w:tc>
        <w:tc>
          <w:tcPr>
            <w:tcW w:w="14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5"/>
              </w:rPr>
              <w:t>3.1</w:t>
            </w:r>
          </w:p>
        </w:tc>
        <w:tc>
          <w:tcPr>
            <w:tcW w:w="14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Arial" w:cs="Arial" w:eastAsia="Arial" w:hAnsi="Arial"/>
                <w:sz w:val="18"/>
                <w:szCs w:val="18"/>
                <w:color w:val="auto"/>
                <w:w w:val="92"/>
              </w:rPr>
              <w:t>5/22/2019</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3600" w:type="dxa"/>
            <w:vAlign w:val="bottom"/>
            <w:gridSpan w:val="15"/>
          </w:tcPr>
          <w:p>
            <w:pPr>
              <w:spacing w:after="0"/>
              <w:rPr>
                <w:rFonts w:ascii="Arial" w:cs="Arial" w:eastAsia="Arial" w:hAnsi="Arial"/>
                <w:sz w:val="18"/>
                <w:szCs w:val="18"/>
                <w:color w:val="0000EE"/>
              </w:rPr>
            </w:pPr>
            <w:hyperlink r:id="rId62">
              <w:r>
                <w:rPr>
                  <w:rFonts w:ascii="Arial" w:cs="Arial" w:eastAsia="Arial" w:hAnsi="Arial"/>
                  <w:sz w:val="18"/>
                  <w:szCs w:val="18"/>
                  <w:color w:val="0000EE"/>
                </w:rPr>
                <w:t>Amendment to Amended and Restated</w:t>
              </w:r>
            </w:hyperlink>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62">
              <w:r>
                <w:rPr>
                  <w:rFonts w:ascii="Arial" w:cs="Arial" w:eastAsia="Arial" w:hAnsi="Arial"/>
                  <w:sz w:val="18"/>
                  <w:szCs w:val="18"/>
                  <w:color w:val="0000EE"/>
                  <w:w w:val="92"/>
                </w:rPr>
                <w:t>Certificate of Incorporation</w:t>
              </w:r>
            </w:hyperlink>
          </w:p>
        </w:tc>
        <w:tc>
          <w:tcPr>
            <w:tcW w:w="800" w:type="dxa"/>
            <w:vAlign w:val="bottom"/>
            <w:tcBorders>
              <w:top w:val="single" w:sz="8" w:color="0000EE"/>
            </w:tcBorders>
            <w:gridSpan w:val="4"/>
          </w:tcPr>
          <w:p>
            <w:pPr>
              <w:spacing w:after="0"/>
              <w:rPr>
                <w:sz w:val="17"/>
                <w:szCs w:val="17"/>
                <w:color w:val="auto"/>
              </w:rPr>
            </w:pPr>
          </w:p>
        </w:tc>
        <w:tc>
          <w:tcPr>
            <w:tcW w:w="820" w:type="dxa"/>
            <w:vAlign w:val="bottom"/>
            <w:gridSpan w:val="6"/>
          </w:tcPr>
          <w:p>
            <w:pPr>
              <w:spacing w:after="0"/>
              <w:rPr>
                <w:sz w:val="17"/>
                <w:szCs w:val="17"/>
                <w:color w:val="auto"/>
              </w:rPr>
            </w:pPr>
          </w:p>
        </w:tc>
        <w:tc>
          <w:tcPr>
            <w:tcW w:w="460" w:type="dxa"/>
            <w:vAlign w:val="bottom"/>
          </w:tcPr>
          <w:p>
            <w:pPr>
              <w:jc w:val="center"/>
              <w:ind w:left="14"/>
              <w:spacing w:after="0" w:line="196" w:lineRule="exact"/>
              <w:rPr>
                <w:sz w:val="20"/>
                <w:szCs w:val="20"/>
                <w:color w:val="auto"/>
              </w:rPr>
            </w:pPr>
            <w:r>
              <w:rPr>
                <w:rFonts w:ascii="Arial" w:cs="Arial" w:eastAsia="Arial" w:hAnsi="Arial"/>
                <w:sz w:val="18"/>
                <w:szCs w:val="18"/>
                <w:color w:val="auto"/>
                <w:w w:val="99"/>
              </w:rPr>
              <w:t>8-K</w:t>
            </w:r>
          </w:p>
        </w:tc>
        <w:tc>
          <w:tcPr>
            <w:tcW w:w="1240" w:type="dxa"/>
            <w:vAlign w:val="bottom"/>
            <w:gridSpan w:val="3"/>
          </w:tcPr>
          <w:p>
            <w:pPr>
              <w:ind w:left="360"/>
              <w:spacing w:after="0" w:line="196" w:lineRule="exact"/>
              <w:rPr>
                <w:sz w:val="20"/>
                <w:szCs w:val="20"/>
                <w:color w:val="auto"/>
              </w:rPr>
            </w:pPr>
            <w:r>
              <w:rPr>
                <w:rFonts w:ascii="Arial" w:cs="Arial" w:eastAsia="Arial" w:hAnsi="Arial"/>
                <w:sz w:val="18"/>
                <w:szCs w:val="18"/>
                <w:color w:val="auto"/>
                <w:w w:val="99"/>
              </w:rPr>
              <w:t>001-37900</w:t>
            </w:r>
          </w:p>
        </w:tc>
        <w:tc>
          <w:tcPr>
            <w:tcW w:w="14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5"/>
              </w:rPr>
              <w:t>3.1</w:t>
            </w:r>
          </w:p>
        </w:tc>
        <w:tc>
          <w:tcPr>
            <w:tcW w:w="14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Arial" w:cs="Arial" w:eastAsia="Arial" w:hAnsi="Arial"/>
                <w:sz w:val="18"/>
                <w:szCs w:val="18"/>
                <w:color w:val="auto"/>
                <w:w w:val="92"/>
              </w:rPr>
              <w:t>5/27/2020</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3600" w:type="dxa"/>
            <w:vAlign w:val="bottom"/>
            <w:gridSpan w:val="15"/>
          </w:tcPr>
          <w:p>
            <w:pPr>
              <w:spacing w:after="0"/>
              <w:rPr>
                <w:rFonts w:ascii="Arial" w:cs="Arial" w:eastAsia="Arial" w:hAnsi="Arial"/>
                <w:sz w:val="18"/>
                <w:szCs w:val="18"/>
                <w:color w:val="0000EE"/>
              </w:rPr>
            </w:pPr>
            <w:hyperlink r:id="rId63">
              <w:r>
                <w:rPr>
                  <w:rFonts w:ascii="Arial" w:cs="Arial" w:eastAsia="Arial" w:hAnsi="Arial"/>
                  <w:sz w:val="18"/>
                  <w:szCs w:val="18"/>
                  <w:color w:val="0000EE"/>
                </w:rPr>
                <w:t>Amended and Restated Bylaws</w:t>
              </w:r>
            </w:hyperlink>
          </w:p>
        </w:tc>
        <w:tc>
          <w:tcPr>
            <w:tcW w:w="460" w:type="dxa"/>
            <w:vAlign w:val="bottom"/>
          </w:tcPr>
          <w:p>
            <w:pPr>
              <w:jc w:val="center"/>
              <w:ind w:left="14"/>
              <w:spacing w:after="0"/>
              <w:rPr>
                <w:sz w:val="20"/>
                <w:szCs w:val="20"/>
                <w:color w:val="auto"/>
              </w:rPr>
            </w:pPr>
            <w:r>
              <w:rPr>
                <w:rFonts w:ascii="Arial" w:cs="Arial" w:eastAsia="Arial" w:hAnsi="Arial"/>
                <w:sz w:val="18"/>
                <w:szCs w:val="18"/>
                <w:color w:val="auto"/>
                <w:w w:val="99"/>
              </w:rPr>
              <w:t>8-K</w:t>
            </w:r>
          </w:p>
        </w:tc>
        <w:tc>
          <w:tcPr>
            <w:tcW w:w="1240" w:type="dxa"/>
            <w:vAlign w:val="bottom"/>
            <w:gridSpan w:val="3"/>
          </w:tcPr>
          <w:p>
            <w:pPr>
              <w:ind w:left="360"/>
              <w:spacing w:after="0"/>
              <w:rPr>
                <w:sz w:val="20"/>
                <w:szCs w:val="20"/>
                <w:color w:val="auto"/>
              </w:rPr>
            </w:pPr>
            <w:r>
              <w:rPr>
                <w:rFonts w:ascii="Arial" w:cs="Arial" w:eastAsia="Arial" w:hAnsi="Arial"/>
                <w:sz w:val="18"/>
                <w:szCs w:val="18"/>
                <w:color w:val="auto"/>
                <w:w w:val="99"/>
              </w:rPr>
              <w:t>001-37900</w:t>
            </w:r>
          </w:p>
        </w:tc>
        <w:tc>
          <w:tcPr>
            <w:tcW w:w="1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3600" w:type="dxa"/>
            <w:vAlign w:val="bottom"/>
            <w:gridSpan w:val="15"/>
          </w:tcPr>
          <w:p>
            <w:pPr>
              <w:spacing w:after="0"/>
              <w:rPr>
                <w:rFonts w:ascii="Arial" w:cs="Arial" w:eastAsia="Arial" w:hAnsi="Arial"/>
                <w:sz w:val="18"/>
                <w:szCs w:val="18"/>
                <w:color w:val="0000EE"/>
                <w:w w:val="96"/>
              </w:rPr>
            </w:pPr>
            <w:hyperlink w:anchor="page45">
              <w:r>
                <w:rPr>
                  <w:rFonts w:ascii="Arial" w:cs="Arial" w:eastAsia="Arial" w:hAnsi="Arial"/>
                  <w:sz w:val="18"/>
                  <w:szCs w:val="18"/>
                  <w:color w:val="0000EE"/>
                  <w:w w:val="96"/>
                </w:rPr>
                <w:t>Separation Agreement, dated April 7, 2021, by</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and between the registrant and Daniel</w:t>
              </w:r>
            </w:hyperlink>
          </w:p>
        </w:tc>
        <w:tc>
          <w:tcPr>
            <w:tcW w:w="640" w:type="dxa"/>
            <w:vAlign w:val="bottom"/>
            <w:tcBorders>
              <w:top w:val="single" w:sz="8" w:color="0000EE"/>
            </w:tcBorders>
            <w:gridSpan w:val="5"/>
          </w:tcPr>
          <w:p>
            <w:pPr>
              <w:spacing w:after="0"/>
              <w:rPr>
                <w:sz w:val="17"/>
                <w:szCs w:val="17"/>
                <w:color w:val="auto"/>
              </w:rPr>
            </w:pPr>
          </w:p>
        </w:tc>
        <w:tc>
          <w:tcPr>
            <w:tcW w:w="24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1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Berenbaum</w:t>
              </w:r>
            </w:hyperlink>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312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Certification of Principal Executive Officer</w:t>
              </w:r>
            </w:hyperlink>
          </w:p>
        </w:tc>
        <w:tc>
          <w:tcPr>
            <w:tcW w:w="48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1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Pursuant to Rules 13a-14(a) and 15d-14(a)</w:t>
              </w:r>
            </w:hyperlink>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under the Exchange Act</w:t>
              </w:r>
            </w:hyperlink>
          </w:p>
        </w:tc>
        <w:tc>
          <w:tcPr>
            <w:tcW w:w="1320" w:type="dxa"/>
            <w:vAlign w:val="bottom"/>
            <w:tcBorders>
              <w:top w:val="single" w:sz="8" w:color="0000EE"/>
            </w:tcBorders>
            <w:gridSpan w:val="6"/>
          </w:tcPr>
          <w:p>
            <w:pPr>
              <w:spacing w:after="0"/>
              <w:rPr>
                <w:sz w:val="17"/>
                <w:szCs w:val="17"/>
                <w:color w:val="auto"/>
              </w:rPr>
            </w:pPr>
          </w:p>
        </w:tc>
        <w:tc>
          <w:tcPr>
            <w:tcW w:w="54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308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52">
              <w:r>
                <w:rPr>
                  <w:rFonts w:ascii="Arial" w:cs="Arial" w:eastAsia="Arial" w:hAnsi="Arial"/>
                  <w:sz w:val="18"/>
                  <w:szCs w:val="18"/>
                  <w:color w:val="0000EE"/>
                  <w:w w:val="94"/>
                </w:rPr>
                <w:t>Certification of Principal Financial Officer</w:t>
              </w:r>
            </w:hyperlink>
          </w:p>
        </w:tc>
        <w:tc>
          <w:tcPr>
            <w:tcW w:w="520" w:type="dxa"/>
            <w:vAlign w:val="bottom"/>
            <w:gridSpan w:val="4"/>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1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Pursuant to Rules 13a-14(a) and 15d-14(a)</w:t>
              </w:r>
            </w:hyperlink>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under the Exchange Act</w:t>
              </w:r>
            </w:hyperlink>
          </w:p>
        </w:tc>
        <w:tc>
          <w:tcPr>
            <w:tcW w:w="54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Borders>
              <w:top w:val="single" w:sz="8" w:color="0000EE"/>
            </w:tcBorders>
            <w:gridSpan w:val="3"/>
          </w:tcPr>
          <w:p>
            <w:pPr>
              <w:spacing w:after="0"/>
              <w:rPr>
                <w:sz w:val="24"/>
                <w:szCs w:val="24"/>
                <w:color w:val="auto"/>
              </w:rPr>
            </w:pPr>
          </w:p>
        </w:tc>
        <w:tc>
          <w:tcPr>
            <w:tcW w:w="1880" w:type="dxa"/>
            <w:vAlign w:val="bottom"/>
            <w:gridSpan w:val="12"/>
          </w:tcPr>
          <w:p>
            <w:pPr>
              <w:jc w:val="right"/>
              <w:ind w:right="100"/>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344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53">
              <w:r>
                <w:rPr>
                  <w:rFonts w:ascii="Arial" w:cs="Arial" w:eastAsia="Arial" w:hAnsi="Arial"/>
                  <w:sz w:val="18"/>
                  <w:szCs w:val="18"/>
                  <w:color w:val="0000EE"/>
                  <w:w w:val="93"/>
                </w:rPr>
                <w:t>Certification of Principal Executive Officer and</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02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Principal Financial Officer Pursuant to 18</w:t>
              </w:r>
            </w:hyperlink>
          </w:p>
        </w:tc>
        <w:tc>
          <w:tcPr>
            <w:tcW w:w="44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460" w:type="dxa"/>
            <w:vAlign w:val="bottom"/>
            <w:gridSpan w:val="5"/>
          </w:tcPr>
          <w:p>
            <w:pPr>
              <w:spacing w:after="0" w:line="196"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U.S.C. Section 1350, as Adopted Pursuant to</w:t>
              </w:r>
            </w:hyperlink>
          </w:p>
        </w:tc>
      </w:tr>
      <w:tr>
        <w:trPr>
          <w:trHeight w:val="20"/>
        </w:trPr>
        <w:tc>
          <w:tcPr>
            <w:tcW w:w="1020" w:type="dxa"/>
            <w:vAlign w:val="bottom"/>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4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Section 906 of the Sarbanes-Oxley Act of 2002</w:t>
              </w:r>
            </w:hyperlink>
          </w:p>
        </w:tc>
        <w:tc>
          <w:tcPr>
            <w:tcW w:w="40" w:type="dxa"/>
            <w:vAlign w:val="bottom"/>
            <w:gridSpan w:val="2"/>
          </w:tcPr>
          <w:p>
            <w:pPr>
              <w:spacing w:after="0"/>
              <w:rPr>
                <w:sz w:val="17"/>
                <w:szCs w:val="17"/>
                <w:color w:val="auto"/>
              </w:rPr>
            </w:pPr>
          </w:p>
        </w:tc>
      </w:tr>
      <w:tr>
        <w:trPr>
          <w:trHeight w:val="236"/>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3460" w:type="dxa"/>
            <w:vAlign w:val="bottom"/>
            <w:gridSpan w:val="5"/>
          </w:tcPr>
          <w:p>
            <w:pPr>
              <w:spacing w:after="0"/>
              <w:rPr>
                <w:sz w:val="20"/>
                <w:szCs w:val="20"/>
                <w:color w:val="auto"/>
              </w:rPr>
            </w:pPr>
            <w:r>
              <w:rPr>
                <w:rFonts w:ascii="Arial" w:cs="Arial" w:eastAsia="Arial" w:hAnsi="Arial"/>
                <w:sz w:val="18"/>
                <w:szCs w:val="18"/>
                <w:color w:val="auto"/>
                <w:w w:val="93"/>
              </w:rPr>
              <w:t>Inline XBRL Instance Document - the instance</w:t>
            </w:r>
          </w:p>
        </w:tc>
      </w:tr>
      <w:tr>
        <w:trPr>
          <w:trHeight w:val="216"/>
        </w:trPr>
        <w:tc>
          <w:tcPr>
            <w:tcW w:w="1020" w:type="dxa"/>
            <w:vAlign w:val="bottom"/>
          </w:tcPr>
          <w:p>
            <w:pPr>
              <w:spacing w:after="0"/>
              <w:rPr>
                <w:sz w:val="18"/>
                <w:szCs w:val="18"/>
                <w:color w:val="auto"/>
              </w:rPr>
            </w:pPr>
          </w:p>
        </w:tc>
        <w:tc>
          <w:tcPr>
            <w:tcW w:w="3460" w:type="dxa"/>
            <w:vAlign w:val="bottom"/>
            <w:gridSpan w:val="5"/>
          </w:tcPr>
          <w:p>
            <w:pPr>
              <w:spacing w:after="0"/>
              <w:rPr>
                <w:sz w:val="20"/>
                <w:szCs w:val="20"/>
                <w:color w:val="auto"/>
              </w:rPr>
            </w:pPr>
            <w:r>
              <w:rPr>
                <w:rFonts w:ascii="Arial" w:cs="Arial" w:eastAsia="Arial" w:hAnsi="Arial"/>
                <w:sz w:val="18"/>
                <w:szCs w:val="18"/>
                <w:color w:val="auto"/>
                <w:w w:val="97"/>
              </w:rPr>
              <w:t>document does not appear in the Interactive</w:t>
            </w:r>
          </w:p>
        </w:tc>
      </w:tr>
      <w:tr>
        <w:trPr>
          <w:trHeight w:val="216"/>
        </w:trPr>
        <w:tc>
          <w:tcPr>
            <w:tcW w:w="1020" w:type="dxa"/>
            <w:vAlign w:val="bottom"/>
          </w:tcPr>
          <w:p>
            <w:pPr>
              <w:spacing w:after="0"/>
              <w:rPr>
                <w:sz w:val="18"/>
                <w:szCs w:val="18"/>
                <w:color w:val="auto"/>
              </w:rPr>
            </w:pPr>
          </w:p>
        </w:tc>
        <w:tc>
          <w:tcPr>
            <w:tcW w:w="3460" w:type="dxa"/>
            <w:vAlign w:val="bottom"/>
            <w:gridSpan w:val="5"/>
          </w:tcPr>
          <w:p>
            <w:pPr>
              <w:spacing w:after="0"/>
              <w:rPr>
                <w:sz w:val="20"/>
                <w:szCs w:val="20"/>
                <w:color w:val="auto"/>
              </w:rPr>
            </w:pPr>
            <w:r>
              <w:rPr>
                <w:rFonts w:ascii="Arial" w:cs="Arial" w:eastAsia="Arial" w:hAnsi="Arial"/>
                <w:sz w:val="18"/>
                <w:szCs w:val="18"/>
                <w:color w:val="auto"/>
                <w:w w:val="90"/>
              </w:rPr>
              <w:t>Data File because its XBRL tags are embedded</w:t>
            </w:r>
          </w:p>
        </w:tc>
      </w:tr>
      <w:tr>
        <w:trPr>
          <w:trHeight w:val="229"/>
        </w:trPr>
        <w:tc>
          <w:tcPr>
            <w:tcW w:w="1020" w:type="dxa"/>
            <w:vAlign w:val="bottom"/>
          </w:tcPr>
          <w:p>
            <w:pPr>
              <w:spacing w:after="0"/>
              <w:rPr>
                <w:sz w:val="19"/>
                <w:szCs w:val="19"/>
                <w:color w:val="auto"/>
              </w:rPr>
            </w:pPr>
          </w:p>
        </w:tc>
        <w:tc>
          <w:tcPr>
            <w:tcW w:w="346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346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w:t>
            </w:r>
          </w:p>
        </w:tc>
      </w:tr>
      <w:tr>
        <w:trPr>
          <w:trHeight w:val="230"/>
        </w:trPr>
        <w:tc>
          <w:tcPr>
            <w:tcW w:w="1020" w:type="dxa"/>
            <w:vAlign w:val="bottom"/>
          </w:tcPr>
          <w:p>
            <w:pPr>
              <w:spacing w:after="0"/>
              <w:rPr>
                <w:sz w:val="19"/>
                <w:szCs w:val="19"/>
                <w:color w:val="auto"/>
              </w:rPr>
            </w:pPr>
          </w:p>
        </w:tc>
        <w:tc>
          <w:tcPr>
            <w:tcW w:w="3460" w:type="dxa"/>
            <w:vAlign w:val="bottom"/>
            <w:gridSpan w:val="5"/>
          </w:tcPr>
          <w:p>
            <w:pPr>
              <w:spacing w:after="0"/>
              <w:rPr>
                <w:sz w:val="20"/>
                <w:szCs w:val="20"/>
                <w:color w:val="auto"/>
              </w:rPr>
            </w:pPr>
            <w:r>
              <w:rPr>
                <w:rFonts w:ascii="Arial" w:cs="Arial" w:eastAsia="Arial" w:hAnsi="Arial"/>
                <w:sz w:val="18"/>
                <w:szCs w:val="18"/>
                <w:color w:val="auto"/>
              </w:rPr>
              <w:t>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3460" w:type="dxa"/>
            <w:vAlign w:val="bottom"/>
            <w:gridSpan w:val="5"/>
          </w:tcPr>
          <w:p>
            <w:pPr>
              <w:spacing w:after="0"/>
              <w:rPr>
                <w:sz w:val="20"/>
                <w:szCs w:val="20"/>
                <w:color w:val="auto"/>
              </w:rPr>
            </w:pPr>
            <w:r>
              <w:rPr>
                <w:rFonts w:ascii="Arial" w:cs="Arial" w:eastAsia="Arial" w:hAnsi="Arial"/>
                <w:sz w:val="18"/>
                <w:szCs w:val="18"/>
                <w:color w:val="auto"/>
                <w:w w:val="94"/>
              </w:rPr>
              <w:t>Inline XBRL Taxonomy Extension Calculation</w:t>
            </w:r>
          </w:p>
        </w:tc>
      </w:tr>
      <w:tr>
        <w:trPr>
          <w:trHeight w:val="229"/>
        </w:trPr>
        <w:tc>
          <w:tcPr>
            <w:tcW w:w="1020" w:type="dxa"/>
            <w:vAlign w:val="bottom"/>
          </w:tcPr>
          <w:p>
            <w:pPr>
              <w:spacing w:after="0"/>
              <w:rPr>
                <w:sz w:val="19"/>
                <w:szCs w:val="19"/>
                <w:color w:val="auto"/>
              </w:rPr>
            </w:pPr>
          </w:p>
        </w:tc>
        <w:tc>
          <w:tcPr>
            <w:tcW w:w="3460" w:type="dxa"/>
            <w:vAlign w:val="bottom"/>
            <w:gridSpan w:val="5"/>
          </w:tcPr>
          <w:p>
            <w:pPr>
              <w:spacing w:after="0"/>
              <w:rPr>
                <w:sz w:val="20"/>
                <w:szCs w:val="20"/>
                <w:color w:val="auto"/>
              </w:rPr>
            </w:pPr>
            <w:r>
              <w:rPr>
                <w:rFonts w:ascii="Arial" w:cs="Arial" w:eastAsia="Arial" w:hAnsi="Arial"/>
                <w:sz w:val="18"/>
                <w:szCs w:val="18"/>
                <w:color w:val="auto"/>
              </w:rPr>
              <w:t>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3460" w:type="dxa"/>
            <w:vAlign w:val="bottom"/>
            <w:gridSpan w:val="5"/>
          </w:tcPr>
          <w:p>
            <w:pPr>
              <w:spacing w:after="0"/>
              <w:rPr>
                <w:sz w:val="20"/>
                <w:szCs w:val="20"/>
                <w:color w:val="auto"/>
              </w:rPr>
            </w:pPr>
            <w:r>
              <w:rPr>
                <w:rFonts w:ascii="Arial" w:cs="Arial" w:eastAsia="Arial" w:hAnsi="Arial"/>
                <w:sz w:val="18"/>
                <w:szCs w:val="18"/>
                <w:color w:val="auto"/>
                <w:w w:val="98"/>
              </w:rPr>
              <w:t>Inline XBRL Taxonomy Extension Definition</w:t>
            </w:r>
          </w:p>
        </w:tc>
      </w:tr>
      <w:tr>
        <w:trPr>
          <w:trHeight w:val="229"/>
        </w:trPr>
        <w:tc>
          <w:tcPr>
            <w:tcW w:w="1020" w:type="dxa"/>
            <w:vAlign w:val="bottom"/>
          </w:tcPr>
          <w:p>
            <w:pPr>
              <w:spacing w:after="0"/>
              <w:rPr>
                <w:sz w:val="19"/>
                <w:szCs w:val="19"/>
                <w:color w:val="auto"/>
              </w:rPr>
            </w:pPr>
          </w:p>
        </w:tc>
        <w:tc>
          <w:tcPr>
            <w:tcW w:w="3460" w:type="dxa"/>
            <w:vAlign w:val="bottom"/>
            <w:gridSpan w:val="5"/>
          </w:tcPr>
          <w:p>
            <w:pPr>
              <w:spacing w:after="0"/>
              <w:rPr>
                <w:sz w:val="20"/>
                <w:szCs w:val="20"/>
                <w:color w:val="auto"/>
              </w:rPr>
            </w:pPr>
            <w:r>
              <w:rPr>
                <w:rFonts w:ascii="Arial" w:cs="Arial" w:eastAsia="Arial" w:hAnsi="Arial"/>
                <w:sz w:val="18"/>
                <w:szCs w:val="18"/>
                <w:color w:val="auto"/>
              </w:rPr>
              <w:t>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3460" w:type="dxa"/>
            <w:vAlign w:val="bottom"/>
            <w:gridSpan w:val="5"/>
          </w:tcPr>
          <w:p>
            <w:pPr>
              <w:spacing w:after="0"/>
              <w:rPr>
                <w:sz w:val="20"/>
                <w:szCs w:val="20"/>
                <w:color w:val="auto"/>
              </w:rPr>
            </w:pPr>
            <w:r>
              <w:rPr>
                <w:rFonts w:ascii="Arial" w:cs="Arial" w:eastAsia="Arial" w:hAnsi="Arial"/>
                <w:sz w:val="18"/>
                <w:szCs w:val="18"/>
                <w:color w:val="auto"/>
              </w:rPr>
              <w:t>Inline XBRL Taxonomy Extension Label</w:t>
            </w:r>
          </w:p>
        </w:tc>
      </w:tr>
      <w:tr>
        <w:trPr>
          <w:trHeight w:val="230"/>
        </w:trPr>
        <w:tc>
          <w:tcPr>
            <w:tcW w:w="1020" w:type="dxa"/>
            <w:vAlign w:val="bottom"/>
          </w:tcPr>
          <w:p>
            <w:pPr>
              <w:spacing w:after="0"/>
              <w:rPr>
                <w:sz w:val="19"/>
                <w:szCs w:val="19"/>
                <w:color w:val="auto"/>
              </w:rPr>
            </w:pPr>
          </w:p>
        </w:tc>
        <w:tc>
          <w:tcPr>
            <w:tcW w:w="3460" w:type="dxa"/>
            <w:vAlign w:val="bottom"/>
            <w:gridSpan w:val="5"/>
          </w:tcPr>
          <w:p>
            <w:pPr>
              <w:spacing w:after="0"/>
              <w:rPr>
                <w:sz w:val="20"/>
                <w:szCs w:val="20"/>
                <w:color w:val="auto"/>
              </w:rPr>
            </w:pPr>
            <w:r>
              <w:rPr>
                <w:rFonts w:ascii="Arial" w:cs="Arial" w:eastAsia="Arial" w:hAnsi="Arial"/>
                <w:sz w:val="18"/>
                <w:szCs w:val="18"/>
                <w:color w:val="auto"/>
              </w:rPr>
              <w:t>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3460" w:type="dxa"/>
            <w:vAlign w:val="bottom"/>
            <w:gridSpan w:val="5"/>
          </w:tcPr>
          <w:p>
            <w:pPr>
              <w:spacing w:after="0"/>
              <w:rPr>
                <w:sz w:val="20"/>
                <w:szCs w:val="20"/>
                <w:color w:val="auto"/>
              </w:rPr>
            </w:pPr>
            <w:r>
              <w:rPr>
                <w:rFonts w:ascii="Arial" w:cs="Arial" w:eastAsia="Arial" w:hAnsi="Arial"/>
                <w:sz w:val="18"/>
                <w:szCs w:val="18"/>
                <w:color w:val="auto"/>
                <w:w w:val="91"/>
              </w:rPr>
              <w:t>Inline XBRL Taxonomy Extension Presentation</w:t>
            </w:r>
          </w:p>
        </w:tc>
      </w:tr>
      <w:tr>
        <w:trPr>
          <w:trHeight w:val="229"/>
        </w:trPr>
        <w:tc>
          <w:tcPr>
            <w:tcW w:w="1020" w:type="dxa"/>
            <w:vAlign w:val="bottom"/>
          </w:tcPr>
          <w:p>
            <w:pPr>
              <w:spacing w:after="0"/>
              <w:rPr>
                <w:sz w:val="19"/>
                <w:szCs w:val="19"/>
                <w:color w:val="auto"/>
              </w:rPr>
            </w:pPr>
          </w:p>
        </w:tc>
        <w:tc>
          <w:tcPr>
            <w:tcW w:w="3460" w:type="dxa"/>
            <w:vAlign w:val="bottom"/>
            <w:gridSpan w:val="5"/>
          </w:tcPr>
          <w:p>
            <w:pPr>
              <w:spacing w:after="0"/>
              <w:rPr>
                <w:sz w:val="20"/>
                <w:szCs w:val="20"/>
                <w:color w:val="auto"/>
              </w:rPr>
            </w:pPr>
            <w:r>
              <w:rPr>
                <w:rFonts w:ascii="Arial" w:cs="Arial" w:eastAsia="Arial" w:hAnsi="Arial"/>
                <w:sz w:val="18"/>
                <w:szCs w:val="18"/>
                <w:color w:val="auto"/>
              </w:rPr>
              <w:t>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3460" w:type="dxa"/>
            <w:vAlign w:val="bottom"/>
            <w:gridSpan w:val="5"/>
          </w:tcPr>
          <w:p>
            <w:pPr>
              <w:spacing w:after="0"/>
              <w:rPr>
                <w:sz w:val="20"/>
                <w:szCs w:val="20"/>
                <w:color w:val="auto"/>
              </w:rPr>
            </w:pPr>
            <w:r>
              <w:rPr>
                <w:rFonts w:ascii="Arial" w:cs="Arial" w:eastAsia="Arial" w:hAnsi="Arial"/>
                <w:sz w:val="18"/>
                <w:szCs w:val="18"/>
                <w:color w:val="auto"/>
                <w:w w:val="92"/>
              </w:rPr>
              <w:t>Cover Page Interactive Data File (formatted as</w:t>
            </w:r>
          </w:p>
        </w:tc>
      </w:tr>
      <w:tr>
        <w:trPr>
          <w:trHeight w:val="230"/>
        </w:trPr>
        <w:tc>
          <w:tcPr>
            <w:tcW w:w="1020" w:type="dxa"/>
            <w:vAlign w:val="bottom"/>
          </w:tcPr>
          <w:p>
            <w:pPr>
              <w:spacing w:after="0"/>
              <w:rPr>
                <w:sz w:val="20"/>
                <w:szCs w:val="20"/>
                <w:color w:val="auto"/>
              </w:rPr>
            </w:pPr>
          </w:p>
        </w:tc>
        <w:tc>
          <w:tcPr>
            <w:tcW w:w="3460" w:type="dxa"/>
            <w:vAlign w:val="bottom"/>
            <w:gridSpan w:val="5"/>
          </w:tcPr>
          <w:p>
            <w:pPr>
              <w:spacing w:after="0"/>
              <w:rPr>
                <w:sz w:val="20"/>
                <w:szCs w:val="20"/>
                <w:color w:val="auto"/>
              </w:rPr>
            </w:pPr>
            <w:r>
              <w:rPr>
                <w:rFonts w:ascii="Arial" w:cs="Arial" w:eastAsia="Arial" w:hAnsi="Arial"/>
                <w:sz w:val="18"/>
                <w:szCs w:val="18"/>
                <w:color w:val="auto"/>
              </w:rPr>
              <w:t>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2" w:lineRule="exact"/>
        <w:rPr>
          <w:sz w:val="20"/>
          <w:szCs w:val="20"/>
          <w:color w:val="auto"/>
        </w:rPr>
      </w:pPr>
    </w:p>
    <w:p>
      <w:pPr>
        <w:ind w:left="360" w:hanging="316"/>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60" w:right="99" w:hanging="316"/>
        <w:spacing w:after="0" w:line="253" w:lineRule="auto"/>
        <w:tabs>
          <w:tab w:leader="none" w:pos="351"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Exchange Act, or otherwise subject to the liability of that section, nor shall such exhibit be deemed to be incorporated by reference in any registration statement or other document filed under the Securities Act or the Exchange Act, except as otherwise specifically stated in such filing.</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6060" w:type="dxa"/>
            <w:vAlign w:val="bottom"/>
            <w:gridSpan w:val="2"/>
          </w:tcPr>
          <w:p>
            <w:pPr>
              <w:ind w:left="2260"/>
              <w:spacing w:after="0"/>
              <w:rPr>
                <w:sz w:val="20"/>
                <w:szCs w:val="20"/>
                <w:color w:val="auto"/>
              </w:rPr>
            </w:pPr>
            <w:r>
              <w:rPr>
                <w:rFonts w:ascii="Arial" w:cs="Arial" w:eastAsia="Arial" w:hAnsi="Arial"/>
                <w:sz w:val="18"/>
                <w:szCs w:val="18"/>
                <w:color w:val="auto"/>
              </w:rPr>
              <w:t>Everspin Technologies, Inc.</w:t>
            </w:r>
          </w:p>
        </w:tc>
      </w:tr>
      <w:tr>
        <w:trPr>
          <w:trHeight w:val="432"/>
        </w:trPr>
        <w:tc>
          <w:tcPr>
            <w:tcW w:w="2860" w:type="dxa"/>
            <w:vAlign w:val="bottom"/>
          </w:tcPr>
          <w:p>
            <w:pPr>
              <w:spacing w:after="0"/>
              <w:rPr>
                <w:sz w:val="20"/>
                <w:szCs w:val="20"/>
                <w:color w:val="auto"/>
              </w:rPr>
            </w:pPr>
            <w:r>
              <w:rPr>
                <w:rFonts w:ascii="Arial" w:cs="Arial" w:eastAsia="Arial" w:hAnsi="Arial"/>
                <w:sz w:val="18"/>
                <w:szCs w:val="18"/>
                <w:color w:val="auto"/>
              </w:rPr>
              <w:t>Date: May 7, 2021</w:t>
            </w:r>
          </w:p>
        </w:tc>
        <w:tc>
          <w:tcPr>
            <w:tcW w:w="6060" w:type="dxa"/>
            <w:vAlign w:val="bottom"/>
            <w:gridSpan w:val="2"/>
          </w:tcPr>
          <w:p>
            <w:pPr>
              <w:ind w:left="2260"/>
              <w:spacing w:after="0"/>
              <w:rPr>
                <w:sz w:val="20"/>
                <w:szCs w:val="20"/>
                <w:color w:val="auto"/>
              </w:rPr>
            </w:pPr>
            <w:r>
              <w:rPr>
                <w:rFonts w:ascii="Arial" w:cs="Arial" w:eastAsia="Arial" w:hAnsi="Arial"/>
                <w:sz w:val="18"/>
                <w:szCs w:val="18"/>
                <w:color w:val="auto"/>
              </w:rPr>
              <w:t>By:/s/ Darin Billerbeck</w:t>
            </w:r>
          </w:p>
        </w:tc>
      </w:tr>
      <w:tr>
        <w:trPr>
          <w:trHeight w:val="195"/>
        </w:trPr>
        <w:tc>
          <w:tcPr>
            <w:tcW w:w="28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Darin Billerbeck</w:t>
            </w:r>
          </w:p>
        </w:tc>
      </w:tr>
      <w:tr>
        <w:trPr>
          <w:trHeight w:val="216"/>
        </w:trPr>
        <w:tc>
          <w:tcPr>
            <w:tcW w:w="2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Interim Chief Executive Officer</w:t>
            </w:r>
          </w:p>
        </w:tc>
      </w:tr>
      <w:tr>
        <w:trPr>
          <w:trHeight w:val="230"/>
        </w:trPr>
        <w:tc>
          <w:tcPr>
            <w:tcW w:w="28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864"/>
        </w:trPr>
        <w:tc>
          <w:tcPr>
            <w:tcW w:w="2860" w:type="dxa"/>
            <w:vAlign w:val="bottom"/>
          </w:tcPr>
          <w:p>
            <w:pPr>
              <w:spacing w:after="0"/>
              <w:rPr>
                <w:sz w:val="20"/>
                <w:szCs w:val="20"/>
                <w:color w:val="auto"/>
              </w:rPr>
            </w:pPr>
            <w:r>
              <w:rPr>
                <w:rFonts w:ascii="Arial" w:cs="Arial" w:eastAsia="Arial" w:hAnsi="Arial"/>
                <w:sz w:val="18"/>
                <w:szCs w:val="18"/>
                <w:color w:val="auto"/>
              </w:rPr>
              <w:t>Date: May 7, 2021</w:t>
            </w:r>
          </w:p>
        </w:tc>
        <w:tc>
          <w:tcPr>
            <w:tcW w:w="6060" w:type="dxa"/>
            <w:vAlign w:val="bottom"/>
            <w:gridSpan w:val="2"/>
          </w:tcPr>
          <w:p>
            <w:pPr>
              <w:ind w:left="2260"/>
              <w:spacing w:after="0"/>
              <w:rPr>
                <w:sz w:val="20"/>
                <w:szCs w:val="20"/>
                <w:color w:val="auto"/>
              </w:rPr>
            </w:pPr>
            <w:r>
              <w:rPr>
                <w:rFonts w:ascii="Arial" w:cs="Arial" w:eastAsia="Arial" w:hAnsi="Arial"/>
                <w:sz w:val="18"/>
                <w:szCs w:val="18"/>
                <w:color w:val="auto"/>
              </w:rPr>
              <w:t>By:/s/ Anuj Aggarwal</w:t>
            </w:r>
          </w:p>
        </w:tc>
      </w:tr>
      <w:tr>
        <w:trPr>
          <w:trHeight w:val="195"/>
        </w:trPr>
        <w:tc>
          <w:tcPr>
            <w:tcW w:w="28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Anuj Aggarwal</w:t>
            </w:r>
          </w:p>
        </w:tc>
      </w:tr>
      <w:tr>
        <w:trPr>
          <w:trHeight w:val="216"/>
        </w:trPr>
        <w:tc>
          <w:tcPr>
            <w:tcW w:w="2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28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75"/>
        </w:trPr>
        <w:tc>
          <w:tcPr>
            <w:tcW w:w="2860" w:type="dxa"/>
            <w:vAlign w:val="bottom"/>
          </w:tcPr>
          <w:p>
            <w:pPr>
              <w:spacing w:after="0"/>
              <w:rPr>
                <w:sz w:val="24"/>
                <w:szCs w:val="24"/>
                <w:color w:val="auto"/>
              </w:rPr>
            </w:pPr>
          </w:p>
        </w:tc>
        <w:tc>
          <w:tcPr>
            <w:tcW w:w="2540" w:type="dxa"/>
            <w:vAlign w:val="bottom"/>
          </w:tcPr>
          <w:p>
            <w:pPr>
              <w:jc w:val="right"/>
              <w:ind w:right="770"/>
              <w:spacing w:after="0"/>
              <w:rPr>
                <w:sz w:val="20"/>
                <w:szCs w:val="20"/>
                <w:color w:val="auto"/>
              </w:rPr>
            </w:pPr>
            <w:r>
              <w:rPr>
                <w:rFonts w:ascii="Arial" w:cs="Arial" w:eastAsia="Arial" w:hAnsi="Arial"/>
                <w:sz w:val="18"/>
                <w:szCs w:val="18"/>
                <w:color w:val="auto"/>
              </w:rPr>
              <w:t>44</w:t>
            </w:r>
          </w:p>
        </w:tc>
        <w:tc>
          <w:tcPr>
            <w:tcW w:w="3520" w:type="dxa"/>
            <w:vAlign w:val="bottom"/>
          </w:tcPr>
          <w:p>
            <w:pPr>
              <w:spacing w:after="0"/>
              <w:rPr>
                <w:sz w:val="24"/>
                <w:szCs w:val="24"/>
                <w:color w:val="auto"/>
              </w:rPr>
            </w:pPr>
          </w:p>
        </w:tc>
      </w:tr>
      <w:tr>
        <w:trPr>
          <w:trHeight w:val="561"/>
        </w:trPr>
        <w:tc>
          <w:tcPr>
            <w:tcW w:w="28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154305</wp:posOffset>
            </wp:positionV>
            <wp:extent cx="1517015" cy="308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151701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262626"/>
        </w:rPr>
        <w:t>April 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62626"/>
        </w:rPr>
        <w:t>Daniel Berenbaum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62626"/>
        </w:rPr>
        <w:t xml:space="preserve">11404 </w:t>
      </w:r>
      <w:r>
        <w:rPr>
          <w:rFonts w:ascii="Arial" w:cs="Arial" w:eastAsia="Arial" w:hAnsi="Arial"/>
          <w:sz w:val="18"/>
          <w:szCs w:val="18"/>
          <w:color w:val="383838"/>
        </w:rPr>
        <w:t>E</w:t>
      </w:r>
      <w:r>
        <w:rPr>
          <w:rFonts w:ascii="Arial" w:cs="Arial" w:eastAsia="Arial" w:hAnsi="Arial"/>
          <w:sz w:val="18"/>
          <w:szCs w:val="18"/>
          <w:color w:val="262626"/>
        </w:rPr>
        <w:t xml:space="preserve"> Autumn Sage Dr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62626"/>
        </w:rPr>
        <w:t>Scottsdale</w:t>
      </w:r>
      <w:r>
        <w:rPr>
          <w:rFonts w:ascii="Arial" w:cs="Arial" w:eastAsia="Arial" w:hAnsi="Arial"/>
          <w:sz w:val="18"/>
          <w:szCs w:val="18"/>
          <w:color w:val="5B5B5D"/>
        </w:rPr>
        <w:t>,</w:t>
      </w:r>
      <w:r>
        <w:rPr>
          <w:rFonts w:ascii="Arial" w:cs="Arial" w:eastAsia="Arial" w:hAnsi="Arial"/>
          <w:sz w:val="18"/>
          <w:szCs w:val="18"/>
          <w:color w:val="262626"/>
        </w:rPr>
        <w:t xml:space="preserve"> AZ 85255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262626"/>
        </w:rPr>
        <w:t>Dear Dan:</w:t>
      </w:r>
    </w:p>
    <w:p>
      <w:pPr>
        <w:spacing w:after="0" w:line="22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color w:val="262626"/>
        </w:rPr>
        <w:t xml:space="preserve">We accept </w:t>
      </w:r>
      <w:r>
        <w:rPr>
          <w:rFonts w:ascii="Arial" w:cs="Arial" w:eastAsia="Arial" w:hAnsi="Arial"/>
          <w:sz w:val="18"/>
          <w:szCs w:val="18"/>
          <w:color w:val="383838"/>
        </w:rPr>
        <w:t>your</w:t>
      </w:r>
      <w:r>
        <w:rPr>
          <w:rFonts w:ascii="Arial" w:cs="Arial" w:eastAsia="Arial" w:hAnsi="Arial"/>
          <w:sz w:val="18"/>
          <w:szCs w:val="18"/>
          <w:color w:val="262626"/>
        </w:rPr>
        <w:t xml:space="preserve"> resignation, and this letter sets forth </w:t>
      </w:r>
      <w:r>
        <w:rPr>
          <w:rFonts w:ascii="Arial" w:cs="Arial" w:eastAsia="Arial" w:hAnsi="Arial"/>
          <w:sz w:val="18"/>
          <w:szCs w:val="18"/>
          <w:color w:val="383838"/>
        </w:rPr>
        <w:t>the</w:t>
      </w:r>
      <w:r>
        <w:rPr>
          <w:rFonts w:ascii="Arial" w:cs="Arial" w:eastAsia="Arial" w:hAnsi="Arial"/>
          <w:sz w:val="18"/>
          <w:szCs w:val="18"/>
          <w:color w:val="262626"/>
        </w:rPr>
        <w:t xml:space="preserve"> substance of the separation agreement </w:t>
      </w:r>
      <w:r>
        <w:rPr>
          <w:rFonts w:ascii="Arial" w:cs="Arial" w:eastAsia="Arial" w:hAnsi="Arial"/>
          <w:sz w:val="18"/>
          <w:szCs w:val="18"/>
          <w:color w:val="383838"/>
        </w:rPr>
        <w:t>(the</w:t>
      </w:r>
      <w:r>
        <w:rPr>
          <w:rFonts w:ascii="Arial" w:cs="Arial" w:eastAsia="Arial" w:hAnsi="Arial"/>
          <w:sz w:val="18"/>
          <w:szCs w:val="18"/>
          <w:color w:val="262626"/>
        </w:rPr>
        <w:t xml:space="preserve"> </w:t>
      </w:r>
      <w:r>
        <w:rPr>
          <w:rFonts w:ascii="Arial" w:cs="Arial" w:eastAsia="Arial" w:hAnsi="Arial"/>
          <w:sz w:val="18"/>
          <w:szCs w:val="18"/>
          <w:b w:val="1"/>
          <w:bCs w:val="1"/>
          <w:color w:val="494849"/>
        </w:rPr>
        <w:t>“</w:t>
      </w:r>
      <w:r>
        <w:rPr>
          <w:rFonts w:ascii="Arial" w:cs="Arial" w:eastAsia="Arial" w:hAnsi="Arial"/>
          <w:sz w:val="18"/>
          <w:szCs w:val="18"/>
          <w:b w:val="1"/>
          <w:bCs w:val="1"/>
          <w:color w:val="262626"/>
        </w:rPr>
        <w:t>Agreement”</w:t>
      </w:r>
      <w:r>
        <w:rPr>
          <w:rFonts w:ascii="Arial" w:cs="Arial" w:eastAsia="Arial" w:hAnsi="Arial"/>
          <w:sz w:val="18"/>
          <w:szCs w:val="18"/>
          <w:b w:val="1"/>
          <w:bCs w:val="1"/>
          <w:color w:val="383838"/>
        </w:rPr>
        <w:t>)</w:t>
      </w:r>
      <w:r>
        <w:rPr>
          <w:rFonts w:ascii="Arial" w:cs="Arial" w:eastAsia="Arial" w:hAnsi="Arial"/>
          <w:sz w:val="18"/>
          <w:szCs w:val="18"/>
          <w:color w:val="262626"/>
        </w:rPr>
        <w:t xml:space="preserve"> between </w:t>
      </w:r>
      <w:r>
        <w:rPr>
          <w:rFonts w:ascii="Arial" w:cs="Arial" w:eastAsia="Arial" w:hAnsi="Arial"/>
          <w:sz w:val="18"/>
          <w:szCs w:val="18"/>
          <w:color w:val="383838"/>
        </w:rPr>
        <w:t>you</w:t>
      </w:r>
      <w:r>
        <w:rPr>
          <w:rFonts w:ascii="Arial" w:cs="Arial" w:eastAsia="Arial" w:hAnsi="Arial"/>
          <w:sz w:val="18"/>
          <w:szCs w:val="18"/>
          <w:color w:val="262626"/>
        </w:rPr>
        <w:t xml:space="preserve"> and Everspin Technologies</w:t>
      </w:r>
      <w:r>
        <w:rPr>
          <w:rFonts w:ascii="Arial" w:cs="Arial" w:eastAsia="Arial" w:hAnsi="Arial"/>
          <w:sz w:val="18"/>
          <w:szCs w:val="18"/>
          <w:color w:val="5B5B5D"/>
        </w:rPr>
        <w:t>,</w:t>
      </w:r>
      <w:r>
        <w:rPr>
          <w:rFonts w:ascii="Arial" w:cs="Arial" w:eastAsia="Arial" w:hAnsi="Arial"/>
          <w:sz w:val="18"/>
          <w:szCs w:val="18"/>
          <w:color w:val="262626"/>
        </w:rPr>
        <w:t xml:space="preserve"> Inc. </w:t>
      </w:r>
      <w:r>
        <w:rPr>
          <w:rFonts w:ascii="Arial" w:cs="Arial" w:eastAsia="Arial" w:hAnsi="Arial"/>
          <w:sz w:val="18"/>
          <w:szCs w:val="18"/>
          <w:color w:val="383838"/>
        </w:rPr>
        <w:t>(the</w:t>
      </w:r>
      <w:r>
        <w:rPr>
          <w:rFonts w:ascii="Arial" w:cs="Arial" w:eastAsia="Arial" w:hAnsi="Arial"/>
          <w:sz w:val="18"/>
          <w:szCs w:val="18"/>
          <w:color w:val="262626"/>
        </w:rPr>
        <w:t xml:space="preserve"> </w:t>
      </w:r>
      <w:r>
        <w:rPr>
          <w:rFonts w:ascii="Arial" w:cs="Arial" w:eastAsia="Arial" w:hAnsi="Arial"/>
          <w:sz w:val="18"/>
          <w:szCs w:val="18"/>
          <w:b w:val="1"/>
          <w:bCs w:val="1"/>
          <w:color w:val="494849"/>
        </w:rPr>
        <w:t>“</w:t>
      </w:r>
      <w:r>
        <w:rPr>
          <w:rFonts w:ascii="Arial" w:cs="Arial" w:eastAsia="Arial" w:hAnsi="Arial"/>
          <w:sz w:val="18"/>
          <w:szCs w:val="18"/>
          <w:b w:val="1"/>
          <w:bCs w:val="1"/>
          <w:color w:val="262626"/>
        </w:rPr>
        <w:t>Company).</w:t>
      </w:r>
    </w:p>
    <w:p>
      <w:pPr>
        <w:spacing w:after="0" w:line="162" w:lineRule="exact"/>
        <w:rPr>
          <w:sz w:val="20"/>
          <w:szCs w:val="20"/>
          <w:color w:val="auto"/>
        </w:rPr>
      </w:pPr>
    </w:p>
    <w:p>
      <w:pPr>
        <w:ind w:left="340" w:hanging="332"/>
        <w:spacing w:after="0" w:line="282" w:lineRule="auto"/>
        <w:tabs>
          <w:tab w:leader="none" w:pos="340" w:val="left"/>
        </w:tabs>
        <w:numPr>
          <w:ilvl w:val="0"/>
          <w:numId w:val="17"/>
        </w:numPr>
        <w:rPr>
          <w:rFonts w:ascii="Arial" w:cs="Arial" w:eastAsia="Arial" w:hAnsi="Arial"/>
          <w:sz w:val="18"/>
          <w:szCs w:val="18"/>
          <w:b w:val="1"/>
          <w:bCs w:val="1"/>
          <w:color w:val="262626"/>
        </w:rPr>
      </w:pPr>
      <w:r>
        <w:rPr>
          <w:rFonts w:ascii="Arial" w:cs="Arial" w:eastAsia="Arial" w:hAnsi="Arial"/>
          <w:sz w:val="18"/>
          <w:szCs w:val="18"/>
          <w:b w:val="1"/>
          <w:bCs w:val="1"/>
          <w:color w:val="262626"/>
        </w:rPr>
        <w:t xml:space="preserve">SEPARATION </w:t>
      </w:r>
      <w:r>
        <w:rPr>
          <w:rFonts w:ascii="Arial" w:cs="Arial" w:eastAsia="Arial" w:hAnsi="Arial"/>
          <w:sz w:val="18"/>
          <w:szCs w:val="18"/>
          <w:color w:val="262626"/>
        </w:rPr>
        <w:t>- Your last day of work with the Company and your employment termination date will be April 16</w:t>
      </w:r>
      <w:r>
        <w:rPr>
          <w:rFonts w:ascii="Arial" w:cs="Arial" w:eastAsia="Arial" w:hAnsi="Arial"/>
          <w:sz w:val="18"/>
          <w:szCs w:val="18"/>
          <w:color w:val="5B5B5D"/>
        </w:rPr>
        <w:t>,</w:t>
      </w:r>
      <w:r>
        <w:rPr>
          <w:rFonts w:ascii="Arial" w:cs="Arial" w:eastAsia="Arial" w:hAnsi="Arial"/>
          <w:sz w:val="18"/>
          <w:szCs w:val="18"/>
          <w:b w:val="1"/>
          <w:bCs w:val="1"/>
          <w:color w:val="262626"/>
        </w:rPr>
        <w:t xml:space="preserve"> </w:t>
      </w:r>
      <w:r>
        <w:rPr>
          <w:rFonts w:ascii="Arial" w:cs="Arial" w:eastAsia="Arial" w:hAnsi="Arial"/>
          <w:sz w:val="18"/>
          <w:szCs w:val="18"/>
          <w:color w:val="262626"/>
        </w:rPr>
        <w:t>2021</w:t>
      </w:r>
      <w:r>
        <w:rPr>
          <w:rFonts w:ascii="Arial" w:cs="Arial" w:eastAsia="Arial" w:hAnsi="Arial"/>
          <w:sz w:val="18"/>
          <w:szCs w:val="18"/>
          <w:b w:val="1"/>
          <w:bCs w:val="1"/>
          <w:color w:val="262626"/>
        </w:rPr>
        <w:t xml:space="preserve"> </w:t>
      </w:r>
      <w:r>
        <w:rPr>
          <w:rFonts w:ascii="Arial" w:cs="Arial" w:eastAsia="Arial" w:hAnsi="Arial"/>
          <w:sz w:val="18"/>
          <w:szCs w:val="18"/>
          <w:color w:val="383838"/>
        </w:rPr>
        <w:t xml:space="preserve">(the </w:t>
      </w:r>
      <w:r>
        <w:rPr>
          <w:rFonts w:ascii="Arial" w:cs="Arial" w:eastAsia="Arial" w:hAnsi="Arial"/>
          <w:sz w:val="18"/>
          <w:szCs w:val="18"/>
          <w:b w:val="1"/>
          <w:bCs w:val="1"/>
          <w:color w:val="494849"/>
        </w:rPr>
        <w:t>“</w:t>
      </w:r>
      <w:r>
        <w:rPr>
          <w:rFonts w:ascii="Arial" w:cs="Arial" w:eastAsia="Arial" w:hAnsi="Arial"/>
          <w:sz w:val="18"/>
          <w:szCs w:val="18"/>
          <w:b w:val="1"/>
          <w:bCs w:val="1"/>
          <w:color w:val="262626"/>
        </w:rPr>
        <w:t>Separation Date”</w:t>
      </w:r>
      <w:r>
        <w:rPr>
          <w:rFonts w:ascii="Arial" w:cs="Arial" w:eastAsia="Arial" w:hAnsi="Arial"/>
          <w:sz w:val="18"/>
          <w:szCs w:val="18"/>
          <w:b w:val="1"/>
          <w:bCs w:val="1"/>
          <w:color w:val="494849"/>
        </w:rPr>
        <w:t>).</w:t>
      </w:r>
    </w:p>
    <w:p>
      <w:pPr>
        <w:spacing w:after="0" w:line="161" w:lineRule="exact"/>
        <w:rPr>
          <w:rFonts w:ascii="Arial" w:cs="Arial" w:eastAsia="Arial" w:hAnsi="Arial"/>
          <w:sz w:val="18"/>
          <w:szCs w:val="18"/>
          <w:b w:val="1"/>
          <w:bCs w:val="1"/>
          <w:color w:val="262626"/>
        </w:rPr>
      </w:pPr>
    </w:p>
    <w:p>
      <w:pPr>
        <w:jc w:val="both"/>
        <w:ind w:left="340" w:hanging="332"/>
        <w:spacing w:after="0" w:line="266" w:lineRule="auto"/>
        <w:tabs>
          <w:tab w:leader="none" w:pos="340" w:val="left"/>
        </w:tabs>
        <w:numPr>
          <w:ilvl w:val="0"/>
          <w:numId w:val="17"/>
        </w:numPr>
        <w:rPr>
          <w:rFonts w:ascii="Arial" w:cs="Arial" w:eastAsia="Arial" w:hAnsi="Arial"/>
          <w:sz w:val="18"/>
          <w:szCs w:val="18"/>
          <w:b w:val="1"/>
          <w:bCs w:val="1"/>
          <w:color w:val="262626"/>
        </w:rPr>
      </w:pPr>
      <w:r>
        <w:rPr>
          <w:rFonts w:ascii="Arial" w:cs="Arial" w:eastAsia="Arial" w:hAnsi="Arial"/>
          <w:sz w:val="18"/>
          <w:szCs w:val="18"/>
          <w:b w:val="1"/>
          <w:bCs w:val="1"/>
          <w:color w:val="262626"/>
        </w:rPr>
        <w:t xml:space="preserve">ACCRUED SALARY </w:t>
      </w:r>
      <w:r>
        <w:rPr>
          <w:rFonts w:ascii="Arial" w:cs="Arial" w:eastAsia="Arial" w:hAnsi="Arial"/>
          <w:sz w:val="18"/>
          <w:szCs w:val="18"/>
          <w:color w:val="262626"/>
        </w:rPr>
        <w:t>- Regardless of whether</w:t>
      </w:r>
      <w:r>
        <w:rPr>
          <w:rFonts w:ascii="Arial" w:cs="Arial" w:eastAsia="Arial" w:hAnsi="Arial"/>
          <w:sz w:val="18"/>
          <w:szCs w:val="18"/>
          <w:b w:val="1"/>
          <w:bCs w:val="1"/>
          <w:color w:val="262626"/>
        </w:rPr>
        <w:t xml:space="preserve"> </w:t>
      </w:r>
      <w:r>
        <w:rPr>
          <w:rFonts w:ascii="Arial" w:cs="Arial" w:eastAsia="Arial" w:hAnsi="Arial"/>
          <w:sz w:val="18"/>
          <w:szCs w:val="18"/>
          <w:color w:val="383838"/>
        </w:rPr>
        <w:t>you</w:t>
      </w:r>
      <w:r>
        <w:rPr>
          <w:rFonts w:ascii="Arial" w:cs="Arial" w:eastAsia="Arial" w:hAnsi="Arial"/>
          <w:sz w:val="18"/>
          <w:szCs w:val="18"/>
          <w:b w:val="1"/>
          <w:bCs w:val="1"/>
          <w:color w:val="262626"/>
        </w:rPr>
        <w:t xml:space="preserve"> </w:t>
      </w:r>
      <w:r>
        <w:rPr>
          <w:rFonts w:ascii="Arial" w:cs="Arial" w:eastAsia="Arial" w:hAnsi="Arial"/>
          <w:sz w:val="18"/>
          <w:szCs w:val="18"/>
          <w:color w:val="262626"/>
        </w:rPr>
        <w:t>sign this Agreement, as of the Separation Date</w:t>
      </w:r>
      <w:r>
        <w:rPr>
          <w:rFonts w:ascii="Arial" w:cs="Arial" w:eastAsia="Arial" w:hAnsi="Arial"/>
          <w:sz w:val="18"/>
          <w:szCs w:val="18"/>
          <w:color w:val="494849"/>
        </w:rPr>
        <w:t>,</w:t>
      </w:r>
      <w:r>
        <w:rPr>
          <w:rFonts w:ascii="Arial" w:cs="Arial" w:eastAsia="Arial" w:hAnsi="Arial"/>
          <w:sz w:val="18"/>
          <w:szCs w:val="18"/>
          <w:b w:val="1"/>
          <w:bCs w:val="1"/>
          <w:color w:val="262626"/>
        </w:rPr>
        <w:t xml:space="preserve"> </w:t>
      </w:r>
      <w:r>
        <w:rPr>
          <w:rFonts w:ascii="Arial" w:cs="Arial" w:eastAsia="Arial" w:hAnsi="Arial"/>
          <w:sz w:val="18"/>
          <w:szCs w:val="18"/>
          <w:color w:val="262626"/>
        </w:rPr>
        <w:t>the Company will pay you all</w:t>
      </w:r>
      <w:r>
        <w:rPr>
          <w:rFonts w:ascii="Arial" w:cs="Arial" w:eastAsia="Arial" w:hAnsi="Arial"/>
          <w:sz w:val="18"/>
          <w:szCs w:val="18"/>
          <w:b w:val="1"/>
          <w:bCs w:val="1"/>
          <w:color w:val="262626"/>
        </w:rPr>
        <w:t xml:space="preserve"> </w:t>
      </w:r>
      <w:r>
        <w:rPr>
          <w:rFonts w:ascii="Arial" w:cs="Arial" w:eastAsia="Arial" w:hAnsi="Arial"/>
          <w:sz w:val="18"/>
          <w:szCs w:val="18"/>
          <w:color w:val="262626"/>
        </w:rPr>
        <w:t>accrued salary earned through the Separation Date</w:t>
      </w:r>
      <w:r>
        <w:rPr>
          <w:rFonts w:ascii="Arial" w:cs="Arial" w:eastAsia="Arial" w:hAnsi="Arial"/>
          <w:sz w:val="18"/>
          <w:szCs w:val="18"/>
          <w:color w:val="494849"/>
        </w:rPr>
        <w:t>,</w:t>
      </w:r>
      <w:r>
        <w:rPr>
          <w:rFonts w:ascii="Arial" w:cs="Arial" w:eastAsia="Arial" w:hAnsi="Arial"/>
          <w:sz w:val="18"/>
          <w:szCs w:val="18"/>
          <w:color w:val="262626"/>
        </w:rPr>
        <w:t xml:space="preserve"> subject to standard payroll deductions and withholdings on the following payroll </w:t>
      </w:r>
      <w:r>
        <w:rPr>
          <w:rFonts w:ascii="Arial" w:cs="Arial" w:eastAsia="Arial" w:hAnsi="Arial"/>
          <w:sz w:val="18"/>
          <w:szCs w:val="18"/>
          <w:color w:val="383838"/>
        </w:rPr>
        <w:t xml:space="preserve">which </w:t>
      </w:r>
      <w:r>
        <w:rPr>
          <w:rFonts w:ascii="Arial" w:cs="Arial" w:eastAsia="Arial" w:hAnsi="Arial"/>
          <w:sz w:val="18"/>
          <w:szCs w:val="18"/>
          <w:color w:val="262626"/>
        </w:rPr>
        <w:t>is April 16</w:t>
      </w:r>
      <w:r>
        <w:rPr>
          <w:rFonts w:ascii="Arial" w:cs="Arial" w:eastAsia="Arial" w:hAnsi="Arial"/>
          <w:sz w:val="18"/>
          <w:szCs w:val="18"/>
          <w:color w:val="494849"/>
        </w:rPr>
        <w:t>,</w:t>
      </w:r>
      <w:r>
        <w:rPr>
          <w:rFonts w:ascii="Arial" w:cs="Arial" w:eastAsia="Arial" w:hAnsi="Arial"/>
          <w:sz w:val="18"/>
          <w:szCs w:val="18"/>
          <w:color w:val="383838"/>
        </w:rPr>
        <w:t xml:space="preserve"> </w:t>
      </w:r>
      <w:r>
        <w:rPr>
          <w:rFonts w:ascii="Arial" w:cs="Arial" w:eastAsia="Arial" w:hAnsi="Arial"/>
          <w:sz w:val="18"/>
          <w:szCs w:val="18"/>
          <w:color w:val="262626"/>
        </w:rPr>
        <w:t>2021.</w:t>
      </w:r>
    </w:p>
    <w:p>
      <w:pPr>
        <w:spacing w:after="0" w:line="175" w:lineRule="exact"/>
        <w:rPr>
          <w:rFonts w:ascii="Arial" w:cs="Arial" w:eastAsia="Arial" w:hAnsi="Arial"/>
          <w:sz w:val="18"/>
          <w:szCs w:val="18"/>
          <w:b w:val="1"/>
          <w:bCs w:val="1"/>
          <w:color w:val="262626"/>
        </w:rPr>
      </w:pPr>
    </w:p>
    <w:p>
      <w:pPr>
        <w:ind w:left="340" w:right="20" w:hanging="332"/>
        <w:spacing w:after="0" w:line="282" w:lineRule="auto"/>
        <w:tabs>
          <w:tab w:leader="none" w:pos="340" w:val="left"/>
        </w:tabs>
        <w:numPr>
          <w:ilvl w:val="0"/>
          <w:numId w:val="17"/>
        </w:numPr>
        <w:rPr>
          <w:rFonts w:ascii="Arial" w:cs="Arial" w:eastAsia="Arial" w:hAnsi="Arial"/>
          <w:sz w:val="18"/>
          <w:szCs w:val="18"/>
          <w:b w:val="1"/>
          <w:bCs w:val="1"/>
          <w:color w:val="262626"/>
        </w:rPr>
      </w:pPr>
      <w:r>
        <w:rPr>
          <w:rFonts w:ascii="Arial" w:cs="Arial" w:eastAsia="Arial" w:hAnsi="Arial"/>
          <w:sz w:val="18"/>
          <w:szCs w:val="18"/>
          <w:b w:val="1"/>
          <w:bCs w:val="1"/>
          <w:color w:val="262626"/>
        </w:rPr>
        <w:t xml:space="preserve">Bonus/Profit Sharing </w:t>
      </w:r>
      <w:r>
        <w:rPr>
          <w:rFonts w:ascii="Arial" w:cs="Arial" w:eastAsia="Arial" w:hAnsi="Arial"/>
          <w:sz w:val="18"/>
          <w:szCs w:val="18"/>
          <w:color w:val="262626"/>
        </w:rPr>
        <w:t>- According to the terms of the Company’ s bonus program</w:t>
      </w:r>
      <w:r>
        <w:rPr>
          <w:rFonts w:ascii="Arial" w:cs="Arial" w:eastAsia="Arial" w:hAnsi="Arial"/>
          <w:sz w:val="18"/>
          <w:szCs w:val="18"/>
          <w:color w:val="494849"/>
        </w:rPr>
        <w:t>,</w:t>
      </w:r>
      <w:r>
        <w:rPr>
          <w:rFonts w:ascii="Arial" w:cs="Arial" w:eastAsia="Arial" w:hAnsi="Arial"/>
          <w:sz w:val="18"/>
          <w:szCs w:val="18"/>
          <w:b w:val="1"/>
          <w:bCs w:val="1"/>
          <w:color w:val="262626"/>
        </w:rPr>
        <w:t xml:space="preserve"> </w:t>
      </w:r>
      <w:r>
        <w:rPr>
          <w:rFonts w:ascii="Arial" w:cs="Arial" w:eastAsia="Arial" w:hAnsi="Arial"/>
          <w:sz w:val="18"/>
          <w:szCs w:val="18"/>
          <w:color w:val="262626"/>
        </w:rPr>
        <w:t>you are not eligible for any bonus related to</w:t>
      </w:r>
      <w:r>
        <w:rPr>
          <w:rFonts w:ascii="Arial" w:cs="Arial" w:eastAsia="Arial" w:hAnsi="Arial"/>
          <w:sz w:val="18"/>
          <w:szCs w:val="18"/>
          <w:b w:val="1"/>
          <w:bCs w:val="1"/>
          <w:color w:val="262626"/>
        </w:rPr>
        <w:t xml:space="preserve"> </w:t>
      </w:r>
      <w:r>
        <w:rPr>
          <w:rFonts w:ascii="Arial" w:cs="Arial" w:eastAsia="Arial" w:hAnsi="Arial"/>
          <w:sz w:val="18"/>
          <w:szCs w:val="18"/>
          <w:color w:val="262626"/>
        </w:rPr>
        <w:t>2021 because you will not be employed on the date of the bonus payment</w:t>
      </w:r>
      <w:r>
        <w:rPr>
          <w:rFonts w:ascii="Arial" w:cs="Arial" w:eastAsia="Arial" w:hAnsi="Arial"/>
          <w:sz w:val="18"/>
          <w:szCs w:val="18"/>
          <w:color w:val="494849"/>
        </w:rPr>
        <w:t>.</w:t>
      </w:r>
    </w:p>
    <w:p>
      <w:pPr>
        <w:spacing w:after="0" w:line="165" w:lineRule="exact"/>
        <w:rPr>
          <w:rFonts w:ascii="Arial" w:cs="Arial" w:eastAsia="Arial" w:hAnsi="Arial"/>
          <w:sz w:val="18"/>
          <w:szCs w:val="18"/>
          <w:b w:val="1"/>
          <w:bCs w:val="1"/>
          <w:color w:val="262626"/>
        </w:rPr>
      </w:pPr>
    </w:p>
    <w:p>
      <w:pPr>
        <w:ind w:left="340" w:right="20"/>
        <w:spacing w:after="0" w:line="277" w:lineRule="auto"/>
        <w:rPr>
          <w:rFonts w:ascii="Arial" w:cs="Arial" w:eastAsia="Arial" w:hAnsi="Arial"/>
          <w:sz w:val="18"/>
          <w:szCs w:val="18"/>
          <w:b w:val="1"/>
          <w:bCs w:val="1"/>
          <w:color w:val="262626"/>
        </w:rPr>
      </w:pPr>
      <w:r>
        <w:rPr>
          <w:rFonts w:ascii="Arial" w:cs="Arial" w:eastAsia="Arial" w:hAnsi="Arial"/>
          <w:sz w:val="18"/>
          <w:szCs w:val="18"/>
          <w:color w:val="383838"/>
        </w:rPr>
        <w:t xml:space="preserve">According </w:t>
      </w:r>
      <w:r>
        <w:rPr>
          <w:rFonts w:ascii="Arial" w:cs="Arial" w:eastAsia="Arial" w:hAnsi="Arial"/>
          <w:sz w:val="18"/>
          <w:szCs w:val="18"/>
          <w:color w:val="262626"/>
        </w:rPr>
        <w:t>to the</w:t>
      </w:r>
      <w:r>
        <w:rPr>
          <w:rFonts w:ascii="Arial" w:cs="Arial" w:eastAsia="Arial" w:hAnsi="Arial"/>
          <w:sz w:val="18"/>
          <w:szCs w:val="18"/>
          <w:color w:val="383838"/>
        </w:rPr>
        <w:t xml:space="preserve"> terms </w:t>
      </w:r>
      <w:r>
        <w:rPr>
          <w:rFonts w:ascii="Arial" w:cs="Arial" w:eastAsia="Arial" w:hAnsi="Arial"/>
          <w:sz w:val="18"/>
          <w:szCs w:val="18"/>
          <w:color w:val="262626"/>
        </w:rPr>
        <w:t>of the</w:t>
      </w:r>
      <w:r>
        <w:rPr>
          <w:rFonts w:ascii="Arial" w:cs="Arial" w:eastAsia="Arial" w:hAnsi="Arial"/>
          <w:sz w:val="18"/>
          <w:szCs w:val="18"/>
          <w:color w:val="383838"/>
        </w:rPr>
        <w:t xml:space="preserve"> Company</w:t>
      </w:r>
      <w:r>
        <w:rPr>
          <w:rFonts w:ascii="Arial" w:cs="Arial" w:eastAsia="Arial" w:hAnsi="Arial"/>
          <w:sz w:val="18"/>
          <w:szCs w:val="18"/>
          <w:color w:val="5B5B5D"/>
        </w:rPr>
        <w:t>'</w:t>
      </w:r>
      <w:r>
        <w:rPr>
          <w:rFonts w:ascii="Arial" w:cs="Arial" w:eastAsia="Arial" w:hAnsi="Arial"/>
          <w:sz w:val="18"/>
          <w:szCs w:val="18"/>
          <w:color w:val="383838"/>
        </w:rPr>
        <w:t xml:space="preserve"> </w:t>
      </w:r>
      <w:r>
        <w:rPr>
          <w:rFonts w:ascii="Arial" w:cs="Arial" w:eastAsia="Arial" w:hAnsi="Arial"/>
          <w:sz w:val="18"/>
          <w:szCs w:val="18"/>
          <w:color w:val="262626"/>
        </w:rPr>
        <w:t>s Profit Sharing for Q121</w:t>
      </w:r>
      <w:r>
        <w:rPr>
          <w:rFonts w:ascii="Arial" w:cs="Arial" w:eastAsia="Arial" w:hAnsi="Arial"/>
          <w:sz w:val="18"/>
          <w:szCs w:val="18"/>
          <w:color w:val="383838"/>
        </w:rPr>
        <w:t xml:space="preserve"> you </w:t>
      </w:r>
      <w:r>
        <w:rPr>
          <w:rFonts w:ascii="Arial" w:cs="Arial" w:eastAsia="Arial" w:hAnsi="Arial"/>
          <w:sz w:val="18"/>
          <w:szCs w:val="18"/>
          <w:color w:val="262626"/>
        </w:rPr>
        <w:t>are not eligible for any profit sharing related to Q1 2021</w:t>
      </w:r>
      <w:r>
        <w:rPr>
          <w:rFonts w:ascii="Arial" w:cs="Arial" w:eastAsia="Arial" w:hAnsi="Arial"/>
          <w:sz w:val="18"/>
          <w:szCs w:val="18"/>
          <w:color w:val="383838"/>
        </w:rPr>
        <w:t xml:space="preserve"> </w:t>
      </w:r>
      <w:r>
        <w:rPr>
          <w:rFonts w:ascii="Arial" w:cs="Arial" w:eastAsia="Arial" w:hAnsi="Arial"/>
          <w:sz w:val="18"/>
          <w:szCs w:val="18"/>
          <w:color w:val="262626"/>
        </w:rPr>
        <w:t>because you will not be employed on the date the Profit Sharing is paid out.</w:t>
      </w:r>
    </w:p>
    <w:p>
      <w:pPr>
        <w:spacing w:after="0" w:line="166" w:lineRule="exact"/>
        <w:rPr>
          <w:rFonts w:ascii="Arial" w:cs="Arial" w:eastAsia="Arial" w:hAnsi="Arial"/>
          <w:sz w:val="18"/>
          <w:szCs w:val="18"/>
          <w:b w:val="1"/>
          <w:bCs w:val="1"/>
          <w:color w:val="262626"/>
        </w:rPr>
      </w:pPr>
    </w:p>
    <w:p>
      <w:pPr>
        <w:jc w:val="both"/>
        <w:ind w:left="340" w:hanging="332"/>
        <w:spacing w:after="0" w:line="261" w:lineRule="auto"/>
        <w:tabs>
          <w:tab w:leader="none" w:pos="340" w:val="left"/>
        </w:tabs>
        <w:numPr>
          <w:ilvl w:val="0"/>
          <w:numId w:val="17"/>
        </w:numPr>
        <w:rPr>
          <w:rFonts w:ascii="Arial" w:cs="Arial" w:eastAsia="Arial" w:hAnsi="Arial"/>
          <w:sz w:val="18"/>
          <w:szCs w:val="18"/>
          <w:b w:val="1"/>
          <w:bCs w:val="1"/>
          <w:color w:val="262626"/>
        </w:rPr>
      </w:pPr>
      <w:r>
        <w:rPr>
          <w:rFonts w:ascii="Arial" w:cs="Arial" w:eastAsia="Arial" w:hAnsi="Arial"/>
          <w:sz w:val="18"/>
          <w:szCs w:val="18"/>
          <w:b w:val="1"/>
          <w:bCs w:val="1"/>
          <w:color w:val="262626"/>
        </w:rPr>
        <w:t xml:space="preserve">Sign-on Bonus </w:t>
      </w:r>
      <w:r>
        <w:rPr>
          <w:rFonts w:ascii="Arial" w:cs="Arial" w:eastAsia="Arial" w:hAnsi="Arial"/>
          <w:sz w:val="18"/>
          <w:szCs w:val="18"/>
          <w:color w:val="262626"/>
        </w:rPr>
        <w:t>-</w:t>
      </w:r>
      <w:r>
        <w:rPr>
          <w:rFonts w:ascii="Arial" w:cs="Arial" w:eastAsia="Arial" w:hAnsi="Arial"/>
          <w:sz w:val="18"/>
          <w:szCs w:val="18"/>
          <w:b w:val="1"/>
          <w:bCs w:val="1"/>
          <w:color w:val="262626"/>
        </w:rPr>
        <w:t xml:space="preserve"> </w:t>
      </w:r>
      <w:r>
        <w:rPr>
          <w:rFonts w:ascii="Arial" w:cs="Arial" w:eastAsia="Arial" w:hAnsi="Arial"/>
          <w:sz w:val="18"/>
          <w:szCs w:val="18"/>
          <w:color w:val="383838"/>
        </w:rPr>
        <w:t>You</w:t>
      </w:r>
      <w:r>
        <w:rPr>
          <w:rFonts w:ascii="Arial" w:cs="Arial" w:eastAsia="Arial" w:hAnsi="Arial"/>
          <w:sz w:val="18"/>
          <w:szCs w:val="18"/>
          <w:b w:val="1"/>
          <w:bCs w:val="1"/>
          <w:color w:val="262626"/>
        </w:rPr>
        <w:t xml:space="preserve"> </w:t>
      </w:r>
      <w:r>
        <w:rPr>
          <w:rFonts w:ascii="Arial" w:cs="Arial" w:eastAsia="Arial" w:hAnsi="Arial"/>
          <w:sz w:val="18"/>
          <w:szCs w:val="18"/>
          <w:color w:val="262626"/>
        </w:rPr>
        <w:t>received a</w:t>
      </w:r>
      <w:r>
        <w:rPr>
          <w:rFonts w:ascii="Arial" w:cs="Arial" w:eastAsia="Arial" w:hAnsi="Arial"/>
          <w:sz w:val="18"/>
          <w:szCs w:val="18"/>
          <w:b w:val="1"/>
          <w:bCs w:val="1"/>
          <w:color w:val="262626"/>
        </w:rPr>
        <w:t xml:space="preserve"> </w:t>
      </w:r>
      <w:r>
        <w:rPr>
          <w:rFonts w:ascii="Arial" w:cs="Arial" w:eastAsia="Arial" w:hAnsi="Arial"/>
          <w:sz w:val="18"/>
          <w:szCs w:val="18"/>
          <w:color w:val="383838"/>
        </w:rPr>
        <w:t>sign-on</w:t>
      </w:r>
      <w:r>
        <w:rPr>
          <w:rFonts w:ascii="Arial" w:cs="Arial" w:eastAsia="Arial" w:hAnsi="Arial"/>
          <w:sz w:val="18"/>
          <w:szCs w:val="18"/>
          <w:b w:val="1"/>
          <w:bCs w:val="1"/>
          <w:color w:val="262626"/>
        </w:rPr>
        <w:t xml:space="preserve"> </w:t>
      </w:r>
      <w:r>
        <w:rPr>
          <w:rFonts w:ascii="Arial" w:cs="Arial" w:eastAsia="Arial" w:hAnsi="Arial"/>
          <w:sz w:val="18"/>
          <w:szCs w:val="18"/>
          <w:color w:val="262626"/>
        </w:rPr>
        <w:t>bonus of $30</w:t>
      </w:r>
      <w:r>
        <w:rPr>
          <w:rFonts w:ascii="Arial" w:cs="Arial" w:eastAsia="Arial" w:hAnsi="Arial"/>
          <w:sz w:val="18"/>
          <w:szCs w:val="18"/>
          <w:color w:val="494849"/>
        </w:rPr>
        <w:t>,</w:t>
      </w:r>
      <w:r>
        <w:rPr>
          <w:rFonts w:ascii="Arial" w:cs="Arial" w:eastAsia="Arial" w:hAnsi="Arial"/>
          <w:sz w:val="18"/>
          <w:szCs w:val="18"/>
          <w:color w:val="262626"/>
        </w:rPr>
        <w:t>000</w:t>
      </w:r>
      <w:r>
        <w:rPr>
          <w:rFonts w:ascii="Arial" w:cs="Arial" w:eastAsia="Arial" w:hAnsi="Arial"/>
          <w:sz w:val="18"/>
          <w:szCs w:val="18"/>
          <w:color w:val="494849"/>
        </w:rPr>
        <w:t>,</w:t>
      </w:r>
      <w:r>
        <w:rPr>
          <w:rFonts w:ascii="Arial" w:cs="Arial" w:eastAsia="Arial" w:hAnsi="Arial"/>
          <w:sz w:val="18"/>
          <w:szCs w:val="18"/>
          <w:b w:val="1"/>
          <w:bCs w:val="1"/>
          <w:color w:val="262626"/>
        </w:rPr>
        <w:t xml:space="preserve"> </w:t>
      </w:r>
      <w:r>
        <w:rPr>
          <w:rFonts w:ascii="Arial" w:cs="Arial" w:eastAsia="Arial" w:hAnsi="Arial"/>
          <w:sz w:val="18"/>
          <w:szCs w:val="18"/>
          <w:color w:val="262626"/>
        </w:rPr>
        <w:t>which will need to be repaid to the Company. However</w:t>
      </w:r>
      <w:r>
        <w:rPr>
          <w:rFonts w:ascii="Arial" w:cs="Arial" w:eastAsia="Arial" w:hAnsi="Arial"/>
          <w:sz w:val="18"/>
          <w:szCs w:val="18"/>
          <w:color w:val="494849"/>
        </w:rPr>
        <w:t>,</w:t>
      </w:r>
      <w:r>
        <w:rPr>
          <w:rFonts w:ascii="Arial" w:cs="Arial" w:eastAsia="Arial" w:hAnsi="Arial"/>
          <w:sz w:val="18"/>
          <w:szCs w:val="18"/>
          <w:b w:val="1"/>
          <w:bCs w:val="1"/>
          <w:color w:val="262626"/>
        </w:rPr>
        <w:t xml:space="preserve"> </w:t>
      </w:r>
      <w:r>
        <w:rPr>
          <w:rFonts w:ascii="Arial" w:cs="Arial" w:eastAsia="Arial" w:hAnsi="Arial"/>
          <w:sz w:val="18"/>
          <w:szCs w:val="18"/>
          <w:color w:val="262626"/>
        </w:rPr>
        <w:t>conditioned</w:t>
      </w:r>
      <w:r>
        <w:rPr>
          <w:rFonts w:ascii="Arial" w:cs="Arial" w:eastAsia="Arial" w:hAnsi="Arial"/>
          <w:sz w:val="18"/>
          <w:szCs w:val="18"/>
          <w:b w:val="1"/>
          <w:bCs w:val="1"/>
          <w:color w:val="262626"/>
        </w:rPr>
        <w:t xml:space="preserve"> </w:t>
      </w:r>
      <w:r>
        <w:rPr>
          <w:rFonts w:ascii="Arial" w:cs="Arial" w:eastAsia="Arial" w:hAnsi="Arial"/>
          <w:sz w:val="18"/>
          <w:szCs w:val="18"/>
          <w:color w:val="262626"/>
        </w:rPr>
        <w:t xml:space="preserve">expressly on </w:t>
      </w:r>
      <w:r>
        <w:rPr>
          <w:rFonts w:ascii="Arial" w:cs="Arial" w:eastAsia="Arial" w:hAnsi="Arial"/>
          <w:sz w:val="18"/>
          <w:szCs w:val="18"/>
          <w:color w:val="383838"/>
        </w:rPr>
        <w:t>your</w:t>
      </w:r>
      <w:r>
        <w:rPr>
          <w:rFonts w:ascii="Arial" w:cs="Arial" w:eastAsia="Arial" w:hAnsi="Arial"/>
          <w:sz w:val="18"/>
          <w:szCs w:val="18"/>
          <w:color w:val="262626"/>
        </w:rPr>
        <w:t xml:space="preserve"> acceptance of this Agreement</w:t>
      </w:r>
      <w:r>
        <w:rPr>
          <w:rFonts w:ascii="Arial" w:cs="Arial" w:eastAsia="Arial" w:hAnsi="Arial"/>
          <w:sz w:val="18"/>
          <w:szCs w:val="18"/>
          <w:color w:val="494849"/>
        </w:rPr>
        <w:t>,</w:t>
      </w:r>
      <w:r>
        <w:rPr>
          <w:rFonts w:ascii="Arial" w:cs="Arial" w:eastAsia="Arial" w:hAnsi="Arial"/>
          <w:sz w:val="18"/>
          <w:szCs w:val="18"/>
          <w:color w:val="262626"/>
        </w:rPr>
        <w:t xml:space="preserve"> and serving as valuable consideration that supports your release of claims and promises in this Agreement, the Company </w:t>
      </w:r>
      <w:r>
        <w:rPr>
          <w:rFonts w:ascii="Arial" w:cs="Arial" w:eastAsia="Arial" w:hAnsi="Arial"/>
          <w:sz w:val="18"/>
          <w:szCs w:val="18"/>
          <w:color w:val="383838"/>
        </w:rPr>
        <w:t>will</w:t>
      </w:r>
      <w:r>
        <w:rPr>
          <w:rFonts w:ascii="Arial" w:cs="Arial" w:eastAsia="Arial" w:hAnsi="Arial"/>
          <w:sz w:val="18"/>
          <w:szCs w:val="18"/>
          <w:color w:val="262626"/>
        </w:rPr>
        <w:t xml:space="preserve"> reduce the amount owed to $20</w:t>
      </w:r>
      <w:r>
        <w:rPr>
          <w:rFonts w:ascii="Arial" w:cs="Arial" w:eastAsia="Arial" w:hAnsi="Arial"/>
          <w:sz w:val="18"/>
          <w:szCs w:val="18"/>
          <w:color w:val="494849"/>
        </w:rPr>
        <w:t>,</w:t>
      </w:r>
      <w:r>
        <w:rPr>
          <w:rFonts w:ascii="Arial" w:cs="Arial" w:eastAsia="Arial" w:hAnsi="Arial"/>
          <w:sz w:val="18"/>
          <w:szCs w:val="18"/>
          <w:color w:val="262626"/>
        </w:rPr>
        <w:t xml:space="preserve">000 </w:t>
      </w:r>
      <w:r>
        <w:rPr>
          <w:rFonts w:ascii="Arial" w:cs="Arial" w:eastAsia="Arial" w:hAnsi="Arial"/>
          <w:sz w:val="18"/>
          <w:szCs w:val="18"/>
          <w:color w:val="383838"/>
        </w:rPr>
        <w:t>which</w:t>
      </w:r>
      <w:r>
        <w:rPr>
          <w:rFonts w:ascii="Arial" w:cs="Arial" w:eastAsia="Arial" w:hAnsi="Arial"/>
          <w:sz w:val="18"/>
          <w:szCs w:val="18"/>
          <w:color w:val="262626"/>
        </w:rPr>
        <w:t xml:space="preserve"> must be paid no later than April 16</w:t>
      </w:r>
      <w:r>
        <w:rPr>
          <w:rFonts w:ascii="Arial" w:cs="Arial" w:eastAsia="Arial" w:hAnsi="Arial"/>
          <w:sz w:val="18"/>
          <w:szCs w:val="18"/>
          <w:color w:val="494849"/>
        </w:rPr>
        <w:t>,</w:t>
      </w:r>
      <w:r>
        <w:rPr>
          <w:rFonts w:ascii="Arial" w:cs="Arial" w:eastAsia="Arial" w:hAnsi="Arial"/>
          <w:sz w:val="18"/>
          <w:szCs w:val="18"/>
          <w:color w:val="262626"/>
        </w:rPr>
        <w:t xml:space="preserve"> 2021. Please </w:t>
      </w:r>
      <w:r>
        <w:rPr>
          <w:rFonts w:ascii="Arial" w:cs="Arial" w:eastAsia="Arial" w:hAnsi="Arial"/>
          <w:sz w:val="18"/>
          <w:szCs w:val="18"/>
          <w:color w:val="383838"/>
        </w:rPr>
        <w:t>see</w:t>
      </w:r>
      <w:r>
        <w:rPr>
          <w:rFonts w:ascii="Arial" w:cs="Arial" w:eastAsia="Arial" w:hAnsi="Arial"/>
          <w:sz w:val="18"/>
          <w:szCs w:val="18"/>
          <w:color w:val="262626"/>
        </w:rPr>
        <w:t xml:space="preserve"> below clause.</w:t>
      </w:r>
    </w:p>
    <w:p>
      <w:pPr>
        <w:spacing w:after="0" w:line="184" w:lineRule="exact"/>
        <w:rPr>
          <w:sz w:val="20"/>
          <w:szCs w:val="20"/>
          <w:color w:val="auto"/>
        </w:rPr>
      </w:pPr>
    </w:p>
    <w:p>
      <w:pPr>
        <w:ind w:left="1300" w:right="40"/>
        <w:spacing w:after="0" w:line="277" w:lineRule="auto"/>
        <w:rPr>
          <w:sz w:val="20"/>
          <w:szCs w:val="20"/>
          <w:color w:val="auto"/>
        </w:rPr>
      </w:pPr>
      <w:r>
        <w:rPr>
          <w:rFonts w:ascii="Arial" w:cs="Arial" w:eastAsia="Arial" w:hAnsi="Arial"/>
          <w:sz w:val="18"/>
          <w:szCs w:val="18"/>
          <w:color w:val="262626"/>
        </w:rPr>
        <w:t xml:space="preserve">“Should you voluntarily </w:t>
      </w:r>
      <w:r>
        <w:rPr>
          <w:rFonts w:ascii="Arial" w:cs="Arial" w:eastAsia="Arial" w:hAnsi="Arial"/>
          <w:sz w:val="18"/>
          <w:szCs w:val="18"/>
          <w:color w:val="383838"/>
        </w:rPr>
        <w:t>vacate</w:t>
      </w:r>
      <w:r>
        <w:rPr>
          <w:rFonts w:ascii="Arial" w:cs="Arial" w:eastAsia="Arial" w:hAnsi="Arial"/>
          <w:sz w:val="18"/>
          <w:szCs w:val="18"/>
          <w:color w:val="262626"/>
        </w:rPr>
        <w:t xml:space="preserve"> your position within a one-year period, you will be required to refund the Company the $30</w:t>
      </w:r>
      <w:r>
        <w:rPr>
          <w:rFonts w:ascii="Arial" w:cs="Arial" w:eastAsia="Arial" w:hAnsi="Arial"/>
          <w:sz w:val="18"/>
          <w:szCs w:val="18"/>
          <w:color w:val="494849"/>
        </w:rPr>
        <w:t>,</w:t>
      </w:r>
      <w:r>
        <w:rPr>
          <w:rFonts w:ascii="Arial" w:cs="Arial" w:eastAsia="Arial" w:hAnsi="Arial"/>
          <w:sz w:val="18"/>
          <w:szCs w:val="18"/>
          <w:color w:val="262626"/>
        </w:rPr>
        <w:t>000 bonus in full.”</w:t>
      </w:r>
    </w:p>
    <w:p>
      <w:pPr>
        <w:spacing w:after="0" w:line="166" w:lineRule="exact"/>
        <w:rPr>
          <w:sz w:val="20"/>
          <w:szCs w:val="20"/>
          <w:color w:val="auto"/>
        </w:rPr>
      </w:pPr>
    </w:p>
    <w:p>
      <w:pPr>
        <w:jc w:val="both"/>
        <w:ind w:left="340" w:hanging="332"/>
        <w:spacing w:after="0" w:line="266" w:lineRule="auto"/>
        <w:tabs>
          <w:tab w:leader="none" w:pos="340" w:val="left"/>
        </w:tabs>
        <w:numPr>
          <w:ilvl w:val="0"/>
          <w:numId w:val="18"/>
        </w:numPr>
        <w:rPr>
          <w:rFonts w:ascii="Arial" w:cs="Arial" w:eastAsia="Arial" w:hAnsi="Arial"/>
          <w:sz w:val="18"/>
          <w:szCs w:val="18"/>
          <w:b w:val="1"/>
          <w:bCs w:val="1"/>
          <w:color w:val="262626"/>
        </w:rPr>
      </w:pPr>
      <w:r>
        <w:rPr>
          <w:rFonts w:ascii="Arial" w:cs="Arial" w:eastAsia="Arial" w:hAnsi="Arial"/>
          <w:sz w:val="18"/>
          <w:szCs w:val="18"/>
          <w:b w:val="1"/>
          <w:bCs w:val="1"/>
          <w:color w:val="262626"/>
        </w:rPr>
        <w:t xml:space="preserve">Stock Options </w:t>
      </w:r>
      <w:r>
        <w:rPr>
          <w:rFonts w:ascii="Arial" w:cs="Arial" w:eastAsia="Arial" w:hAnsi="Arial"/>
          <w:sz w:val="18"/>
          <w:szCs w:val="18"/>
          <w:color w:val="262626"/>
        </w:rPr>
        <w:t>-</w:t>
      </w:r>
      <w:r>
        <w:rPr>
          <w:rFonts w:ascii="Arial" w:cs="Arial" w:eastAsia="Arial" w:hAnsi="Arial"/>
          <w:sz w:val="18"/>
          <w:szCs w:val="18"/>
          <w:b w:val="1"/>
          <w:bCs w:val="1"/>
          <w:color w:val="262626"/>
        </w:rPr>
        <w:t xml:space="preserve"> </w:t>
      </w:r>
      <w:r>
        <w:rPr>
          <w:rFonts w:ascii="Arial" w:cs="Arial" w:eastAsia="Arial" w:hAnsi="Arial"/>
          <w:sz w:val="18"/>
          <w:szCs w:val="18"/>
          <w:color w:val="494849"/>
        </w:rPr>
        <w:t>U</w:t>
      </w:r>
      <w:r>
        <w:rPr>
          <w:rFonts w:ascii="Arial" w:cs="Arial" w:eastAsia="Arial" w:hAnsi="Arial"/>
          <w:sz w:val="18"/>
          <w:szCs w:val="18"/>
          <w:color w:val="262626"/>
        </w:rPr>
        <w:t>nder the terms of</w:t>
      </w:r>
      <w:r>
        <w:rPr>
          <w:rFonts w:ascii="Arial" w:cs="Arial" w:eastAsia="Arial" w:hAnsi="Arial"/>
          <w:sz w:val="18"/>
          <w:szCs w:val="18"/>
          <w:b w:val="1"/>
          <w:bCs w:val="1"/>
          <w:color w:val="262626"/>
        </w:rPr>
        <w:t xml:space="preserve"> </w:t>
      </w:r>
      <w:r>
        <w:rPr>
          <w:rFonts w:ascii="Arial" w:cs="Arial" w:eastAsia="Arial" w:hAnsi="Arial"/>
          <w:sz w:val="18"/>
          <w:szCs w:val="18"/>
          <w:color w:val="383838"/>
        </w:rPr>
        <w:t>your stock</w:t>
      </w:r>
      <w:r>
        <w:rPr>
          <w:rFonts w:ascii="Arial" w:cs="Arial" w:eastAsia="Arial" w:hAnsi="Arial"/>
          <w:sz w:val="18"/>
          <w:szCs w:val="18"/>
          <w:b w:val="1"/>
          <w:bCs w:val="1"/>
          <w:color w:val="262626"/>
        </w:rPr>
        <w:t xml:space="preserve"> </w:t>
      </w:r>
      <w:r>
        <w:rPr>
          <w:rFonts w:ascii="Arial" w:cs="Arial" w:eastAsia="Arial" w:hAnsi="Arial"/>
          <w:sz w:val="18"/>
          <w:szCs w:val="18"/>
          <w:color w:val="262626"/>
        </w:rPr>
        <w:t>option agreement and the applicable plan documents</w:t>
      </w:r>
      <w:r>
        <w:rPr>
          <w:rFonts w:ascii="Arial" w:cs="Arial" w:eastAsia="Arial" w:hAnsi="Arial"/>
          <w:sz w:val="18"/>
          <w:szCs w:val="18"/>
          <w:color w:val="494849"/>
        </w:rPr>
        <w:t>,</w:t>
      </w:r>
      <w:r>
        <w:rPr>
          <w:rFonts w:ascii="Arial" w:cs="Arial" w:eastAsia="Arial" w:hAnsi="Arial"/>
          <w:sz w:val="18"/>
          <w:szCs w:val="18"/>
          <w:b w:val="1"/>
          <w:bCs w:val="1"/>
          <w:color w:val="262626"/>
        </w:rPr>
        <w:t xml:space="preserve"> </w:t>
      </w:r>
      <w:r>
        <w:rPr>
          <w:rFonts w:ascii="Arial" w:cs="Arial" w:eastAsia="Arial" w:hAnsi="Arial"/>
          <w:sz w:val="18"/>
          <w:szCs w:val="18"/>
          <w:color w:val="383838"/>
        </w:rPr>
        <w:t>vesting</w:t>
      </w:r>
      <w:r>
        <w:rPr>
          <w:rFonts w:ascii="Arial" w:cs="Arial" w:eastAsia="Arial" w:hAnsi="Arial"/>
          <w:sz w:val="18"/>
          <w:szCs w:val="18"/>
          <w:b w:val="1"/>
          <w:bCs w:val="1"/>
          <w:color w:val="262626"/>
        </w:rPr>
        <w:t xml:space="preserve"> </w:t>
      </w:r>
      <w:r>
        <w:rPr>
          <w:rFonts w:ascii="Arial" w:cs="Arial" w:eastAsia="Arial" w:hAnsi="Arial"/>
          <w:sz w:val="18"/>
          <w:szCs w:val="18"/>
          <w:color w:val="262626"/>
        </w:rPr>
        <w:t>of</w:t>
      </w:r>
      <w:r>
        <w:rPr>
          <w:rFonts w:ascii="Arial" w:cs="Arial" w:eastAsia="Arial" w:hAnsi="Arial"/>
          <w:sz w:val="18"/>
          <w:szCs w:val="18"/>
          <w:b w:val="1"/>
          <w:bCs w:val="1"/>
          <w:color w:val="262626"/>
        </w:rPr>
        <w:t xml:space="preserve"> </w:t>
      </w:r>
      <w:r>
        <w:rPr>
          <w:rFonts w:ascii="Arial" w:cs="Arial" w:eastAsia="Arial" w:hAnsi="Arial"/>
          <w:sz w:val="18"/>
          <w:szCs w:val="18"/>
          <w:color w:val="383838"/>
        </w:rPr>
        <w:t>your</w:t>
      </w:r>
      <w:r>
        <w:rPr>
          <w:rFonts w:ascii="Arial" w:cs="Arial" w:eastAsia="Arial" w:hAnsi="Arial"/>
          <w:sz w:val="18"/>
          <w:szCs w:val="18"/>
          <w:b w:val="1"/>
          <w:bCs w:val="1"/>
          <w:color w:val="262626"/>
        </w:rPr>
        <w:t xml:space="preserve"> </w:t>
      </w:r>
      <w:r>
        <w:rPr>
          <w:rFonts w:ascii="Arial" w:cs="Arial" w:eastAsia="Arial" w:hAnsi="Arial"/>
          <w:sz w:val="18"/>
          <w:szCs w:val="18"/>
          <w:color w:val="262626"/>
        </w:rPr>
        <w:t>stock options</w:t>
      </w:r>
      <w:r>
        <w:rPr>
          <w:rFonts w:ascii="Arial" w:cs="Arial" w:eastAsia="Arial" w:hAnsi="Arial"/>
          <w:sz w:val="18"/>
          <w:szCs w:val="18"/>
          <w:b w:val="1"/>
          <w:bCs w:val="1"/>
          <w:color w:val="262626"/>
        </w:rPr>
        <w:t xml:space="preserve"> </w:t>
      </w:r>
      <w:r>
        <w:rPr>
          <w:rFonts w:ascii="Arial" w:cs="Arial" w:eastAsia="Arial" w:hAnsi="Arial"/>
          <w:sz w:val="18"/>
          <w:szCs w:val="18"/>
          <w:color w:val="262626"/>
        </w:rPr>
        <w:t xml:space="preserve">will cease as of the Separation Date. </w:t>
      </w:r>
      <w:r>
        <w:rPr>
          <w:rFonts w:ascii="Arial" w:cs="Arial" w:eastAsia="Arial" w:hAnsi="Arial"/>
          <w:sz w:val="18"/>
          <w:szCs w:val="18"/>
          <w:color w:val="383838"/>
        </w:rPr>
        <w:t>Your</w:t>
      </w:r>
      <w:r>
        <w:rPr>
          <w:rFonts w:ascii="Arial" w:cs="Arial" w:eastAsia="Arial" w:hAnsi="Arial"/>
          <w:sz w:val="18"/>
          <w:szCs w:val="18"/>
          <w:color w:val="262626"/>
        </w:rPr>
        <w:t xml:space="preserve"> right to exercise any vested shares</w:t>
      </w:r>
      <w:r>
        <w:rPr>
          <w:rFonts w:ascii="Arial" w:cs="Arial" w:eastAsia="Arial" w:hAnsi="Arial"/>
          <w:sz w:val="18"/>
          <w:szCs w:val="18"/>
          <w:color w:val="494849"/>
        </w:rPr>
        <w:t>,</w:t>
      </w:r>
      <w:r>
        <w:rPr>
          <w:rFonts w:ascii="Arial" w:cs="Arial" w:eastAsia="Arial" w:hAnsi="Arial"/>
          <w:sz w:val="18"/>
          <w:szCs w:val="18"/>
          <w:color w:val="262626"/>
        </w:rPr>
        <w:t xml:space="preserve"> and all other rights and obligations with respect to your stock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45" w:name="page46"/>
    <w:bookmarkEnd w:id="45"/>
    <w:p>
      <w:pPr>
        <w:ind w:left="332"/>
        <w:spacing w:after="0"/>
        <w:rPr>
          <w:sz w:val="20"/>
          <w:szCs w:val="20"/>
          <w:color w:val="auto"/>
        </w:rPr>
      </w:pPr>
      <w:r>
        <w:rPr>
          <w:rFonts w:ascii="Arial" w:cs="Arial" w:eastAsia="Arial" w:hAnsi="Arial"/>
          <w:sz w:val="18"/>
          <w:szCs w:val="18"/>
          <w:color w:val="282828"/>
        </w:rPr>
        <w:t>options(s)</w:t>
      </w:r>
      <w:r>
        <w:rPr>
          <w:rFonts w:ascii="Arial" w:cs="Arial" w:eastAsia="Arial" w:hAnsi="Arial"/>
          <w:sz w:val="18"/>
          <w:szCs w:val="18"/>
          <w:color w:val="4B4B4B"/>
        </w:rPr>
        <w:t>,</w:t>
      </w:r>
      <w:r>
        <w:rPr>
          <w:rFonts w:ascii="Arial" w:cs="Arial" w:eastAsia="Arial" w:hAnsi="Arial"/>
          <w:sz w:val="18"/>
          <w:szCs w:val="18"/>
          <w:color w:val="282828"/>
        </w:rPr>
        <w:t xml:space="preserve"> will be as set forth in your stock option agreement, grant notice and applicable plan documents.</w:t>
      </w:r>
    </w:p>
    <w:p>
      <w:pPr>
        <w:spacing w:after="0" w:line="221" w:lineRule="exact"/>
        <w:rPr>
          <w:sz w:val="20"/>
          <w:szCs w:val="20"/>
          <w:color w:val="auto"/>
        </w:rPr>
      </w:pPr>
    </w:p>
    <w:p>
      <w:pPr>
        <w:jc w:val="both"/>
        <w:ind w:left="332" w:hanging="332"/>
        <w:spacing w:after="0" w:line="258" w:lineRule="auto"/>
        <w:tabs>
          <w:tab w:leader="none" w:pos="332" w:val="left"/>
        </w:tabs>
        <w:numPr>
          <w:ilvl w:val="0"/>
          <w:numId w:val="19"/>
        </w:numPr>
        <w:rPr>
          <w:rFonts w:ascii="Arial" w:cs="Arial" w:eastAsia="Arial" w:hAnsi="Arial"/>
          <w:sz w:val="18"/>
          <w:szCs w:val="18"/>
          <w:b w:val="1"/>
          <w:bCs w:val="1"/>
          <w:color w:val="282828"/>
        </w:rPr>
      </w:pPr>
      <w:r>
        <w:rPr>
          <w:rFonts w:ascii="Arial" w:cs="Arial" w:eastAsia="Arial" w:hAnsi="Arial"/>
          <w:sz w:val="18"/>
          <w:szCs w:val="18"/>
          <w:b w:val="1"/>
          <w:bCs w:val="1"/>
          <w:color w:val="282828"/>
        </w:rPr>
        <w:t xml:space="preserve">Other Compensation </w:t>
      </w:r>
      <w:r>
        <w:rPr>
          <w:rFonts w:ascii="Arial" w:cs="Arial" w:eastAsia="Arial" w:hAnsi="Arial"/>
          <w:sz w:val="18"/>
          <w:szCs w:val="18"/>
          <w:b w:val="1"/>
          <w:bCs w:val="1"/>
          <w:color w:val="181818"/>
        </w:rPr>
        <w:t>or Benefits</w:t>
      </w:r>
      <w:r>
        <w:rPr>
          <w:rFonts w:ascii="Arial" w:cs="Arial" w:eastAsia="Arial" w:hAnsi="Arial"/>
          <w:sz w:val="18"/>
          <w:szCs w:val="18"/>
          <w:b w:val="1"/>
          <w:bCs w:val="1"/>
          <w:color w:val="282828"/>
        </w:rPr>
        <w:t xml:space="preserve"> </w:t>
      </w:r>
      <w:r>
        <w:rPr>
          <w:rFonts w:ascii="Arial" w:cs="Arial" w:eastAsia="Arial" w:hAnsi="Arial"/>
          <w:sz w:val="18"/>
          <w:szCs w:val="18"/>
          <w:color w:val="282828"/>
        </w:rPr>
        <w:t>- You acknowledge that, except as expressly provided in this Agreement, you have not earned</w:t>
      </w:r>
      <w:r>
        <w:rPr>
          <w:rFonts w:ascii="Arial" w:cs="Arial" w:eastAsia="Arial" w:hAnsi="Arial"/>
          <w:sz w:val="18"/>
          <w:szCs w:val="18"/>
          <w:color w:val="4B4B4B"/>
        </w:rPr>
        <w:t>,</w:t>
      </w:r>
      <w:r>
        <w:rPr>
          <w:rFonts w:ascii="Arial" w:cs="Arial" w:eastAsia="Arial" w:hAnsi="Arial"/>
          <w:sz w:val="18"/>
          <w:szCs w:val="18"/>
          <w:b w:val="1"/>
          <w:bCs w:val="1"/>
          <w:color w:val="282828"/>
        </w:rPr>
        <w:t xml:space="preserve"> </w:t>
      </w:r>
      <w:r>
        <w:rPr>
          <w:rFonts w:ascii="Arial" w:cs="Arial" w:eastAsia="Arial" w:hAnsi="Arial"/>
          <w:sz w:val="18"/>
          <w:szCs w:val="18"/>
          <w:color w:val="181818"/>
        </w:rPr>
        <w:t xml:space="preserve">are </w:t>
      </w:r>
      <w:r>
        <w:rPr>
          <w:rFonts w:ascii="Arial" w:cs="Arial" w:eastAsia="Arial" w:hAnsi="Arial"/>
          <w:sz w:val="18"/>
          <w:szCs w:val="18"/>
          <w:color w:val="282828"/>
        </w:rPr>
        <w:t>not entitled to payout of, and will not</w:t>
      </w:r>
      <w:r>
        <w:rPr>
          <w:rFonts w:ascii="Arial" w:cs="Arial" w:eastAsia="Arial" w:hAnsi="Arial"/>
          <w:sz w:val="18"/>
          <w:szCs w:val="18"/>
          <w:color w:val="181818"/>
        </w:rPr>
        <w:t xml:space="preserve"> receive </w:t>
      </w:r>
      <w:r>
        <w:rPr>
          <w:rFonts w:ascii="Arial" w:cs="Arial" w:eastAsia="Arial" w:hAnsi="Arial"/>
          <w:sz w:val="18"/>
          <w:szCs w:val="18"/>
          <w:color w:val="282828"/>
        </w:rPr>
        <w:t>from the Company any additional compensation (including base salary</w:t>
      </w:r>
      <w:r>
        <w:rPr>
          <w:rFonts w:ascii="Arial" w:cs="Arial" w:eastAsia="Arial" w:hAnsi="Arial"/>
          <w:sz w:val="18"/>
          <w:szCs w:val="18"/>
          <w:color w:val="4B4B4B"/>
        </w:rPr>
        <w:t>,</w:t>
      </w:r>
      <w:r>
        <w:rPr>
          <w:rFonts w:ascii="Arial" w:cs="Arial" w:eastAsia="Arial" w:hAnsi="Arial"/>
          <w:sz w:val="18"/>
          <w:szCs w:val="18"/>
          <w:color w:val="181818"/>
        </w:rPr>
        <w:t xml:space="preserve"> </w:t>
      </w:r>
      <w:r>
        <w:rPr>
          <w:rFonts w:ascii="Arial" w:cs="Arial" w:eastAsia="Arial" w:hAnsi="Arial"/>
          <w:sz w:val="18"/>
          <w:szCs w:val="18"/>
          <w:color w:val="282828"/>
        </w:rPr>
        <w:t>bonus</w:t>
      </w:r>
      <w:r>
        <w:rPr>
          <w:rFonts w:ascii="Arial" w:cs="Arial" w:eastAsia="Arial" w:hAnsi="Arial"/>
          <w:sz w:val="18"/>
          <w:szCs w:val="18"/>
          <w:color w:val="4B4B4B"/>
        </w:rPr>
        <w:t>,</w:t>
      </w:r>
      <w:r>
        <w:rPr>
          <w:rFonts w:ascii="Arial" w:cs="Arial" w:eastAsia="Arial" w:hAnsi="Arial"/>
          <w:sz w:val="18"/>
          <w:szCs w:val="18"/>
          <w:color w:val="181818"/>
        </w:rPr>
        <w:t xml:space="preserve"> </w:t>
      </w:r>
      <w:r>
        <w:rPr>
          <w:rFonts w:ascii="Arial" w:cs="Arial" w:eastAsia="Arial" w:hAnsi="Arial"/>
          <w:sz w:val="18"/>
          <w:szCs w:val="18"/>
          <w:color w:val="282828"/>
        </w:rPr>
        <w:t>PTO/Sick, incentive compensation</w:t>
      </w:r>
      <w:r>
        <w:rPr>
          <w:rFonts w:ascii="Arial" w:cs="Arial" w:eastAsia="Arial" w:hAnsi="Arial"/>
          <w:sz w:val="18"/>
          <w:szCs w:val="18"/>
          <w:color w:val="4B4B4B"/>
        </w:rPr>
        <w:t>,</w:t>
      </w:r>
      <w:r>
        <w:rPr>
          <w:rFonts w:ascii="Arial" w:cs="Arial" w:eastAsia="Arial" w:hAnsi="Arial"/>
          <w:sz w:val="18"/>
          <w:szCs w:val="18"/>
          <w:color w:val="282828"/>
        </w:rPr>
        <w:t xml:space="preserve"> or equity)</w:t>
      </w:r>
      <w:r>
        <w:rPr>
          <w:rFonts w:ascii="Arial" w:cs="Arial" w:eastAsia="Arial" w:hAnsi="Arial"/>
          <w:sz w:val="18"/>
          <w:szCs w:val="18"/>
          <w:color w:val="4B4B4B"/>
        </w:rPr>
        <w:t>,</w:t>
      </w:r>
      <w:r>
        <w:rPr>
          <w:rFonts w:ascii="Arial" w:cs="Arial" w:eastAsia="Arial" w:hAnsi="Arial"/>
          <w:sz w:val="18"/>
          <w:szCs w:val="18"/>
          <w:color w:val="282828"/>
        </w:rPr>
        <w:t xml:space="preserve"> </w:t>
      </w:r>
      <w:r>
        <w:rPr>
          <w:rFonts w:ascii="Arial" w:cs="Arial" w:eastAsia="Arial" w:hAnsi="Arial"/>
          <w:sz w:val="18"/>
          <w:szCs w:val="18"/>
          <w:color w:val="3B3B3B"/>
        </w:rPr>
        <w:t>severance,</w:t>
      </w:r>
      <w:r>
        <w:rPr>
          <w:rFonts w:ascii="Arial" w:cs="Arial" w:eastAsia="Arial" w:hAnsi="Arial"/>
          <w:sz w:val="18"/>
          <w:szCs w:val="18"/>
          <w:color w:val="282828"/>
        </w:rPr>
        <w:t xml:space="preserve"> or benefits before or after the Separation Date</w:t>
      </w:r>
      <w:r>
        <w:rPr>
          <w:rFonts w:ascii="Arial" w:cs="Arial" w:eastAsia="Arial" w:hAnsi="Arial"/>
          <w:sz w:val="18"/>
          <w:szCs w:val="18"/>
          <w:color w:val="4B4B4B"/>
        </w:rPr>
        <w:t>,</w:t>
      </w:r>
      <w:r>
        <w:rPr>
          <w:rFonts w:ascii="Arial" w:cs="Arial" w:eastAsia="Arial" w:hAnsi="Arial"/>
          <w:sz w:val="18"/>
          <w:szCs w:val="18"/>
          <w:color w:val="282828"/>
        </w:rPr>
        <w:t xml:space="preserve"> </w:t>
      </w:r>
      <w:r>
        <w:rPr>
          <w:rFonts w:ascii="Arial" w:cs="Arial" w:eastAsia="Arial" w:hAnsi="Arial"/>
          <w:sz w:val="18"/>
          <w:szCs w:val="18"/>
          <w:color w:val="3B3B3B"/>
        </w:rPr>
        <w:t>with</w:t>
      </w:r>
      <w:r>
        <w:rPr>
          <w:rFonts w:ascii="Arial" w:cs="Arial" w:eastAsia="Arial" w:hAnsi="Arial"/>
          <w:sz w:val="18"/>
          <w:szCs w:val="18"/>
          <w:color w:val="282828"/>
        </w:rPr>
        <w:t xml:space="preserve"> the exception of any vested right </w:t>
      </w:r>
      <w:r>
        <w:rPr>
          <w:rFonts w:ascii="Arial" w:cs="Arial" w:eastAsia="Arial" w:hAnsi="Arial"/>
          <w:sz w:val="18"/>
          <w:szCs w:val="18"/>
          <w:color w:val="3B3B3B"/>
        </w:rPr>
        <w:t>you</w:t>
      </w:r>
      <w:r>
        <w:rPr>
          <w:rFonts w:ascii="Arial" w:cs="Arial" w:eastAsia="Arial" w:hAnsi="Arial"/>
          <w:sz w:val="18"/>
          <w:szCs w:val="18"/>
          <w:color w:val="282828"/>
        </w:rPr>
        <w:t xml:space="preserve"> may have under the express terms of a written ERISA-qualified benefit </w:t>
      </w:r>
      <w:r>
        <w:rPr>
          <w:rFonts w:ascii="Arial" w:cs="Arial" w:eastAsia="Arial" w:hAnsi="Arial"/>
          <w:sz w:val="18"/>
          <w:szCs w:val="18"/>
          <w:color w:val="181818"/>
        </w:rPr>
        <w:t>plan</w:t>
      </w:r>
      <w:r>
        <w:rPr>
          <w:rFonts w:ascii="Arial" w:cs="Arial" w:eastAsia="Arial" w:hAnsi="Arial"/>
          <w:sz w:val="18"/>
          <w:szCs w:val="18"/>
          <w:color w:val="282828"/>
        </w:rPr>
        <w:t xml:space="preserve"> (e.g., 401(k) account) or any vested options.</w:t>
      </w:r>
    </w:p>
    <w:p>
      <w:pPr>
        <w:spacing w:after="0" w:line="183" w:lineRule="exact"/>
        <w:rPr>
          <w:rFonts w:ascii="Arial" w:cs="Arial" w:eastAsia="Arial" w:hAnsi="Arial"/>
          <w:sz w:val="18"/>
          <w:szCs w:val="18"/>
          <w:b w:val="1"/>
          <w:bCs w:val="1"/>
          <w:color w:val="282828"/>
        </w:rPr>
      </w:pPr>
    </w:p>
    <w:p>
      <w:pPr>
        <w:jc w:val="both"/>
        <w:ind w:left="332" w:hanging="332"/>
        <w:spacing w:after="0" w:line="277" w:lineRule="auto"/>
        <w:tabs>
          <w:tab w:leader="none" w:pos="332" w:val="left"/>
        </w:tabs>
        <w:numPr>
          <w:ilvl w:val="0"/>
          <w:numId w:val="19"/>
        </w:numPr>
        <w:rPr>
          <w:rFonts w:ascii="Arial" w:cs="Arial" w:eastAsia="Arial" w:hAnsi="Arial"/>
          <w:sz w:val="17"/>
          <w:szCs w:val="17"/>
          <w:b w:val="1"/>
          <w:bCs w:val="1"/>
          <w:color w:val="282828"/>
        </w:rPr>
      </w:pPr>
      <w:r>
        <w:rPr>
          <w:rFonts w:ascii="Arial" w:cs="Arial" w:eastAsia="Arial" w:hAnsi="Arial"/>
          <w:sz w:val="17"/>
          <w:szCs w:val="17"/>
          <w:b w:val="1"/>
          <w:bCs w:val="1"/>
          <w:color w:val="181818"/>
        </w:rPr>
        <w:t xml:space="preserve">Health </w:t>
      </w:r>
      <w:r>
        <w:rPr>
          <w:rFonts w:ascii="Arial" w:cs="Arial" w:eastAsia="Arial" w:hAnsi="Arial"/>
          <w:sz w:val="17"/>
          <w:szCs w:val="17"/>
          <w:b w:val="1"/>
          <w:bCs w:val="1"/>
          <w:color w:val="282828"/>
        </w:rPr>
        <w:t>Insurance</w:t>
      </w:r>
      <w:r>
        <w:rPr>
          <w:rFonts w:ascii="Arial" w:cs="Arial" w:eastAsia="Arial" w:hAnsi="Arial"/>
          <w:sz w:val="17"/>
          <w:szCs w:val="17"/>
          <w:b w:val="1"/>
          <w:bCs w:val="1"/>
          <w:color w:val="181818"/>
        </w:rPr>
        <w:t xml:space="preserve"> </w:t>
      </w:r>
      <w:r>
        <w:rPr>
          <w:rFonts w:ascii="Arial" w:cs="Arial" w:eastAsia="Arial" w:hAnsi="Arial"/>
          <w:sz w:val="17"/>
          <w:szCs w:val="17"/>
          <w:color w:val="181818"/>
        </w:rPr>
        <w:t>-</w:t>
      </w:r>
      <w:r>
        <w:rPr>
          <w:rFonts w:ascii="Arial" w:cs="Arial" w:eastAsia="Arial" w:hAnsi="Arial"/>
          <w:sz w:val="17"/>
          <w:szCs w:val="17"/>
          <w:b w:val="1"/>
          <w:bCs w:val="1"/>
          <w:color w:val="181818"/>
        </w:rPr>
        <w:t xml:space="preserve"> </w:t>
      </w:r>
      <w:r>
        <w:rPr>
          <w:rFonts w:ascii="Arial" w:cs="Arial" w:eastAsia="Arial" w:hAnsi="Arial"/>
          <w:sz w:val="17"/>
          <w:szCs w:val="17"/>
          <w:color w:val="282828"/>
        </w:rPr>
        <w:t>Your current medical</w:t>
      </w:r>
      <w:r>
        <w:rPr>
          <w:rFonts w:ascii="Arial" w:cs="Arial" w:eastAsia="Arial" w:hAnsi="Arial"/>
          <w:sz w:val="17"/>
          <w:szCs w:val="17"/>
          <w:color w:val="4B4B4B"/>
        </w:rPr>
        <w:t>,</w:t>
      </w:r>
      <w:r>
        <w:rPr>
          <w:rFonts w:ascii="Arial" w:cs="Arial" w:eastAsia="Arial" w:hAnsi="Arial"/>
          <w:sz w:val="17"/>
          <w:szCs w:val="17"/>
          <w:b w:val="1"/>
          <w:bCs w:val="1"/>
          <w:color w:val="181818"/>
        </w:rPr>
        <w:t xml:space="preserve"> </w:t>
      </w:r>
      <w:r>
        <w:rPr>
          <w:rFonts w:ascii="Arial" w:cs="Arial" w:eastAsia="Arial" w:hAnsi="Arial"/>
          <w:sz w:val="17"/>
          <w:szCs w:val="17"/>
          <w:color w:val="282828"/>
        </w:rPr>
        <w:t>dental and vision coverage will end the last day of month following</w:t>
      </w:r>
      <w:r>
        <w:rPr>
          <w:rFonts w:ascii="Arial" w:cs="Arial" w:eastAsia="Arial" w:hAnsi="Arial"/>
          <w:sz w:val="17"/>
          <w:szCs w:val="17"/>
          <w:b w:val="1"/>
          <w:bCs w:val="1"/>
          <w:color w:val="181818"/>
        </w:rPr>
        <w:t xml:space="preserve"> </w:t>
      </w:r>
      <w:r>
        <w:rPr>
          <w:rFonts w:ascii="Arial" w:cs="Arial" w:eastAsia="Arial" w:hAnsi="Arial"/>
          <w:sz w:val="17"/>
          <w:szCs w:val="17"/>
          <w:color w:val="3B3B3B"/>
        </w:rPr>
        <w:t>your</w:t>
      </w:r>
      <w:r>
        <w:rPr>
          <w:rFonts w:ascii="Arial" w:cs="Arial" w:eastAsia="Arial" w:hAnsi="Arial"/>
          <w:sz w:val="17"/>
          <w:szCs w:val="17"/>
          <w:b w:val="1"/>
          <w:bCs w:val="1"/>
          <w:color w:val="181818"/>
        </w:rPr>
        <w:t xml:space="preserve"> </w:t>
      </w:r>
      <w:r>
        <w:rPr>
          <w:rFonts w:ascii="Arial" w:cs="Arial" w:eastAsia="Arial" w:hAnsi="Arial"/>
          <w:sz w:val="17"/>
          <w:szCs w:val="17"/>
          <w:color w:val="282828"/>
        </w:rPr>
        <w:t>termination. To</w:t>
      </w:r>
      <w:r>
        <w:rPr>
          <w:rFonts w:ascii="Arial" w:cs="Arial" w:eastAsia="Arial" w:hAnsi="Arial"/>
          <w:sz w:val="17"/>
          <w:szCs w:val="17"/>
          <w:b w:val="1"/>
          <w:bCs w:val="1"/>
          <w:color w:val="181818"/>
        </w:rPr>
        <w:t xml:space="preserve"> </w:t>
      </w:r>
      <w:r>
        <w:rPr>
          <w:rFonts w:ascii="Arial" w:cs="Arial" w:eastAsia="Arial" w:hAnsi="Arial"/>
          <w:sz w:val="17"/>
          <w:szCs w:val="17"/>
          <w:color w:val="282828"/>
        </w:rPr>
        <w:t>the extent provided by the federal COBRA law or</w:t>
      </w:r>
      <w:r>
        <w:rPr>
          <w:rFonts w:ascii="Arial" w:cs="Arial" w:eastAsia="Arial" w:hAnsi="Arial"/>
          <w:sz w:val="17"/>
          <w:szCs w:val="17"/>
          <w:color w:val="4B4B4B"/>
        </w:rPr>
        <w:t>,</w:t>
      </w:r>
      <w:r>
        <w:rPr>
          <w:rFonts w:ascii="Arial" w:cs="Arial" w:eastAsia="Arial" w:hAnsi="Arial"/>
          <w:sz w:val="17"/>
          <w:szCs w:val="17"/>
          <w:color w:val="282828"/>
        </w:rPr>
        <w:t xml:space="preserve"> if applicable</w:t>
      </w:r>
      <w:r>
        <w:rPr>
          <w:rFonts w:ascii="Arial" w:cs="Arial" w:eastAsia="Arial" w:hAnsi="Arial"/>
          <w:sz w:val="17"/>
          <w:szCs w:val="17"/>
          <w:color w:val="4B4B4B"/>
        </w:rPr>
        <w:t>,</w:t>
      </w:r>
      <w:r>
        <w:rPr>
          <w:rFonts w:ascii="Arial" w:cs="Arial" w:eastAsia="Arial" w:hAnsi="Arial"/>
          <w:sz w:val="17"/>
          <w:szCs w:val="17"/>
          <w:color w:val="282828"/>
        </w:rPr>
        <w:t xml:space="preserve"> </w:t>
      </w:r>
      <w:r>
        <w:rPr>
          <w:rFonts w:ascii="Arial" w:cs="Arial" w:eastAsia="Arial" w:hAnsi="Arial"/>
          <w:sz w:val="17"/>
          <w:szCs w:val="17"/>
          <w:color w:val="3B3B3B"/>
        </w:rPr>
        <w:t>state</w:t>
      </w:r>
      <w:r>
        <w:rPr>
          <w:rFonts w:ascii="Arial" w:cs="Arial" w:eastAsia="Arial" w:hAnsi="Arial"/>
          <w:sz w:val="17"/>
          <w:szCs w:val="17"/>
          <w:color w:val="282828"/>
        </w:rPr>
        <w:t xml:space="preserve"> insurance laws, and by the Company</w:t>
      </w:r>
      <w:r>
        <w:rPr>
          <w:rFonts w:ascii="Arial" w:cs="Arial" w:eastAsia="Arial" w:hAnsi="Arial"/>
          <w:sz w:val="17"/>
          <w:szCs w:val="17"/>
          <w:color w:val="4B4B4B"/>
        </w:rPr>
        <w:t>' s</w:t>
      </w:r>
      <w:r>
        <w:rPr>
          <w:rFonts w:ascii="Arial" w:cs="Arial" w:eastAsia="Arial" w:hAnsi="Arial"/>
          <w:sz w:val="17"/>
          <w:szCs w:val="17"/>
          <w:color w:val="282828"/>
        </w:rPr>
        <w:t xml:space="preserve"> current group health insurance policies</w:t>
      </w:r>
      <w:r>
        <w:rPr>
          <w:rFonts w:ascii="Arial" w:cs="Arial" w:eastAsia="Arial" w:hAnsi="Arial"/>
          <w:sz w:val="17"/>
          <w:szCs w:val="17"/>
          <w:color w:val="4B4B4B"/>
        </w:rPr>
        <w:t>,</w:t>
      </w:r>
      <w:r>
        <w:rPr>
          <w:rFonts w:ascii="Arial" w:cs="Arial" w:eastAsia="Arial" w:hAnsi="Arial"/>
          <w:sz w:val="17"/>
          <w:szCs w:val="17"/>
          <w:color w:val="282828"/>
        </w:rPr>
        <w:t xml:space="preserve"> </w:t>
      </w:r>
      <w:r>
        <w:rPr>
          <w:rFonts w:ascii="Arial" w:cs="Arial" w:eastAsia="Arial" w:hAnsi="Arial"/>
          <w:sz w:val="17"/>
          <w:szCs w:val="17"/>
          <w:color w:val="3B3B3B"/>
        </w:rPr>
        <w:t>you</w:t>
      </w:r>
      <w:r>
        <w:rPr>
          <w:rFonts w:ascii="Arial" w:cs="Arial" w:eastAsia="Arial" w:hAnsi="Arial"/>
          <w:sz w:val="17"/>
          <w:szCs w:val="17"/>
          <w:color w:val="282828"/>
        </w:rPr>
        <w:t xml:space="preserve"> will be eligible to continue </w:t>
      </w:r>
      <w:r>
        <w:rPr>
          <w:rFonts w:ascii="Arial" w:cs="Arial" w:eastAsia="Arial" w:hAnsi="Arial"/>
          <w:sz w:val="17"/>
          <w:szCs w:val="17"/>
          <w:color w:val="3B3B3B"/>
        </w:rPr>
        <w:t>your</w:t>
      </w:r>
      <w:r>
        <w:rPr>
          <w:rFonts w:ascii="Arial" w:cs="Arial" w:eastAsia="Arial" w:hAnsi="Arial"/>
          <w:sz w:val="17"/>
          <w:szCs w:val="17"/>
          <w:color w:val="282828"/>
        </w:rPr>
        <w:t xml:space="preserve"> group health insurance benefits at your own expense. Later, you may </w:t>
      </w:r>
      <w:r>
        <w:rPr>
          <w:rFonts w:ascii="Arial" w:cs="Arial" w:eastAsia="Arial" w:hAnsi="Arial"/>
          <w:sz w:val="17"/>
          <w:szCs w:val="17"/>
          <w:color w:val="181818"/>
        </w:rPr>
        <w:t>be</w:t>
      </w:r>
      <w:r>
        <w:rPr>
          <w:rFonts w:ascii="Arial" w:cs="Arial" w:eastAsia="Arial" w:hAnsi="Arial"/>
          <w:sz w:val="17"/>
          <w:szCs w:val="17"/>
          <w:color w:val="282828"/>
        </w:rPr>
        <w:t xml:space="preserve"> able </w:t>
      </w:r>
      <w:r>
        <w:rPr>
          <w:rFonts w:ascii="Arial" w:cs="Arial" w:eastAsia="Arial" w:hAnsi="Arial"/>
          <w:sz w:val="17"/>
          <w:szCs w:val="17"/>
          <w:color w:val="181818"/>
        </w:rPr>
        <w:t xml:space="preserve">to convert </w:t>
      </w:r>
      <w:r>
        <w:rPr>
          <w:rFonts w:ascii="Arial" w:cs="Arial" w:eastAsia="Arial" w:hAnsi="Arial"/>
          <w:sz w:val="17"/>
          <w:szCs w:val="17"/>
          <w:color w:val="282828"/>
        </w:rPr>
        <w:t>to</w:t>
      </w:r>
      <w:r>
        <w:rPr>
          <w:rFonts w:ascii="Arial" w:cs="Arial" w:eastAsia="Arial" w:hAnsi="Arial"/>
          <w:sz w:val="17"/>
          <w:szCs w:val="17"/>
          <w:color w:val="181818"/>
        </w:rPr>
        <w:t xml:space="preserve"> an </w:t>
      </w:r>
      <w:r>
        <w:rPr>
          <w:rFonts w:ascii="Arial" w:cs="Arial" w:eastAsia="Arial" w:hAnsi="Arial"/>
          <w:sz w:val="17"/>
          <w:szCs w:val="17"/>
          <w:color w:val="282828"/>
        </w:rPr>
        <w:t>individual</w:t>
      </w:r>
      <w:r>
        <w:rPr>
          <w:rFonts w:ascii="Arial" w:cs="Arial" w:eastAsia="Arial" w:hAnsi="Arial"/>
          <w:sz w:val="17"/>
          <w:szCs w:val="17"/>
          <w:color w:val="181818"/>
        </w:rPr>
        <w:t xml:space="preserve"> policy through </w:t>
      </w:r>
      <w:r>
        <w:rPr>
          <w:rFonts w:ascii="Arial" w:cs="Arial" w:eastAsia="Arial" w:hAnsi="Arial"/>
          <w:sz w:val="17"/>
          <w:szCs w:val="17"/>
          <w:color w:val="282828"/>
        </w:rPr>
        <w:t>the</w:t>
      </w:r>
      <w:r>
        <w:rPr>
          <w:rFonts w:ascii="Arial" w:cs="Arial" w:eastAsia="Arial" w:hAnsi="Arial"/>
          <w:sz w:val="17"/>
          <w:szCs w:val="17"/>
          <w:color w:val="181818"/>
        </w:rPr>
        <w:t xml:space="preserve"> provider of </w:t>
      </w:r>
      <w:r>
        <w:rPr>
          <w:rFonts w:ascii="Arial" w:cs="Arial" w:eastAsia="Arial" w:hAnsi="Arial"/>
          <w:sz w:val="17"/>
          <w:szCs w:val="17"/>
          <w:color w:val="282828"/>
        </w:rPr>
        <w:t>the Company's health insurance if</w:t>
      </w:r>
      <w:r>
        <w:rPr>
          <w:rFonts w:ascii="Arial" w:cs="Arial" w:eastAsia="Arial" w:hAnsi="Arial"/>
          <w:sz w:val="17"/>
          <w:szCs w:val="17"/>
          <w:color w:val="181818"/>
        </w:rPr>
        <w:t xml:space="preserve"> </w:t>
      </w:r>
      <w:r>
        <w:rPr>
          <w:rFonts w:ascii="Arial" w:cs="Arial" w:eastAsia="Arial" w:hAnsi="Arial"/>
          <w:sz w:val="17"/>
          <w:szCs w:val="17"/>
          <w:color w:val="3B3B3B"/>
        </w:rPr>
        <w:t>you</w:t>
      </w:r>
      <w:r>
        <w:rPr>
          <w:rFonts w:ascii="Arial" w:cs="Arial" w:eastAsia="Arial" w:hAnsi="Arial"/>
          <w:sz w:val="17"/>
          <w:szCs w:val="17"/>
          <w:color w:val="181818"/>
        </w:rPr>
        <w:t xml:space="preserve"> </w:t>
      </w:r>
      <w:r>
        <w:rPr>
          <w:rFonts w:ascii="Arial" w:cs="Arial" w:eastAsia="Arial" w:hAnsi="Arial"/>
          <w:sz w:val="17"/>
          <w:szCs w:val="17"/>
          <w:color w:val="282828"/>
        </w:rPr>
        <w:t>wish. You will be provided with a</w:t>
      </w:r>
      <w:r>
        <w:rPr>
          <w:rFonts w:ascii="Arial" w:cs="Arial" w:eastAsia="Arial" w:hAnsi="Arial"/>
          <w:sz w:val="17"/>
          <w:szCs w:val="17"/>
          <w:color w:val="181818"/>
        </w:rPr>
        <w:t xml:space="preserve"> </w:t>
      </w:r>
      <w:r>
        <w:rPr>
          <w:rFonts w:ascii="Arial" w:cs="Arial" w:eastAsia="Arial" w:hAnsi="Arial"/>
          <w:sz w:val="17"/>
          <w:szCs w:val="17"/>
          <w:color w:val="282828"/>
        </w:rPr>
        <w:t xml:space="preserve">separate notice describing </w:t>
      </w:r>
      <w:r>
        <w:rPr>
          <w:rFonts w:ascii="Arial" w:cs="Arial" w:eastAsia="Arial" w:hAnsi="Arial"/>
          <w:sz w:val="17"/>
          <w:szCs w:val="17"/>
          <w:color w:val="3B3B3B"/>
        </w:rPr>
        <w:t>your</w:t>
      </w:r>
      <w:r>
        <w:rPr>
          <w:rFonts w:ascii="Arial" w:cs="Arial" w:eastAsia="Arial" w:hAnsi="Arial"/>
          <w:sz w:val="17"/>
          <w:szCs w:val="17"/>
          <w:color w:val="282828"/>
        </w:rPr>
        <w:t xml:space="preserve"> rights and obligations under COBRA.</w:t>
      </w:r>
    </w:p>
    <w:p>
      <w:pPr>
        <w:spacing w:after="0" w:line="167" w:lineRule="exact"/>
        <w:rPr>
          <w:rFonts w:ascii="Arial" w:cs="Arial" w:eastAsia="Arial" w:hAnsi="Arial"/>
          <w:sz w:val="17"/>
          <w:szCs w:val="17"/>
          <w:b w:val="1"/>
          <w:bCs w:val="1"/>
          <w:color w:val="282828"/>
        </w:rPr>
      </w:pPr>
    </w:p>
    <w:p>
      <w:pPr>
        <w:jc w:val="both"/>
        <w:ind w:left="332" w:hanging="332"/>
        <w:spacing w:after="0" w:line="314" w:lineRule="auto"/>
        <w:tabs>
          <w:tab w:leader="none" w:pos="332" w:val="left"/>
        </w:tabs>
        <w:numPr>
          <w:ilvl w:val="0"/>
          <w:numId w:val="19"/>
        </w:numPr>
        <w:rPr>
          <w:rFonts w:ascii="Arial" w:cs="Arial" w:eastAsia="Arial" w:hAnsi="Arial"/>
          <w:sz w:val="16"/>
          <w:szCs w:val="16"/>
          <w:b w:val="1"/>
          <w:bCs w:val="1"/>
          <w:color w:val="181818"/>
        </w:rPr>
      </w:pPr>
      <w:r>
        <w:rPr>
          <w:rFonts w:ascii="Arial" w:cs="Arial" w:eastAsia="Arial" w:hAnsi="Arial"/>
          <w:sz w:val="16"/>
          <w:szCs w:val="16"/>
          <w:b w:val="1"/>
          <w:bCs w:val="1"/>
          <w:color w:val="282828"/>
        </w:rPr>
        <w:t xml:space="preserve">EXPENSE REIMBURSEMENTS </w:t>
      </w:r>
      <w:r>
        <w:rPr>
          <w:rFonts w:ascii="Arial" w:cs="Arial" w:eastAsia="Arial" w:hAnsi="Arial"/>
          <w:sz w:val="16"/>
          <w:szCs w:val="16"/>
          <w:color w:val="181818"/>
        </w:rPr>
        <w:t>-</w:t>
      </w:r>
      <w:r>
        <w:rPr>
          <w:rFonts w:ascii="Arial" w:cs="Arial" w:eastAsia="Arial" w:hAnsi="Arial"/>
          <w:sz w:val="16"/>
          <w:szCs w:val="16"/>
          <w:b w:val="1"/>
          <w:bCs w:val="1"/>
          <w:color w:val="282828"/>
        </w:rPr>
        <w:t xml:space="preserve"> </w:t>
      </w:r>
      <w:r>
        <w:rPr>
          <w:rFonts w:ascii="Arial" w:cs="Arial" w:eastAsia="Arial" w:hAnsi="Arial"/>
          <w:sz w:val="16"/>
          <w:szCs w:val="16"/>
          <w:color w:val="282828"/>
        </w:rPr>
        <w:t>You agree that, within ten (10) days after the Separation Date, you will submit your final</w:t>
      </w:r>
      <w:r>
        <w:rPr>
          <w:rFonts w:ascii="Arial" w:cs="Arial" w:eastAsia="Arial" w:hAnsi="Arial"/>
          <w:sz w:val="16"/>
          <w:szCs w:val="16"/>
          <w:b w:val="1"/>
          <w:bCs w:val="1"/>
          <w:color w:val="282828"/>
        </w:rPr>
        <w:t xml:space="preserve"> </w:t>
      </w:r>
      <w:r>
        <w:rPr>
          <w:rFonts w:ascii="Arial" w:cs="Arial" w:eastAsia="Arial" w:hAnsi="Arial"/>
          <w:sz w:val="16"/>
          <w:szCs w:val="16"/>
          <w:color w:val="181818"/>
        </w:rPr>
        <w:t xml:space="preserve">documented </w:t>
      </w:r>
      <w:r>
        <w:rPr>
          <w:rFonts w:ascii="Arial" w:cs="Arial" w:eastAsia="Arial" w:hAnsi="Arial"/>
          <w:sz w:val="16"/>
          <w:szCs w:val="16"/>
          <w:color w:val="282828"/>
        </w:rPr>
        <w:t>expense reimbursement statement reflecting all business expenses</w:t>
      </w:r>
      <w:r>
        <w:rPr>
          <w:rFonts w:ascii="Arial" w:cs="Arial" w:eastAsia="Arial" w:hAnsi="Arial"/>
          <w:sz w:val="16"/>
          <w:szCs w:val="16"/>
          <w:color w:val="181818"/>
        </w:rPr>
        <w:t xml:space="preserve"> </w:t>
      </w:r>
      <w:r>
        <w:rPr>
          <w:rFonts w:ascii="Arial" w:cs="Arial" w:eastAsia="Arial" w:hAnsi="Arial"/>
          <w:sz w:val="16"/>
          <w:szCs w:val="16"/>
          <w:color w:val="3B3B3B"/>
        </w:rPr>
        <w:t>you</w:t>
      </w:r>
      <w:r>
        <w:rPr>
          <w:rFonts w:ascii="Arial" w:cs="Arial" w:eastAsia="Arial" w:hAnsi="Arial"/>
          <w:sz w:val="16"/>
          <w:szCs w:val="16"/>
          <w:color w:val="181818"/>
        </w:rPr>
        <w:t xml:space="preserve"> </w:t>
      </w:r>
      <w:r>
        <w:rPr>
          <w:rFonts w:ascii="Arial" w:cs="Arial" w:eastAsia="Arial" w:hAnsi="Arial"/>
          <w:sz w:val="16"/>
          <w:szCs w:val="16"/>
          <w:color w:val="282828"/>
        </w:rPr>
        <w:t>incurred through the Separation Date, if any</w:t>
      </w:r>
      <w:r>
        <w:rPr>
          <w:rFonts w:ascii="Arial" w:cs="Arial" w:eastAsia="Arial" w:hAnsi="Arial"/>
          <w:sz w:val="16"/>
          <w:szCs w:val="16"/>
          <w:color w:val="4B4B4B"/>
        </w:rPr>
        <w:t>,</w:t>
      </w:r>
      <w:r>
        <w:rPr>
          <w:rFonts w:ascii="Arial" w:cs="Arial" w:eastAsia="Arial" w:hAnsi="Arial"/>
          <w:sz w:val="16"/>
          <w:szCs w:val="16"/>
          <w:color w:val="181818"/>
        </w:rPr>
        <w:t xml:space="preserve"> </w:t>
      </w:r>
      <w:r>
        <w:rPr>
          <w:rFonts w:ascii="Arial" w:cs="Arial" w:eastAsia="Arial" w:hAnsi="Arial"/>
          <w:sz w:val="16"/>
          <w:szCs w:val="16"/>
          <w:color w:val="282828"/>
        </w:rPr>
        <w:t>for</w:t>
      </w:r>
      <w:r>
        <w:rPr>
          <w:rFonts w:ascii="Arial" w:cs="Arial" w:eastAsia="Arial" w:hAnsi="Arial"/>
          <w:sz w:val="16"/>
          <w:szCs w:val="16"/>
          <w:color w:val="181818"/>
        </w:rPr>
        <w:t xml:space="preserve"> </w:t>
      </w:r>
      <w:r>
        <w:rPr>
          <w:rFonts w:ascii="Arial" w:cs="Arial" w:eastAsia="Arial" w:hAnsi="Arial"/>
          <w:sz w:val="16"/>
          <w:szCs w:val="16"/>
          <w:color w:val="3B3B3B"/>
        </w:rPr>
        <w:t xml:space="preserve">which you </w:t>
      </w:r>
      <w:r>
        <w:rPr>
          <w:rFonts w:ascii="Arial" w:cs="Arial" w:eastAsia="Arial" w:hAnsi="Arial"/>
          <w:sz w:val="16"/>
          <w:szCs w:val="16"/>
          <w:color w:val="282828"/>
        </w:rPr>
        <w:t>seek reimbursement. The Company will reimburse</w:t>
      </w:r>
      <w:r>
        <w:rPr>
          <w:rFonts w:ascii="Arial" w:cs="Arial" w:eastAsia="Arial" w:hAnsi="Arial"/>
          <w:sz w:val="16"/>
          <w:szCs w:val="16"/>
          <w:color w:val="3B3B3B"/>
        </w:rPr>
        <w:t xml:space="preserve"> you </w:t>
      </w:r>
      <w:r>
        <w:rPr>
          <w:rFonts w:ascii="Arial" w:cs="Arial" w:eastAsia="Arial" w:hAnsi="Arial"/>
          <w:sz w:val="16"/>
          <w:szCs w:val="16"/>
          <w:color w:val="282828"/>
        </w:rPr>
        <w:t>for these expenses pursuant to its regular business practice.</w:t>
      </w:r>
    </w:p>
    <w:p>
      <w:pPr>
        <w:spacing w:after="0" w:line="141" w:lineRule="exact"/>
        <w:rPr>
          <w:rFonts w:ascii="Arial" w:cs="Arial" w:eastAsia="Arial" w:hAnsi="Arial"/>
          <w:sz w:val="16"/>
          <w:szCs w:val="16"/>
          <w:b w:val="1"/>
          <w:bCs w:val="1"/>
          <w:color w:val="181818"/>
        </w:rPr>
      </w:pPr>
    </w:p>
    <w:p>
      <w:pPr>
        <w:jc w:val="both"/>
        <w:ind w:left="332" w:hanging="332"/>
        <w:spacing w:after="0" w:line="256" w:lineRule="auto"/>
        <w:tabs>
          <w:tab w:leader="none" w:pos="332" w:val="left"/>
        </w:tabs>
        <w:numPr>
          <w:ilvl w:val="0"/>
          <w:numId w:val="19"/>
        </w:numPr>
        <w:rPr>
          <w:rFonts w:ascii="Arial" w:cs="Arial" w:eastAsia="Arial" w:hAnsi="Arial"/>
          <w:sz w:val="18"/>
          <w:szCs w:val="18"/>
          <w:b w:val="1"/>
          <w:bCs w:val="1"/>
          <w:color w:val="181818"/>
        </w:rPr>
      </w:pPr>
      <w:r>
        <w:rPr>
          <w:rFonts w:ascii="Arial" w:cs="Arial" w:eastAsia="Arial" w:hAnsi="Arial"/>
          <w:sz w:val="18"/>
          <w:szCs w:val="18"/>
          <w:b w:val="1"/>
          <w:bCs w:val="1"/>
          <w:color w:val="181818"/>
        </w:rPr>
        <w:t xml:space="preserve">RETURN OF COMPANY PROPERTY </w:t>
      </w:r>
      <w:r>
        <w:rPr>
          <w:rFonts w:ascii="Arial" w:cs="Arial" w:eastAsia="Arial" w:hAnsi="Arial"/>
          <w:sz w:val="18"/>
          <w:szCs w:val="18"/>
          <w:color w:val="181818"/>
        </w:rPr>
        <w:t>- By</w:t>
      </w:r>
      <w:r>
        <w:rPr>
          <w:rFonts w:ascii="Arial" w:cs="Arial" w:eastAsia="Arial" w:hAnsi="Arial"/>
          <w:sz w:val="18"/>
          <w:szCs w:val="18"/>
          <w:b w:val="1"/>
          <w:bCs w:val="1"/>
          <w:color w:val="181818"/>
        </w:rPr>
        <w:t xml:space="preserve"> </w:t>
      </w:r>
      <w:r>
        <w:rPr>
          <w:rFonts w:ascii="Arial" w:cs="Arial" w:eastAsia="Arial" w:hAnsi="Arial"/>
          <w:sz w:val="18"/>
          <w:szCs w:val="18"/>
          <w:color w:val="282828"/>
        </w:rPr>
        <w:t>the Separation</w:t>
      </w:r>
      <w:r>
        <w:rPr>
          <w:rFonts w:ascii="Arial" w:cs="Arial" w:eastAsia="Arial" w:hAnsi="Arial"/>
          <w:sz w:val="18"/>
          <w:szCs w:val="18"/>
          <w:b w:val="1"/>
          <w:bCs w:val="1"/>
          <w:color w:val="181818"/>
        </w:rPr>
        <w:t xml:space="preserve"> </w:t>
      </w:r>
      <w:r>
        <w:rPr>
          <w:rFonts w:ascii="Arial" w:cs="Arial" w:eastAsia="Arial" w:hAnsi="Arial"/>
          <w:sz w:val="18"/>
          <w:szCs w:val="18"/>
          <w:color w:val="181818"/>
        </w:rPr>
        <w:t>Date</w:t>
      </w:r>
      <w:r>
        <w:rPr>
          <w:rFonts w:ascii="Arial" w:cs="Arial" w:eastAsia="Arial" w:hAnsi="Arial"/>
          <w:sz w:val="18"/>
          <w:szCs w:val="18"/>
          <w:color w:val="4B4B4B"/>
        </w:rPr>
        <w:t>,</w:t>
      </w:r>
      <w:r>
        <w:rPr>
          <w:rFonts w:ascii="Arial" w:cs="Arial" w:eastAsia="Arial" w:hAnsi="Arial"/>
          <w:sz w:val="18"/>
          <w:szCs w:val="18"/>
          <w:b w:val="1"/>
          <w:bCs w:val="1"/>
          <w:color w:val="181818"/>
        </w:rPr>
        <w:t xml:space="preserve"> </w:t>
      </w:r>
      <w:r>
        <w:rPr>
          <w:rFonts w:ascii="Arial" w:cs="Arial" w:eastAsia="Arial" w:hAnsi="Arial"/>
          <w:sz w:val="18"/>
          <w:szCs w:val="18"/>
          <w:color w:val="282828"/>
        </w:rPr>
        <w:t>you agree to return to the Company all Company documents</w:t>
      </w:r>
      <w:r>
        <w:rPr>
          <w:rFonts w:ascii="Arial" w:cs="Arial" w:eastAsia="Arial" w:hAnsi="Arial"/>
          <w:sz w:val="18"/>
          <w:szCs w:val="18"/>
          <w:b w:val="1"/>
          <w:bCs w:val="1"/>
          <w:color w:val="181818"/>
        </w:rPr>
        <w:t xml:space="preserve"> </w:t>
      </w:r>
      <w:r>
        <w:rPr>
          <w:rFonts w:ascii="Arial" w:cs="Arial" w:eastAsia="Arial" w:hAnsi="Arial"/>
          <w:sz w:val="18"/>
          <w:szCs w:val="18"/>
          <w:color w:val="3B3B3B"/>
        </w:rPr>
        <w:t>(</w:t>
      </w:r>
      <w:r>
        <w:rPr>
          <w:rFonts w:ascii="Arial" w:cs="Arial" w:eastAsia="Arial" w:hAnsi="Arial"/>
          <w:sz w:val="18"/>
          <w:szCs w:val="18"/>
          <w:color w:val="282828"/>
        </w:rPr>
        <w:t>and all copies thereof) and other Company property within</w:t>
      </w:r>
      <w:r>
        <w:rPr>
          <w:rFonts w:ascii="Arial" w:cs="Arial" w:eastAsia="Arial" w:hAnsi="Arial"/>
          <w:sz w:val="18"/>
          <w:szCs w:val="18"/>
          <w:color w:val="3B3B3B"/>
        </w:rPr>
        <w:t xml:space="preserve"> your </w:t>
      </w:r>
      <w:r>
        <w:rPr>
          <w:rFonts w:ascii="Arial" w:cs="Arial" w:eastAsia="Arial" w:hAnsi="Arial"/>
          <w:sz w:val="18"/>
          <w:szCs w:val="18"/>
          <w:color w:val="282828"/>
        </w:rPr>
        <w:t>possession</w:t>
      </w:r>
      <w:r>
        <w:rPr>
          <w:rFonts w:ascii="Arial" w:cs="Arial" w:eastAsia="Arial" w:hAnsi="Arial"/>
          <w:sz w:val="18"/>
          <w:szCs w:val="18"/>
          <w:color w:val="4B4B4B"/>
        </w:rPr>
        <w:t>,</w:t>
      </w:r>
      <w:r>
        <w:rPr>
          <w:rFonts w:ascii="Arial" w:cs="Arial" w:eastAsia="Arial" w:hAnsi="Arial"/>
          <w:sz w:val="18"/>
          <w:szCs w:val="18"/>
          <w:color w:val="3B3B3B"/>
        </w:rPr>
        <w:t xml:space="preserve"> </w:t>
      </w:r>
      <w:r>
        <w:rPr>
          <w:rFonts w:ascii="Arial" w:cs="Arial" w:eastAsia="Arial" w:hAnsi="Arial"/>
          <w:sz w:val="18"/>
          <w:szCs w:val="18"/>
          <w:color w:val="282828"/>
        </w:rPr>
        <w:t>custody or control</w:t>
      </w:r>
      <w:r>
        <w:rPr>
          <w:rFonts w:ascii="Arial" w:cs="Arial" w:eastAsia="Arial" w:hAnsi="Arial"/>
          <w:sz w:val="18"/>
          <w:szCs w:val="18"/>
          <w:color w:val="4B4B4B"/>
        </w:rPr>
        <w:t>,</w:t>
      </w:r>
      <w:r>
        <w:rPr>
          <w:rFonts w:ascii="Arial" w:cs="Arial" w:eastAsia="Arial" w:hAnsi="Arial"/>
          <w:sz w:val="18"/>
          <w:szCs w:val="18"/>
          <w:color w:val="3B3B3B"/>
        </w:rPr>
        <w:t xml:space="preserve"> </w:t>
      </w:r>
      <w:r>
        <w:rPr>
          <w:rFonts w:ascii="Arial" w:cs="Arial" w:eastAsia="Arial" w:hAnsi="Arial"/>
          <w:sz w:val="18"/>
          <w:szCs w:val="18"/>
          <w:color w:val="282828"/>
        </w:rPr>
        <w:t>including</w:t>
      </w:r>
      <w:r>
        <w:rPr>
          <w:rFonts w:ascii="Arial" w:cs="Arial" w:eastAsia="Arial" w:hAnsi="Arial"/>
          <w:sz w:val="18"/>
          <w:szCs w:val="18"/>
          <w:color w:val="4B4B4B"/>
        </w:rPr>
        <w:t>,</w:t>
      </w:r>
      <w:r>
        <w:rPr>
          <w:rFonts w:ascii="Arial" w:cs="Arial" w:eastAsia="Arial" w:hAnsi="Arial"/>
          <w:sz w:val="18"/>
          <w:szCs w:val="18"/>
          <w:color w:val="3B3B3B"/>
        </w:rPr>
        <w:t xml:space="preserve"> </w:t>
      </w:r>
      <w:r>
        <w:rPr>
          <w:rFonts w:ascii="Arial" w:cs="Arial" w:eastAsia="Arial" w:hAnsi="Arial"/>
          <w:sz w:val="18"/>
          <w:szCs w:val="18"/>
          <w:color w:val="282828"/>
        </w:rPr>
        <w:t>but not limited</w:t>
      </w:r>
      <w:r>
        <w:rPr>
          <w:rFonts w:ascii="Arial" w:cs="Arial" w:eastAsia="Arial" w:hAnsi="Arial"/>
          <w:sz w:val="18"/>
          <w:szCs w:val="18"/>
          <w:color w:val="3B3B3B"/>
        </w:rPr>
        <w:t xml:space="preserve"> to, </w:t>
      </w:r>
      <w:r>
        <w:rPr>
          <w:rFonts w:ascii="Arial" w:cs="Arial" w:eastAsia="Arial" w:hAnsi="Arial"/>
          <w:sz w:val="18"/>
          <w:szCs w:val="18"/>
          <w:color w:val="282828"/>
        </w:rPr>
        <w:t>Company files</w:t>
      </w:r>
      <w:r>
        <w:rPr>
          <w:rFonts w:ascii="Arial" w:cs="Arial" w:eastAsia="Arial" w:hAnsi="Arial"/>
          <w:sz w:val="18"/>
          <w:szCs w:val="18"/>
          <w:color w:val="4B4B4B"/>
        </w:rPr>
        <w:t>,</w:t>
      </w:r>
      <w:r>
        <w:rPr>
          <w:rFonts w:ascii="Arial" w:cs="Arial" w:eastAsia="Arial" w:hAnsi="Arial"/>
          <w:sz w:val="18"/>
          <w:szCs w:val="18"/>
          <w:color w:val="282828"/>
        </w:rPr>
        <w:t xml:space="preserve"> notes, drawings</w:t>
      </w:r>
      <w:r>
        <w:rPr>
          <w:rFonts w:ascii="Arial" w:cs="Arial" w:eastAsia="Arial" w:hAnsi="Arial"/>
          <w:sz w:val="18"/>
          <w:szCs w:val="18"/>
          <w:color w:val="4B4B4B"/>
        </w:rPr>
        <w:t>,</w:t>
      </w:r>
      <w:r>
        <w:rPr>
          <w:rFonts w:ascii="Arial" w:cs="Arial" w:eastAsia="Arial" w:hAnsi="Arial"/>
          <w:sz w:val="18"/>
          <w:szCs w:val="18"/>
          <w:color w:val="282828"/>
        </w:rPr>
        <w:t xml:space="preserve"> records</w:t>
      </w:r>
      <w:r>
        <w:rPr>
          <w:rFonts w:ascii="Arial" w:cs="Arial" w:eastAsia="Arial" w:hAnsi="Arial"/>
          <w:sz w:val="18"/>
          <w:szCs w:val="18"/>
          <w:color w:val="4B4B4B"/>
        </w:rPr>
        <w:t>,</w:t>
      </w:r>
      <w:r>
        <w:rPr>
          <w:rFonts w:ascii="Arial" w:cs="Arial" w:eastAsia="Arial" w:hAnsi="Arial"/>
          <w:sz w:val="18"/>
          <w:szCs w:val="18"/>
          <w:color w:val="282828"/>
        </w:rPr>
        <w:t xml:space="preserve"> business plans and forecasts, financial information</w:t>
      </w:r>
      <w:r>
        <w:rPr>
          <w:rFonts w:ascii="Arial" w:cs="Arial" w:eastAsia="Arial" w:hAnsi="Arial"/>
          <w:sz w:val="18"/>
          <w:szCs w:val="18"/>
          <w:color w:val="4B4B4B"/>
        </w:rPr>
        <w:t>,</w:t>
      </w:r>
      <w:r>
        <w:rPr>
          <w:rFonts w:ascii="Arial" w:cs="Arial" w:eastAsia="Arial" w:hAnsi="Arial"/>
          <w:sz w:val="18"/>
          <w:szCs w:val="18"/>
          <w:color w:val="282828"/>
        </w:rPr>
        <w:t xml:space="preserve"> specifications, computer-recorded information, tangible </w:t>
      </w:r>
      <w:r>
        <w:rPr>
          <w:rFonts w:ascii="Arial" w:cs="Arial" w:eastAsia="Arial" w:hAnsi="Arial"/>
          <w:sz w:val="18"/>
          <w:szCs w:val="18"/>
          <w:color w:val="181818"/>
        </w:rPr>
        <w:t>property</w:t>
      </w:r>
      <w:r>
        <w:rPr>
          <w:rFonts w:ascii="Arial" w:cs="Arial" w:eastAsia="Arial" w:hAnsi="Arial"/>
          <w:sz w:val="18"/>
          <w:szCs w:val="18"/>
          <w:color w:val="282828"/>
        </w:rPr>
        <w:t xml:space="preserve"> (including, </w:t>
      </w:r>
      <w:r>
        <w:rPr>
          <w:rFonts w:ascii="Arial" w:cs="Arial" w:eastAsia="Arial" w:hAnsi="Arial"/>
          <w:sz w:val="18"/>
          <w:szCs w:val="18"/>
          <w:color w:val="181818"/>
        </w:rPr>
        <w:t>but</w:t>
      </w:r>
      <w:r>
        <w:rPr>
          <w:rFonts w:ascii="Arial" w:cs="Arial" w:eastAsia="Arial" w:hAnsi="Arial"/>
          <w:sz w:val="18"/>
          <w:szCs w:val="18"/>
          <w:color w:val="282828"/>
        </w:rPr>
        <w:t xml:space="preserve"> not </w:t>
      </w:r>
      <w:r>
        <w:rPr>
          <w:rFonts w:ascii="Arial" w:cs="Arial" w:eastAsia="Arial" w:hAnsi="Arial"/>
          <w:sz w:val="18"/>
          <w:szCs w:val="18"/>
          <w:color w:val="181818"/>
        </w:rPr>
        <w:t>limited</w:t>
      </w:r>
      <w:r>
        <w:rPr>
          <w:rFonts w:ascii="Arial" w:cs="Arial" w:eastAsia="Arial" w:hAnsi="Arial"/>
          <w:sz w:val="18"/>
          <w:szCs w:val="18"/>
          <w:color w:val="282828"/>
        </w:rPr>
        <w:t xml:space="preserve"> to)</w:t>
      </w:r>
      <w:r>
        <w:rPr>
          <w:rFonts w:ascii="Arial" w:cs="Arial" w:eastAsia="Arial" w:hAnsi="Arial"/>
          <w:sz w:val="18"/>
          <w:szCs w:val="18"/>
          <w:color w:val="4B4B4B"/>
        </w:rPr>
        <w:t>,</w:t>
      </w:r>
      <w:r>
        <w:rPr>
          <w:rFonts w:ascii="Arial" w:cs="Arial" w:eastAsia="Arial" w:hAnsi="Arial"/>
          <w:sz w:val="18"/>
          <w:szCs w:val="18"/>
          <w:color w:val="282828"/>
        </w:rPr>
        <w:t xml:space="preserve"> credit cards, entry cards</w:t>
      </w:r>
      <w:r>
        <w:rPr>
          <w:rFonts w:ascii="Arial" w:cs="Arial" w:eastAsia="Arial" w:hAnsi="Arial"/>
          <w:sz w:val="18"/>
          <w:szCs w:val="18"/>
          <w:color w:val="4B4B4B"/>
        </w:rPr>
        <w:t>,</w:t>
      </w:r>
      <w:r>
        <w:rPr>
          <w:rFonts w:ascii="Arial" w:cs="Arial" w:eastAsia="Arial" w:hAnsi="Arial"/>
          <w:sz w:val="18"/>
          <w:szCs w:val="18"/>
          <w:color w:val="282828"/>
        </w:rPr>
        <w:t xml:space="preserve"> identification badges</w:t>
      </w:r>
      <w:r>
        <w:rPr>
          <w:rFonts w:ascii="Arial" w:cs="Arial" w:eastAsia="Arial" w:hAnsi="Arial"/>
          <w:sz w:val="18"/>
          <w:szCs w:val="18"/>
          <w:color w:val="4B4B4B"/>
        </w:rPr>
        <w:t>,</w:t>
      </w:r>
      <w:r>
        <w:rPr>
          <w:rFonts w:ascii="Arial" w:cs="Arial" w:eastAsia="Arial" w:hAnsi="Arial"/>
          <w:sz w:val="18"/>
          <w:szCs w:val="18"/>
          <w:color w:val="282828"/>
        </w:rPr>
        <w:t xml:space="preserve"> and keys; and</w:t>
      </w:r>
      <w:r>
        <w:rPr>
          <w:rFonts w:ascii="Arial" w:cs="Arial" w:eastAsia="Arial" w:hAnsi="Arial"/>
          <w:sz w:val="18"/>
          <w:szCs w:val="18"/>
          <w:color w:val="4B4B4B"/>
        </w:rPr>
        <w:t>,</w:t>
      </w:r>
      <w:r>
        <w:rPr>
          <w:rFonts w:ascii="Arial" w:cs="Arial" w:eastAsia="Arial" w:hAnsi="Arial"/>
          <w:sz w:val="18"/>
          <w:szCs w:val="18"/>
          <w:color w:val="282828"/>
        </w:rPr>
        <w:t xml:space="preserve"> any materials of an</w:t>
      </w:r>
      <w:r>
        <w:rPr>
          <w:rFonts w:ascii="Arial" w:cs="Arial" w:eastAsia="Arial" w:hAnsi="Arial"/>
          <w:sz w:val="18"/>
          <w:szCs w:val="18"/>
          <w:color w:val="4B4B4B"/>
        </w:rPr>
        <w:t>y</w:t>
      </w:r>
      <w:r>
        <w:rPr>
          <w:rFonts w:ascii="Arial" w:cs="Arial" w:eastAsia="Arial" w:hAnsi="Arial"/>
          <w:sz w:val="18"/>
          <w:szCs w:val="18"/>
          <w:color w:val="282828"/>
        </w:rPr>
        <w:t xml:space="preserve"> kind that contain or embody any proprietary or confidential information of the Company </w:t>
      </w:r>
      <w:r>
        <w:rPr>
          <w:rFonts w:ascii="Arial" w:cs="Arial" w:eastAsia="Arial" w:hAnsi="Arial"/>
          <w:sz w:val="18"/>
          <w:szCs w:val="18"/>
          <w:color w:val="3B3B3B"/>
        </w:rPr>
        <w:t>(</w:t>
      </w:r>
      <w:r>
        <w:rPr>
          <w:rFonts w:ascii="Arial" w:cs="Arial" w:eastAsia="Arial" w:hAnsi="Arial"/>
          <w:sz w:val="18"/>
          <w:szCs w:val="18"/>
          <w:color w:val="282828"/>
        </w:rPr>
        <w:t>and all reproductions thereof).</w:t>
      </w:r>
    </w:p>
    <w:p>
      <w:pPr>
        <w:spacing w:after="0" w:line="187" w:lineRule="exact"/>
        <w:rPr>
          <w:rFonts w:ascii="Arial" w:cs="Arial" w:eastAsia="Arial" w:hAnsi="Arial"/>
          <w:sz w:val="18"/>
          <w:szCs w:val="18"/>
          <w:b w:val="1"/>
          <w:bCs w:val="1"/>
          <w:color w:val="181818"/>
        </w:rPr>
      </w:pPr>
    </w:p>
    <w:p>
      <w:pPr>
        <w:ind w:left="332" w:hanging="332"/>
        <w:spacing w:after="0" w:line="282" w:lineRule="auto"/>
        <w:tabs>
          <w:tab w:leader="none" w:pos="332" w:val="left"/>
        </w:tabs>
        <w:numPr>
          <w:ilvl w:val="0"/>
          <w:numId w:val="19"/>
        </w:numPr>
        <w:rPr>
          <w:rFonts w:ascii="Arial" w:cs="Arial" w:eastAsia="Arial" w:hAnsi="Arial"/>
          <w:sz w:val="18"/>
          <w:szCs w:val="18"/>
          <w:b w:val="1"/>
          <w:bCs w:val="1"/>
          <w:color w:val="282828"/>
        </w:rPr>
      </w:pPr>
      <w:r>
        <w:rPr>
          <w:rFonts w:ascii="Arial" w:cs="Arial" w:eastAsia="Arial" w:hAnsi="Arial"/>
          <w:sz w:val="18"/>
          <w:szCs w:val="18"/>
          <w:b w:val="1"/>
          <w:bCs w:val="1"/>
          <w:color w:val="181818"/>
        </w:rPr>
        <w:t xml:space="preserve">PROPRIETARY </w:t>
      </w:r>
      <w:r>
        <w:rPr>
          <w:rFonts w:ascii="Arial" w:cs="Arial" w:eastAsia="Arial" w:hAnsi="Arial"/>
          <w:sz w:val="18"/>
          <w:szCs w:val="18"/>
          <w:b w:val="1"/>
          <w:bCs w:val="1"/>
          <w:color w:val="282828"/>
        </w:rPr>
        <w:t>INFORMATION</w:t>
      </w:r>
      <w:r>
        <w:rPr>
          <w:rFonts w:ascii="Arial" w:cs="Arial" w:eastAsia="Arial" w:hAnsi="Arial"/>
          <w:sz w:val="18"/>
          <w:szCs w:val="18"/>
          <w:b w:val="1"/>
          <w:bCs w:val="1"/>
          <w:color w:val="181818"/>
        </w:rPr>
        <w:t xml:space="preserve"> OBLIGATIONS </w:t>
      </w:r>
      <w:r>
        <w:rPr>
          <w:rFonts w:ascii="Arial" w:cs="Arial" w:eastAsia="Arial" w:hAnsi="Arial"/>
          <w:sz w:val="18"/>
          <w:szCs w:val="18"/>
          <w:color w:val="282828"/>
        </w:rPr>
        <w:t>- You acknowledge your continuing obligations under</w:t>
      </w:r>
      <w:r>
        <w:rPr>
          <w:rFonts w:ascii="Arial" w:cs="Arial" w:eastAsia="Arial" w:hAnsi="Arial"/>
          <w:sz w:val="18"/>
          <w:szCs w:val="18"/>
          <w:b w:val="1"/>
          <w:bCs w:val="1"/>
          <w:color w:val="181818"/>
        </w:rPr>
        <w:t xml:space="preserve"> </w:t>
      </w:r>
      <w:r>
        <w:rPr>
          <w:rFonts w:ascii="Arial" w:cs="Arial" w:eastAsia="Arial" w:hAnsi="Arial"/>
          <w:sz w:val="18"/>
          <w:szCs w:val="18"/>
          <w:color w:val="3B3B3B"/>
        </w:rPr>
        <w:t>your</w:t>
      </w:r>
      <w:r>
        <w:rPr>
          <w:rFonts w:ascii="Arial" w:cs="Arial" w:eastAsia="Arial" w:hAnsi="Arial"/>
          <w:sz w:val="18"/>
          <w:szCs w:val="18"/>
          <w:b w:val="1"/>
          <w:bCs w:val="1"/>
          <w:color w:val="181818"/>
        </w:rPr>
        <w:t xml:space="preserve"> </w:t>
      </w:r>
      <w:r>
        <w:rPr>
          <w:rFonts w:ascii="Arial" w:cs="Arial" w:eastAsia="Arial" w:hAnsi="Arial"/>
          <w:sz w:val="18"/>
          <w:szCs w:val="18"/>
          <w:color w:val="282828"/>
        </w:rPr>
        <w:t>Emplo</w:t>
      </w:r>
      <w:r>
        <w:rPr>
          <w:rFonts w:ascii="Arial" w:cs="Arial" w:eastAsia="Arial" w:hAnsi="Arial"/>
          <w:sz w:val="18"/>
          <w:szCs w:val="18"/>
          <w:color w:val="4B4B4B"/>
        </w:rPr>
        <w:t>y</w:t>
      </w:r>
      <w:r>
        <w:rPr>
          <w:rFonts w:ascii="Arial" w:cs="Arial" w:eastAsia="Arial" w:hAnsi="Arial"/>
          <w:sz w:val="18"/>
          <w:szCs w:val="18"/>
          <w:color w:val="282828"/>
        </w:rPr>
        <w:t>ee</w:t>
      </w:r>
      <w:r>
        <w:rPr>
          <w:rFonts w:ascii="Arial" w:cs="Arial" w:eastAsia="Arial" w:hAnsi="Arial"/>
          <w:sz w:val="18"/>
          <w:szCs w:val="18"/>
          <w:b w:val="1"/>
          <w:bCs w:val="1"/>
          <w:color w:val="181818"/>
        </w:rPr>
        <w:t xml:space="preserve"> </w:t>
      </w:r>
      <w:r>
        <w:rPr>
          <w:rFonts w:ascii="Arial" w:cs="Arial" w:eastAsia="Arial" w:hAnsi="Arial"/>
          <w:sz w:val="18"/>
          <w:szCs w:val="18"/>
          <w:color w:val="282828"/>
        </w:rPr>
        <w:t>Proprietary Information and Inventions Assignment Agreement</w:t>
      </w:r>
      <w:r>
        <w:rPr>
          <w:rFonts w:ascii="Arial" w:cs="Arial" w:eastAsia="Arial" w:hAnsi="Arial"/>
          <w:sz w:val="18"/>
          <w:szCs w:val="18"/>
          <w:color w:val="4B4B4B"/>
        </w:rPr>
        <w:t>,</w:t>
      </w:r>
      <w:r>
        <w:rPr>
          <w:rFonts w:ascii="Arial" w:cs="Arial" w:eastAsia="Arial" w:hAnsi="Arial"/>
          <w:sz w:val="18"/>
          <w:szCs w:val="18"/>
          <w:color w:val="282828"/>
        </w:rPr>
        <w:t xml:space="preserve"> a copy of </w:t>
      </w:r>
      <w:r>
        <w:rPr>
          <w:rFonts w:ascii="Arial" w:cs="Arial" w:eastAsia="Arial" w:hAnsi="Arial"/>
          <w:sz w:val="18"/>
          <w:szCs w:val="18"/>
          <w:color w:val="3B3B3B"/>
        </w:rPr>
        <w:t>which</w:t>
      </w:r>
      <w:r>
        <w:rPr>
          <w:rFonts w:ascii="Arial" w:cs="Arial" w:eastAsia="Arial" w:hAnsi="Arial"/>
          <w:sz w:val="18"/>
          <w:szCs w:val="18"/>
          <w:color w:val="282828"/>
        </w:rPr>
        <w:t xml:space="preserve"> is attached hereto as </w:t>
      </w:r>
      <w:r>
        <w:rPr>
          <w:rFonts w:ascii="Arial" w:cs="Arial" w:eastAsia="Arial" w:hAnsi="Arial"/>
          <w:sz w:val="18"/>
          <w:szCs w:val="18"/>
          <w:b w:val="1"/>
          <w:bCs w:val="1"/>
          <w:color w:val="282828"/>
        </w:rPr>
        <w:t>Exhibit A.</w:t>
      </w:r>
    </w:p>
    <w:p>
      <w:pPr>
        <w:spacing w:after="0" w:line="161" w:lineRule="exact"/>
        <w:rPr>
          <w:rFonts w:ascii="Arial" w:cs="Arial" w:eastAsia="Arial" w:hAnsi="Arial"/>
          <w:sz w:val="18"/>
          <w:szCs w:val="18"/>
          <w:b w:val="1"/>
          <w:bCs w:val="1"/>
          <w:color w:val="282828"/>
        </w:rPr>
      </w:pPr>
    </w:p>
    <w:p>
      <w:pPr>
        <w:jc w:val="both"/>
        <w:ind w:left="332" w:hanging="332"/>
        <w:spacing w:after="0" w:line="258" w:lineRule="auto"/>
        <w:tabs>
          <w:tab w:leader="none" w:pos="332" w:val="left"/>
        </w:tabs>
        <w:numPr>
          <w:ilvl w:val="0"/>
          <w:numId w:val="19"/>
        </w:numPr>
        <w:rPr>
          <w:rFonts w:ascii="Arial" w:cs="Arial" w:eastAsia="Arial" w:hAnsi="Arial"/>
          <w:sz w:val="18"/>
          <w:szCs w:val="18"/>
          <w:b w:val="1"/>
          <w:bCs w:val="1"/>
          <w:color w:val="181818"/>
        </w:rPr>
      </w:pPr>
      <w:r>
        <w:rPr>
          <w:rFonts w:ascii="Arial" w:cs="Arial" w:eastAsia="Arial" w:hAnsi="Arial"/>
          <w:sz w:val="18"/>
          <w:szCs w:val="18"/>
          <w:b w:val="1"/>
          <w:bCs w:val="1"/>
          <w:color w:val="181818"/>
        </w:rPr>
        <w:t xml:space="preserve">MUTUAL NON-DISPARAGEMENT </w:t>
      </w:r>
      <w:r>
        <w:rPr>
          <w:rFonts w:ascii="Arial" w:cs="Arial" w:eastAsia="Arial" w:hAnsi="Arial"/>
          <w:sz w:val="18"/>
          <w:szCs w:val="18"/>
          <w:color w:val="181818"/>
        </w:rPr>
        <w:t>-</w:t>
      </w:r>
      <w:r>
        <w:rPr>
          <w:rFonts w:ascii="Arial" w:cs="Arial" w:eastAsia="Arial" w:hAnsi="Arial"/>
          <w:sz w:val="18"/>
          <w:szCs w:val="18"/>
          <w:b w:val="1"/>
          <w:bCs w:val="1"/>
          <w:color w:val="181818"/>
        </w:rPr>
        <w:t xml:space="preserve"> </w:t>
      </w:r>
      <w:r>
        <w:rPr>
          <w:rFonts w:ascii="Arial" w:cs="Arial" w:eastAsia="Arial" w:hAnsi="Arial"/>
          <w:sz w:val="18"/>
          <w:szCs w:val="18"/>
          <w:color w:val="282828"/>
        </w:rPr>
        <w:t>You agree not to</w:t>
      </w:r>
      <w:r>
        <w:rPr>
          <w:rFonts w:ascii="Arial" w:cs="Arial" w:eastAsia="Arial" w:hAnsi="Arial"/>
          <w:sz w:val="18"/>
          <w:szCs w:val="18"/>
          <w:b w:val="1"/>
          <w:bCs w:val="1"/>
          <w:color w:val="181818"/>
        </w:rPr>
        <w:t xml:space="preserve"> </w:t>
      </w:r>
      <w:r>
        <w:rPr>
          <w:rFonts w:ascii="Arial" w:cs="Arial" w:eastAsia="Arial" w:hAnsi="Arial"/>
          <w:sz w:val="18"/>
          <w:szCs w:val="18"/>
          <w:color w:val="181818"/>
        </w:rPr>
        <w:t>disparage</w:t>
      </w:r>
      <w:r>
        <w:rPr>
          <w:rFonts w:ascii="Arial" w:cs="Arial" w:eastAsia="Arial" w:hAnsi="Arial"/>
          <w:sz w:val="18"/>
          <w:szCs w:val="18"/>
          <w:b w:val="1"/>
          <w:bCs w:val="1"/>
          <w:color w:val="181818"/>
        </w:rPr>
        <w:t xml:space="preserve"> </w:t>
      </w:r>
      <w:r>
        <w:rPr>
          <w:rFonts w:ascii="Arial" w:cs="Arial" w:eastAsia="Arial" w:hAnsi="Arial"/>
          <w:sz w:val="18"/>
          <w:szCs w:val="18"/>
          <w:color w:val="282828"/>
        </w:rPr>
        <w:t>the Company, its officers, directors, employees</w:t>
      </w:r>
      <w:r>
        <w:rPr>
          <w:rFonts w:ascii="Arial" w:cs="Arial" w:eastAsia="Arial" w:hAnsi="Arial"/>
          <w:sz w:val="18"/>
          <w:szCs w:val="18"/>
          <w:color w:val="4B4B4B"/>
        </w:rPr>
        <w:t>,</w:t>
      </w:r>
      <w:r>
        <w:rPr>
          <w:rFonts w:ascii="Arial" w:cs="Arial" w:eastAsia="Arial" w:hAnsi="Arial"/>
          <w:sz w:val="18"/>
          <w:szCs w:val="18"/>
          <w:b w:val="1"/>
          <w:bCs w:val="1"/>
          <w:color w:val="181818"/>
        </w:rPr>
        <w:t xml:space="preserve"> </w:t>
      </w:r>
      <w:r>
        <w:rPr>
          <w:rFonts w:ascii="Arial" w:cs="Arial" w:eastAsia="Arial" w:hAnsi="Arial"/>
          <w:sz w:val="18"/>
          <w:szCs w:val="18"/>
          <w:color w:val="282828"/>
        </w:rPr>
        <w:t>shareholders,</w:t>
      </w:r>
      <w:r>
        <w:rPr>
          <w:rFonts w:ascii="Arial" w:cs="Arial" w:eastAsia="Arial" w:hAnsi="Arial"/>
          <w:sz w:val="18"/>
          <w:szCs w:val="18"/>
          <w:b w:val="1"/>
          <w:bCs w:val="1"/>
          <w:color w:val="181818"/>
        </w:rPr>
        <w:t xml:space="preserve"> </w:t>
      </w:r>
      <w:r>
        <w:rPr>
          <w:rFonts w:ascii="Arial" w:cs="Arial" w:eastAsia="Arial" w:hAnsi="Arial"/>
          <w:sz w:val="18"/>
          <w:szCs w:val="18"/>
          <w:color w:val="282828"/>
        </w:rPr>
        <w:t xml:space="preserve">and agents, in any manner likely to be harmful </w:t>
      </w:r>
      <w:r>
        <w:rPr>
          <w:rFonts w:ascii="Arial" w:cs="Arial" w:eastAsia="Arial" w:hAnsi="Arial"/>
          <w:sz w:val="18"/>
          <w:szCs w:val="18"/>
          <w:color w:val="3B3B3B"/>
        </w:rPr>
        <w:t>to</w:t>
      </w:r>
      <w:r>
        <w:rPr>
          <w:rFonts w:ascii="Arial" w:cs="Arial" w:eastAsia="Arial" w:hAnsi="Arial"/>
          <w:sz w:val="18"/>
          <w:szCs w:val="18"/>
          <w:color w:val="282828"/>
        </w:rPr>
        <w:t xml:space="preserve"> its or their business</w:t>
      </w:r>
      <w:r>
        <w:rPr>
          <w:rFonts w:ascii="Arial" w:cs="Arial" w:eastAsia="Arial" w:hAnsi="Arial"/>
          <w:sz w:val="18"/>
          <w:szCs w:val="18"/>
          <w:color w:val="4B4B4B"/>
        </w:rPr>
        <w:t>,</w:t>
      </w:r>
      <w:r>
        <w:rPr>
          <w:rFonts w:ascii="Arial" w:cs="Arial" w:eastAsia="Arial" w:hAnsi="Arial"/>
          <w:sz w:val="18"/>
          <w:szCs w:val="18"/>
          <w:color w:val="282828"/>
        </w:rPr>
        <w:t xml:space="preserve"> business reputation or personal reputation</w:t>
      </w:r>
      <w:r>
        <w:rPr>
          <w:rFonts w:ascii="Arial" w:cs="Arial" w:eastAsia="Arial" w:hAnsi="Arial"/>
          <w:sz w:val="18"/>
          <w:szCs w:val="18"/>
          <w:color w:val="4B4B4B"/>
        </w:rPr>
        <w:t>;</w:t>
      </w:r>
      <w:r>
        <w:rPr>
          <w:rFonts w:ascii="Arial" w:cs="Arial" w:eastAsia="Arial" w:hAnsi="Arial"/>
          <w:sz w:val="18"/>
          <w:szCs w:val="18"/>
          <w:color w:val="282828"/>
        </w:rPr>
        <w:t xml:space="preserve"> and the Company </w:t>
      </w:r>
      <w:r>
        <w:rPr>
          <w:rFonts w:ascii="Arial" w:cs="Arial" w:eastAsia="Arial" w:hAnsi="Arial"/>
          <w:sz w:val="18"/>
          <w:szCs w:val="18"/>
          <w:color w:val="3B3B3B"/>
        </w:rPr>
        <w:t xml:space="preserve">(through </w:t>
      </w:r>
      <w:r>
        <w:rPr>
          <w:rFonts w:ascii="Arial" w:cs="Arial" w:eastAsia="Arial" w:hAnsi="Arial"/>
          <w:sz w:val="18"/>
          <w:szCs w:val="18"/>
          <w:color w:val="282828"/>
        </w:rPr>
        <w:t>its officers and directors) agrees not to disparage</w:t>
      </w:r>
      <w:r>
        <w:rPr>
          <w:rFonts w:ascii="Arial" w:cs="Arial" w:eastAsia="Arial" w:hAnsi="Arial"/>
          <w:sz w:val="18"/>
          <w:szCs w:val="18"/>
          <w:color w:val="3B3B3B"/>
        </w:rPr>
        <w:t xml:space="preserve"> you </w:t>
      </w:r>
      <w:r>
        <w:rPr>
          <w:rFonts w:ascii="Arial" w:cs="Arial" w:eastAsia="Arial" w:hAnsi="Arial"/>
          <w:sz w:val="18"/>
          <w:szCs w:val="18"/>
          <w:color w:val="282828"/>
        </w:rPr>
        <w:t>in any manner likely to be harmful to</w:t>
      </w:r>
      <w:r>
        <w:rPr>
          <w:rFonts w:ascii="Arial" w:cs="Arial" w:eastAsia="Arial" w:hAnsi="Arial"/>
          <w:sz w:val="18"/>
          <w:szCs w:val="18"/>
          <w:color w:val="3B3B3B"/>
        </w:rPr>
        <w:t xml:space="preserve"> you </w:t>
      </w:r>
      <w:r>
        <w:rPr>
          <w:rFonts w:ascii="Arial" w:cs="Arial" w:eastAsia="Arial" w:hAnsi="Arial"/>
          <w:sz w:val="18"/>
          <w:szCs w:val="18"/>
          <w:color w:val="282828"/>
        </w:rPr>
        <w:t>or your business, business</w:t>
      </w:r>
      <w:r>
        <w:rPr>
          <w:rFonts w:ascii="Arial" w:cs="Arial" w:eastAsia="Arial" w:hAnsi="Arial"/>
          <w:sz w:val="18"/>
          <w:szCs w:val="18"/>
          <w:color w:val="3B3B3B"/>
        </w:rPr>
        <w:t xml:space="preserve"> </w:t>
      </w:r>
      <w:r>
        <w:rPr>
          <w:rFonts w:ascii="Arial" w:cs="Arial" w:eastAsia="Arial" w:hAnsi="Arial"/>
          <w:sz w:val="18"/>
          <w:szCs w:val="18"/>
          <w:color w:val="181818"/>
        </w:rPr>
        <w:t xml:space="preserve">reputation </w:t>
      </w:r>
      <w:r>
        <w:rPr>
          <w:rFonts w:ascii="Arial" w:cs="Arial" w:eastAsia="Arial" w:hAnsi="Arial"/>
          <w:sz w:val="18"/>
          <w:szCs w:val="18"/>
          <w:color w:val="282828"/>
        </w:rPr>
        <w:t>or personal reputation</w:t>
      </w:r>
      <w:r>
        <w:rPr>
          <w:rFonts w:ascii="Arial" w:cs="Arial" w:eastAsia="Arial" w:hAnsi="Arial"/>
          <w:sz w:val="18"/>
          <w:szCs w:val="18"/>
          <w:color w:val="4B4B4B"/>
        </w:rPr>
        <w:t>;</w:t>
      </w:r>
      <w:r>
        <w:rPr>
          <w:rFonts w:ascii="Arial" w:cs="Arial" w:eastAsia="Arial" w:hAnsi="Arial"/>
          <w:sz w:val="18"/>
          <w:szCs w:val="18"/>
          <w:color w:val="181818"/>
        </w:rPr>
        <w:t xml:space="preserve"> </w:t>
      </w:r>
      <w:r>
        <w:rPr>
          <w:rFonts w:ascii="Arial" w:cs="Arial" w:eastAsia="Arial" w:hAnsi="Arial"/>
          <w:sz w:val="18"/>
          <w:szCs w:val="18"/>
          <w:color w:val="282828"/>
        </w:rPr>
        <w:t>provided that you and the Company will respond accurately and fully to any question</w:t>
      </w:r>
      <w:r>
        <w:rPr>
          <w:rFonts w:ascii="Arial" w:cs="Arial" w:eastAsia="Arial" w:hAnsi="Arial"/>
          <w:sz w:val="18"/>
          <w:szCs w:val="18"/>
          <w:color w:val="4B4B4B"/>
        </w:rPr>
        <w:t>,</w:t>
      </w:r>
      <w:r>
        <w:rPr>
          <w:rFonts w:ascii="Arial" w:cs="Arial" w:eastAsia="Arial" w:hAnsi="Arial"/>
          <w:sz w:val="18"/>
          <w:szCs w:val="18"/>
          <w:color w:val="181818"/>
        </w:rPr>
        <w:t xml:space="preserve"> </w:t>
      </w:r>
      <w:r>
        <w:rPr>
          <w:rFonts w:ascii="Arial" w:cs="Arial" w:eastAsia="Arial" w:hAnsi="Arial"/>
          <w:sz w:val="18"/>
          <w:szCs w:val="18"/>
          <w:color w:val="282828"/>
        </w:rPr>
        <w:t>inquiry or</w:t>
      </w:r>
      <w:r>
        <w:rPr>
          <w:rFonts w:ascii="Arial" w:cs="Arial" w:eastAsia="Arial" w:hAnsi="Arial"/>
          <w:sz w:val="18"/>
          <w:szCs w:val="18"/>
          <w:color w:val="181818"/>
        </w:rPr>
        <w:t xml:space="preserve"> </w:t>
      </w:r>
      <w:r>
        <w:rPr>
          <w:rFonts w:ascii="Arial" w:cs="Arial" w:eastAsia="Arial" w:hAnsi="Arial"/>
          <w:sz w:val="18"/>
          <w:szCs w:val="18"/>
          <w:color w:val="282828"/>
        </w:rPr>
        <w:t>request for information when required by legal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81" w:right="999" w:bottom="1440" w:gutter="0" w:footer="0" w:header="0"/>
        </w:sectPr>
      </w:pPr>
    </w:p>
    <w:bookmarkStart w:id="46" w:name="page47"/>
    <w:bookmarkEnd w:id="46"/>
    <w:p>
      <w:pPr>
        <w:jc w:val="both"/>
        <w:ind w:left="332" w:hanging="332"/>
        <w:spacing w:after="0" w:line="266" w:lineRule="auto"/>
        <w:tabs>
          <w:tab w:leader="none" w:pos="332" w:val="left"/>
        </w:tabs>
        <w:numPr>
          <w:ilvl w:val="0"/>
          <w:numId w:val="20"/>
        </w:numPr>
        <w:rPr>
          <w:rFonts w:ascii="Arial" w:cs="Arial" w:eastAsia="Arial" w:hAnsi="Arial"/>
          <w:sz w:val="18"/>
          <w:szCs w:val="18"/>
          <w:b w:val="1"/>
          <w:bCs w:val="1"/>
          <w:color w:val="181818"/>
        </w:rPr>
      </w:pPr>
      <w:r>
        <w:rPr>
          <w:rFonts w:ascii="Arial" w:cs="Arial" w:eastAsia="Arial" w:hAnsi="Arial"/>
          <w:sz w:val="18"/>
          <w:szCs w:val="18"/>
          <w:b w:val="1"/>
          <w:bCs w:val="1"/>
          <w:color w:val="282828"/>
        </w:rPr>
        <w:t xml:space="preserve">No ADMISSIONS </w:t>
      </w:r>
      <w:r>
        <w:rPr>
          <w:rFonts w:ascii="Arial" w:cs="Arial" w:eastAsia="Arial" w:hAnsi="Arial"/>
          <w:sz w:val="18"/>
          <w:szCs w:val="18"/>
          <w:color w:val="282828"/>
        </w:rPr>
        <w:t>- You understand and agree that the promises and payments in consideration</w:t>
      </w:r>
      <w:r>
        <w:rPr>
          <w:rFonts w:ascii="Arial" w:cs="Arial" w:eastAsia="Arial" w:hAnsi="Arial"/>
          <w:sz w:val="18"/>
          <w:szCs w:val="18"/>
          <w:b w:val="1"/>
          <w:bCs w:val="1"/>
          <w:color w:val="282828"/>
        </w:rPr>
        <w:t xml:space="preserve"> </w:t>
      </w:r>
      <w:r>
        <w:rPr>
          <w:rFonts w:ascii="Arial" w:cs="Arial" w:eastAsia="Arial" w:hAnsi="Arial"/>
          <w:sz w:val="18"/>
          <w:szCs w:val="18"/>
          <w:color w:val="3A3A3A"/>
        </w:rPr>
        <w:t>of</w:t>
      </w:r>
      <w:r>
        <w:rPr>
          <w:rFonts w:ascii="Arial" w:cs="Arial" w:eastAsia="Arial" w:hAnsi="Arial"/>
          <w:sz w:val="18"/>
          <w:szCs w:val="18"/>
          <w:b w:val="1"/>
          <w:bCs w:val="1"/>
          <w:color w:val="282828"/>
        </w:rPr>
        <w:t xml:space="preserve"> </w:t>
      </w:r>
      <w:r>
        <w:rPr>
          <w:rFonts w:ascii="Arial" w:cs="Arial" w:eastAsia="Arial" w:hAnsi="Arial"/>
          <w:sz w:val="18"/>
          <w:szCs w:val="18"/>
          <w:color w:val="282828"/>
        </w:rPr>
        <w:t>this Agreement</w:t>
      </w:r>
      <w:r>
        <w:rPr>
          <w:rFonts w:ascii="Arial" w:cs="Arial" w:eastAsia="Arial" w:hAnsi="Arial"/>
          <w:sz w:val="18"/>
          <w:szCs w:val="18"/>
          <w:b w:val="1"/>
          <w:bCs w:val="1"/>
          <w:color w:val="282828"/>
        </w:rPr>
        <w:t xml:space="preserve"> </w:t>
      </w:r>
      <w:r>
        <w:rPr>
          <w:rFonts w:ascii="Arial" w:cs="Arial" w:eastAsia="Arial" w:hAnsi="Arial"/>
          <w:sz w:val="18"/>
          <w:szCs w:val="18"/>
          <w:color w:val="3A3A3A"/>
        </w:rPr>
        <w:t>shall</w:t>
      </w:r>
      <w:r>
        <w:rPr>
          <w:rFonts w:ascii="Arial" w:cs="Arial" w:eastAsia="Arial" w:hAnsi="Arial"/>
          <w:sz w:val="18"/>
          <w:szCs w:val="18"/>
          <w:b w:val="1"/>
          <w:bCs w:val="1"/>
          <w:color w:val="282828"/>
        </w:rPr>
        <w:t xml:space="preserve"> </w:t>
      </w:r>
      <w:r>
        <w:rPr>
          <w:rFonts w:ascii="Arial" w:cs="Arial" w:eastAsia="Arial" w:hAnsi="Arial"/>
          <w:sz w:val="18"/>
          <w:szCs w:val="18"/>
          <w:color w:val="282828"/>
        </w:rPr>
        <w:t>not be</w:t>
      </w:r>
      <w:r>
        <w:rPr>
          <w:rFonts w:ascii="Arial" w:cs="Arial" w:eastAsia="Arial" w:hAnsi="Arial"/>
          <w:sz w:val="18"/>
          <w:szCs w:val="18"/>
          <w:b w:val="1"/>
          <w:bCs w:val="1"/>
          <w:color w:val="282828"/>
        </w:rPr>
        <w:t xml:space="preserve"> </w:t>
      </w:r>
      <w:r>
        <w:rPr>
          <w:rFonts w:ascii="Arial" w:cs="Arial" w:eastAsia="Arial" w:hAnsi="Arial"/>
          <w:sz w:val="18"/>
          <w:szCs w:val="18"/>
          <w:color w:val="282828"/>
        </w:rPr>
        <w:t xml:space="preserve">construed to be an admission of any liability </w:t>
      </w:r>
      <w:r>
        <w:rPr>
          <w:rFonts w:ascii="Arial" w:cs="Arial" w:eastAsia="Arial" w:hAnsi="Arial"/>
          <w:sz w:val="18"/>
          <w:szCs w:val="18"/>
          <w:color w:val="3A3A3A"/>
        </w:rPr>
        <w:t>or</w:t>
      </w:r>
      <w:r>
        <w:rPr>
          <w:rFonts w:ascii="Arial" w:cs="Arial" w:eastAsia="Arial" w:hAnsi="Arial"/>
          <w:sz w:val="18"/>
          <w:szCs w:val="18"/>
          <w:color w:val="282828"/>
        </w:rPr>
        <w:t xml:space="preserve"> obligation by </w:t>
      </w:r>
      <w:r>
        <w:rPr>
          <w:rFonts w:ascii="Arial" w:cs="Arial" w:eastAsia="Arial" w:hAnsi="Arial"/>
          <w:sz w:val="18"/>
          <w:szCs w:val="18"/>
          <w:color w:val="3A3A3A"/>
        </w:rPr>
        <w:t>the</w:t>
      </w:r>
      <w:r>
        <w:rPr>
          <w:rFonts w:ascii="Arial" w:cs="Arial" w:eastAsia="Arial" w:hAnsi="Arial"/>
          <w:sz w:val="18"/>
          <w:szCs w:val="18"/>
          <w:color w:val="282828"/>
        </w:rPr>
        <w:t xml:space="preserve"> Company to </w:t>
      </w:r>
      <w:r>
        <w:rPr>
          <w:rFonts w:ascii="Arial" w:cs="Arial" w:eastAsia="Arial" w:hAnsi="Arial"/>
          <w:sz w:val="18"/>
          <w:szCs w:val="18"/>
          <w:color w:val="3A3A3A"/>
        </w:rPr>
        <w:t>you</w:t>
      </w:r>
      <w:r>
        <w:rPr>
          <w:rFonts w:ascii="Arial" w:cs="Arial" w:eastAsia="Arial" w:hAnsi="Arial"/>
          <w:sz w:val="18"/>
          <w:szCs w:val="18"/>
          <w:color w:val="282828"/>
        </w:rPr>
        <w:t xml:space="preserve"> or to any other person, and that the Company makes no </w:t>
      </w:r>
      <w:r>
        <w:rPr>
          <w:rFonts w:ascii="Arial" w:cs="Arial" w:eastAsia="Arial" w:hAnsi="Arial"/>
          <w:sz w:val="18"/>
          <w:szCs w:val="18"/>
          <w:color w:val="3A3A3A"/>
        </w:rPr>
        <w:t>such</w:t>
      </w:r>
      <w:r>
        <w:rPr>
          <w:rFonts w:ascii="Arial" w:cs="Arial" w:eastAsia="Arial" w:hAnsi="Arial"/>
          <w:sz w:val="18"/>
          <w:szCs w:val="18"/>
          <w:color w:val="282828"/>
        </w:rPr>
        <w:t xml:space="preserve"> admission.</w:t>
      </w:r>
    </w:p>
    <w:p>
      <w:pPr>
        <w:spacing w:after="0" w:line="175" w:lineRule="exact"/>
        <w:rPr>
          <w:rFonts w:ascii="Arial" w:cs="Arial" w:eastAsia="Arial" w:hAnsi="Arial"/>
          <w:sz w:val="18"/>
          <w:szCs w:val="18"/>
          <w:b w:val="1"/>
          <w:bCs w:val="1"/>
          <w:color w:val="181818"/>
        </w:rPr>
      </w:pPr>
    </w:p>
    <w:p>
      <w:pPr>
        <w:jc w:val="both"/>
        <w:ind w:left="332" w:hanging="332"/>
        <w:spacing w:after="0" w:line="268" w:lineRule="auto"/>
        <w:tabs>
          <w:tab w:leader="none" w:pos="332" w:val="left"/>
        </w:tabs>
        <w:numPr>
          <w:ilvl w:val="0"/>
          <w:numId w:val="20"/>
        </w:numPr>
        <w:rPr>
          <w:rFonts w:ascii="Arial" w:cs="Arial" w:eastAsia="Arial" w:hAnsi="Arial"/>
          <w:sz w:val="17"/>
          <w:szCs w:val="17"/>
          <w:b w:val="1"/>
          <w:bCs w:val="1"/>
          <w:color w:val="181818"/>
        </w:rPr>
      </w:pPr>
      <w:r>
        <w:rPr>
          <w:rFonts w:ascii="Arial" w:cs="Arial" w:eastAsia="Arial" w:hAnsi="Arial"/>
          <w:sz w:val="17"/>
          <w:szCs w:val="17"/>
          <w:b w:val="1"/>
          <w:bCs w:val="1"/>
          <w:color w:val="282828"/>
        </w:rPr>
        <w:t xml:space="preserve">RELEASE OF CLAIMS </w:t>
      </w:r>
      <w:r>
        <w:rPr>
          <w:rFonts w:ascii="Arial" w:cs="Arial" w:eastAsia="Arial" w:hAnsi="Arial"/>
          <w:sz w:val="17"/>
          <w:szCs w:val="17"/>
          <w:color w:val="181618"/>
        </w:rPr>
        <w:t>-</w:t>
      </w:r>
      <w:r>
        <w:rPr>
          <w:rFonts w:ascii="Arial" w:cs="Arial" w:eastAsia="Arial" w:hAnsi="Arial"/>
          <w:sz w:val="17"/>
          <w:szCs w:val="17"/>
          <w:b w:val="1"/>
          <w:bCs w:val="1"/>
          <w:color w:val="282828"/>
        </w:rPr>
        <w:t xml:space="preserve"> </w:t>
      </w:r>
      <w:r>
        <w:rPr>
          <w:rFonts w:ascii="Arial" w:cs="Arial" w:eastAsia="Arial" w:hAnsi="Arial"/>
          <w:sz w:val="17"/>
          <w:szCs w:val="17"/>
          <w:color w:val="282828"/>
        </w:rPr>
        <w:t>In exchange for the consideration under this Agreement to which</w:t>
      </w:r>
      <w:r>
        <w:rPr>
          <w:rFonts w:ascii="Arial" w:cs="Arial" w:eastAsia="Arial" w:hAnsi="Arial"/>
          <w:sz w:val="17"/>
          <w:szCs w:val="17"/>
          <w:b w:val="1"/>
          <w:bCs w:val="1"/>
          <w:color w:val="282828"/>
        </w:rPr>
        <w:t xml:space="preserve"> </w:t>
      </w:r>
      <w:r>
        <w:rPr>
          <w:rFonts w:ascii="Arial" w:cs="Arial" w:eastAsia="Arial" w:hAnsi="Arial"/>
          <w:sz w:val="17"/>
          <w:szCs w:val="17"/>
          <w:color w:val="3A3A3A"/>
        </w:rPr>
        <w:t>you would</w:t>
      </w:r>
      <w:r>
        <w:rPr>
          <w:rFonts w:ascii="Arial" w:cs="Arial" w:eastAsia="Arial" w:hAnsi="Arial"/>
          <w:sz w:val="17"/>
          <w:szCs w:val="17"/>
          <w:b w:val="1"/>
          <w:bCs w:val="1"/>
          <w:color w:val="282828"/>
        </w:rPr>
        <w:t xml:space="preserve"> </w:t>
      </w:r>
      <w:r>
        <w:rPr>
          <w:rFonts w:ascii="Arial" w:cs="Arial" w:eastAsia="Arial" w:hAnsi="Arial"/>
          <w:sz w:val="17"/>
          <w:szCs w:val="17"/>
          <w:color w:val="282828"/>
        </w:rPr>
        <w:t>not otherwise be</w:t>
      </w:r>
      <w:r>
        <w:rPr>
          <w:rFonts w:ascii="Arial" w:cs="Arial" w:eastAsia="Arial" w:hAnsi="Arial"/>
          <w:sz w:val="17"/>
          <w:szCs w:val="17"/>
          <w:b w:val="1"/>
          <w:bCs w:val="1"/>
          <w:color w:val="282828"/>
        </w:rPr>
        <w:t xml:space="preserve"> </w:t>
      </w:r>
      <w:r>
        <w:rPr>
          <w:rFonts w:ascii="Arial" w:cs="Arial" w:eastAsia="Arial" w:hAnsi="Arial"/>
          <w:sz w:val="17"/>
          <w:szCs w:val="17"/>
          <w:color w:val="3A3A3A"/>
        </w:rPr>
        <w:t>entitled,</w:t>
      </w:r>
      <w:r>
        <w:rPr>
          <w:rFonts w:ascii="Arial" w:cs="Arial" w:eastAsia="Arial" w:hAnsi="Arial"/>
          <w:sz w:val="17"/>
          <w:szCs w:val="17"/>
          <w:b w:val="1"/>
          <w:bCs w:val="1"/>
          <w:color w:val="282828"/>
        </w:rPr>
        <w:t xml:space="preserve"> </w:t>
      </w:r>
      <w:r>
        <w:rPr>
          <w:rFonts w:ascii="Arial" w:cs="Arial" w:eastAsia="Arial" w:hAnsi="Arial"/>
          <w:sz w:val="17"/>
          <w:szCs w:val="17"/>
          <w:color w:val="3A3A3A"/>
        </w:rPr>
        <w:t xml:space="preserve">you </w:t>
      </w:r>
      <w:r>
        <w:rPr>
          <w:rFonts w:ascii="Arial" w:cs="Arial" w:eastAsia="Arial" w:hAnsi="Arial"/>
          <w:sz w:val="17"/>
          <w:szCs w:val="17"/>
          <w:color w:val="282828"/>
        </w:rPr>
        <w:t>hereby generally and completely</w:t>
      </w:r>
      <w:r>
        <w:rPr>
          <w:rFonts w:ascii="Arial" w:cs="Arial" w:eastAsia="Arial" w:hAnsi="Arial"/>
          <w:sz w:val="17"/>
          <w:szCs w:val="17"/>
          <w:color w:val="3A3A3A"/>
        </w:rPr>
        <w:t xml:space="preserve"> release </w:t>
      </w:r>
      <w:r>
        <w:rPr>
          <w:rFonts w:ascii="Arial" w:cs="Arial" w:eastAsia="Arial" w:hAnsi="Arial"/>
          <w:sz w:val="17"/>
          <w:szCs w:val="17"/>
          <w:color w:val="282828"/>
        </w:rPr>
        <w:t>the</w:t>
      </w:r>
      <w:r>
        <w:rPr>
          <w:rFonts w:ascii="Arial" w:cs="Arial" w:eastAsia="Arial" w:hAnsi="Arial"/>
          <w:sz w:val="17"/>
          <w:szCs w:val="17"/>
          <w:color w:val="3A3A3A"/>
        </w:rPr>
        <w:t xml:space="preserve"> Company </w:t>
      </w:r>
      <w:r>
        <w:rPr>
          <w:rFonts w:ascii="Arial" w:cs="Arial" w:eastAsia="Arial" w:hAnsi="Arial"/>
          <w:sz w:val="17"/>
          <w:szCs w:val="17"/>
          <w:color w:val="282828"/>
        </w:rPr>
        <w:t>and</w:t>
      </w:r>
      <w:r>
        <w:rPr>
          <w:rFonts w:ascii="Arial" w:cs="Arial" w:eastAsia="Arial" w:hAnsi="Arial"/>
          <w:sz w:val="17"/>
          <w:szCs w:val="17"/>
          <w:color w:val="3A3A3A"/>
        </w:rPr>
        <w:t xml:space="preserve"> its </w:t>
      </w:r>
      <w:r>
        <w:rPr>
          <w:rFonts w:ascii="Arial" w:cs="Arial" w:eastAsia="Arial" w:hAnsi="Arial"/>
          <w:sz w:val="17"/>
          <w:szCs w:val="17"/>
          <w:color w:val="282828"/>
        </w:rPr>
        <w:t>directors</w:t>
      </w:r>
      <w:r>
        <w:rPr>
          <w:rFonts w:ascii="Arial" w:cs="Arial" w:eastAsia="Arial" w:hAnsi="Arial"/>
          <w:sz w:val="17"/>
          <w:szCs w:val="17"/>
          <w:color w:val="4F4F4F"/>
        </w:rPr>
        <w:t>,</w:t>
      </w:r>
      <w:r>
        <w:rPr>
          <w:rFonts w:ascii="Arial" w:cs="Arial" w:eastAsia="Arial" w:hAnsi="Arial"/>
          <w:sz w:val="17"/>
          <w:szCs w:val="17"/>
          <w:color w:val="3A3A3A"/>
        </w:rPr>
        <w:t xml:space="preserve"> </w:t>
      </w:r>
      <w:r>
        <w:rPr>
          <w:rFonts w:ascii="Arial" w:cs="Arial" w:eastAsia="Arial" w:hAnsi="Arial"/>
          <w:sz w:val="17"/>
          <w:szCs w:val="17"/>
          <w:color w:val="282828"/>
        </w:rPr>
        <w:t>officers</w:t>
      </w:r>
      <w:r>
        <w:rPr>
          <w:rFonts w:ascii="Arial" w:cs="Arial" w:eastAsia="Arial" w:hAnsi="Arial"/>
          <w:sz w:val="17"/>
          <w:szCs w:val="17"/>
          <w:color w:val="4F4F4F"/>
        </w:rPr>
        <w:t>,</w:t>
      </w:r>
      <w:r>
        <w:rPr>
          <w:rFonts w:ascii="Arial" w:cs="Arial" w:eastAsia="Arial" w:hAnsi="Arial"/>
          <w:sz w:val="17"/>
          <w:szCs w:val="17"/>
          <w:color w:val="3A3A3A"/>
        </w:rPr>
        <w:t xml:space="preserve"> </w:t>
      </w:r>
      <w:r>
        <w:rPr>
          <w:rFonts w:ascii="Arial" w:cs="Arial" w:eastAsia="Arial" w:hAnsi="Arial"/>
          <w:sz w:val="17"/>
          <w:szCs w:val="17"/>
          <w:color w:val="282828"/>
        </w:rPr>
        <w:t>employees</w:t>
      </w:r>
      <w:r>
        <w:rPr>
          <w:rFonts w:ascii="Arial" w:cs="Arial" w:eastAsia="Arial" w:hAnsi="Arial"/>
          <w:sz w:val="17"/>
          <w:szCs w:val="17"/>
          <w:color w:val="4F4F4F"/>
        </w:rPr>
        <w:t>,</w:t>
      </w:r>
      <w:r>
        <w:rPr>
          <w:rFonts w:ascii="Arial" w:cs="Arial" w:eastAsia="Arial" w:hAnsi="Arial"/>
          <w:sz w:val="17"/>
          <w:szCs w:val="17"/>
          <w:color w:val="3A3A3A"/>
        </w:rPr>
        <w:t xml:space="preserve"> shareholders, </w:t>
      </w:r>
      <w:r>
        <w:rPr>
          <w:rFonts w:ascii="Arial" w:cs="Arial" w:eastAsia="Arial" w:hAnsi="Arial"/>
          <w:sz w:val="17"/>
          <w:szCs w:val="17"/>
          <w:color w:val="282828"/>
        </w:rPr>
        <w:t>partners</w:t>
      </w:r>
      <w:r>
        <w:rPr>
          <w:rFonts w:ascii="Arial" w:cs="Arial" w:eastAsia="Arial" w:hAnsi="Arial"/>
          <w:sz w:val="17"/>
          <w:szCs w:val="17"/>
          <w:color w:val="4F4F4F"/>
        </w:rPr>
        <w:t>,</w:t>
      </w:r>
      <w:r>
        <w:rPr>
          <w:rFonts w:ascii="Arial" w:cs="Arial" w:eastAsia="Arial" w:hAnsi="Arial"/>
          <w:sz w:val="17"/>
          <w:szCs w:val="17"/>
          <w:color w:val="3A3A3A"/>
        </w:rPr>
        <w:t xml:space="preserve"> </w:t>
      </w:r>
      <w:r>
        <w:rPr>
          <w:rFonts w:ascii="Arial" w:cs="Arial" w:eastAsia="Arial" w:hAnsi="Arial"/>
          <w:sz w:val="17"/>
          <w:szCs w:val="17"/>
          <w:color w:val="282828"/>
        </w:rPr>
        <w:t>agents</w:t>
      </w:r>
      <w:r>
        <w:rPr>
          <w:rFonts w:ascii="Arial" w:cs="Arial" w:eastAsia="Arial" w:hAnsi="Arial"/>
          <w:sz w:val="17"/>
          <w:szCs w:val="17"/>
          <w:color w:val="4F4F4F"/>
        </w:rPr>
        <w:t>,</w:t>
      </w:r>
      <w:r>
        <w:rPr>
          <w:rFonts w:ascii="Arial" w:cs="Arial" w:eastAsia="Arial" w:hAnsi="Arial"/>
          <w:sz w:val="17"/>
          <w:szCs w:val="17"/>
          <w:color w:val="3A3A3A"/>
        </w:rPr>
        <w:t xml:space="preserve"> attorneys, </w:t>
      </w:r>
      <w:r>
        <w:rPr>
          <w:rFonts w:ascii="Arial" w:cs="Arial" w:eastAsia="Arial" w:hAnsi="Arial"/>
          <w:sz w:val="17"/>
          <w:szCs w:val="17"/>
          <w:color w:val="282828"/>
        </w:rPr>
        <w:t>predecessors</w:t>
      </w:r>
      <w:r>
        <w:rPr>
          <w:rFonts w:ascii="Arial" w:cs="Arial" w:eastAsia="Arial" w:hAnsi="Arial"/>
          <w:sz w:val="17"/>
          <w:szCs w:val="17"/>
          <w:color w:val="4F4F4F"/>
        </w:rPr>
        <w:t>,</w:t>
      </w:r>
      <w:r>
        <w:rPr>
          <w:rFonts w:ascii="Arial" w:cs="Arial" w:eastAsia="Arial" w:hAnsi="Arial"/>
          <w:sz w:val="17"/>
          <w:szCs w:val="17"/>
          <w:color w:val="3A3A3A"/>
        </w:rPr>
        <w:t xml:space="preserve"> </w:t>
      </w:r>
      <w:r>
        <w:rPr>
          <w:rFonts w:ascii="Arial" w:cs="Arial" w:eastAsia="Arial" w:hAnsi="Arial"/>
          <w:sz w:val="17"/>
          <w:szCs w:val="17"/>
          <w:color w:val="282828"/>
        </w:rPr>
        <w:t>successors, parent and subsidiary entities</w:t>
      </w:r>
      <w:r>
        <w:rPr>
          <w:rFonts w:ascii="Arial" w:cs="Arial" w:eastAsia="Arial" w:hAnsi="Arial"/>
          <w:sz w:val="17"/>
          <w:szCs w:val="17"/>
          <w:color w:val="4F4F4F"/>
        </w:rPr>
        <w:t>,</w:t>
      </w:r>
      <w:r>
        <w:rPr>
          <w:rFonts w:ascii="Arial" w:cs="Arial" w:eastAsia="Arial" w:hAnsi="Arial"/>
          <w:sz w:val="17"/>
          <w:szCs w:val="17"/>
          <w:color w:val="3A3A3A"/>
        </w:rPr>
        <w:t xml:space="preserve"> </w:t>
      </w:r>
      <w:r>
        <w:rPr>
          <w:rFonts w:ascii="Arial" w:cs="Arial" w:eastAsia="Arial" w:hAnsi="Arial"/>
          <w:sz w:val="17"/>
          <w:szCs w:val="17"/>
          <w:color w:val="282828"/>
        </w:rPr>
        <w:t>insurers, affiliates, and assigns from any and all claims</w:t>
      </w:r>
      <w:r>
        <w:rPr>
          <w:rFonts w:ascii="Arial" w:cs="Arial" w:eastAsia="Arial" w:hAnsi="Arial"/>
          <w:sz w:val="17"/>
          <w:szCs w:val="17"/>
          <w:color w:val="4F4F4F"/>
        </w:rPr>
        <w:t>,</w:t>
      </w:r>
      <w:r>
        <w:rPr>
          <w:rFonts w:ascii="Arial" w:cs="Arial" w:eastAsia="Arial" w:hAnsi="Arial"/>
          <w:sz w:val="17"/>
          <w:szCs w:val="17"/>
          <w:color w:val="3A3A3A"/>
        </w:rPr>
        <w:t xml:space="preserve"> </w:t>
      </w:r>
      <w:r>
        <w:rPr>
          <w:rFonts w:ascii="Arial" w:cs="Arial" w:eastAsia="Arial" w:hAnsi="Arial"/>
          <w:sz w:val="17"/>
          <w:szCs w:val="17"/>
          <w:color w:val="282828"/>
        </w:rPr>
        <w:t>liabilities</w:t>
      </w:r>
      <w:r>
        <w:rPr>
          <w:rFonts w:ascii="Arial" w:cs="Arial" w:eastAsia="Arial" w:hAnsi="Arial"/>
          <w:sz w:val="17"/>
          <w:szCs w:val="17"/>
          <w:color w:val="3A3A3A"/>
        </w:rPr>
        <w:t xml:space="preserve"> </w:t>
      </w:r>
      <w:r>
        <w:rPr>
          <w:rFonts w:ascii="Arial" w:cs="Arial" w:eastAsia="Arial" w:hAnsi="Arial"/>
          <w:sz w:val="17"/>
          <w:szCs w:val="17"/>
          <w:color w:val="282828"/>
        </w:rPr>
        <w:t>and obligations</w:t>
      </w:r>
      <w:r>
        <w:rPr>
          <w:rFonts w:ascii="Arial" w:cs="Arial" w:eastAsia="Arial" w:hAnsi="Arial"/>
          <w:sz w:val="17"/>
          <w:szCs w:val="17"/>
          <w:color w:val="4F4F4F"/>
        </w:rPr>
        <w:t>,</w:t>
      </w:r>
      <w:r>
        <w:rPr>
          <w:rFonts w:ascii="Arial" w:cs="Arial" w:eastAsia="Arial" w:hAnsi="Arial"/>
          <w:sz w:val="17"/>
          <w:szCs w:val="17"/>
          <w:color w:val="282828"/>
        </w:rPr>
        <w:t xml:space="preserve"> both known </w:t>
      </w:r>
      <w:r>
        <w:rPr>
          <w:rFonts w:ascii="Arial" w:cs="Arial" w:eastAsia="Arial" w:hAnsi="Arial"/>
          <w:sz w:val="17"/>
          <w:szCs w:val="17"/>
          <w:color w:val="181618"/>
        </w:rPr>
        <w:t>and</w:t>
      </w:r>
      <w:r>
        <w:rPr>
          <w:rFonts w:ascii="Arial" w:cs="Arial" w:eastAsia="Arial" w:hAnsi="Arial"/>
          <w:sz w:val="17"/>
          <w:szCs w:val="17"/>
          <w:color w:val="282828"/>
        </w:rPr>
        <w:t xml:space="preserve"> unknown</w:t>
      </w:r>
      <w:r>
        <w:rPr>
          <w:rFonts w:ascii="Arial" w:cs="Arial" w:eastAsia="Arial" w:hAnsi="Arial"/>
          <w:sz w:val="17"/>
          <w:szCs w:val="17"/>
          <w:color w:val="4F4F4F"/>
        </w:rPr>
        <w:t>,</w:t>
      </w:r>
      <w:r>
        <w:rPr>
          <w:rFonts w:ascii="Arial" w:cs="Arial" w:eastAsia="Arial" w:hAnsi="Arial"/>
          <w:sz w:val="17"/>
          <w:szCs w:val="17"/>
          <w:color w:val="282828"/>
        </w:rPr>
        <w:t xml:space="preserve"> that arise out of or are in any way related to events, acts, conduct, or omissions occurring at any time prior to and including </w:t>
      </w:r>
      <w:r>
        <w:rPr>
          <w:rFonts w:ascii="Arial" w:cs="Arial" w:eastAsia="Arial" w:hAnsi="Arial"/>
          <w:sz w:val="17"/>
          <w:szCs w:val="17"/>
          <w:color w:val="3A3A3A"/>
        </w:rPr>
        <w:t>the</w:t>
      </w:r>
      <w:r>
        <w:rPr>
          <w:rFonts w:ascii="Arial" w:cs="Arial" w:eastAsia="Arial" w:hAnsi="Arial"/>
          <w:sz w:val="17"/>
          <w:szCs w:val="17"/>
          <w:color w:val="282828"/>
        </w:rPr>
        <w:t xml:space="preserve"> date </w:t>
      </w:r>
      <w:r>
        <w:rPr>
          <w:rFonts w:ascii="Arial" w:cs="Arial" w:eastAsia="Arial" w:hAnsi="Arial"/>
          <w:sz w:val="17"/>
          <w:szCs w:val="17"/>
          <w:color w:val="3A3A3A"/>
        </w:rPr>
        <w:t>you</w:t>
      </w:r>
      <w:r>
        <w:rPr>
          <w:rFonts w:ascii="Arial" w:cs="Arial" w:eastAsia="Arial" w:hAnsi="Arial"/>
          <w:sz w:val="17"/>
          <w:szCs w:val="17"/>
          <w:color w:val="282828"/>
        </w:rPr>
        <w:t xml:space="preserve"> sign </w:t>
      </w:r>
      <w:r>
        <w:rPr>
          <w:rFonts w:ascii="Arial" w:cs="Arial" w:eastAsia="Arial" w:hAnsi="Arial"/>
          <w:sz w:val="17"/>
          <w:szCs w:val="17"/>
          <w:color w:val="3A3A3A"/>
        </w:rPr>
        <w:t>this Agreement.</w:t>
      </w:r>
      <w:r>
        <w:rPr>
          <w:rFonts w:ascii="Arial" w:cs="Arial" w:eastAsia="Arial" w:hAnsi="Arial"/>
          <w:sz w:val="17"/>
          <w:szCs w:val="17"/>
          <w:color w:val="282828"/>
        </w:rPr>
        <w:t xml:space="preserve"> This general release includes, but </w:t>
      </w:r>
      <w:r>
        <w:rPr>
          <w:rFonts w:ascii="Arial" w:cs="Arial" w:eastAsia="Arial" w:hAnsi="Arial"/>
          <w:sz w:val="17"/>
          <w:szCs w:val="17"/>
          <w:color w:val="3A3A3A"/>
        </w:rPr>
        <w:t>is</w:t>
      </w:r>
      <w:r>
        <w:rPr>
          <w:rFonts w:ascii="Arial" w:cs="Arial" w:eastAsia="Arial" w:hAnsi="Arial"/>
          <w:sz w:val="17"/>
          <w:szCs w:val="17"/>
          <w:color w:val="282828"/>
        </w:rPr>
        <w:t xml:space="preserve"> not </w:t>
      </w:r>
      <w:r>
        <w:rPr>
          <w:rFonts w:ascii="Arial" w:cs="Arial" w:eastAsia="Arial" w:hAnsi="Arial"/>
          <w:sz w:val="17"/>
          <w:szCs w:val="17"/>
          <w:color w:val="3A3A3A"/>
        </w:rPr>
        <w:t>limited to: (a)</w:t>
      </w:r>
      <w:r>
        <w:rPr>
          <w:rFonts w:ascii="Arial" w:cs="Arial" w:eastAsia="Arial" w:hAnsi="Arial"/>
          <w:sz w:val="17"/>
          <w:szCs w:val="17"/>
          <w:color w:val="282828"/>
        </w:rPr>
        <w:t xml:space="preserve"> all claims arising out of or in any </w:t>
      </w:r>
      <w:r>
        <w:rPr>
          <w:rFonts w:ascii="Arial" w:cs="Arial" w:eastAsia="Arial" w:hAnsi="Arial"/>
          <w:sz w:val="17"/>
          <w:szCs w:val="17"/>
          <w:color w:val="3A3A3A"/>
        </w:rPr>
        <w:t>way</w:t>
      </w:r>
      <w:r>
        <w:rPr>
          <w:rFonts w:ascii="Arial" w:cs="Arial" w:eastAsia="Arial" w:hAnsi="Arial"/>
          <w:sz w:val="17"/>
          <w:szCs w:val="17"/>
          <w:color w:val="282828"/>
        </w:rPr>
        <w:t xml:space="preserve"> related to </w:t>
      </w:r>
      <w:r>
        <w:rPr>
          <w:rFonts w:ascii="Arial" w:cs="Arial" w:eastAsia="Arial" w:hAnsi="Arial"/>
          <w:sz w:val="17"/>
          <w:szCs w:val="17"/>
          <w:color w:val="3A3A3A"/>
        </w:rPr>
        <w:t>your</w:t>
      </w:r>
      <w:r>
        <w:rPr>
          <w:rFonts w:ascii="Arial" w:cs="Arial" w:eastAsia="Arial" w:hAnsi="Arial"/>
          <w:sz w:val="17"/>
          <w:szCs w:val="17"/>
          <w:color w:val="282828"/>
        </w:rPr>
        <w:t xml:space="preserve"> employment with the </w:t>
      </w:r>
      <w:r>
        <w:rPr>
          <w:rFonts w:ascii="Arial" w:cs="Arial" w:eastAsia="Arial" w:hAnsi="Arial"/>
          <w:sz w:val="17"/>
          <w:szCs w:val="17"/>
          <w:color w:val="3A3A3A"/>
        </w:rPr>
        <w:t>Company</w:t>
      </w:r>
      <w:r>
        <w:rPr>
          <w:rFonts w:ascii="Arial" w:cs="Arial" w:eastAsia="Arial" w:hAnsi="Arial"/>
          <w:sz w:val="17"/>
          <w:szCs w:val="17"/>
          <w:color w:val="282828"/>
        </w:rPr>
        <w:t xml:space="preserve"> or the termination of that employment; (b) all claims related to your compensation or benefits from the Company</w:t>
      </w:r>
      <w:r>
        <w:rPr>
          <w:rFonts w:ascii="Arial" w:cs="Arial" w:eastAsia="Arial" w:hAnsi="Arial"/>
          <w:sz w:val="17"/>
          <w:szCs w:val="17"/>
          <w:color w:val="4F4F4F"/>
        </w:rPr>
        <w:t>,</w:t>
      </w:r>
      <w:r>
        <w:rPr>
          <w:rFonts w:ascii="Arial" w:cs="Arial" w:eastAsia="Arial" w:hAnsi="Arial"/>
          <w:sz w:val="17"/>
          <w:szCs w:val="17"/>
          <w:color w:val="282828"/>
        </w:rPr>
        <w:t xml:space="preserve"> including salary</w:t>
      </w:r>
      <w:r>
        <w:rPr>
          <w:rFonts w:ascii="Arial" w:cs="Arial" w:eastAsia="Arial" w:hAnsi="Arial"/>
          <w:sz w:val="17"/>
          <w:szCs w:val="17"/>
          <w:color w:val="4F4F4F"/>
        </w:rPr>
        <w:t>,</w:t>
      </w:r>
      <w:r>
        <w:rPr>
          <w:rFonts w:ascii="Arial" w:cs="Arial" w:eastAsia="Arial" w:hAnsi="Arial"/>
          <w:sz w:val="17"/>
          <w:szCs w:val="17"/>
          <w:color w:val="282828"/>
        </w:rPr>
        <w:t xml:space="preserve"> bonuses, comnnss1ons, vacation pay, expense reimbursements</w:t>
      </w:r>
      <w:r>
        <w:rPr>
          <w:rFonts w:ascii="Arial" w:cs="Arial" w:eastAsia="Arial" w:hAnsi="Arial"/>
          <w:sz w:val="17"/>
          <w:szCs w:val="17"/>
          <w:color w:val="4F4F4F"/>
        </w:rPr>
        <w:t>,</w:t>
      </w:r>
      <w:r>
        <w:rPr>
          <w:rFonts w:ascii="Arial" w:cs="Arial" w:eastAsia="Arial" w:hAnsi="Arial"/>
          <w:sz w:val="17"/>
          <w:szCs w:val="17"/>
          <w:color w:val="282828"/>
        </w:rPr>
        <w:t xml:space="preserve"> severance pay</w:t>
      </w:r>
      <w:r>
        <w:rPr>
          <w:rFonts w:ascii="Arial" w:cs="Arial" w:eastAsia="Arial" w:hAnsi="Arial"/>
          <w:sz w:val="17"/>
          <w:szCs w:val="17"/>
          <w:color w:val="4F4F4F"/>
        </w:rPr>
        <w:t>,</w:t>
      </w:r>
      <w:r>
        <w:rPr>
          <w:rFonts w:ascii="Arial" w:cs="Arial" w:eastAsia="Arial" w:hAnsi="Arial"/>
          <w:sz w:val="17"/>
          <w:szCs w:val="17"/>
          <w:color w:val="282828"/>
        </w:rPr>
        <w:t xml:space="preserve"> fringe benefits</w:t>
      </w:r>
      <w:r>
        <w:rPr>
          <w:rFonts w:ascii="Arial" w:cs="Arial" w:eastAsia="Arial" w:hAnsi="Arial"/>
          <w:sz w:val="17"/>
          <w:szCs w:val="17"/>
          <w:color w:val="4F4F4F"/>
        </w:rPr>
        <w:t>,</w:t>
      </w:r>
      <w:r>
        <w:rPr>
          <w:rFonts w:ascii="Arial" w:cs="Arial" w:eastAsia="Arial" w:hAnsi="Arial"/>
          <w:sz w:val="17"/>
          <w:szCs w:val="17"/>
          <w:color w:val="282828"/>
        </w:rPr>
        <w:t xml:space="preserve"> stock</w:t>
      </w:r>
      <w:r>
        <w:rPr>
          <w:rFonts w:ascii="Arial" w:cs="Arial" w:eastAsia="Arial" w:hAnsi="Arial"/>
          <w:sz w:val="17"/>
          <w:szCs w:val="17"/>
          <w:color w:val="626262"/>
        </w:rPr>
        <w:t>,</w:t>
      </w:r>
      <w:r>
        <w:rPr>
          <w:rFonts w:ascii="Arial" w:cs="Arial" w:eastAsia="Arial" w:hAnsi="Arial"/>
          <w:sz w:val="17"/>
          <w:szCs w:val="17"/>
          <w:color w:val="282828"/>
        </w:rPr>
        <w:t xml:space="preserve"> stock options</w:t>
      </w:r>
      <w:r>
        <w:rPr>
          <w:rFonts w:ascii="Arial" w:cs="Arial" w:eastAsia="Arial" w:hAnsi="Arial"/>
          <w:sz w:val="17"/>
          <w:szCs w:val="17"/>
          <w:color w:val="4F4F4F"/>
        </w:rPr>
        <w:t>,</w:t>
      </w:r>
      <w:r>
        <w:rPr>
          <w:rFonts w:ascii="Arial" w:cs="Arial" w:eastAsia="Arial" w:hAnsi="Arial"/>
          <w:sz w:val="17"/>
          <w:szCs w:val="17"/>
          <w:color w:val="282828"/>
        </w:rPr>
        <w:t xml:space="preserve"> or any other ownership interests </w:t>
      </w:r>
      <w:r>
        <w:rPr>
          <w:rFonts w:ascii="Arial" w:cs="Arial" w:eastAsia="Arial" w:hAnsi="Arial"/>
          <w:sz w:val="17"/>
          <w:szCs w:val="17"/>
          <w:color w:val="3A3A3A"/>
        </w:rPr>
        <w:t>in</w:t>
      </w:r>
      <w:r>
        <w:rPr>
          <w:rFonts w:ascii="Arial" w:cs="Arial" w:eastAsia="Arial" w:hAnsi="Arial"/>
          <w:sz w:val="17"/>
          <w:szCs w:val="17"/>
          <w:color w:val="282828"/>
        </w:rPr>
        <w:t xml:space="preserve"> the Company; </w:t>
      </w:r>
      <w:r>
        <w:rPr>
          <w:rFonts w:ascii="Arial" w:cs="Arial" w:eastAsia="Arial" w:hAnsi="Arial"/>
          <w:sz w:val="17"/>
          <w:szCs w:val="17"/>
          <w:color w:val="3A3A3A"/>
        </w:rPr>
        <w:t>(</w:t>
      </w:r>
      <w:r>
        <w:rPr>
          <w:rFonts w:ascii="Arial" w:cs="Arial" w:eastAsia="Arial" w:hAnsi="Arial"/>
          <w:sz w:val="17"/>
          <w:szCs w:val="17"/>
          <w:color w:val="282828"/>
        </w:rPr>
        <w:t xml:space="preserve">c) all claims for breach of contract, </w:t>
      </w:r>
      <w:r>
        <w:rPr>
          <w:rFonts w:ascii="Arial" w:cs="Arial" w:eastAsia="Arial" w:hAnsi="Arial"/>
          <w:sz w:val="17"/>
          <w:szCs w:val="17"/>
          <w:color w:val="3A3A3A"/>
        </w:rPr>
        <w:t>wrongful</w:t>
      </w:r>
      <w:r>
        <w:rPr>
          <w:rFonts w:ascii="Arial" w:cs="Arial" w:eastAsia="Arial" w:hAnsi="Arial"/>
          <w:sz w:val="17"/>
          <w:szCs w:val="17"/>
          <w:color w:val="282828"/>
        </w:rPr>
        <w:t xml:space="preserve"> termination, and breach of the implied covenant of good faith and fair dealing; </w:t>
      </w:r>
      <w:r>
        <w:rPr>
          <w:rFonts w:ascii="Arial" w:cs="Arial" w:eastAsia="Arial" w:hAnsi="Arial"/>
          <w:sz w:val="17"/>
          <w:szCs w:val="17"/>
          <w:color w:val="3A3A3A"/>
        </w:rPr>
        <w:t>(</w:t>
      </w:r>
      <w:r>
        <w:rPr>
          <w:rFonts w:ascii="Arial" w:cs="Arial" w:eastAsia="Arial" w:hAnsi="Arial"/>
          <w:sz w:val="17"/>
          <w:szCs w:val="17"/>
          <w:color w:val="282828"/>
        </w:rPr>
        <w:t xml:space="preserve">d) all tort claims, including claims for fraud, defamation, emotional </w:t>
      </w:r>
      <w:r>
        <w:rPr>
          <w:rFonts w:ascii="Arial" w:cs="Arial" w:eastAsia="Arial" w:hAnsi="Arial"/>
          <w:sz w:val="17"/>
          <w:szCs w:val="17"/>
          <w:color w:val="181618"/>
        </w:rPr>
        <w:t>distress</w:t>
      </w:r>
      <w:r>
        <w:rPr>
          <w:rFonts w:ascii="Arial" w:cs="Arial" w:eastAsia="Arial" w:hAnsi="Arial"/>
          <w:sz w:val="17"/>
          <w:szCs w:val="17"/>
          <w:color w:val="3A3A3A"/>
        </w:rPr>
        <w:t>,</w:t>
      </w:r>
      <w:r>
        <w:rPr>
          <w:rFonts w:ascii="Arial" w:cs="Arial" w:eastAsia="Arial" w:hAnsi="Arial"/>
          <w:sz w:val="17"/>
          <w:szCs w:val="17"/>
          <w:color w:val="282828"/>
        </w:rPr>
        <w:t xml:space="preserve"> and discharge in violation </w:t>
      </w:r>
      <w:r>
        <w:rPr>
          <w:rFonts w:ascii="Arial" w:cs="Arial" w:eastAsia="Arial" w:hAnsi="Arial"/>
          <w:sz w:val="17"/>
          <w:szCs w:val="17"/>
          <w:color w:val="181618"/>
        </w:rPr>
        <w:t>of</w:t>
      </w:r>
      <w:r>
        <w:rPr>
          <w:rFonts w:ascii="Arial" w:cs="Arial" w:eastAsia="Arial" w:hAnsi="Arial"/>
          <w:sz w:val="17"/>
          <w:szCs w:val="17"/>
          <w:color w:val="282828"/>
        </w:rPr>
        <w:t xml:space="preserve"> public policy; and </w:t>
      </w:r>
      <w:r>
        <w:rPr>
          <w:rFonts w:ascii="Arial" w:cs="Arial" w:eastAsia="Arial" w:hAnsi="Arial"/>
          <w:sz w:val="17"/>
          <w:szCs w:val="17"/>
          <w:color w:val="3A3A3A"/>
        </w:rPr>
        <w:t>(</w:t>
      </w:r>
      <w:r>
        <w:rPr>
          <w:rFonts w:ascii="Arial" w:cs="Arial" w:eastAsia="Arial" w:hAnsi="Arial"/>
          <w:sz w:val="17"/>
          <w:szCs w:val="17"/>
          <w:color w:val="282828"/>
        </w:rPr>
        <w:t>e) all federal, state, and local statutory claims</w:t>
      </w:r>
      <w:r>
        <w:rPr>
          <w:rFonts w:ascii="Arial" w:cs="Arial" w:eastAsia="Arial" w:hAnsi="Arial"/>
          <w:sz w:val="17"/>
          <w:szCs w:val="17"/>
          <w:color w:val="4F4F4F"/>
        </w:rPr>
        <w:t>,</w:t>
      </w:r>
      <w:r>
        <w:rPr>
          <w:rFonts w:ascii="Arial" w:cs="Arial" w:eastAsia="Arial" w:hAnsi="Arial"/>
          <w:sz w:val="17"/>
          <w:szCs w:val="17"/>
          <w:color w:val="282828"/>
        </w:rPr>
        <w:t xml:space="preserve"> including claims for discrimination, harassment</w:t>
      </w:r>
      <w:r>
        <w:rPr>
          <w:rFonts w:ascii="Arial" w:cs="Arial" w:eastAsia="Arial" w:hAnsi="Arial"/>
          <w:sz w:val="17"/>
          <w:szCs w:val="17"/>
          <w:color w:val="4F4F4F"/>
        </w:rPr>
        <w:t>,</w:t>
      </w:r>
      <w:r>
        <w:rPr>
          <w:rFonts w:ascii="Arial" w:cs="Arial" w:eastAsia="Arial" w:hAnsi="Arial"/>
          <w:sz w:val="17"/>
          <w:szCs w:val="17"/>
          <w:color w:val="282828"/>
        </w:rPr>
        <w:t xml:space="preserve"> retaliation, attorneys</w:t>
      </w:r>
      <w:r>
        <w:rPr>
          <w:rFonts w:ascii="Arial" w:cs="Arial" w:eastAsia="Arial" w:hAnsi="Arial"/>
          <w:sz w:val="17"/>
          <w:szCs w:val="17"/>
          <w:color w:val="4F4F4F"/>
        </w:rPr>
        <w:t>'</w:t>
      </w:r>
      <w:r>
        <w:rPr>
          <w:rFonts w:ascii="Arial" w:cs="Arial" w:eastAsia="Arial" w:hAnsi="Arial"/>
          <w:sz w:val="17"/>
          <w:szCs w:val="17"/>
          <w:color w:val="282828"/>
        </w:rPr>
        <w:t xml:space="preserve"> fees</w:t>
      </w:r>
      <w:r>
        <w:rPr>
          <w:rFonts w:ascii="Arial" w:cs="Arial" w:eastAsia="Arial" w:hAnsi="Arial"/>
          <w:sz w:val="17"/>
          <w:szCs w:val="17"/>
          <w:color w:val="4F4F4F"/>
        </w:rPr>
        <w:t>,</w:t>
      </w:r>
      <w:r>
        <w:rPr>
          <w:rFonts w:ascii="Arial" w:cs="Arial" w:eastAsia="Arial" w:hAnsi="Arial"/>
          <w:sz w:val="17"/>
          <w:szCs w:val="17"/>
          <w:color w:val="282828"/>
        </w:rPr>
        <w:t xml:space="preserve"> or other claims arising under the federal </w:t>
      </w:r>
      <w:r>
        <w:rPr>
          <w:rFonts w:ascii="Arial" w:cs="Arial" w:eastAsia="Arial" w:hAnsi="Arial"/>
          <w:sz w:val="17"/>
          <w:szCs w:val="17"/>
          <w:color w:val="3A3A3A"/>
        </w:rPr>
        <w:t>Civil</w:t>
      </w:r>
      <w:r>
        <w:rPr>
          <w:rFonts w:ascii="Arial" w:cs="Arial" w:eastAsia="Arial" w:hAnsi="Arial"/>
          <w:sz w:val="17"/>
          <w:szCs w:val="17"/>
          <w:color w:val="282828"/>
        </w:rPr>
        <w:t xml:space="preserve"> Rights Act of 1964 </w:t>
      </w:r>
      <w:r>
        <w:rPr>
          <w:rFonts w:ascii="Arial" w:cs="Arial" w:eastAsia="Arial" w:hAnsi="Arial"/>
          <w:sz w:val="17"/>
          <w:szCs w:val="17"/>
          <w:color w:val="3A3A3A"/>
        </w:rPr>
        <w:t>(as</w:t>
      </w:r>
      <w:r>
        <w:rPr>
          <w:rFonts w:ascii="Arial" w:cs="Arial" w:eastAsia="Arial" w:hAnsi="Arial"/>
          <w:sz w:val="17"/>
          <w:szCs w:val="17"/>
          <w:color w:val="282828"/>
        </w:rPr>
        <w:t xml:space="preserve"> amended)</w:t>
      </w:r>
      <w:r>
        <w:rPr>
          <w:rFonts w:ascii="Arial" w:cs="Arial" w:eastAsia="Arial" w:hAnsi="Arial"/>
          <w:sz w:val="17"/>
          <w:szCs w:val="17"/>
          <w:color w:val="4F4F4F"/>
        </w:rPr>
        <w:t>,</w:t>
      </w:r>
      <w:r>
        <w:rPr>
          <w:rFonts w:ascii="Arial" w:cs="Arial" w:eastAsia="Arial" w:hAnsi="Arial"/>
          <w:sz w:val="17"/>
          <w:szCs w:val="17"/>
          <w:color w:val="282828"/>
        </w:rPr>
        <w:t xml:space="preserve"> the federal Americans </w:t>
      </w:r>
      <w:r>
        <w:rPr>
          <w:rFonts w:ascii="Arial" w:cs="Arial" w:eastAsia="Arial" w:hAnsi="Arial"/>
          <w:sz w:val="17"/>
          <w:szCs w:val="17"/>
          <w:color w:val="3A3A3A"/>
        </w:rPr>
        <w:t>with</w:t>
      </w:r>
      <w:r>
        <w:rPr>
          <w:rFonts w:ascii="Arial" w:cs="Arial" w:eastAsia="Arial" w:hAnsi="Arial"/>
          <w:sz w:val="17"/>
          <w:szCs w:val="17"/>
          <w:color w:val="282828"/>
        </w:rPr>
        <w:t xml:space="preserve"> Disabilities Act of 1990</w:t>
      </w:r>
      <w:r>
        <w:rPr>
          <w:rFonts w:ascii="Arial" w:cs="Arial" w:eastAsia="Arial" w:hAnsi="Arial"/>
          <w:sz w:val="17"/>
          <w:szCs w:val="17"/>
          <w:color w:val="4F4F4F"/>
        </w:rPr>
        <w:t>,</w:t>
      </w:r>
      <w:r>
        <w:rPr>
          <w:rFonts w:ascii="Arial" w:cs="Arial" w:eastAsia="Arial" w:hAnsi="Arial"/>
          <w:sz w:val="17"/>
          <w:szCs w:val="17"/>
          <w:color w:val="282828"/>
        </w:rPr>
        <w:t xml:space="preserve"> the Age Discrimination in Employment Act </w:t>
      </w:r>
      <w:r>
        <w:rPr>
          <w:rFonts w:ascii="Arial" w:cs="Arial" w:eastAsia="Arial" w:hAnsi="Arial"/>
          <w:sz w:val="17"/>
          <w:szCs w:val="17"/>
          <w:b w:val="1"/>
          <w:bCs w:val="1"/>
          <w:color w:val="282828"/>
        </w:rPr>
        <w:t>(“ADEA”)</w:t>
      </w:r>
      <w:r>
        <w:rPr>
          <w:rFonts w:ascii="Arial" w:cs="Arial" w:eastAsia="Arial" w:hAnsi="Arial"/>
          <w:sz w:val="17"/>
          <w:szCs w:val="17"/>
          <w:color w:val="282828"/>
        </w:rPr>
        <w:t xml:space="preserve"> the Arizona Wage Act, the Arizona Employment Protection Act, the Arizona Civil Rights Act, the Arizona </w:t>
      </w:r>
      <w:r>
        <w:rPr>
          <w:rFonts w:ascii="Arial" w:cs="Arial" w:eastAsia="Arial" w:hAnsi="Arial"/>
          <w:sz w:val="17"/>
          <w:szCs w:val="17"/>
          <w:color w:val="181618"/>
        </w:rPr>
        <w:t>Revised</w:t>
      </w:r>
      <w:r>
        <w:rPr>
          <w:rFonts w:ascii="Arial" w:cs="Arial" w:eastAsia="Arial" w:hAnsi="Arial"/>
          <w:sz w:val="17"/>
          <w:szCs w:val="17"/>
          <w:color w:val="282828"/>
        </w:rPr>
        <w:t xml:space="preserve"> Statutes</w:t>
      </w:r>
      <w:r>
        <w:rPr>
          <w:rFonts w:ascii="Arial" w:cs="Arial" w:eastAsia="Arial" w:hAnsi="Arial"/>
          <w:sz w:val="17"/>
          <w:szCs w:val="17"/>
          <w:color w:val="4F4F4F"/>
        </w:rPr>
        <w:t>,</w:t>
      </w:r>
      <w:r>
        <w:rPr>
          <w:rFonts w:ascii="Arial" w:cs="Arial" w:eastAsia="Arial" w:hAnsi="Arial"/>
          <w:sz w:val="17"/>
          <w:szCs w:val="17"/>
          <w:color w:val="282828"/>
        </w:rPr>
        <w:t xml:space="preserve"> the Arizona Administrative Rules, the </w:t>
      </w:r>
      <w:r>
        <w:rPr>
          <w:rFonts w:ascii="Arial" w:cs="Arial" w:eastAsia="Arial" w:hAnsi="Arial"/>
          <w:sz w:val="17"/>
          <w:szCs w:val="17"/>
          <w:color w:val="3A3A3A"/>
        </w:rPr>
        <w:t>Texas</w:t>
      </w:r>
      <w:r>
        <w:rPr>
          <w:rFonts w:ascii="Arial" w:cs="Arial" w:eastAsia="Arial" w:hAnsi="Arial"/>
          <w:sz w:val="17"/>
          <w:szCs w:val="17"/>
          <w:color w:val="282828"/>
        </w:rPr>
        <w:t xml:space="preserve"> Human Rights Act and the Texas Labor Code. </w:t>
      </w:r>
      <w:r>
        <w:rPr>
          <w:rFonts w:ascii="Arial" w:cs="Arial" w:eastAsia="Arial" w:hAnsi="Arial"/>
          <w:sz w:val="17"/>
          <w:szCs w:val="17"/>
          <w:color w:val="3A3A3A"/>
        </w:rPr>
        <w:t xml:space="preserve">Notwithstanding </w:t>
      </w:r>
      <w:r>
        <w:rPr>
          <w:rFonts w:ascii="Arial" w:cs="Arial" w:eastAsia="Arial" w:hAnsi="Arial"/>
          <w:sz w:val="17"/>
          <w:szCs w:val="17"/>
          <w:color w:val="282828"/>
        </w:rPr>
        <w:t>the foregoing,</w:t>
      </w:r>
      <w:r>
        <w:rPr>
          <w:rFonts w:ascii="Arial" w:cs="Arial" w:eastAsia="Arial" w:hAnsi="Arial"/>
          <w:sz w:val="17"/>
          <w:szCs w:val="17"/>
          <w:color w:val="3A3A3A"/>
        </w:rPr>
        <w:t xml:space="preserve"> you </w:t>
      </w:r>
      <w:r>
        <w:rPr>
          <w:rFonts w:ascii="Arial" w:cs="Arial" w:eastAsia="Arial" w:hAnsi="Arial"/>
          <w:sz w:val="17"/>
          <w:szCs w:val="17"/>
          <w:color w:val="282828"/>
        </w:rPr>
        <w:t>are not releasing the</w:t>
      </w:r>
      <w:r>
        <w:rPr>
          <w:rFonts w:ascii="Arial" w:cs="Arial" w:eastAsia="Arial" w:hAnsi="Arial"/>
          <w:sz w:val="17"/>
          <w:szCs w:val="17"/>
          <w:color w:val="3A3A3A"/>
        </w:rPr>
        <w:t xml:space="preserve"> Company </w:t>
      </w:r>
      <w:r>
        <w:rPr>
          <w:rFonts w:ascii="Arial" w:cs="Arial" w:eastAsia="Arial" w:hAnsi="Arial"/>
          <w:sz w:val="17"/>
          <w:szCs w:val="17"/>
          <w:color w:val="282828"/>
        </w:rPr>
        <w:t>hereby from any obligation to indemnify you pursuant to the</w:t>
      </w:r>
      <w:r>
        <w:rPr>
          <w:rFonts w:ascii="Arial" w:cs="Arial" w:eastAsia="Arial" w:hAnsi="Arial"/>
          <w:sz w:val="17"/>
          <w:szCs w:val="17"/>
          <w:color w:val="3A3A3A"/>
        </w:rPr>
        <w:t xml:space="preserve"> </w:t>
      </w:r>
      <w:r>
        <w:rPr>
          <w:rFonts w:ascii="Arial" w:cs="Arial" w:eastAsia="Arial" w:hAnsi="Arial"/>
          <w:sz w:val="17"/>
          <w:szCs w:val="17"/>
          <w:color w:val="282828"/>
        </w:rPr>
        <w:t xml:space="preserve">Articles and Bylaws of the Company, any </w:t>
      </w:r>
      <w:r>
        <w:rPr>
          <w:rFonts w:ascii="Arial" w:cs="Arial" w:eastAsia="Arial" w:hAnsi="Arial"/>
          <w:sz w:val="17"/>
          <w:szCs w:val="17"/>
          <w:color w:val="3A3A3A"/>
        </w:rPr>
        <w:t>valid</w:t>
      </w:r>
      <w:r>
        <w:rPr>
          <w:rFonts w:ascii="Arial" w:cs="Arial" w:eastAsia="Arial" w:hAnsi="Arial"/>
          <w:sz w:val="17"/>
          <w:szCs w:val="17"/>
          <w:color w:val="282828"/>
        </w:rPr>
        <w:t xml:space="preserve"> fully executed indemnification agreement with the Company, applicable law, or applicable directors' and officers' liability insurance. Also, excluded from this Agreement are any claims that cannot be </w:t>
      </w:r>
      <w:r>
        <w:rPr>
          <w:rFonts w:ascii="Arial" w:cs="Arial" w:eastAsia="Arial" w:hAnsi="Arial"/>
          <w:sz w:val="17"/>
          <w:szCs w:val="17"/>
          <w:color w:val="3A3A3A"/>
        </w:rPr>
        <w:t>waived</w:t>
      </w:r>
      <w:r>
        <w:rPr>
          <w:rFonts w:ascii="Arial" w:cs="Arial" w:eastAsia="Arial" w:hAnsi="Arial"/>
          <w:sz w:val="17"/>
          <w:szCs w:val="17"/>
          <w:color w:val="282828"/>
        </w:rPr>
        <w:t xml:space="preserve"> by law.</w:t>
      </w:r>
    </w:p>
    <w:p>
      <w:pPr>
        <w:spacing w:after="0" w:line="174" w:lineRule="exact"/>
        <w:rPr>
          <w:rFonts w:ascii="Arial" w:cs="Arial" w:eastAsia="Arial" w:hAnsi="Arial"/>
          <w:sz w:val="17"/>
          <w:szCs w:val="17"/>
          <w:b w:val="1"/>
          <w:bCs w:val="1"/>
          <w:color w:val="181818"/>
        </w:rPr>
      </w:pPr>
    </w:p>
    <w:p>
      <w:pPr>
        <w:jc w:val="both"/>
        <w:ind w:left="652" w:hanging="328"/>
        <w:spacing w:after="0" w:line="287" w:lineRule="auto"/>
        <w:tabs>
          <w:tab w:leader="none" w:pos="652" w:val="left"/>
        </w:tabs>
        <w:numPr>
          <w:ilvl w:val="1"/>
          <w:numId w:val="20"/>
        </w:numPr>
        <w:rPr>
          <w:rFonts w:ascii="Arial" w:cs="Arial" w:eastAsia="Arial" w:hAnsi="Arial"/>
          <w:sz w:val="16"/>
          <w:szCs w:val="16"/>
          <w:b w:val="1"/>
          <w:bCs w:val="1"/>
          <w:color w:val="2A2A2A"/>
        </w:rPr>
      </w:pPr>
      <w:r>
        <w:rPr>
          <w:rFonts w:ascii="Arial" w:cs="Arial" w:eastAsia="Arial" w:hAnsi="Arial"/>
          <w:sz w:val="16"/>
          <w:szCs w:val="16"/>
          <w:b w:val="1"/>
          <w:bCs w:val="1"/>
          <w:color w:val="181618"/>
        </w:rPr>
        <w:t xml:space="preserve">ADEA RELEASE </w:t>
      </w:r>
      <w:r>
        <w:rPr>
          <w:rFonts w:ascii="Arial" w:cs="Arial" w:eastAsia="Arial" w:hAnsi="Arial"/>
          <w:sz w:val="16"/>
          <w:szCs w:val="16"/>
          <w:color w:val="181618"/>
        </w:rPr>
        <w:t>-</w:t>
      </w:r>
      <w:r>
        <w:rPr>
          <w:rFonts w:ascii="Arial" w:cs="Arial" w:eastAsia="Arial" w:hAnsi="Arial"/>
          <w:sz w:val="16"/>
          <w:szCs w:val="16"/>
          <w:b w:val="1"/>
          <w:bCs w:val="1"/>
          <w:color w:val="181618"/>
        </w:rPr>
        <w:t xml:space="preserve"> </w:t>
      </w:r>
      <w:r>
        <w:rPr>
          <w:rFonts w:ascii="Arial" w:cs="Arial" w:eastAsia="Arial" w:hAnsi="Arial"/>
          <w:sz w:val="16"/>
          <w:szCs w:val="16"/>
          <w:color w:val="282828"/>
        </w:rPr>
        <w:t>You acknowledge that you are knowingly and voluntarily waiving and releasing any rights</w:t>
      </w:r>
      <w:r>
        <w:rPr>
          <w:rFonts w:ascii="Arial" w:cs="Arial" w:eastAsia="Arial" w:hAnsi="Arial"/>
          <w:sz w:val="16"/>
          <w:szCs w:val="16"/>
          <w:b w:val="1"/>
          <w:bCs w:val="1"/>
          <w:color w:val="181618"/>
        </w:rPr>
        <w:t xml:space="preserve"> </w:t>
      </w:r>
      <w:r>
        <w:rPr>
          <w:rFonts w:ascii="Arial" w:cs="Arial" w:eastAsia="Arial" w:hAnsi="Arial"/>
          <w:sz w:val="16"/>
          <w:szCs w:val="16"/>
          <w:color w:val="3A3A3A"/>
        </w:rPr>
        <w:t>you</w:t>
      </w:r>
      <w:r>
        <w:rPr>
          <w:rFonts w:ascii="Arial" w:cs="Arial" w:eastAsia="Arial" w:hAnsi="Arial"/>
          <w:sz w:val="16"/>
          <w:szCs w:val="16"/>
          <w:b w:val="1"/>
          <w:bCs w:val="1"/>
          <w:color w:val="181618"/>
        </w:rPr>
        <w:t xml:space="preserve"> </w:t>
      </w:r>
      <w:r>
        <w:rPr>
          <w:rFonts w:ascii="Arial" w:cs="Arial" w:eastAsia="Arial" w:hAnsi="Arial"/>
          <w:sz w:val="16"/>
          <w:szCs w:val="16"/>
          <w:color w:val="282828"/>
        </w:rPr>
        <w:t>have under</w:t>
      </w:r>
      <w:r>
        <w:rPr>
          <w:rFonts w:ascii="Arial" w:cs="Arial" w:eastAsia="Arial" w:hAnsi="Arial"/>
          <w:sz w:val="16"/>
          <w:szCs w:val="16"/>
          <w:b w:val="1"/>
          <w:bCs w:val="1"/>
          <w:color w:val="181618"/>
        </w:rPr>
        <w:t xml:space="preserve"> </w:t>
      </w:r>
      <w:r>
        <w:rPr>
          <w:rFonts w:ascii="Arial" w:cs="Arial" w:eastAsia="Arial" w:hAnsi="Arial"/>
          <w:sz w:val="16"/>
          <w:szCs w:val="16"/>
          <w:color w:val="282828"/>
        </w:rPr>
        <w:t xml:space="preserve">the ADEA, and that the consideration given for the </w:t>
      </w:r>
      <w:r>
        <w:rPr>
          <w:rFonts w:ascii="Arial" w:cs="Arial" w:eastAsia="Arial" w:hAnsi="Arial"/>
          <w:sz w:val="16"/>
          <w:szCs w:val="16"/>
          <w:color w:val="3A3A3A"/>
        </w:rPr>
        <w:t>waiver</w:t>
      </w:r>
      <w:r>
        <w:rPr>
          <w:rFonts w:ascii="Arial" w:cs="Arial" w:eastAsia="Arial" w:hAnsi="Arial"/>
          <w:sz w:val="16"/>
          <w:szCs w:val="16"/>
          <w:color w:val="282828"/>
        </w:rPr>
        <w:t xml:space="preserve"> and releases </w:t>
      </w:r>
      <w:r>
        <w:rPr>
          <w:rFonts w:ascii="Arial" w:cs="Arial" w:eastAsia="Arial" w:hAnsi="Arial"/>
          <w:sz w:val="16"/>
          <w:szCs w:val="16"/>
          <w:color w:val="3A3A3A"/>
        </w:rPr>
        <w:t>you</w:t>
      </w:r>
      <w:r>
        <w:rPr>
          <w:rFonts w:ascii="Arial" w:cs="Arial" w:eastAsia="Arial" w:hAnsi="Arial"/>
          <w:sz w:val="16"/>
          <w:szCs w:val="16"/>
          <w:color w:val="282828"/>
        </w:rPr>
        <w:t xml:space="preserve"> have given in this Agreement </w:t>
      </w:r>
      <w:r>
        <w:rPr>
          <w:rFonts w:ascii="Arial" w:cs="Arial" w:eastAsia="Arial" w:hAnsi="Arial"/>
          <w:sz w:val="16"/>
          <w:szCs w:val="16"/>
          <w:color w:val="3A3A3A"/>
        </w:rPr>
        <w:t>is</w:t>
      </w:r>
      <w:r>
        <w:rPr>
          <w:rFonts w:ascii="Arial" w:cs="Arial" w:eastAsia="Arial" w:hAnsi="Arial"/>
          <w:sz w:val="16"/>
          <w:szCs w:val="16"/>
          <w:color w:val="282828"/>
        </w:rPr>
        <w:t xml:space="preserve"> in addition to anything of </w:t>
      </w:r>
      <w:r>
        <w:rPr>
          <w:rFonts w:ascii="Arial" w:cs="Arial" w:eastAsia="Arial" w:hAnsi="Arial"/>
          <w:sz w:val="16"/>
          <w:szCs w:val="16"/>
          <w:color w:val="3A3A3A"/>
        </w:rPr>
        <w:t>value to</w:t>
      </w:r>
      <w:r>
        <w:rPr>
          <w:rFonts w:ascii="Arial" w:cs="Arial" w:eastAsia="Arial" w:hAnsi="Arial"/>
          <w:sz w:val="16"/>
          <w:szCs w:val="16"/>
          <w:color w:val="282828"/>
        </w:rPr>
        <w:t xml:space="preserve"> which </w:t>
      </w:r>
      <w:r>
        <w:rPr>
          <w:rFonts w:ascii="Arial" w:cs="Arial" w:eastAsia="Arial" w:hAnsi="Arial"/>
          <w:sz w:val="16"/>
          <w:szCs w:val="16"/>
          <w:color w:val="3A3A3A"/>
        </w:rPr>
        <w:t>you</w:t>
      </w:r>
      <w:r>
        <w:rPr>
          <w:rFonts w:ascii="Arial" w:cs="Arial" w:eastAsia="Arial" w:hAnsi="Arial"/>
          <w:sz w:val="16"/>
          <w:szCs w:val="16"/>
          <w:color w:val="282828"/>
        </w:rPr>
        <w:t xml:space="preserve"> were already entitled. You further acknowledge that </w:t>
      </w:r>
      <w:r>
        <w:rPr>
          <w:rFonts w:ascii="Arial" w:cs="Arial" w:eastAsia="Arial" w:hAnsi="Arial"/>
          <w:sz w:val="16"/>
          <w:szCs w:val="16"/>
          <w:color w:val="3A3A3A"/>
        </w:rPr>
        <w:t>you</w:t>
      </w:r>
      <w:r>
        <w:rPr>
          <w:rFonts w:ascii="Arial" w:cs="Arial" w:eastAsia="Arial" w:hAnsi="Arial"/>
          <w:sz w:val="16"/>
          <w:szCs w:val="16"/>
          <w:color w:val="282828"/>
        </w:rPr>
        <w:t xml:space="preserve"> have been advised, as required </w:t>
      </w:r>
      <w:r>
        <w:rPr>
          <w:rFonts w:ascii="Arial" w:cs="Arial" w:eastAsia="Arial" w:hAnsi="Arial"/>
          <w:sz w:val="16"/>
          <w:szCs w:val="16"/>
          <w:color w:val="181618"/>
        </w:rPr>
        <w:t>by the</w:t>
      </w:r>
      <w:r>
        <w:rPr>
          <w:rFonts w:ascii="Arial" w:cs="Arial" w:eastAsia="Arial" w:hAnsi="Arial"/>
          <w:sz w:val="16"/>
          <w:szCs w:val="16"/>
          <w:color w:val="282828"/>
        </w:rPr>
        <w:t xml:space="preserve"> </w:t>
      </w:r>
      <w:r>
        <w:rPr>
          <w:rFonts w:ascii="Arial" w:cs="Arial" w:eastAsia="Arial" w:hAnsi="Arial"/>
          <w:sz w:val="16"/>
          <w:szCs w:val="16"/>
          <w:color w:val="181618"/>
        </w:rPr>
        <w:t>ADEA</w:t>
      </w:r>
      <w:r>
        <w:rPr>
          <w:rFonts w:ascii="Arial" w:cs="Arial" w:eastAsia="Arial" w:hAnsi="Arial"/>
          <w:sz w:val="16"/>
          <w:szCs w:val="16"/>
          <w:color w:val="3A3A3A"/>
        </w:rPr>
        <w:t>,</w:t>
      </w:r>
      <w:r>
        <w:rPr>
          <w:rFonts w:ascii="Arial" w:cs="Arial" w:eastAsia="Arial" w:hAnsi="Arial"/>
          <w:sz w:val="16"/>
          <w:szCs w:val="16"/>
          <w:color w:val="181618"/>
        </w:rPr>
        <w:t xml:space="preserve"> </w:t>
      </w:r>
      <w:r>
        <w:rPr>
          <w:rFonts w:ascii="Arial" w:cs="Arial" w:eastAsia="Arial" w:hAnsi="Arial"/>
          <w:sz w:val="16"/>
          <w:szCs w:val="16"/>
          <w:color w:val="282828"/>
        </w:rPr>
        <w:t>that: (a) your waiver and release</w:t>
      </w:r>
      <w:r>
        <w:rPr>
          <w:rFonts w:ascii="Arial" w:cs="Arial" w:eastAsia="Arial" w:hAnsi="Arial"/>
          <w:sz w:val="16"/>
          <w:szCs w:val="16"/>
          <w:color w:val="181618"/>
        </w:rPr>
        <w:t xml:space="preserve"> does </w:t>
      </w:r>
      <w:r>
        <w:rPr>
          <w:rFonts w:ascii="Arial" w:cs="Arial" w:eastAsia="Arial" w:hAnsi="Arial"/>
          <w:sz w:val="16"/>
          <w:szCs w:val="16"/>
          <w:color w:val="282828"/>
        </w:rPr>
        <w:t>not</w:t>
      </w:r>
      <w:r>
        <w:rPr>
          <w:rFonts w:ascii="Arial" w:cs="Arial" w:eastAsia="Arial" w:hAnsi="Arial"/>
          <w:sz w:val="16"/>
          <w:szCs w:val="16"/>
          <w:color w:val="181618"/>
        </w:rPr>
        <w:t xml:space="preserve"> apply </w:t>
      </w:r>
      <w:r>
        <w:rPr>
          <w:rFonts w:ascii="Arial" w:cs="Arial" w:eastAsia="Arial" w:hAnsi="Arial"/>
          <w:sz w:val="16"/>
          <w:szCs w:val="16"/>
          <w:color w:val="282828"/>
        </w:rPr>
        <w:t>to any rights or claims that arise after the date you sign this Agreement;</w:t>
      </w:r>
    </w:p>
    <w:p>
      <w:pPr>
        <w:spacing w:after="0" w:line="2" w:lineRule="exact"/>
        <w:rPr>
          <w:rFonts w:ascii="Arial" w:cs="Arial" w:eastAsia="Arial" w:hAnsi="Arial"/>
          <w:sz w:val="16"/>
          <w:szCs w:val="16"/>
          <w:b w:val="1"/>
          <w:bCs w:val="1"/>
          <w:color w:val="2A2A2A"/>
        </w:rPr>
      </w:pPr>
    </w:p>
    <w:p>
      <w:pPr>
        <w:jc w:val="both"/>
        <w:ind w:left="652"/>
        <w:spacing w:after="0" w:line="270" w:lineRule="auto"/>
        <w:rPr>
          <w:rFonts w:ascii="Arial" w:cs="Arial" w:eastAsia="Arial" w:hAnsi="Arial"/>
          <w:sz w:val="16"/>
          <w:szCs w:val="16"/>
          <w:b w:val="1"/>
          <w:bCs w:val="1"/>
          <w:color w:val="2A2A2A"/>
        </w:rPr>
      </w:pPr>
      <w:r>
        <w:rPr>
          <w:rFonts w:ascii="Arial" w:cs="Arial" w:eastAsia="Arial" w:hAnsi="Arial"/>
          <w:sz w:val="17"/>
          <w:szCs w:val="17"/>
          <w:color w:val="282828"/>
        </w:rPr>
        <w:t xml:space="preserve">(b) </w:t>
      </w:r>
      <w:r>
        <w:rPr>
          <w:rFonts w:ascii="Arial" w:cs="Arial" w:eastAsia="Arial" w:hAnsi="Arial"/>
          <w:sz w:val="17"/>
          <w:szCs w:val="17"/>
          <w:color w:val="3A3A3A"/>
        </w:rPr>
        <w:t>you</w:t>
      </w:r>
      <w:r>
        <w:rPr>
          <w:rFonts w:ascii="Arial" w:cs="Arial" w:eastAsia="Arial" w:hAnsi="Arial"/>
          <w:sz w:val="17"/>
          <w:szCs w:val="17"/>
          <w:color w:val="282828"/>
        </w:rPr>
        <w:t xml:space="preserve"> should consult with an attorney prior to signing this Agreement (although </w:t>
      </w:r>
      <w:r>
        <w:rPr>
          <w:rFonts w:ascii="Arial" w:cs="Arial" w:eastAsia="Arial" w:hAnsi="Arial"/>
          <w:sz w:val="17"/>
          <w:szCs w:val="17"/>
          <w:color w:val="3A3A3A"/>
        </w:rPr>
        <w:t>you</w:t>
      </w:r>
      <w:r>
        <w:rPr>
          <w:rFonts w:ascii="Arial" w:cs="Arial" w:eastAsia="Arial" w:hAnsi="Arial"/>
          <w:sz w:val="17"/>
          <w:szCs w:val="17"/>
          <w:color w:val="282828"/>
        </w:rPr>
        <w:t xml:space="preserve"> may choose </w:t>
      </w:r>
      <w:r>
        <w:rPr>
          <w:rFonts w:ascii="Arial" w:cs="Arial" w:eastAsia="Arial" w:hAnsi="Arial"/>
          <w:sz w:val="17"/>
          <w:szCs w:val="17"/>
          <w:color w:val="3A3A3A"/>
        </w:rPr>
        <w:t>voluntarily</w:t>
      </w:r>
      <w:r>
        <w:rPr>
          <w:rFonts w:ascii="Arial" w:cs="Arial" w:eastAsia="Arial" w:hAnsi="Arial"/>
          <w:sz w:val="17"/>
          <w:szCs w:val="17"/>
          <w:color w:val="282828"/>
        </w:rPr>
        <w:t xml:space="preserve"> not </w:t>
      </w:r>
      <w:r>
        <w:rPr>
          <w:rFonts w:ascii="Arial" w:cs="Arial" w:eastAsia="Arial" w:hAnsi="Arial"/>
          <w:sz w:val="17"/>
          <w:szCs w:val="17"/>
          <w:color w:val="3A3A3A"/>
        </w:rPr>
        <w:t>to</w:t>
      </w:r>
      <w:r>
        <w:rPr>
          <w:rFonts w:ascii="Arial" w:cs="Arial" w:eastAsia="Arial" w:hAnsi="Arial"/>
          <w:sz w:val="17"/>
          <w:szCs w:val="17"/>
          <w:color w:val="282828"/>
        </w:rPr>
        <w:t xml:space="preserve"> do </w:t>
      </w:r>
      <w:r>
        <w:rPr>
          <w:rFonts w:ascii="Arial" w:cs="Arial" w:eastAsia="Arial" w:hAnsi="Arial"/>
          <w:sz w:val="17"/>
          <w:szCs w:val="17"/>
          <w:color w:val="3A3A3A"/>
        </w:rPr>
        <w:t>so);(c)</w:t>
      </w:r>
      <w:r>
        <w:rPr>
          <w:rFonts w:ascii="Arial" w:cs="Arial" w:eastAsia="Arial" w:hAnsi="Arial"/>
          <w:sz w:val="17"/>
          <w:szCs w:val="17"/>
          <w:color w:val="282828"/>
        </w:rPr>
        <w:t xml:space="preserve"> </w:t>
      </w:r>
      <w:r>
        <w:rPr>
          <w:rFonts w:ascii="Arial" w:cs="Arial" w:eastAsia="Arial" w:hAnsi="Arial"/>
          <w:sz w:val="17"/>
          <w:szCs w:val="17"/>
          <w:color w:val="3A3A3A"/>
        </w:rPr>
        <w:t xml:space="preserve">you </w:t>
      </w:r>
      <w:r>
        <w:rPr>
          <w:rFonts w:ascii="Arial" w:cs="Arial" w:eastAsia="Arial" w:hAnsi="Arial"/>
          <w:sz w:val="17"/>
          <w:szCs w:val="17"/>
          <w:color w:val="282828"/>
        </w:rPr>
        <w:t>have twenty-one</w:t>
      </w:r>
      <w:r>
        <w:rPr>
          <w:rFonts w:ascii="Arial" w:cs="Arial" w:eastAsia="Arial" w:hAnsi="Arial"/>
          <w:sz w:val="17"/>
          <w:szCs w:val="17"/>
          <w:color w:val="3A3A3A"/>
        </w:rPr>
        <w:t xml:space="preserve"> (21) </w:t>
      </w:r>
      <w:r>
        <w:rPr>
          <w:rFonts w:ascii="Arial" w:cs="Arial" w:eastAsia="Arial" w:hAnsi="Arial"/>
          <w:sz w:val="17"/>
          <w:szCs w:val="17"/>
          <w:color w:val="282828"/>
        </w:rPr>
        <w:t>days</w:t>
      </w:r>
      <w:r>
        <w:rPr>
          <w:rFonts w:ascii="Arial" w:cs="Arial" w:eastAsia="Arial" w:hAnsi="Arial"/>
          <w:sz w:val="17"/>
          <w:szCs w:val="17"/>
          <w:color w:val="3A3A3A"/>
        </w:rPr>
        <w:t xml:space="preserve"> to </w:t>
      </w:r>
      <w:r>
        <w:rPr>
          <w:rFonts w:ascii="Arial" w:cs="Arial" w:eastAsia="Arial" w:hAnsi="Arial"/>
          <w:sz w:val="17"/>
          <w:szCs w:val="17"/>
          <w:color w:val="282828"/>
        </w:rPr>
        <w:t>consider this Agreement</w:t>
      </w:r>
      <w:r>
        <w:rPr>
          <w:rFonts w:ascii="Arial" w:cs="Arial" w:eastAsia="Arial" w:hAnsi="Arial"/>
          <w:sz w:val="17"/>
          <w:szCs w:val="17"/>
          <w:color w:val="3A3A3A"/>
        </w:rPr>
        <w:t xml:space="preserve"> (although you </w:t>
      </w:r>
      <w:r>
        <w:rPr>
          <w:rFonts w:ascii="Arial" w:cs="Arial" w:eastAsia="Arial" w:hAnsi="Arial"/>
          <w:sz w:val="17"/>
          <w:szCs w:val="17"/>
          <w:color w:val="282828"/>
        </w:rPr>
        <w:t>may choose voluntarily to sign it sooner);</w:t>
      </w:r>
      <w:r>
        <w:rPr>
          <w:rFonts w:ascii="Arial" w:cs="Arial" w:eastAsia="Arial" w:hAnsi="Arial"/>
          <w:sz w:val="17"/>
          <w:szCs w:val="17"/>
          <w:color w:val="3A3A3A"/>
        </w:rPr>
        <w:t xml:space="preserve"> (d) </w:t>
      </w:r>
      <w:r>
        <w:rPr>
          <w:rFonts w:ascii="Arial" w:cs="Arial" w:eastAsia="Arial" w:hAnsi="Arial"/>
          <w:sz w:val="17"/>
          <w:szCs w:val="17"/>
          <w:color w:val="282828"/>
        </w:rPr>
        <w:t>you</w:t>
      </w:r>
      <w:r>
        <w:rPr>
          <w:rFonts w:ascii="Arial" w:cs="Arial" w:eastAsia="Arial" w:hAnsi="Arial"/>
          <w:sz w:val="17"/>
          <w:szCs w:val="17"/>
          <w:color w:val="3A3A3A"/>
        </w:rPr>
        <w:t xml:space="preserve"> </w:t>
      </w:r>
      <w:r>
        <w:rPr>
          <w:rFonts w:ascii="Arial" w:cs="Arial" w:eastAsia="Arial" w:hAnsi="Arial"/>
          <w:sz w:val="17"/>
          <w:szCs w:val="17"/>
          <w:color w:val="282828"/>
        </w:rPr>
        <w:t xml:space="preserve">have seven (7) </w:t>
      </w:r>
      <w:r>
        <w:rPr>
          <w:rFonts w:ascii="Arial" w:cs="Arial" w:eastAsia="Arial" w:hAnsi="Arial"/>
          <w:sz w:val="17"/>
          <w:szCs w:val="17"/>
          <w:color w:val="181618"/>
        </w:rPr>
        <w:t>days</w:t>
      </w:r>
      <w:r>
        <w:rPr>
          <w:rFonts w:ascii="Arial" w:cs="Arial" w:eastAsia="Arial" w:hAnsi="Arial"/>
          <w:sz w:val="17"/>
          <w:szCs w:val="17"/>
          <w:color w:val="282828"/>
        </w:rPr>
        <w:t xml:space="preserve"> following the date </w:t>
      </w:r>
      <w:r>
        <w:rPr>
          <w:rFonts w:ascii="Arial" w:cs="Arial" w:eastAsia="Arial" w:hAnsi="Arial"/>
          <w:sz w:val="17"/>
          <w:szCs w:val="17"/>
          <w:color w:val="3A3A3A"/>
        </w:rPr>
        <w:t>you</w:t>
      </w:r>
      <w:r>
        <w:rPr>
          <w:rFonts w:ascii="Arial" w:cs="Arial" w:eastAsia="Arial" w:hAnsi="Arial"/>
          <w:sz w:val="17"/>
          <w:szCs w:val="17"/>
          <w:color w:val="282828"/>
        </w:rPr>
        <w:t xml:space="preserve"> sign this Agreement to revoke this Agreement </w:t>
      </w:r>
      <w:r>
        <w:rPr>
          <w:rFonts w:ascii="Arial" w:cs="Arial" w:eastAsia="Arial" w:hAnsi="Arial"/>
          <w:sz w:val="17"/>
          <w:szCs w:val="17"/>
          <w:color w:val="3A3A3A"/>
        </w:rPr>
        <w:t>(in</w:t>
      </w:r>
      <w:r>
        <w:rPr>
          <w:rFonts w:ascii="Arial" w:cs="Arial" w:eastAsia="Arial" w:hAnsi="Arial"/>
          <w:sz w:val="17"/>
          <w:szCs w:val="17"/>
          <w:color w:val="282828"/>
        </w:rPr>
        <w:t xml:space="preserve"> a written revocation </w:t>
      </w:r>
      <w:r>
        <w:rPr>
          <w:rFonts w:ascii="Arial" w:cs="Arial" w:eastAsia="Arial" w:hAnsi="Arial"/>
          <w:sz w:val="17"/>
          <w:szCs w:val="17"/>
          <w:color w:val="3A3A3A"/>
        </w:rPr>
        <w:t>sent to</w:t>
      </w:r>
      <w:r>
        <w:rPr>
          <w:rFonts w:ascii="Arial" w:cs="Arial" w:eastAsia="Arial" w:hAnsi="Arial"/>
          <w:sz w:val="17"/>
          <w:szCs w:val="17"/>
          <w:color w:val="282828"/>
        </w:rPr>
        <w:t xml:space="preserve"> me at 5670 W. Chandler Blvd., Suite 100, Chandler AZ </w:t>
      </w:r>
      <w:r>
        <w:rPr>
          <w:rFonts w:ascii="Arial" w:cs="Arial" w:eastAsia="Arial" w:hAnsi="Arial"/>
          <w:sz w:val="17"/>
          <w:szCs w:val="17"/>
          <w:color w:val="000000"/>
        </w:rPr>
        <w:t>85226 and</w:t>
      </w:r>
      <w:r>
        <w:rPr>
          <w:rFonts w:ascii="Arial" w:cs="Arial" w:eastAsia="Arial" w:hAnsi="Arial"/>
          <w:sz w:val="17"/>
          <w:szCs w:val="17"/>
          <w:color w:val="282828"/>
        </w:rPr>
        <w:t xml:space="preserve"> </w:t>
      </w:r>
      <w:r>
        <w:rPr>
          <w:rFonts w:ascii="Arial" w:cs="Arial" w:eastAsia="Arial" w:hAnsi="Arial"/>
          <w:sz w:val="17"/>
          <w:szCs w:val="17"/>
          <w:u w:val="single" w:color="auto"/>
          <w:color w:val="000000"/>
        </w:rPr>
        <w:t>darin.billerbeck@everspin.com;</w:t>
      </w:r>
      <w:r>
        <w:rPr>
          <w:rFonts w:ascii="Arial" w:cs="Arial" w:eastAsia="Arial" w:hAnsi="Arial"/>
          <w:sz w:val="17"/>
          <w:szCs w:val="17"/>
          <w:color w:val="282828"/>
        </w:rPr>
        <w:t xml:space="preserve"> </w:t>
      </w:r>
      <w:r>
        <w:rPr>
          <w:rFonts w:ascii="Arial" w:cs="Arial" w:eastAsia="Arial" w:hAnsi="Arial"/>
          <w:sz w:val="17"/>
          <w:szCs w:val="17"/>
          <w:color w:val="000000"/>
        </w:rPr>
        <w:t>and (e) thi</w:t>
      </w:r>
      <w:r>
        <w:rPr>
          <w:rFonts w:ascii="Arial" w:cs="Arial" w:eastAsia="Arial" w:hAnsi="Arial"/>
          <w:sz w:val="17"/>
          <w:szCs w:val="17"/>
          <w:color w:val="282828"/>
        </w:rPr>
        <w:t xml:space="preserve">s Agreement </w:t>
      </w:r>
      <w:r>
        <w:rPr>
          <w:rFonts w:ascii="Arial" w:cs="Arial" w:eastAsia="Arial" w:hAnsi="Arial"/>
          <w:sz w:val="17"/>
          <w:szCs w:val="17"/>
          <w:color w:val="3A3A3A"/>
        </w:rPr>
        <w:t>will</w:t>
      </w:r>
      <w:r>
        <w:rPr>
          <w:rFonts w:ascii="Arial" w:cs="Arial" w:eastAsia="Arial" w:hAnsi="Arial"/>
          <w:sz w:val="17"/>
          <w:szCs w:val="17"/>
          <w:color w:val="282828"/>
        </w:rPr>
        <w:t xml:space="preserve"> not be effecti</w:t>
      </w:r>
      <w:r>
        <w:rPr>
          <w:rFonts w:ascii="Arial" w:cs="Arial" w:eastAsia="Arial" w:hAnsi="Arial"/>
          <w:sz w:val="17"/>
          <w:szCs w:val="17"/>
          <w:color w:val="4F4F4F"/>
        </w:rPr>
        <w:t>ve</w:t>
      </w:r>
      <w:r>
        <w:rPr>
          <w:rFonts w:ascii="Arial" w:cs="Arial" w:eastAsia="Arial" w:hAnsi="Arial"/>
          <w:sz w:val="17"/>
          <w:szCs w:val="17"/>
          <w:color w:val="282828"/>
        </w:rPr>
        <w:t xml:space="preserve"> until the date upon </w:t>
      </w:r>
      <w:r>
        <w:rPr>
          <w:rFonts w:ascii="Arial" w:cs="Arial" w:eastAsia="Arial" w:hAnsi="Arial"/>
          <w:sz w:val="17"/>
          <w:szCs w:val="17"/>
          <w:color w:val="3A3A3A"/>
        </w:rPr>
        <w:t>which</w:t>
      </w:r>
      <w:r>
        <w:rPr>
          <w:rFonts w:ascii="Arial" w:cs="Arial" w:eastAsia="Arial" w:hAnsi="Arial"/>
          <w:sz w:val="17"/>
          <w:szCs w:val="17"/>
          <w:color w:val="282828"/>
        </w:rPr>
        <w:t xml:space="preserve"> the revocation period has </w:t>
      </w:r>
      <w:r>
        <w:rPr>
          <w:rFonts w:ascii="Arial" w:cs="Arial" w:eastAsia="Arial" w:hAnsi="Arial"/>
          <w:sz w:val="17"/>
          <w:szCs w:val="17"/>
          <w:color w:val="3A3A3A"/>
        </w:rPr>
        <w:t>expired,</w:t>
      </w:r>
      <w:r>
        <w:rPr>
          <w:rFonts w:ascii="Arial" w:cs="Arial" w:eastAsia="Arial" w:hAnsi="Arial"/>
          <w:sz w:val="17"/>
          <w:szCs w:val="17"/>
          <w:color w:val="282828"/>
        </w:rPr>
        <w:t xml:space="preserve"> which will be the eighth day after </w:t>
      </w:r>
      <w:r>
        <w:rPr>
          <w:rFonts w:ascii="Arial" w:cs="Arial" w:eastAsia="Arial" w:hAnsi="Arial"/>
          <w:sz w:val="17"/>
          <w:szCs w:val="17"/>
          <w:color w:val="3A3A3A"/>
        </w:rPr>
        <w:t>you</w:t>
      </w:r>
      <w:r>
        <w:rPr>
          <w:rFonts w:ascii="Arial" w:cs="Arial" w:eastAsia="Arial" w:hAnsi="Arial"/>
          <w:sz w:val="17"/>
          <w:szCs w:val="17"/>
          <w:color w:val="282828"/>
        </w:rPr>
        <w:t xml:space="preserve"> sign this </w:t>
      </w:r>
      <w:r>
        <w:rPr>
          <w:rFonts w:ascii="Arial" w:cs="Arial" w:eastAsia="Arial" w:hAnsi="Arial"/>
          <w:sz w:val="17"/>
          <w:szCs w:val="17"/>
          <w:color w:val="3A3A3A"/>
        </w:rPr>
        <w:t>Agreement</w:t>
      </w:r>
      <w:r>
        <w:rPr>
          <w:rFonts w:ascii="Arial" w:cs="Arial" w:eastAsia="Arial" w:hAnsi="Arial"/>
          <w:sz w:val="17"/>
          <w:szCs w:val="17"/>
          <w:color w:val="282828"/>
        </w:rPr>
        <w:t xml:space="preserve"> provided that </w:t>
      </w:r>
      <w:r>
        <w:rPr>
          <w:rFonts w:ascii="Arial" w:cs="Arial" w:eastAsia="Arial" w:hAnsi="Arial"/>
          <w:sz w:val="17"/>
          <w:szCs w:val="17"/>
          <w:color w:val="3A3A3A"/>
        </w:rPr>
        <w:t>you</w:t>
      </w:r>
      <w:r>
        <w:rPr>
          <w:rFonts w:ascii="Arial" w:cs="Arial" w:eastAsia="Arial" w:hAnsi="Arial"/>
          <w:sz w:val="17"/>
          <w:szCs w:val="17"/>
          <w:color w:val="282828"/>
        </w:rPr>
        <w:t xml:space="preserve"> do not revoke it (the </w:t>
      </w:r>
      <w:r>
        <w:rPr>
          <w:rFonts w:ascii="Arial" w:cs="Arial" w:eastAsia="Arial" w:hAnsi="Arial"/>
          <w:sz w:val="17"/>
          <w:szCs w:val="17"/>
          <w:b w:val="1"/>
          <w:bCs w:val="1"/>
          <w:color w:val="282828"/>
        </w:rPr>
        <w:t>“Effective</w:t>
      </w:r>
      <w:r>
        <w:rPr>
          <w:rFonts w:ascii="Arial" w:cs="Arial" w:eastAsia="Arial" w:hAnsi="Arial"/>
          <w:sz w:val="17"/>
          <w:szCs w:val="17"/>
          <w:color w:val="282828"/>
        </w:rPr>
        <w:t xml:space="preserve"> </w:t>
      </w:r>
      <w:r>
        <w:rPr>
          <w:rFonts w:ascii="Arial" w:cs="Arial" w:eastAsia="Arial" w:hAnsi="Arial"/>
          <w:sz w:val="17"/>
          <w:szCs w:val="17"/>
          <w:b w:val="1"/>
          <w:bCs w:val="1"/>
          <w:color w:val="181618"/>
        </w:rPr>
        <w:t>Date”</w:t>
      </w:r>
      <w:r>
        <w:rPr>
          <w:rFonts w:ascii="Arial" w:cs="Arial" w:eastAsia="Arial" w:hAnsi="Arial"/>
          <w:sz w:val="17"/>
          <w:szCs w:val="17"/>
          <w:b w:val="1"/>
          <w:bCs w:val="1"/>
          <w:color w:val="3A3A3A"/>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47" w:name="page48"/>
    <w:bookmarkEnd w:id="47"/>
    <w:p>
      <w:pPr>
        <w:jc w:val="both"/>
        <w:ind w:left="660" w:hanging="328"/>
        <w:spacing w:after="0" w:line="270" w:lineRule="auto"/>
        <w:tabs>
          <w:tab w:leader="none" w:pos="660" w:val="left"/>
        </w:tabs>
        <w:numPr>
          <w:ilvl w:val="0"/>
          <w:numId w:val="21"/>
        </w:numPr>
        <w:rPr>
          <w:rFonts w:ascii="Arial" w:cs="Arial" w:eastAsia="Arial" w:hAnsi="Arial"/>
          <w:sz w:val="17"/>
          <w:szCs w:val="17"/>
          <w:b w:val="1"/>
          <w:bCs w:val="1"/>
          <w:color w:val="2A2A2A"/>
        </w:rPr>
      </w:pPr>
      <w:r>
        <w:rPr>
          <w:rFonts w:ascii="Arial" w:cs="Arial" w:eastAsia="Arial" w:hAnsi="Arial"/>
          <w:sz w:val="17"/>
          <w:szCs w:val="17"/>
          <w:b w:val="1"/>
          <w:bCs w:val="1"/>
          <w:color w:val="1C1A1C"/>
        </w:rPr>
        <w:t xml:space="preserve">PROTECTED RIGHTS </w:t>
      </w:r>
      <w:r>
        <w:rPr>
          <w:rFonts w:ascii="Arial" w:cs="Arial" w:eastAsia="Arial" w:hAnsi="Arial"/>
          <w:sz w:val="17"/>
          <w:szCs w:val="17"/>
          <w:color w:val="1C1A1C"/>
        </w:rPr>
        <w:t>-</w:t>
      </w:r>
      <w:r>
        <w:rPr>
          <w:rFonts w:ascii="Arial" w:cs="Arial" w:eastAsia="Arial" w:hAnsi="Arial"/>
          <w:sz w:val="17"/>
          <w:szCs w:val="17"/>
          <w:b w:val="1"/>
          <w:bCs w:val="1"/>
          <w:color w:val="1C1A1C"/>
        </w:rPr>
        <w:t xml:space="preserve"> </w:t>
      </w:r>
      <w:r>
        <w:rPr>
          <w:rFonts w:ascii="Arial" w:cs="Arial" w:eastAsia="Arial" w:hAnsi="Arial"/>
          <w:sz w:val="17"/>
          <w:szCs w:val="17"/>
          <w:color w:val="2A2A2A"/>
        </w:rPr>
        <w:t>YOU understand that nothing in this Agreement limits your ability to file a charge or complaint with</w:t>
      </w:r>
      <w:r>
        <w:rPr>
          <w:rFonts w:ascii="Arial" w:cs="Arial" w:eastAsia="Arial" w:hAnsi="Arial"/>
          <w:sz w:val="17"/>
          <w:szCs w:val="17"/>
          <w:b w:val="1"/>
          <w:bCs w:val="1"/>
          <w:color w:val="1C1A1C"/>
        </w:rPr>
        <w:t xml:space="preserve"> </w:t>
      </w:r>
      <w:r>
        <w:rPr>
          <w:rFonts w:ascii="Arial" w:cs="Arial" w:eastAsia="Arial" w:hAnsi="Arial"/>
          <w:sz w:val="17"/>
          <w:szCs w:val="17"/>
          <w:color w:val="2A2A2A"/>
        </w:rPr>
        <w:t>the Equal Employment Opportunity Commission, the Department of Labor</w:t>
      </w:r>
      <w:r>
        <w:rPr>
          <w:rFonts w:ascii="Arial" w:cs="Arial" w:eastAsia="Arial" w:hAnsi="Arial"/>
          <w:sz w:val="17"/>
          <w:szCs w:val="17"/>
          <w:color w:val="4D4D4D"/>
        </w:rPr>
        <w:t>,</w:t>
      </w:r>
      <w:r>
        <w:rPr>
          <w:rFonts w:ascii="Arial" w:cs="Arial" w:eastAsia="Arial" w:hAnsi="Arial"/>
          <w:sz w:val="17"/>
          <w:szCs w:val="17"/>
          <w:color w:val="2A2A2A"/>
        </w:rPr>
        <w:t xml:space="preserve"> the National Labor Relations Board</w:t>
      </w:r>
      <w:r>
        <w:rPr>
          <w:rFonts w:ascii="Arial" w:cs="Arial" w:eastAsia="Arial" w:hAnsi="Arial"/>
          <w:sz w:val="17"/>
          <w:szCs w:val="17"/>
          <w:color w:val="4D4D4D"/>
        </w:rPr>
        <w:t>,</w:t>
      </w:r>
      <w:r>
        <w:rPr>
          <w:rFonts w:ascii="Arial" w:cs="Arial" w:eastAsia="Arial" w:hAnsi="Arial"/>
          <w:sz w:val="17"/>
          <w:szCs w:val="17"/>
          <w:color w:val="2A2A2A"/>
        </w:rPr>
        <w:t xml:space="preserve"> the Occupational Safety and Health Administration</w:t>
      </w:r>
      <w:r>
        <w:rPr>
          <w:rFonts w:ascii="Arial" w:cs="Arial" w:eastAsia="Arial" w:hAnsi="Arial"/>
          <w:sz w:val="17"/>
          <w:szCs w:val="17"/>
          <w:color w:val="4D4D4D"/>
        </w:rPr>
        <w:t>,</w:t>
      </w:r>
      <w:r>
        <w:rPr>
          <w:rFonts w:ascii="Arial" w:cs="Arial" w:eastAsia="Arial" w:hAnsi="Arial"/>
          <w:sz w:val="17"/>
          <w:szCs w:val="17"/>
          <w:color w:val="2A2A2A"/>
        </w:rPr>
        <w:t xml:space="preserve"> the Securities and Exchange Commission or any other federal</w:t>
      </w:r>
      <w:r>
        <w:rPr>
          <w:rFonts w:ascii="Arial" w:cs="Arial" w:eastAsia="Arial" w:hAnsi="Arial"/>
          <w:sz w:val="17"/>
          <w:szCs w:val="17"/>
          <w:color w:val="4D4D4D"/>
        </w:rPr>
        <w:t>,</w:t>
      </w:r>
      <w:r>
        <w:rPr>
          <w:rFonts w:ascii="Arial" w:cs="Arial" w:eastAsia="Arial" w:hAnsi="Arial"/>
          <w:sz w:val="17"/>
          <w:szCs w:val="17"/>
          <w:color w:val="2A2A2A"/>
        </w:rPr>
        <w:t xml:space="preserve"> state or local governmental </w:t>
      </w:r>
      <w:r>
        <w:rPr>
          <w:rFonts w:ascii="Arial" w:cs="Arial" w:eastAsia="Arial" w:hAnsi="Arial"/>
          <w:sz w:val="17"/>
          <w:szCs w:val="17"/>
          <w:color w:val="1C1A1C"/>
        </w:rPr>
        <w:t>agency</w:t>
      </w:r>
      <w:r>
        <w:rPr>
          <w:rFonts w:ascii="Arial" w:cs="Arial" w:eastAsia="Arial" w:hAnsi="Arial"/>
          <w:sz w:val="17"/>
          <w:szCs w:val="17"/>
          <w:color w:val="2A2A2A"/>
        </w:rPr>
        <w:t xml:space="preserve"> or commission </w:t>
      </w:r>
      <w:r>
        <w:rPr>
          <w:rFonts w:ascii="Arial" w:cs="Arial" w:eastAsia="Arial" w:hAnsi="Arial"/>
          <w:sz w:val="17"/>
          <w:szCs w:val="17"/>
          <w:b w:val="1"/>
          <w:bCs w:val="1"/>
          <w:color w:val="2A2A2A"/>
        </w:rPr>
        <w:t>(“Government</w:t>
      </w:r>
      <w:r>
        <w:rPr>
          <w:rFonts w:ascii="Arial" w:cs="Arial" w:eastAsia="Arial" w:hAnsi="Arial"/>
          <w:sz w:val="17"/>
          <w:szCs w:val="17"/>
          <w:color w:val="2A2A2A"/>
        </w:rPr>
        <w:t xml:space="preserve"> </w:t>
      </w:r>
      <w:r>
        <w:rPr>
          <w:rFonts w:ascii="Arial" w:cs="Arial" w:eastAsia="Arial" w:hAnsi="Arial"/>
          <w:sz w:val="17"/>
          <w:szCs w:val="17"/>
          <w:b w:val="1"/>
          <w:bCs w:val="1"/>
          <w:color w:val="1C1A1C"/>
        </w:rPr>
        <w:t>Agencies”</w:t>
      </w:r>
      <w:r>
        <w:rPr>
          <w:rFonts w:ascii="Arial" w:cs="Arial" w:eastAsia="Arial" w:hAnsi="Arial"/>
          <w:sz w:val="17"/>
          <w:szCs w:val="17"/>
          <w:b w:val="1"/>
          <w:bCs w:val="1"/>
          <w:color w:val="2A2A2A"/>
        </w:rPr>
        <w:t>).</w:t>
      </w:r>
      <w:r>
        <w:rPr>
          <w:rFonts w:ascii="Arial" w:cs="Arial" w:eastAsia="Arial" w:hAnsi="Arial"/>
          <w:sz w:val="17"/>
          <w:szCs w:val="17"/>
          <w:color w:val="2A2A2A"/>
        </w:rPr>
        <w:t xml:space="preserve"> You further understand this Agreement does not limit your ability to communicate with any Government Agencies or otherwise participate in any investigation or proceeding that may be conducted by any Government Agency</w:t>
      </w:r>
      <w:r>
        <w:rPr>
          <w:rFonts w:ascii="Arial" w:cs="Arial" w:eastAsia="Arial" w:hAnsi="Arial"/>
          <w:sz w:val="17"/>
          <w:szCs w:val="17"/>
          <w:color w:val="4D4D4D"/>
        </w:rPr>
        <w:t>,</w:t>
      </w:r>
      <w:r>
        <w:rPr>
          <w:rFonts w:ascii="Arial" w:cs="Arial" w:eastAsia="Arial" w:hAnsi="Arial"/>
          <w:sz w:val="17"/>
          <w:szCs w:val="17"/>
          <w:color w:val="2A2A2A"/>
        </w:rPr>
        <w:t xml:space="preserve"> including providing documents or other information</w:t>
      </w:r>
      <w:r>
        <w:rPr>
          <w:rFonts w:ascii="Arial" w:cs="Arial" w:eastAsia="Arial" w:hAnsi="Arial"/>
          <w:sz w:val="17"/>
          <w:szCs w:val="17"/>
          <w:color w:val="4D4D4D"/>
        </w:rPr>
        <w:t>,</w:t>
      </w:r>
      <w:r>
        <w:rPr>
          <w:rFonts w:ascii="Arial" w:cs="Arial" w:eastAsia="Arial" w:hAnsi="Arial"/>
          <w:sz w:val="17"/>
          <w:szCs w:val="17"/>
          <w:color w:val="2A2A2A"/>
        </w:rPr>
        <w:t xml:space="preserve"> without notice to the Company. While this Agreement </w:t>
      </w:r>
      <w:r>
        <w:rPr>
          <w:rFonts w:ascii="Arial" w:cs="Arial" w:eastAsia="Arial" w:hAnsi="Arial"/>
          <w:sz w:val="17"/>
          <w:szCs w:val="17"/>
          <w:color w:val="1C1A1C"/>
        </w:rPr>
        <w:t>does</w:t>
      </w:r>
      <w:r>
        <w:rPr>
          <w:rFonts w:ascii="Arial" w:cs="Arial" w:eastAsia="Arial" w:hAnsi="Arial"/>
          <w:sz w:val="17"/>
          <w:szCs w:val="17"/>
          <w:color w:val="2A2A2A"/>
        </w:rPr>
        <w:t xml:space="preserve"> not limit your right to receive an award for information provided to the Securities </w:t>
      </w:r>
      <w:r>
        <w:rPr>
          <w:rFonts w:ascii="Arial" w:cs="Arial" w:eastAsia="Arial" w:hAnsi="Arial"/>
          <w:sz w:val="17"/>
          <w:szCs w:val="17"/>
          <w:color w:val="1C1A1C"/>
        </w:rPr>
        <w:t>and</w:t>
      </w:r>
      <w:r>
        <w:rPr>
          <w:rFonts w:ascii="Arial" w:cs="Arial" w:eastAsia="Arial" w:hAnsi="Arial"/>
          <w:sz w:val="17"/>
          <w:szCs w:val="17"/>
          <w:color w:val="2A2A2A"/>
        </w:rPr>
        <w:t xml:space="preserve"> Exchange Commission, you understand and agree that</w:t>
      </w:r>
      <w:r>
        <w:rPr>
          <w:rFonts w:ascii="Arial" w:cs="Arial" w:eastAsia="Arial" w:hAnsi="Arial"/>
          <w:sz w:val="17"/>
          <w:szCs w:val="17"/>
          <w:color w:val="4D4D4D"/>
        </w:rPr>
        <w:t>,</w:t>
      </w:r>
      <w:r>
        <w:rPr>
          <w:rFonts w:ascii="Arial" w:cs="Arial" w:eastAsia="Arial" w:hAnsi="Arial"/>
          <w:sz w:val="17"/>
          <w:szCs w:val="17"/>
          <w:color w:val="2A2A2A"/>
        </w:rPr>
        <w:t xml:space="preserve"> to maximum extent permitted by law</w:t>
      </w:r>
      <w:r>
        <w:rPr>
          <w:rFonts w:ascii="Arial" w:cs="Arial" w:eastAsia="Arial" w:hAnsi="Arial"/>
          <w:sz w:val="17"/>
          <w:szCs w:val="17"/>
          <w:color w:val="4D4D4D"/>
        </w:rPr>
        <w:t>,</w:t>
      </w:r>
      <w:r>
        <w:rPr>
          <w:rFonts w:ascii="Arial" w:cs="Arial" w:eastAsia="Arial" w:hAnsi="Arial"/>
          <w:sz w:val="17"/>
          <w:szCs w:val="17"/>
          <w:color w:val="2A2A2A"/>
        </w:rPr>
        <w:t xml:space="preserve"> you are otherwise waiving any and all rights you may have to individual relief based on any claims that you have released and any rights you have waived by signing this Agreement.</w:t>
      </w:r>
    </w:p>
    <w:p>
      <w:pPr>
        <w:spacing w:after="0" w:line="176" w:lineRule="exact"/>
        <w:rPr>
          <w:rFonts w:ascii="Arial" w:cs="Arial" w:eastAsia="Arial" w:hAnsi="Arial"/>
          <w:sz w:val="17"/>
          <w:szCs w:val="17"/>
          <w:b w:val="1"/>
          <w:bCs w:val="1"/>
          <w:color w:val="2A2A2A"/>
        </w:rPr>
      </w:pPr>
    </w:p>
    <w:p>
      <w:pPr>
        <w:jc w:val="both"/>
        <w:ind w:left="660" w:hanging="328"/>
        <w:spacing w:after="0" w:line="261" w:lineRule="auto"/>
        <w:tabs>
          <w:tab w:leader="none" w:pos="660" w:val="left"/>
        </w:tabs>
        <w:numPr>
          <w:ilvl w:val="0"/>
          <w:numId w:val="21"/>
        </w:numPr>
        <w:rPr>
          <w:rFonts w:ascii="Arial" w:cs="Arial" w:eastAsia="Arial" w:hAnsi="Arial"/>
          <w:sz w:val="18"/>
          <w:szCs w:val="18"/>
          <w:b w:val="1"/>
          <w:bCs w:val="1"/>
          <w:color w:val="1C1A1C"/>
        </w:rPr>
      </w:pPr>
      <w:r>
        <w:rPr>
          <w:rFonts w:ascii="Arial" w:cs="Arial" w:eastAsia="Arial" w:hAnsi="Arial"/>
          <w:sz w:val="18"/>
          <w:szCs w:val="18"/>
          <w:b w:val="1"/>
          <w:bCs w:val="1"/>
          <w:color w:val="1C1A1C"/>
        </w:rPr>
        <w:t xml:space="preserve">REPRESENTATIONS </w:t>
      </w:r>
      <w:r>
        <w:rPr>
          <w:rFonts w:ascii="Arial" w:cs="Arial" w:eastAsia="Arial" w:hAnsi="Arial"/>
          <w:sz w:val="18"/>
          <w:szCs w:val="18"/>
          <w:color w:val="1C1A1C"/>
        </w:rPr>
        <w:t>-</w:t>
      </w:r>
      <w:r>
        <w:rPr>
          <w:rFonts w:ascii="Arial" w:cs="Arial" w:eastAsia="Arial" w:hAnsi="Arial"/>
          <w:sz w:val="18"/>
          <w:szCs w:val="18"/>
          <w:b w:val="1"/>
          <w:bCs w:val="1"/>
          <w:color w:val="1C1A1C"/>
        </w:rPr>
        <w:t xml:space="preserve"> </w:t>
      </w:r>
      <w:r>
        <w:rPr>
          <w:rFonts w:ascii="Arial" w:cs="Arial" w:eastAsia="Arial" w:hAnsi="Arial"/>
          <w:sz w:val="18"/>
          <w:szCs w:val="18"/>
          <w:color w:val="2A2A2A"/>
        </w:rPr>
        <w:t>You hereby represent</w:t>
      </w:r>
      <w:r>
        <w:rPr>
          <w:rFonts w:ascii="Arial" w:cs="Arial" w:eastAsia="Arial" w:hAnsi="Arial"/>
          <w:sz w:val="18"/>
          <w:szCs w:val="18"/>
          <w:b w:val="1"/>
          <w:bCs w:val="1"/>
          <w:color w:val="1C1A1C"/>
        </w:rPr>
        <w:t xml:space="preserve"> </w:t>
      </w:r>
      <w:r>
        <w:rPr>
          <w:rFonts w:ascii="Arial" w:cs="Arial" w:eastAsia="Arial" w:hAnsi="Arial"/>
          <w:sz w:val="18"/>
          <w:szCs w:val="18"/>
          <w:color w:val="1C1A1C"/>
        </w:rPr>
        <w:t>that</w:t>
      </w:r>
      <w:r>
        <w:rPr>
          <w:rFonts w:ascii="Arial" w:cs="Arial" w:eastAsia="Arial" w:hAnsi="Arial"/>
          <w:sz w:val="18"/>
          <w:szCs w:val="18"/>
          <w:b w:val="1"/>
          <w:bCs w:val="1"/>
          <w:color w:val="1C1A1C"/>
        </w:rPr>
        <w:t xml:space="preserve"> </w:t>
      </w:r>
      <w:r>
        <w:rPr>
          <w:rFonts w:ascii="Arial" w:cs="Arial" w:eastAsia="Arial" w:hAnsi="Arial"/>
          <w:sz w:val="18"/>
          <w:szCs w:val="18"/>
          <w:color w:val="2A2A2A"/>
        </w:rPr>
        <w:t>you have been paid all compensation owed and for all hours worked have</w:t>
      </w:r>
      <w:r>
        <w:rPr>
          <w:rFonts w:ascii="Arial" w:cs="Arial" w:eastAsia="Arial" w:hAnsi="Arial"/>
          <w:sz w:val="18"/>
          <w:szCs w:val="18"/>
          <w:b w:val="1"/>
          <w:bCs w:val="1"/>
          <w:color w:val="1C1A1C"/>
        </w:rPr>
        <w:t xml:space="preserve"> </w:t>
      </w:r>
      <w:r>
        <w:rPr>
          <w:rFonts w:ascii="Arial" w:cs="Arial" w:eastAsia="Arial" w:hAnsi="Arial"/>
          <w:sz w:val="18"/>
          <w:szCs w:val="18"/>
          <w:color w:val="2A2A2A"/>
        </w:rPr>
        <w:t xml:space="preserve">received all the leave and leave benefits and protections for which </w:t>
      </w:r>
      <w:r>
        <w:rPr>
          <w:rFonts w:ascii="Arial" w:cs="Arial" w:eastAsia="Arial" w:hAnsi="Arial"/>
          <w:sz w:val="18"/>
          <w:szCs w:val="18"/>
          <w:color w:val="4D4D4D"/>
        </w:rPr>
        <w:t>y</w:t>
      </w:r>
      <w:r>
        <w:rPr>
          <w:rFonts w:ascii="Arial" w:cs="Arial" w:eastAsia="Arial" w:hAnsi="Arial"/>
          <w:sz w:val="18"/>
          <w:szCs w:val="18"/>
          <w:color w:val="2A2A2A"/>
        </w:rPr>
        <w:t>ou are eligible pursuant to the Family and Medical Lea</w:t>
      </w:r>
      <w:r>
        <w:rPr>
          <w:rFonts w:ascii="Arial" w:cs="Arial" w:eastAsia="Arial" w:hAnsi="Arial"/>
          <w:sz w:val="18"/>
          <w:szCs w:val="18"/>
          <w:color w:val="4D4D4D"/>
        </w:rPr>
        <w:t>v</w:t>
      </w:r>
      <w:r>
        <w:rPr>
          <w:rFonts w:ascii="Arial" w:cs="Arial" w:eastAsia="Arial" w:hAnsi="Arial"/>
          <w:sz w:val="18"/>
          <w:szCs w:val="18"/>
          <w:color w:val="2A2A2A"/>
        </w:rPr>
        <w:t>e Act or otherwise</w:t>
      </w:r>
      <w:r>
        <w:rPr>
          <w:rFonts w:ascii="Arial" w:cs="Arial" w:eastAsia="Arial" w:hAnsi="Arial"/>
          <w:sz w:val="18"/>
          <w:szCs w:val="18"/>
          <w:color w:val="4D4D4D"/>
        </w:rPr>
        <w:t>,</w:t>
      </w:r>
      <w:r>
        <w:rPr>
          <w:rFonts w:ascii="Arial" w:cs="Arial" w:eastAsia="Arial" w:hAnsi="Arial"/>
          <w:sz w:val="18"/>
          <w:szCs w:val="18"/>
          <w:color w:val="2A2A2A"/>
        </w:rPr>
        <w:t xml:space="preserve"> and have not suffered any on-the-job injury for which you have not already filed a workers’ compensation </w:t>
      </w:r>
      <w:r>
        <w:rPr>
          <w:rFonts w:ascii="Arial" w:cs="Arial" w:eastAsia="Arial" w:hAnsi="Arial"/>
          <w:sz w:val="18"/>
          <w:szCs w:val="18"/>
          <w:color w:val="1C1A1C"/>
        </w:rPr>
        <w:t>claim.</w:t>
      </w:r>
    </w:p>
    <w:p>
      <w:pPr>
        <w:spacing w:after="0" w:line="179" w:lineRule="exact"/>
        <w:rPr>
          <w:rFonts w:ascii="Arial" w:cs="Arial" w:eastAsia="Arial" w:hAnsi="Arial"/>
          <w:sz w:val="18"/>
          <w:szCs w:val="18"/>
          <w:b w:val="1"/>
          <w:bCs w:val="1"/>
          <w:color w:val="1C1A1C"/>
        </w:rPr>
      </w:pPr>
    </w:p>
    <w:p>
      <w:pPr>
        <w:jc w:val="both"/>
        <w:ind w:left="660" w:hanging="328"/>
        <w:spacing w:after="0" w:line="269" w:lineRule="auto"/>
        <w:tabs>
          <w:tab w:leader="none" w:pos="660" w:val="left"/>
        </w:tabs>
        <w:numPr>
          <w:ilvl w:val="0"/>
          <w:numId w:val="21"/>
        </w:numPr>
        <w:rPr>
          <w:rFonts w:ascii="Arial" w:cs="Arial" w:eastAsia="Arial" w:hAnsi="Arial"/>
          <w:sz w:val="17"/>
          <w:szCs w:val="17"/>
          <w:b w:val="1"/>
          <w:bCs w:val="1"/>
          <w:color w:val="2A2A2A"/>
        </w:rPr>
      </w:pPr>
      <w:r>
        <w:rPr>
          <w:rFonts w:ascii="Arial" w:cs="Arial" w:eastAsia="Arial" w:hAnsi="Arial"/>
          <w:sz w:val="17"/>
          <w:szCs w:val="17"/>
          <w:b w:val="1"/>
          <w:bCs w:val="1"/>
          <w:color w:val="2A2A2A"/>
        </w:rPr>
        <w:t xml:space="preserve">MISCELLANEOUS </w:t>
      </w:r>
      <w:r>
        <w:rPr>
          <w:rFonts w:ascii="Arial" w:cs="Arial" w:eastAsia="Arial" w:hAnsi="Arial"/>
          <w:sz w:val="17"/>
          <w:szCs w:val="17"/>
          <w:color w:val="2A2A2A"/>
        </w:rPr>
        <w:t>- This Agreement</w:t>
      </w:r>
      <w:r>
        <w:rPr>
          <w:rFonts w:ascii="Arial" w:cs="Arial" w:eastAsia="Arial" w:hAnsi="Arial"/>
          <w:sz w:val="17"/>
          <w:szCs w:val="17"/>
          <w:color w:val="4D4D4D"/>
        </w:rPr>
        <w:t>,</w:t>
      </w:r>
      <w:r>
        <w:rPr>
          <w:rFonts w:ascii="Arial" w:cs="Arial" w:eastAsia="Arial" w:hAnsi="Arial"/>
          <w:sz w:val="17"/>
          <w:szCs w:val="17"/>
          <w:b w:val="1"/>
          <w:bCs w:val="1"/>
          <w:color w:val="2A2A2A"/>
        </w:rPr>
        <w:t xml:space="preserve"> </w:t>
      </w:r>
      <w:r>
        <w:rPr>
          <w:rFonts w:ascii="Arial" w:cs="Arial" w:eastAsia="Arial" w:hAnsi="Arial"/>
          <w:sz w:val="17"/>
          <w:szCs w:val="17"/>
          <w:color w:val="2A2A2A"/>
        </w:rPr>
        <w:t>including</w:t>
      </w:r>
      <w:r>
        <w:rPr>
          <w:rFonts w:ascii="Arial" w:cs="Arial" w:eastAsia="Arial" w:hAnsi="Arial"/>
          <w:sz w:val="17"/>
          <w:szCs w:val="17"/>
          <w:b w:val="1"/>
          <w:bCs w:val="1"/>
          <w:color w:val="2A2A2A"/>
        </w:rPr>
        <w:t xml:space="preserve"> Exhibit A</w:t>
      </w:r>
      <w:r>
        <w:rPr>
          <w:rFonts w:ascii="Arial" w:cs="Arial" w:eastAsia="Arial" w:hAnsi="Arial"/>
          <w:sz w:val="17"/>
          <w:szCs w:val="17"/>
          <w:b w:val="1"/>
          <w:bCs w:val="1"/>
          <w:color w:val="4D4D4D"/>
        </w:rPr>
        <w:t>,</w:t>
      </w:r>
      <w:r>
        <w:rPr>
          <w:rFonts w:ascii="Arial" w:cs="Arial" w:eastAsia="Arial" w:hAnsi="Arial"/>
          <w:sz w:val="17"/>
          <w:szCs w:val="17"/>
          <w:b w:val="1"/>
          <w:bCs w:val="1"/>
          <w:color w:val="2A2A2A"/>
        </w:rPr>
        <w:t xml:space="preserve"> </w:t>
      </w:r>
      <w:r>
        <w:rPr>
          <w:rFonts w:ascii="Arial" w:cs="Arial" w:eastAsia="Arial" w:hAnsi="Arial"/>
          <w:sz w:val="17"/>
          <w:szCs w:val="17"/>
          <w:color w:val="2A2A2A"/>
        </w:rPr>
        <w:t>constitutes the complete</w:t>
      </w:r>
      <w:r>
        <w:rPr>
          <w:rFonts w:ascii="Arial" w:cs="Arial" w:eastAsia="Arial" w:hAnsi="Arial"/>
          <w:sz w:val="17"/>
          <w:szCs w:val="17"/>
          <w:color w:val="4D4D4D"/>
        </w:rPr>
        <w:t>,</w:t>
      </w:r>
      <w:r>
        <w:rPr>
          <w:rFonts w:ascii="Arial" w:cs="Arial" w:eastAsia="Arial" w:hAnsi="Arial"/>
          <w:sz w:val="17"/>
          <w:szCs w:val="17"/>
          <w:b w:val="1"/>
          <w:bCs w:val="1"/>
          <w:color w:val="2A2A2A"/>
        </w:rPr>
        <w:t xml:space="preserve"> </w:t>
      </w:r>
      <w:r>
        <w:rPr>
          <w:rFonts w:ascii="Arial" w:cs="Arial" w:eastAsia="Arial" w:hAnsi="Arial"/>
          <w:sz w:val="17"/>
          <w:szCs w:val="17"/>
          <w:color w:val="2A2A2A"/>
        </w:rPr>
        <w:t>final and exclusive embodiment of the</w:t>
      </w:r>
      <w:r>
        <w:rPr>
          <w:rFonts w:ascii="Arial" w:cs="Arial" w:eastAsia="Arial" w:hAnsi="Arial"/>
          <w:sz w:val="17"/>
          <w:szCs w:val="17"/>
          <w:b w:val="1"/>
          <w:bCs w:val="1"/>
          <w:color w:val="2A2A2A"/>
        </w:rPr>
        <w:t xml:space="preserve"> </w:t>
      </w:r>
      <w:r>
        <w:rPr>
          <w:rFonts w:ascii="Arial" w:cs="Arial" w:eastAsia="Arial" w:hAnsi="Arial"/>
          <w:sz w:val="17"/>
          <w:szCs w:val="17"/>
          <w:color w:val="2A2A2A"/>
        </w:rPr>
        <w:t>entire agreement between you and the Company with regard to its subject matter. It is entered into without reliance on any promise or representation, written or oral</w:t>
      </w:r>
      <w:r>
        <w:rPr>
          <w:rFonts w:ascii="Arial" w:cs="Arial" w:eastAsia="Arial" w:hAnsi="Arial"/>
          <w:sz w:val="17"/>
          <w:szCs w:val="17"/>
          <w:color w:val="4D4D4D"/>
        </w:rPr>
        <w:t>,</w:t>
      </w:r>
      <w:r>
        <w:rPr>
          <w:rFonts w:ascii="Arial" w:cs="Arial" w:eastAsia="Arial" w:hAnsi="Arial"/>
          <w:sz w:val="17"/>
          <w:szCs w:val="17"/>
          <w:color w:val="2A2A2A"/>
        </w:rPr>
        <w:t xml:space="preserve"> other than those expressly contained herein, and it supersedes any other such promises</w:t>
      </w:r>
      <w:r>
        <w:rPr>
          <w:rFonts w:ascii="Arial" w:cs="Arial" w:eastAsia="Arial" w:hAnsi="Arial"/>
          <w:sz w:val="17"/>
          <w:szCs w:val="17"/>
          <w:color w:val="4D4D4D"/>
        </w:rPr>
        <w:t>,</w:t>
      </w:r>
      <w:r>
        <w:rPr>
          <w:rFonts w:ascii="Arial" w:cs="Arial" w:eastAsia="Arial" w:hAnsi="Arial"/>
          <w:sz w:val="17"/>
          <w:szCs w:val="17"/>
          <w:color w:val="2A2A2A"/>
        </w:rPr>
        <w:t xml:space="preserve"> warranties</w:t>
      </w:r>
      <w:r>
        <w:rPr>
          <w:rFonts w:ascii="Arial" w:cs="Arial" w:eastAsia="Arial" w:hAnsi="Arial"/>
          <w:sz w:val="17"/>
          <w:szCs w:val="17"/>
          <w:color w:val="4D4D4D"/>
        </w:rPr>
        <w:t>,</w:t>
      </w:r>
      <w:r>
        <w:rPr>
          <w:rFonts w:ascii="Arial" w:cs="Arial" w:eastAsia="Arial" w:hAnsi="Arial"/>
          <w:sz w:val="17"/>
          <w:szCs w:val="17"/>
          <w:color w:val="2A2A2A"/>
        </w:rPr>
        <w:t xml:space="preserve"> or representations. This Agreement may not be modified or amended except in a writing signed by both you and a duly authorized officer of the Company. This Agreement will </w:t>
      </w:r>
      <w:r>
        <w:rPr>
          <w:rFonts w:ascii="Arial" w:cs="Arial" w:eastAsia="Arial" w:hAnsi="Arial"/>
          <w:sz w:val="17"/>
          <w:szCs w:val="17"/>
          <w:color w:val="1C1A1C"/>
        </w:rPr>
        <w:t>bind</w:t>
      </w:r>
      <w:r>
        <w:rPr>
          <w:rFonts w:ascii="Arial" w:cs="Arial" w:eastAsia="Arial" w:hAnsi="Arial"/>
          <w:sz w:val="17"/>
          <w:szCs w:val="17"/>
          <w:color w:val="2A2A2A"/>
        </w:rPr>
        <w:t xml:space="preserve"> the </w:t>
      </w:r>
      <w:r>
        <w:rPr>
          <w:rFonts w:ascii="Arial" w:cs="Arial" w:eastAsia="Arial" w:hAnsi="Arial"/>
          <w:sz w:val="17"/>
          <w:szCs w:val="17"/>
          <w:color w:val="1C1A1C"/>
        </w:rPr>
        <w:t>heirs</w:t>
      </w:r>
      <w:r>
        <w:rPr>
          <w:rFonts w:ascii="Arial" w:cs="Arial" w:eastAsia="Arial" w:hAnsi="Arial"/>
          <w:sz w:val="17"/>
          <w:szCs w:val="17"/>
          <w:color w:val="4D4D4D"/>
        </w:rPr>
        <w:t>,</w:t>
      </w:r>
      <w:r>
        <w:rPr>
          <w:rFonts w:ascii="Arial" w:cs="Arial" w:eastAsia="Arial" w:hAnsi="Arial"/>
          <w:sz w:val="17"/>
          <w:szCs w:val="17"/>
          <w:color w:val="2A2A2A"/>
        </w:rPr>
        <w:t xml:space="preserve"> </w:t>
      </w:r>
      <w:r>
        <w:rPr>
          <w:rFonts w:ascii="Arial" w:cs="Arial" w:eastAsia="Arial" w:hAnsi="Arial"/>
          <w:sz w:val="17"/>
          <w:szCs w:val="17"/>
          <w:color w:val="1C1A1C"/>
        </w:rPr>
        <w:t>personal representatives,</w:t>
      </w:r>
      <w:r>
        <w:rPr>
          <w:rFonts w:ascii="Arial" w:cs="Arial" w:eastAsia="Arial" w:hAnsi="Arial"/>
          <w:sz w:val="17"/>
          <w:szCs w:val="17"/>
          <w:color w:val="2A2A2A"/>
        </w:rPr>
        <w:t xml:space="preserve"> successors and </w:t>
      </w:r>
      <w:r>
        <w:rPr>
          <w:rFonts w:ascii="Arial" w:cs="Arial" w:eastAsia="Arial" w:hAnsi="Arial"/>
          <w:sz w:val="17"/>
          <w:szCs w:val="17"/>
          <w:color w:val="1C1A1C"/>
        </w:rPr>
        <w:t xml:space="preserve">assigns of both </w:t>
      </w:r>
      <w:r>
        <w:rPr>
          <w:rFonts w:ascii="Arial" w:cs="Arial" w:eastAsia="Arial" w:hAnsi="Arial"/>
          <w:sz w:val="17"/>
          <w:szCs w:val="17"/>
          <w:color w:val="2A2A2A"/>
        </w:rPr>
        <w:t>you and the Company</w:t>
      </w:r>
      <w:r>
        <w:rPr>
          <w:rFonts w:ascii="Arial" w:cs="Arial" w:eastAsia="Arial" w:hAnsi="Arial"/>
          <w:sz w:val="17"/>
          <w:szCs w:val="17"/>
          <w:color w:val="4D4D4D"/>
        </w:rPr>
        <w:t>,</w:t>
      </w:r>
      <w:r>
        <w:rPr>
          <w:rFonts w:ascii="Arial" w:cs="Arial" w:eastAsia="Arial" w:hAnsi="Arial"/>
          <w:sz w:val="17"/>
          <w:szCs w:val="17"/>
          <w:color w:val="1C1A1C"/>
        </w:rPr>
        <w:t xml:space="preserve"> </w:t>
      </w:r>
      <w:r>
        <w:rPr>
          <w:rFonts w:ascii="Arial" w:cs="Arial" w:eastAsia="Arial" w:hAnsi="Arial"/>
          <w:sz w:val="17"/>
          <w:szCs w:val="17"/>
          <w:color w:val="2A2A2A"/>
        </w:rPr>
        <w:t>and inure to the benefit of both you and the Company</w:t>
      </w:r>
      <w:r>
        <w:rPr>
          <w:rFonts w:ascii="Arial" w:cs="Arial" w:eastAsia="Arial" w:hAnsi="Arial"/>
          <w:sz w:val="17"/>
          <w:szCs w:val="17"/>
          <w:color w:val="4D4D4D"/>
        </w:rPr>
        <w:t>,</w:t>
      </w:r>
      <w:r>
        <w:rPr>
          <w:rFonts w:ascii="Arial" w:cs="Arial" w:eastAsia="Arial" w:hAnsi="Arial"/>
          <w:sz w:val="17"/>
          <w:szCs w:val="17"/>
          <w:color w:val="1C1A1C"/>
        </w:rPr>
        <w:t xml:space="preserve"> </w:t>
      </w:r>
      <w:r>
        <w:rPr>
          <w:rFonts w:ascii="Arial" w:cs="Arial" w:eastAsia="Arial" w:hAnsi="Arial"/>
          <w:sz w:val="17"/>
          <w:szCs w:val="17"/>
          <w:color w:val="2A2A2A"/>
        </w:rPr>
        <w:t>their heirs, successors</w:t>
      </w:r>
      <w:r>
        <w:rPr>
          <w:rFonts w:ascii="Arial" w:cs="Arial" w:eastAsia="Arial" w:hAnsi="Arial"/>
          <w:sz w:val="17"/>
          <w:szCs w:val="17"/>
          <w:color w:val="4D4D4D"/>
        </w:rPr>
        <w:t>,</w:t>
      </w:r>
      <w:r>
        <w:rPr>
          <w:rFonts w:ascii="Arial" w:cs="Arial" w:eastAsia="Arial" w:hAnsi="Arial"/>
          <w:sz w:val="17"/>
          <w:szCs w:val="17"/>
          <w:color w:val="1C1A1C"/>
        </w:rPr>
        <w:t xml:space="preserve"> </w:t>
      </w:r>
      <w:r>
        <w:rPr>
          <w:rFonts w:ascii="Arial" w:cs="Arial" w:eastAsia="Arial" w:hAnsi="Arial"/>
          <w:sz w:val="17"/>
          <w:szCs w:val="17"/>
          <w:color w:val="2A2A2A"/>
        </w:rPr>
        <w:t>and</w:t>
      </w:r>
      <w:r>
        <w:rPr>
          <w:rFonts w:ascii="Arial" w:cs="Arial" w:eastAsia="Arial" w:hAnsi="Arial"/>
          <w:sz w:val="17"/>
          <w:szCs w:val="17"/>
          <w:color w:val="1C1A1C"/>
        </w:rPr>
        <w:t xml:space="preserve"> </w:t>
      </w:r>
      <w:r>
        <w:rPr>
          <w:rFonts w:ascii="Arial" w:cs="Arial" w:eastAsia="Arial" w:hAnsi="Arial"/>
          <w:sz w:val="17"/>
          <w:szCs w:val="17"/>
          <w:color w:val="2A2A2A"/>
        </w:rPr>
        <w:t>assigns. If any provision of this Agreement is determined to be invalid or unenforceable</w:t>
      </w:r>
      <w:r>
        <w:rPr>
          <w:rFonts w:ascii="Arial" w:cs="Arial" w:eastAsia="Arial" w:hAnsi="Arial"/>
          <w:sz w:val="17"/>
          <w:szCs w:val="17"/>
          <w:color w:val="4D4D4D"/>
        </w:rPr>
        <w:t>,</w:t>
      </w:r>
      <w:r>
        <w:rPr>
          <w:rFonts w:ascii="Arial" w:cs="Arial" w:eastAsia="Arial" w:hAnsi="Arial"/>
          <w:sz w:val="17"/>
          <w:szCs w:val="17"/>
          <w:color w:val="2A2A2A"/>
        </w:rPr>
        <w:t xml:space="preserve"> in whole or in part</w:t>
      </w:r>
      <w:r>
        <w:rPr>
          <w:rFonts w:ascii="Arial" w:cs="Arial" w:eastAsia="Arial" w:hAnsi="Arial"/>
          <w:sz w:val="17"/>
          <w:szCs w:val="17"/>
          <w:color w:val="4D4D4D"/>
        </w:rPr>
        <w:t>,</w:t>
      </w:r>
      <w:r>
        <w:rPr>
          <w:rFonts w:ascii="Arial" w:cs="Arial" w:eastAsia="Arial" w:hAnsi="Arial"/>
          <w:sz w:val="17"/>
          <w:szCs w:val="17"/>
          <w:color w:val="2A2A2A"/>
        </w:rPr>
        <w:t xml:space="preserve"> this determination will not affect any other provision of this Agreement and the provision in question will </w:t>
      </w:r>
      <w:r>
        <w:rPr>
          <w:rFonts w:ascii="Arial" w:cs="Arial" w:eastAsia="Arial" w:hAnsi="Arial"/>
          <w:sz w:val="17"/>
          <w:szCs w:val="17"/>
          <w:color w:val="1C1A1C"/>
        </w:rPr>
        <w:t>be</w:t>
      </w:r>
      <w:r>
        <w:rPr>
          <w:rFonts w:ascii="Arial" w:cs="Arial" w:eastAsia="Arial" w:hAnsi="Arial"/>
          <w:sz w:val="17"/>
          <w:szCs w:val="17"/>
          <w:color w:val="2A2A2A"/>
        </w:rPr>
        <w:t xml:space="preserve"> modified so as to be rendered enforceable. This Agreement will </w:t>
      </w:r>
      <w:r>
        <w:rPr>
          <w:rFonts w:ascii="Arial" w:cs="Arial" w:eastAsia="Arial" w:hAnsi="Arial"/>
          <w:sz w:val="17"/>
          <w:szCs w:val="17"/>
          <w:color w:val="1C1A1C"/>
        </w:rPr>
        <w:t>be deemed</w:t>
      </w:r>
      <w:r>
        <w:rPr>
          <w:rFonts w:ascii="Arial" w:cs="Arial" w:eastAsia="Arial" w:hAnsi="Arial"/>
          <w:sz w:val="17"/>
          <w:szCs w:val="17"/>
          <w:color w:val="2A2A2A"/>
        </w:rPr>
        <w:t xml:space="preserve"> to </w:t>
      </w:r>
      <w:r>
        <w:rPr>
          <w:rFonts w:ascii="Arial" w:cs="Arial" w:eastAsia="Arial" w:hAnsi="Arial"/>
          <w:sz w:val="17"/>
          <w:szCs w:val="17"/>
          <w:color w:val="1C1A1C"/>
        </w:rPr>
        <w:t>have been</w:t>
      </w:r>
      <w:r>
        <w:rPr>
          <w:rFonts w:ascii="Arial" w:cs="Arial" w:eastAsia="Arial" w:hAnsi="Arial"/>
          <w:sz w:val="17"/>
          <w:szCs w:val="17"/>
          <w:color w:val="2A2A2A"/>
        </w:rPr>
        <w:t xml:space="preserve"> entered into and will </w:t>
      </w:r>
      <w:r>
        <w:rPr>
          <w:rFonts w:ascii="Arial" w:cs="Arial" w:eastAsia="Arial" w:hAnsi="Arial"/>
          <w:sz w:val="17"/>
          <w:szCs w:val="17"/>
          <w:color w:val="1C1A1C"/>
        </w:rPr>
        <w:t>be</w:t>
      </w:r>
      <w:r>
        <w:rPr>
          <w:rFonts w:ascii="Arial" w:cs="Arial" w:eastAsia="Arial" w:hAnsi="Arial"/>
          <w:sz w:val="17"/>
          <w:szCs w:val="17"/>
          <w:color w:val="2A2A2A"/>
        </w:rPr>
        <w:t xml:space="preserve"> construed and enforced in accordance with the laws of the State of Arizona without regard to conflict of laws principles. Any ambiguity in this Agreement shall not be construed against either party as the drafter. Any waiver of a breach of this Agreement shall be in writing and shall not be </w:t>
      </w:r>
      <w:r>
        <w:rPr>
          <w:rFonts w:ascii="Arial" w:cs="Arial" w:eastAsia="Arial" w:hAnsi="Arial"/>
          <w:sz w:val="17"/>
          <w:szCs w:val="17"/>
          <w:color w:val="1C1A1C"/>
        </w:rPr>
        <w:t xml:space="preserve">deemed </w:t>
      </w:r>
      <w:r>
        <w:rPr>
          <w:rFonts w:ascii="Arial" w:cs="Arial" w:eastAsia="Arial" w:hAnsi="Arial"/>
          <w:sz w:val="17"/>
          <w:szCs w:val="17"/>
          <w:color w:val="2A2A2A"/>
        </w:rPr>
        <w:t>to</w:t>
      </w:r>
      <w:r>
        <w:rPr>
          <w:rFonts w:ascii="Arial" w:cs="Arial" w:eastAsia="Arial" w:hAnsi="Arial"/>
          <w:sz w:val="17"/>
          <w:szCs w:val="17"/>
          <w:color w:val="1C1A1C"/>
        </w:rPr>
        <w:t xml:space="preserve"> be </w:t>
      </w:r>
      <w:r>
        <w:rPr>
          <w:rFonts w:ascii="Arial" w:cs="Arial" w:eastAsia="Arial" w:hAnsi="Arial"/>
          <w:sz w:val="17"/>
          <w:szCs w:val="17"/>
          <w:color w:val="2A2A2A"/>
        </w:rPr>
        <w:t>a waiver</w:t>
      </w:r>
      <w:r>
        <w:rPr>
          <w:rFonts w:ascii="Arial" w:cs="Arial" w:eastAsia="Arial" w:hAnsi="Arial"/>
          <w:sz w:val="17"/>
          <w:szCs w:val="17"/>
          <w:color w:val="1C1A1C"/>
        </w:rPr>
        <w:t xml:space="preserve"> of any successive breach. </w:t>
      </w:r>
      <w:r>
        <w:rPr>
          <w:rFonts w:ascii="Arial" w:cs="Arial" w:eastAsia="Arial" w:hAnsi="Arial"/>
          <w:sz w:val="17"/>
          <w:szCs w:val="17"/>
          <w:color w:val="2A2A2A"/>
        </w:rPr>
        <w:t>This Agreement may</w:t>
      </w:r>
      <w:r>
        <w:rPr>
          <w:rFonts w:ascii="Arial" w:cs="Arial" w:eastAsia="Arial" w:hAnsi="Arial"/>
          <w:sz w:val="17"/>
          <w:szCs w:val="17"/>
          <w:color w:val="1C1A1C"/>
        </w:rPr>
        <w:t xml:space="preserve"> be </w:t>
      </w:r>
      <w:r>
        <w:rPr>
          <w:rFonts w:ascii="Arial" w:cs="Arial" w:eastAsia="Arial" w:hAnsi="Arial"/>
          <w:sz w:val="17"/>
          <w:szCs w:val="17"/>
          <w:color w:val="2A2A2A"/>
        </w:rPr>
        <w:t>executed in counterparts and facsimile signatures will</w:t>
      </w:r>
      <w:r>
        <w:rPr>
          <w:rFonts w:ascii="Arial" w:cs="Arial" w:eastAsia="Arial" w:hAnsi="Arial"/>
          <w:sz w:val="17"/>
          <w:szCs w:val="17"/>
          <w:color w:val="1C1A1C"/>
        </w:rPr>
        <w:t xml:space="preserve"> </w:t>
      </w:r>
      <w:r>
        <w:rPr>
          <w:rFonts w:ascii="Arial" w:cs="Arial" w:eastAsia="Arial" w:hAnsi="Arial"/>
          <w:sz w:val="17"/>
          <w:szCs w:val="17"/>
          <w:color w:val="2A2A2A"/>
        </w:rPr>
        <w:t>suffice as original signatures.</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8"/>
          <w:szCs w:val="18"/>
          <w:color w:val="2A2A2A"/>
        </w:rPr>
        <w:t xml:space="preserve">If this </w:t>
      </w:r>
      <w:r>
        <w:rPr>
          <w:rFonts w:ascii="Arial" w:cs="Arial" w:eastAsia="Arial" w:hAnsi="Arial"/>
          <w:sz w:val="18"/>
          <w:szCs w:val="18"/>
          <w:color w:val="1C1A1C"/>
        </w:rPr>
        <w:t>Agreement</w:t>
      </w:r>
      <w:r>
        <w:rPr>
          <w:rFonts w:ascii="Arial" w:cs="Arial" w:eastAsia="Arial" w:hAnsi="Arial"/>
          <w:sz w:val="18"/>
          <w:szCs w:val="18"/>
          <w:color w:val="2A2A2A"/>
        </w:rPr>
        <w:t xml:space="preserve"> is </w:t>
      </w:r>
      <w:r>
        <w:rPr>
          <w:rFonts w:ascii="Arial" w:cs="Arial" w:eastAsia="Arial" w:hAnsi="Arial"/>
          <w:sz w:val="18"/>
          <w:szCs w:val="18"/>
          <w:color w:val="1C1A1C"/>
        </w:rPr>
        <w:t>acceptable to</w:t>
      </w:r>
      <w:r>
        <w:rPr>
          <w:rFonts w:ascii="Arial" w:cs="Arial" w:eastAsia="Arial" w:hAnsi="Arial"/>
          <w:sz w:val="18"/>
          <w:szCs w:val="18"/>
          <w:color w:val="2A2A2A"/>
        </w:rPr>
        <w:t xml:space="preserve"> you, </w:t>
      </w:r>
      <w:r>
        <w:rPr>
          <w:rFonts w:ascii="Arial" w:cs="Arial" w:eastAsia="Arial" w:hAnsi="Arial"/>
          <w:sz w:val="18"/>
          <w:szCs w:val="18"/>
          <w:color w:val="1C1A1C"/>
        </w:rPr>
        <w:t>please sign below and return</w:t>
      </w:r>
      <w:r>
        <w:rPr>
          <w:rFonts w:ascii="Arial" w:cs="Arial" w:eastAsia="Arial" w:hAnsi="Arial"/>
          <w:sz w:val="18"/>
          <w:szCs w:val="18"/>
          <w:color w:val="2A2A2A"/>
        </w:rPr>
        <w:t xml:space="preserve"> the </w:t>
      </w:r>
      <w:r>
        <w:rPr>
          <w:rFonts w:ascii="Arial" w:cs="Arial" w:eastAsia="Arial" w:hAnsi="Arial"/>
          <w:sz w:val="18"/>
          <w:szCs w:val="18"/>
          <w:color w:val="1C1A1C"/>
        </w:rPr>
        <w:t>original Agreement</w:t>
      </w:r>
      <w:r>
        <w:rPr>
          <w:rFonts w:ascii="Arial" w:cs="Arial" w:eastAsia="Arial" w:hAnsi="Arial"/>
          <w:sz w:val="18"/>
          <w:szCs w:val="18"/>
          <w:color w:val="2A2A2A"/>
        </w:rPr>
        <w:t xml:space="preserve"> to me by April 8</w:t>
      </w:r>
      <w:r>
        <w:rPr>
          <w:rFonts w:ascii="Arial" w:cs="Arial" w:eastAsia="Arial" w:hAnsi="Arial"/>
          <w:sz w:val="18"/>
          <w:szCs w:val="18"/>
          <w:color w:val="4D4D4D"/>
        </w:rPr>
        <w:t>,</w:t>
      </w:r>
      <w:r>
        <w:rPr>
          <w:rFonts w:ascii="Arial" w:cs="Arial" w:eastAsia="Arial" w:hAnsi="Arial"/>
          <w:sz w:val="18"/>
          <w:szCs w:val="18"/>
          <w:color w:val="2A2A2A"/>
        </w:rPr>
        <w:t xml:space="preserve"> 2021 at 5:00pm. The Company</w:t>
      </w:r>
      <w:r>
        <w:rPr>
          <w:rFonts w:ascii="Arial" w:cs="Arial" w:eastAsia="Arial" w:hAnsi="Arial"/>
          <w:sz w:val="18"/>
          <w:szCs w:val="18"/>
          <w:color w:val="4D4D4D"/>
        </w:rPr>
        <w:t>’</w:t>
      </w:r>
      <w:r>
        <w:rPr>
          <w:rFonts w:ascii="Arial" w:cs="Arial" w:eastAsia="Arial" w:hAnsi="Arial"/>
          <w:sz w:val="18"/>
          <w:szCs w:val="18"/>
          <w:color w:val="2A2A2A"/>
        </w:rPr>
        <w:t>s offer contained herein will automatically expire if you do not sign and return it within this timeframe.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2A2A2B"/>
        </w:rPr>
        <w:t>Sincerely</w:t>
      </w:r>
      <w:r>
        <w:rPr>
          <w:rFonts w:ascii="Arial" w:cs="Arial" w:eastAsia="Arial" w:hAnsi="Arial"/>
          <w:sz w:val="18"/>
          <w:szCs w:val="18"/>
          <w:color w:val="505050"/>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Amy McKillip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5715</wp:posOffset>
            </wp:positionV>
            <wp:extent cx="29317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Amy McKillip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Human Resources Manager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Everspin Technologies,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18181A"/>
        </w:rPr>
        <w:t xml:space="preserve">I </w:t>
      </w:r>
      <w:r>
        <w:rPr>
          <w:rFonts w:ascii="Arial" w:cs="Arial" w:eastAsia="Arial" w:hAnsi="Arial"/>
          <w:sz w:val="18"/>
          <w:szCs w:val="18"/>
          <w:b w:val="1"/>
          <w:bCs w:val="1"/>
          <w:color w:val="2A2A2B"/>
        </w:rPr>
        <w:t>HAVE</w:t>
      </w:r>
      <w:r>
        <w:rPr>
          <w:rFonts w:ascii="Arial" w:cs="Arial" w:eastAsia="Arial" w:hAnsi="Arial"/>
          <w:sz w:val="18"/>
          <w:szCs w:val="18"/>
          <w:color w:val="18181A"/>
        </w:rPr>
        <w:t xml:space="preserve"> </w:t>
      </w:r>
      <w:r>
        <w:rPr>
          <w:rFonts w:ascii="Arial" w:cs="Arial" w:eastAsia="Arial" w:hAnsi="Arial"/>
          <w:sz w:val="18"/>
          <w:szCs w:val="18"/>
          <w:b w:val="1"/>
          <w:bCs w:val="1"/>
          <w:color w:val="18181A"/>
        </w:rPr>
        <w:t>READ,</w:t>
      </w:r>
      <w:r>
        <w:rPr>
          <w:rFonts w:ascii="Arial" w:cs="Arial" w:eastAsia="Arial" w:hAnsi="Arial"/>
          <w:sz w:val="18"/>
          <w:szCs w:val="18"/>
          <w:color w:val="18181A"/>
        </w:rPr>
        <w:t xml:space="preserve"> </w:t>
      </w:r>
      <w:r>
        <w:rPr>
          <w:rFonts w:ascii="Arial" w:cs="Arial" w:eastAsia="Arial" w:hAnsi="Arial"/>
          <w:sz w:val="18"/>
          <w:szCs w:val="18"/>
          <w:b w:val="1"/>
          <w:bCs w:val="1"/>
          <w:color w:val="2A2A2B"/>
        </w:rPr>
        <w:t>UNDERSTAND AND AGREE FULLY TO THE FOREGOING</w:t>
      </w:r>
      <w:r>
        <w:rPr>
          <w:rFonts w:ascii="Arial" w:cs="Arial" w:eastAsia="Arial" w:hAnsi="Arial"/>
          <w:sz w:val="18"/>
          <w:szCs w:val="18"/>
          <w:color w:val="18181A"/>
        </w:rPr>
        <w:t xml:space="preserve"> </w:t>
      </w:r>
      <w:r>
        <w:rPr>
          <w:rFonts w:ascii="Arial" w:cs="Arial" w:eastAsia="Arial" w:hAnsi="Arial"/>
          <w:sz w:val="18"/>
          <w:szCs w:val="18"/>
          <w:b w:val="1"/>
          <w:bCs w:val="1"/>
          <w:color w:val="18181A"/>
        </w:rPr>
        <w:t>AGREEMENT: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Berenbaum</w:t>
            </w:r>
          </w:p>
        </w:tc>
        <w:tc>
          <w:tcPr>
            <w:tcW w:w="220" w:type="dxa"/>
            <w:vAlign w:val="bottom"/>
          </w:tcPr>
          <w:p>
            <w:pPr>
              <w:spacing w:after="0"/>
              <w:rPr>
                <w:sz w:val="20"/>
                <w:szCs w:val="20"/>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April 7, 2021</w:t>
            </w:r>
          </w:p>
        </w:tc>
      </w:tr>
      <w:tr>
        <w:trPr>
          <w:trHeight w:val="426"/>
        </w:trPr>
        <w:tc>
          <w:tcPr>
            <w:tcW w:w="5080" w:type="dxa"/>
            <w:vAlign w:val="bottom"/>
            <w:gridSpan w:val="2"/>
          </w:tcPr>
          <w:p>
            <w:pPr>
              <w:spacing w:after="0"/>
              <w:rPr>
                <w:sz w:val="20"/>
                <w:szCs w:val="20"/>
                <w:color w:val="auto"/>
              </w:rPr>
            </w:pPr>
            <w:r>
              <w:rPr>
                <w:rFonts w:ascii="Arial" w:cs="Arial" w:eastAsia="Arial" w:hAnsi="Arial"/>
                <w:sz w:val="18"/>
                <w:szCs w:val="18"/>
                <w:color w:val="auto"/>
              </w:rPr>
              <w:t xml:space="preserve">Daniel </w:t>
            </w:r>
            <w:r>
              <w:rPr>
                <w:rFonts w:ascii="Arial" w:cs="Arial" w:eastAsia="Arial" w:hAnsi="Arial"/>
                <w:sz w:val="18"/>
                <w:szCs w:val="18"/>
                <w:color w:val="18181A"/>
              </w:rPr>
              <w:t>Berenbaum</w:t>
            </w:r>
          </w:p>
        </w:tc>
        <w:tc>
          <w:tcPr>
            <w:tcW w:w="4840" w:type="dxa"/>
            <w:vAlign w:val="bottom"/>
          </w:tcPr>
          <w:p>
            <w:pPr>
              <w:spacing w:after="0"/>
              <w:rPr>
                <w:sz w:val="20"/>
                <w:szCs w:val="20"/>
                <w:color w:val="auto"/>
              </w:rPr>
            </w:pPr>
            <w:r>
              <w:rPr>
                <w:rFonts w:ascii="Arial" w:cs="Arial" w:eastAsia="Arial" w:hAnsi="Arial"/>
                <w:sz w:val="18"/>
                <w:szCs w:val="18"/>
                <w:color w:val="18181A"/>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232323"/>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2323"/>
        </w:rPr>
        <w:t>EMPLOYEE PROPRIETARY INFORMATION AND INVENTIONS ASSIGNMENT AGREEMENT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50" w:name="page51"/>
    <w:bookmarkEnd w:id="50"/>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Darin Billerbeck, certify that:</w:t>
      </w:r>
    </w:p>
    <w:p>
      <w:pPr>
        <w:spacing w:after="0" w:line="198" w:lineRule="exact"/>
        <w:rPr>
          <w:sz w:val="20"/>
          <w:szCs w:val="20"/>
          <w:color w:val="auto"/>
        </w:rPr>
      </w:pPr>
    </w:p>
    <w:p>
      <w:pPr>
        <w:ind w:left="380" w:hanging="330"/>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98" w:lineRule="exact"/>
        <w:rPr>
          <w:rFonts w:ascii="Arial" w:cs="Arial" w:eastAsia="Arial" w:hAnsi="Arial"/>
          <w:sz w:val="18"/>
          <w:szCs w:val="18"/>
          <w:color w:val="auto"/>
        </w:rPr>
      </w:pPr>
    </w:p>
    <w:p>
      <w:pPr>
        <w:jc w:val="both"/>
        <w:ind w:left="380" w:right="119" w:hanging="330"/>
        <w:spacing w:after="0" w:line="248"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80" w:right="79" w:hanging="330"/>
        <w:spacing w:after="0" w:line="248"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380" w:right="239" w:hanging="330"/>
        <w:spacing w:after="0" w:line="270" w:lineRule="auto"/>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jc w:val="both"/>
        <w:ind w:left="380" w:right="59" w:hanging="6"/>
        <w:spacing w:after="0" w:line="243" w:lineRule="auto"/>
        <w:tabs>
          <w:tab w:leader="none" w:pos="6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380" w:right="59" w:hanging="6"/>
        <w:spacing w:after="0" w:line="243" w:lineRule="auto"/>
        <w:tabs>
          <w:tab w:leader="none" w:pos="64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380" w:right="59" w:hanging="6"/>
        <w:spacing w:after="0" w:line="248" w:lineRule="auto"/>
        <w:tabs>
          <w:tab w:leader="none" w:pos="641"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380" w:right="59" w:hanging="6"/>
        <w:spacing w:after="0" w:line="243" w:lineRule="auto"/>
        <w:tabs>
          <w:tab w:leader="none" w:pos="6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80" w:right="319" w:hanging="330"/>
        <w:spacing w:after="0" w:line="248"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jc w:val="both"/>
        <w:ind w:left="380" w:right="59" w:hanging="6"/>
        <w:spacing w:after="0" w:line="248" w:lineRule="auto"/>
        <w:tabs>
          <w:tab w:leader="none" w:pos="64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380" w:right="79" w:hanging="6"/>
        <w:spacing w:after="0" w:line="261" w:lineRule="auto"/>
        <w:tabs>
          <w:tab w:leader="none" w:pos="6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7, 2021</w:t>
      </w:r>
    </w:p>
    <w:p>
      <w:pPr>
        <w:spacing w:after="0" w:line="21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Darin Billerbeck</w:t>
      </w:r>
    </w:p>
    <w:p>
      <w:pPr>
        <w:spacing w:after="0" w:line="3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Darin Billerbeck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-130175</wp:posOffset>
            </wp:positionV>
            <wp:extent cx="25031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1" w:name="page52"/>
    <w:bookmarkEnd w:id="51"/>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Anuj Aggarwal, certify that:</w:t>
      </w:r>
    </w:p>
    <w:p>
      <w:pPr>
        <w:spacing w:after="0" w:line="198" w:lineRule="exact"/>
        <w:rPr>
          <w:sz w:val="20"/>
          <w:szCs w:val="20"/>
          <w:color w:val="auto"/>
        </w:rPr>
      </w:pPr>
    </w:p>
    <w:p>
      <w:pPr>
        <w:ind w:left="700" w:hanging="32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98" w:lineRule="exact"/>
        <w:rPr>
          <w:rFonts w:ascii="Arial" w:cs="Arial" w:eastAsia="Arial" w:hAnsi="Arial"/>
          <w:sz w:val="18"/>
          <w:szCs w:val="18"/>
          <w:color w:val="auto"/>
        </w:rPr>
      </w:pPr>
    </w:p>
    <w:p>
      <w:pPr>
        <w:ind w:left="700" w:right="299" w:hanging="326"/>
        <w:spacing w:after="0" w:line="248"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700" w:right="179" w:hanging="326"/>
        <w:spacing w:after="0" w:line="248"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700" w:right="219" w:hanging="326"/>
        <w:spacing w:after="0" w:line="294"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jc w:val="both"/>
        <w:ind w:left="1020" w:right="79" w:hanging="322"/>
        <w:spacing w:after="0" w:line="243"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1020" w:right="79" w:hanging="322"/>
        <w:spacing w:after="0" w:line="243"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20" w:right="79" w:hanging="322"/>
        <w:spacing w:after="0" w:line="248"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1020" w:right="79" w:hanging="322"/>
        <w:spacing w:after="0" w:line="243"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700" w:right="399" w:hanging="326"/>
        <w:spacing w:after="0" w:line="248"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jc w:val="both"/>
        <w:ind w:left="1020" w:right="79" w:hanging="322"/>
        <w:spacing w:after="0" w:line="248"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79" w:hanging="322"/>
        <w:spacing w:after="0" w:line="261"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7, 2021</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/s/Anuj Aggarwal</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-130175</wp:posOffset>
            </wp:positionV>
            <wp:extent cx="23577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Interim Chief Financial Officer</w:t>
      </w:r>
    </w:p>
    <w:p>
      <w:pPr>
        <w:spacing w:after="0" w:line="11"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2" w:name="page53"/>
    <w:bookmarkEnd w:id="52"/>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6" w:lineRule="exact"/>
        <w:rPr>
          <w:sz w:val="20"/>
          <w:szCs w:val="20"/>
          <w:color w:val="auto"/>
        </w:rPr>
      </w:pPr>
    </w:p>
    <w:p>
      <w:pPr>
        <w:ind w:left="60" w:right="159"/>
        <w:spacing w:after="0" w:line="262"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Darin Billerbeck, Interim Chief Executive Officer of Everspin Technologies, Inc. (the “Company”), and Anuj Aggarwal, Interim Chief Financial Officer of the Company, each hereby certifies that, to the best of his knowledge:</w:t>
      </w:r>
    </w:p>
    <w:p>
      <w:pPr>
        <w:spacing w:after="0" w:line="172" w:lineRule="exact"/>
        <w:rPr>
          <w:sz w:val="20"/>
          <w:szCs w:val="20"/>
          <w:color w:val="auto"/>
        </w:rPr>
      </w:pPr>
    </w:p>
    <w:p>
      <w:pPr>
        <w:ind w:left="60" w:right="159" w:hanging="10"/>
        <w:spacing w:after="0" w:line="248" w:lineRule="auto"/>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2021, to which this Certification is attached as Exhibit 32.1 (the “Periodic Report”), fully complies with the requirements of Section 13(a) or Section 15(d) of the Exchange Act; and</w:t>
      </w:r>
    </w:p>
    <w:p>
      <w:pPr>
        <w:spacing w:after="0" w:line="181" w:lineRule="exact"/>
        <w:rPr>
          <w:rFonts w:ascii="Arial" w:cs="Arial" w:eastAsia="Arial" w:hAnsi="Arial"/>
          <w:sz w:val="18"/>
          <w:szCs w:val="18"/>
          <w:color w:val="auto"/>
        </w:rPr>
      </w:pPr>
    </w:p>
    <w:p>
      <w:pPr>
        <w:ind w:left="60" w:right="439" w:hanging="10"/>
        <w:spacing w:after="0" w:line="261" w:lineRule="auto"/>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7, 2021</w:t>
      </w:r>
    </w:p>
    <w:p>
      <w:pPr>
        <w:spacing w:after="0" w:line="21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Darin Billerbeck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-121920</wp:posOffset>
            </wp:positionV>
            <wp:extent cx="5648960" cy="12433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5648960" cy="1243330"/>
                    </a:xfrm>
                    <a:prstGeom prst="rect">
                      <a:avLst/>
                    </a:prstGeom>
                    <a:noFill/>
                  </pic:spPr>
                </pic:pic>
              </a:graphicData>
            </a:graphic>
          </wp:anchor>
        </w:drawing>
      </w:r>
    </w:p>
    <w:p>
      <w:pPr>
        <w:spacing w:after="0" w:line="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Darin Billerbeck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Interim Chief Executive Officer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(Principal Executive Officer)</w:t>
      </w:r>
    </w:p>
    <w:p>
      <w:pPr>
        <w:spacing w:after="0" w:line="19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Anuj Aggarwal</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Anuj Aggarwal</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Interim Chief Financial Officer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(Principal Financial Officer)</w:t>
      </w:r>
    </w:p>
    <w:p>
      <w:pPr>
        <w:spacing w:after="0" w:line="197" w:lineRule="exact"/>
        <w:rPr>
          <w:sz w:val="20"/>
          <w:szCs w:val="20"/>
          <w:color w:val="auto"/>
        </w:rPr>
      </w:pPr>
    </w:p>
    <w:p>
      <w:pPr>
        <w:ind w:left="60" w:right="239"/>
        <w:spacing w:after="0" w:line="284"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313055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5"/>
    </w:lvl>
  </w:abstractNum>
  <w:abstractNum w:abstractNumId="18">
    <w:nsid w:val="333AB105"/>
    <w:multiLevelType w:val="hybridMultilevel"/>
    <w:lvl w:ilvl="0">
      <w:lvlJc w:val="left"/>
      <w:lvlText w:val="%1."/>
      <w:numFmt w:val="decimal"/>
      <w:start w:val="6"/>
    </w:lvl>
  </w:abstractNum>
  <w:abstractNum w:abstractNumId="19">
    <w:nsid w:val="721DA317"/>
    <w:multiLevelType w:val="hybridMultilevel"/>
    <w:lvl w:ilvl="0">
      <w:lvlJc w:val="left"/>
      <w:lvlText w:val="%1."/>
      <w:numFmt w:val="decimal"/>
      <w:start w:val="12"/>
    </w:lvl>
    <w:lvl w:ilvl="1">
      <w:lvlJc w:val="left"/>
      <w:lvlText w:val="%2."/>
      <w:numFmt w:val="decimal"/>
      <w:start w:val="1"/>
    </w:lvl>
  </w:abstractNum>
  <w:abstractNum w:abstractNumId="20">
    <w:nsid w:val="2443A858"/>
    <w:multiLevelType w:val="hybridMultilevel"/>
    <w:lvl w:ilvl="0">
      <w:lvlJc w:val="left"/>
      <w:lvlText w:val="%1."/>
      <w:numFmt w:val="decimal"/>
      <w:start w:val="2"/>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jpe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60" Type="http://schemas.openxmlformats.org/officeDocument/2006/relationships/hyperlink" Target="http://www.sec.gov/Archives/edgar/data/1438423/000119312516737688/d271840dex31.htm" TargetMode="External"/><Relationship Id="rId61" Type="http://schemas.openxmlformats.org/officeDocument/2006/relationships/hyperlink" Target="http://www.sec.gov/Archives/edgar/data/1438423/000119312519154165/d752899dex31.htm" TargetMode="External"/><Relationship Id="rId62" Type="http://schemas.openxmlformats.org/officeDocument/2006/relationships/hyperlink" Target="https://www.sec.gov/Archives/edgar/data/1438423/000119312520153247/d936625dex31.htm" TargetMode="External"/><Relationship Id="rId63" Type="http://schemas.openxmlformats.org/officeDocument/2006/relationships/hyperlink" Target="https://www.sec.gov/Archives/edgar/data/1438423/000119312519154165/d75289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2021-05-07T14:51:24Z</dcterms:created>
  <dcterms:modified xsi:type="dcterms:W3CDTF">2021-05-07T14:51:24Z</dcterms:modified>
</cp:coreProperties>
</file>