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mram-20241030x8k.htm"/>
      <w:bookmarkStart w:id="1" w:name="ksmram20241030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92f3e837_41e3_4e66_80a8_4792fc5b2fcc"/>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REPORT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Pursuant to Section 13 or 15(d)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Report (Date of earliest event reported): October 30, 2024</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Everspin Technologies,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Z1cDorZLDUut1YTkTps-KA_3_2"/>
      <w:bookmarkStart w:id="4" w:name="Tc_cUppSSym40GUBbFFAEp7bQ_3_1"/>
      <w:bookmarkStart w:id="5" w:name="Tc__85d-gsf8EysYRwyKlmWtQ_3_0"/>
      <w:bookmarkStart w:id="6" w:name="Tc_pvz2uCqUDEGXCBEnd_Dpnw_2_2"/>
      <w:bookmarkStart w:id="7" w:name="Tc_n_KMUV9iQUquvAGXCoDCGw_2_1"/>
      <w:bookmarkStart w:id="8" w:name="Tc_Rr1kZWQvjUO__uuFa1z9uw_2_0"/>
      <w:bookmarkStart w:id="9" w:name="_95aca28f_023d_4dd8_adf6_29a413db3fd7"/>
      <w:bookmarkStart w:id="10" w:name="Tc_Z1cDorZLDUut1YTkTps-KA_3_2"/>
      <w:bookmarkStart w:id="11" w:name="Tc_cUppSSym40GUBbFFAEp7bQ_3_1"/>
      <w:bookmarkStart w:id="12" w:name="Tc__85d-gsf8EysYRwyKlmWtQ_3_0"/>
      <w:bookmarkStart w:id="13" w:name="Tc_pvz2uCqUDEGXCBEnd_Dpnw_2_2"/>
      <w:bookmarkStart w:id="14" w:name="Tc_n_KMUV9iQUquvAGXCoDCGw_2_1"/>
      <w:bookmarkStart w:id="15" w:name="Tc_Rr1kZWQvjUO__uuFa1z9uw_2_0"/>
      <w:bookmarkStart w:id="16" w:name="_95aca28f_023d_4dd8_adf6_29a413db3fd7"/>
      <w:bookmarkEnd w:id="10"/>
      <w:bookmarkEnd w:id="11"/>
      <w:bookmarkEnd w:id="12"/>
      <w:bookmarkEnd w:id="13"/>
      <w:bookmarkEnd w:id="14"/>
      <w:bookmarkEnd w:id="15"/>
      <w:bookmarkEnd w:id="16"/>
    </w:p>
    <w:tbl>
      <w:tblPr>
        <w:tblW w:w="4623" w:type="dxa"/>
        <w:jc w:val="left"/>
        <w:tblInd w:w="0" w:type="dxa"/>
        <w:tblLayout w:type="fixed"/>
        <w:tblCellMar>
          <w:top w:w="0" w:type="dxa"/>
          <w:left w:w="0" w:type="dxa"/>
          <w:bottom w:w="0" w:type="dxa"/>
          <w:right w:w="0" w:type="dxa"/>
        </w:tblCellMar>
      </w:tblPr>
      <w:tblGrid>
        <w:gridCol w:w="2071"/>
        <w:gridCol w:w="106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15085" cy="175260"/>
                      <wp:effectExtent l="0" t="0" r="0" b="0"/>
                      <wp:wrapNone/>
                      <wp:docPr id="1" name="Frame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175260"/>
                      <wp:effectExtent l="0" t="0" r="0" b="0"/>
                      <wp:wrapNone/>
                      <wp:docPr id="3" name="Frame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001-37900</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26-2640654</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5670 W. Chandler Blvd.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130</w:t>
      </w:r>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b/>
          <w:sz w:val="16"/>
        </w:rPr>
        <w:t>Chandler, Arizona</w:t>
      </w:r>
      <w:r>
        <w:rPr>
          <w:rFonts w:ascii="Arial;Helvetica;sans-serif" w:hAnsi="Arial;Helvetica;sans-serif"/>
          <w:sz w:val="20"/>
        </w:rPr>
        <w:t xml:space="preserve"> </w:t>
      </w:r>
      <w:r>
        <w:rPr>
          <w:rFonts w:ascii="Times New Roman;Times;serif" w:hAnsi="Times New Roman;Times;serif"/>
          <w:b/>
          <w:sz w:val="16"/>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(480) 347-1111</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Not Applicable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p>
      <w:pPr>
        <w:pStyle w:val="TextBody"/>
        <w:bidi w:val="0"/>
        <w:spacing w:before="0" w:after="0"/>
        <w:ind w:left="0" w:right="0" w:hanging="0"/>
        <w:jc w:val="left"/>
        <w:rPr/>
      </w:pPr>
      <w:r>
        <w:rPr/>
        <w:t>​</w:t>
      </w:r>
    </w:p>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before="0" w:after="0"/>
        <w:ind w:left="0" w:right="0" w:firstLine="8"/>
        <w:jc w:val="left"/>
        <w:rPr/>
      </w:pPr>
      <w:r>
        <w:rPr/>
        <w:t>​</w:t>
      </w:r>
    </w:p>
    <w:p>
      <w:pPr>
        <w:pStyle w:val="TextBody"/>
        <w:bidi w:val="0"/>
        <w:spacing w:before="0" w:after="0"/>
        <w:ind w:left="0" w:right="0" w:firstLine="8"/>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RqEKvxWoykCM7-4UKyeFIA_2_4"/>
      <w:bookmarkStart w:id="18" w:name="Tc_zpU56g4_4k2Qhte6vVmDhg_2_2"/>
      <w:bookmarkStart w:id="19" w:name="Tc_3jWoEHnNQkKx08xOTWkAbA_2_0"/>
      <w:bookmarkStart w:id="20" w:name="Tc_LhKj1P-ycUqDCVw7C0GuWQ_1_4"/>
      <w:bookmarkStart w:id="21" w:name="_f2746404_9f51_4d9f_a11d_2495f3f23645"/>
      <w:bookmarkStart w:id="22" w:name="Tc_RqEKvxWoykCM7-4UKyeFIA_2_4"/>
      <w:bookmarkStart w:id="23" w:name="Tc_zpU56g4_4k2Qhte6vVmDhg_2_2"/>
      <w:bookmarkStart w:id="24" w:name="Tc_3jWoEHnNQkKx08xOTWkAbA_2_0"/>
      <w:bookmarkStart w:id="25" w:name="Tc_LhKj1P-ycUqDCVw7C0GuWQ_1_4"/>
      <w:bookmarkStart w:id="26" w:name="_f2746404_9f51_4d9f_a11d_2495f3f23645"/>
      <w:bookmarkEnd w:id="22"/>
      <w:bookmarkEnd w:id="23"/>
      <w:bookmarkEnd w:id="24"/>
      <w:bookmarkEnd w:id="25"/>
      <w:bookmarkEnd w:id="26"/>
    </w:p>
    <w:tbl>
      <w:tblPr>
        <w:tblW w:w="7300" w:type="dxa"/>
        <w:jc w:val="left"/>
        <w:tblInd w:w="0" w:type="dxa"/>
        <w:tblLayout w:type="fixed"/>
        <w:tblCellMar>
          <w:top w:w="0" w:type="dxa"/>
          <w:left w:w="0" w:type="dxa"/>
          <w:bottom w:w="0" w:type="dxa"/>
          <w:right w:w="0" w:type="dxa"/>
        </w:tblCellMar>
      </w:tblPr>
      <w:tblGrid>
        <w:gridCol w:w="2641"/>
        <w:gridCol w:w="326"/>
        <w:gridCol w:w="1456"/>
        <w:gridCol w:w="326"/>
        <w:gridCol w:w="255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77035" cy="175260"/>
                      <wp:effectExtent l="0" t="0" r="0" b="0"/>
                      <wp:wrapNone/>
                      <wp:docPr id="4" name="Frame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4560" cy="175260"/>
                      <wp:effectExtent l="0" t="0" r="0" b="0"/>
                      <wp:wrapNone/>
                      <wp:docPr id="6" name="Frame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619885" cy="175260"/>
                      <wp:effectExtent l="0" t="0" r="0" b="0"/>
                      <wp:wrapNone/>
                      <wp:docPr id="8" name="Frame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r>
          </w:p>
        </w:tc>
        <w:tc>
          <w:tcPr>
            <w:tcW w:w="32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MRAM</w:t>
            </w:r>
          </w:p>
        </w:tc>
        <w:tc>
          <w:tcPr>
            <w:tcW w:w="326" w:type="dxa"/>
            <w:tcBorders/>
            <w:vAlign w:val="center"/>
          </w:tcPr>
          <w:p>
            <w:pPr>
              <w:pStyle w:val="TableContents"/>
              <w:bidi w:val="0"/>
              <w:spacing w:before="0" w:after="0"/>
              <w:ind w:left="0" w:right="0" w:hanging="0"/>
              <w:jc w:val="left"/>
              <w:rPr/>
            </w:pPr>
            <w:r>
              <w:rPr/>
              <w:t>​</w:t>
            </w:r>
          </w:p>
        </w:tc>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Times New Roman;Times;serif" w:hAnsi="Times New Roman;Times;serif"/>
          <w:sz w:val="16"/>
        </w:rPr>
        <w:t xml:space="preserve">Emerging growth company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7" w:name="_d089b875_fdf4_49a1_822c_545975574bd0"/>
      <w:bookmarkEnd w:id="27"/>
      <w:r>
        <w:rPr>
          <w:rFonts w:ascii="Times New Roman;Times;serif" w:hAnsi="Times New Roman;Times;serif"/>
          <w:b/>
          <w:sz w:val="18"/>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On October 30, 2024, Everspin Technologies, Inc. issued a press release announcing its financial results for the quarter ended September 30, 2024,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bookmarkStart w:id="28" w:name="_8b3eb840_ce00_4adb_ad77_b95abd3b6e47"/>
      <w:bookmarkEnd w:id="28"/>
      <w:r>
        <w:rPr>
          <w:rFonts w:ascii="Times New Roman;Times;serif" w:hAnsi="Times New Roman;Times;serif"/>
          <w:b/>
          <w:sz w:val="18"/>
        </w:rPr>
        <w:t>Item 9.01. Financial Statements and Exhibits.</w:t>
      </w:r>
    </w:p>
    <w:p>
      <w:pPr>
        <w:pStyle w:val="TextBody"/>
        <w:bidi w:val="0"/>
        <w:spacing w:before="0" w:after="0"/>
        <w:ind w:left="0" w:right="0" w:hanging="0"/>
        <w:jc w:val="left"/>
        <w:rPr/>
      </w:pPr>
      <w:r>
        <w:rPr/>
        <w:t>​</w:t>
      </w:r>
    </w:p>
    <w:tbl>
      <w:tblPr>
        <w:tblW w:w="5788" w:type="dxa"/>
        <w:jc w:val="left"/>
        <w:tblInd w:w="0" w:type="dxa"/>
        <w:tblLayout w:type="fixed"/>
        <w:tblCellMar>
          <w:top w:w="0" w:type="dxa"/>
          <w:left w:w="0" w:type="dxa"/>
          <w:bottom w:w="28" w:type="dxa"/>
          <w:right w:w="0" w:type="dxa"/>
        </w:tblCellMar>
      </w:tblPr>
      <w:tblGrid>
        <w:gridCol w:w="1006"/>
        <w:gridCol w:w="326"/>
        <w:gridCol w:w="4456"/>
      </w:tblGrid>
      <w:tr>
        <w:trPr/>
        <w:tc>
          <w:tcPr>
            <w:tcW w:w="10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10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99.1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mram-20241030xex99d1.htm">
              <w:r>
                <w:rPr>
                  <w:rStyle w:val="InternetLink"/>
                  <w:rFonts w:ascii="Times New Roman;Times;serif" w:hAnsi="Times New Roman;Times;serif"/>
                  <w:b w:val="false"/>
                  <w:i w:val="false"/>
                  <w:caps w:val="false"/>
                  <w:smallCaps w:val="false"/>
                  <w:sz w:val="20"/>
                </w:rPr>
                <w:t>Press release dated October 30, 2024.</w:t>
              </w:r>
            </w:hyperlink>
          </w:p>
        </w:tc>
      </w:tr>
      <w:tr>
        <w:trPr/>
        <w:tc>
          <w:tcPr>
            <w:tcW w:w="100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4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9" w:name="_8176aa54_54a2_4068_b83d_c955524f3f1f"/>
      <w:bookmarkEnd w:id="29"/>
      <w:r>
        <w:rPr>
          <w:rFonts w:ascii="Times New Roman;Times;serif" w:hAnsi="Times New Roman;Times;serif"/>
          <w:b/>
          <w:sz w:val="18"/>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1876"/>
        <w:gridCol w:w="406"/>
        <w:gridCol w:w="234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191260" cy="175260"/>
                      <wp:effectExtent l="0" t="0" r="0" b="0"/>
                      <wp:wrapNone/>
                      <wp:docPr id="9" name="Frame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7810" cy="175260"/>
                      <wp:effectExtent l="0" t="0" r="0" b="0"/>
                      <wp:wrapNone/>
                      <wp:docPr id="10" name="Frame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86535" cy="175260"/>
                      <wp:effectExtent l="0" t="0" r="0" b="0"/>
                      <wp:wrapNone/>
                      <wp:docPr id="11" name="Frame11"/>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2747"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Everspin Technologies, Inc.</w:t>
            </w:r>
          </w:p>
        </w:tc>
      </w:tr>
      <w:tr>
        <w:trPr/>
        <w:tc>
          <w:tcPr>
            <w:tcW w:w="1876" w:type="dxa"/>
            <w:tcBorders/>
            <w:vAlign w:val="center"/>
          </w:tcPr>
          <w:p>
            <w:pPr>
              <w:pStyle w:val="TableContents"/>
              <w:bidi w:val="0"/>
              <w:spacing w:before="0" w:after="0"/>
              <w:ind w:left="0" w:right="0" w:hanging="0"/>
              <w:jc w:val="left"/>
              <w:rPr/>
            </w:pPr>
            <w:r>
              <w:rPr/>
              <w:t>​</w:t>
            </w:r>
          </w:p>
        </w:tc>
        <w:tc>
          <w:tcPr>
            <w:tcW w:w="2747" w:type="dxa"/>
            <w:gridSpan w:val="2"/>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October 30, 2024</w:t>
            </w:r>
          </w:p>
        </w:tc>
        <w:tc>
          <w:tcPr>
            <w:tcW w:w="2747" w:type="dxa"/>
            <w:gridSpan w:val="2"/>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2747" w:type="dxa"/>
            <w:gridSpan w:val="2"/>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 </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Matt Tenorio</w:t>
            </w:r>
          </w:p>
        </w:tc>
      </w:tr>
      <w:tr>
        <w:trPr/>
        <w:tc>
          <w:tcPr>
            <w:tcW w:w="18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Matt Tenorio</w:t>
            </w:r>
          </w:p>
        </w:tc>
      </w:tr>
      <w:tr>
        <w:trPr/>
        <w:tc>
          <w:tcPr>
            <w:tcW w:w="18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Interim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30" w:name="mram-20241030xex99d1.htm"/>
      <w:bookmarkStart w:id="31" w:name="ksmram20241030xex99d1"/>
      <w:bookmarkEnd w:id="30"/>
      <w:bookmarkEnd w:id="31"/>
      <w:r>
        <w:rPr>
          <w:rFonts w:ascii="Times New Roman;Times;serif" w:hAnsi="Times New Roman;Times;serif"/>
          <w:b/>
          <w:sz w:val="20"/>
        </w:rPr>
        <w:t>Exhibit 99.1</w:t>
      </w:r>
      <w:r>
        <w:br w:type="page"/>
      </w:r>
    </w:p>
    <w:p>
      <w:pPr>
        <w:pStyle w:val="TextBody"/>
        <w:bidi w:val="0"/>
        <w:spacing w:before="0" w:after="0"/>
        <w:ind w:left="0" w:right="0" w:hanging="0"/>
        <w:jc w:val="center"/>
        <w:rPr/>
      </w:pPr>
      <w:r>
        <w:rPr/>
        <w:drawing>
          <wp:inline distT="0" distB="0" distL="0" distR="0">
            <wp:extent cx="2540000" cy="5238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540000" cy="52387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Everspin Reports Unaudited Third Quarter 2024 Financial Results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Q3’24 revenue of $12.1 million in-line with guidance and EPS of $0.10 exceeded guidance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Chandler, AZ, Oct 30, 2024 —</w:t>
      </w:r>
      <w:r>
        <w:rPr>
          <w:rFonts w:ascii="Times New Roman;Times;serif" w:hAnsi="Times New Roman;Times;serif"/>
          <w:sz w:val="20"/>
        </w:rPr>
        <w:t xml:space="preserve"> Everspin Technologies, Inc. (NASDAQ: MRAM), the world’s leading developer and manufacturer of magnetoresistive random access memory (MRAM) persistent memory solutions, today announced preliminary unaudited financial results for the third quarter ended September 30, 2024.</w:t>
      </w:r>
    </w:p>
    <w:p>
      <w:pPr>
        <w:pStyle w:val="TextBody"/>
        <w:bidi w:val="0"/>
        <w:spacing w:before="0" w:after="240"/>
        <w:ind w:left="0" w:right="0" w:hanging="0"/>
        <w:jc w:val="both"/>
        <w:rPr/>
      </w:pPr>
      <w:r>
        <w:rPr/>
        <w:t>“</w:t>
      </w:r>
      <w:r>
        <w:rPr>
          <w:rFonts w:ascii="Times New Roman;Times;serif" w:hAnsi="Times New Roman;Times;serif"/>
          <w:sz w:val="20"/>
        </w:rPr>
        <w:t>We are pleased to report third quarter revenue in-line with our guidance and GAAP net income per diluted share ahead of our guidance, driven by our new contract wins, and our cost containment efforts,” said Sanjeev Aggarwal, President and Chief Executive Officer. “We had new contracts during the quarter, showcasing the strength of our business and the extensive range of our product portfolio. We continue to have meaningful customer interactions, which we believe will turn into design wins for our PERSYST xSPI STT-MRAM products and begin to contribute to revenue in 2025 and beyond.”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Third Quarter 2024 Results</w:t>
      </w:r>
    </w:p>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of $12.1 million, compared to $16.5 million in the third quarter of 2023.</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MRAM product sales, which includes both Toggle and STT-MRAM revenue, of $10.4 million, compared to $13.5 million in the third quarter of 2023.</w:t>
            </w:r>
          </w:p>
        </w:tc>
      </w:tr>
    </w:tbl>
    <w:tbl>
      <w:tblPr>
        <w:tblW w:w="9528" w:type="dxa"/>
        <w:jc w:val="left"/>
        <w:tblInd w:w="0" w:type="dxa"/>
        <w:tblLayout w:type="fixed"/>
        <w:tblCellMar>
          <w:top w:w="0" w:type="dxa"/>
          <w:left w:w="0" w:type="dxa"/>
          <w:bottom w:w="0" w:type="dxa"/>
          <w:right w:w="0" w:type="dxa"/>
        </w:tblCellMar>
      </w:tblPr>
      <w:tblGrid>
        <w:gridCol w:w="23"/>
        <w:gridCol w:w="170"/>
        <w:gridCol w:w="9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royalty, patent, and other revenue of $1.7 million, compared to $2.9 million in the third quarter of 2023.</w:t>
            </w:r>
          </w:p>
        </w:tc>
      </w:tr>
    </w:tbl>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of 49.2%, compared to 60.2% in the third quarter of 2023.</w:t>
            </w:r>
          </w:p>
        </w:tc>
      </w:tr>
    </w:tbl>
    <w:tbl>
      <w:tblPr>
        <w:tblW w:w="8013" w:type="dxa"/>
        <w:jc w:val="left"/>
        <w:tblInd w:w="0" w:type="dxa"/>
        <w:tblLayout w:type="fixed"/>
        <w:tblCellMar>
          <w:top w:w="0" w:type="dxa"/>
          <w:left w:w="0" w:type="dxa"/>
          <w:bottom w:w="0" w:type="dxa"/>
          <w:right w:w="0" w:type="dxa"/>
        </w:tblCellMar>
      </w:tblPr>
      <w:tblGrid>
        <w:gridCol w:w="23"/>
        <w:gridCol w:w="170"/>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 of $8.1 million, compared to $7.9 million in the third quarter of 2023.</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of $2.3 million, or $0.10 per diluted share, compared to net income of $2.4 million, or $0.11 per diluted share, in the third quarter of 2023.</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$4.2 million, compared to $4.0 million in the third quarter of 2023.</w:t>
            </w:r>
          </w:p>
        </w:tc>
      </w:tr>
    </w:tbl>
    <w:p>
      <w:pPr>
        <w:pStyle w:val="TextBody"/>
        <w:bidi w:val="0"/>
        <w:spacing w:before="0" w:after="240"/>
        <w:ind w:left="0" w:right="0" w:hanging="0"/>
        <w:jc w:val="both"/>
        <w:rPr/>
      </w:pPr>
      <w:r>
        <w:rPr/>
        <w:t>“</w:t>
      </w:r>
      <w:r>
        <w:rPr>
          <w:rFonts w:ascii="Times New Roman;Times;serif" w:hAnsi="Times New Roman;Times;serif"/>
          <w:sz w:val="20"/>
        </w:rPr>
        <w:t>We are pleased to end the quarter with a strong balance sheet and a return to profitability,” said Matt Tenorio, Everspin’s Interim Chief Financial Officer. “We remain focused on scaling our business and converting additional design wins to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Outlook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fourth quarter 2024, Everspin expects total revenue in a range of $12 million to $13 million and GAAP net income per diluted share to be between $0.00 and $0.05.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outlook is dependent on Everspin’s current expectations, which may be impacted by, among other things, evolving external conditions, such as pandemics or endemics, local safety guidelines, worsening impacts due to supply chain constraints or interruptions, including  the military conflict between Russia and Ukraine, instability in the Middle East, recent market volatility, semiconductor downturn and the other risk factors described in Everspin’s filings with the Securities and Exchange Commission (the "SEC"), including its Annual Report on Form 10-K for the fiscal year ended December 31, 2023, its Quarterly Reports on Form 10-Q filed with the SEC during 2024, as well as in its subsequent filings with the SEC.</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Everspin supplements the reporting of its financial information determined under generally accepted accounting principles in the United States of America (GAAP) with Adjusted EBITDA, which is a non-GAAP financial measure. Everspin defines Adjusted EBITDA as net income adjusted for interest expense, taxes, depreciation and amortization, stock-based compensation expense, and restructuring costs (if 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Everspin will host a conference call for analysts and investors on Wednesday, October 30, 2024, at 5:00 p.m. Eastern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Dial-in details: To access the call by phone, please go to this link and you will be provided with dial-in details. To avoid delays, we encourage participants to dial into the conference call fifteen minutes ahead of the scheduled start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live webcast of the call will be accessible on the Company’s website at investor.everspin.com. Approximately two hours after conclusion of the live event, an archived webcast of the conference call will be accessible from the Investor Relations section of the Company’s website for twelve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About Everspin Technologies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www.everspin.com. NASDAQ: MRAM.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fourth quarter 2024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2023 filed with the SEC on February 29, 2024, and its Quarterly Reports on Form 10-Q filed with the SEC during 2024,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Monica Gould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Blueshirt Group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212-871-3927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ir@everspin.com</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center"/>
        <w:tblInd w:w="0" w:type="dxa"/>
        <w:tblLayout w:type="fixed"/>
        <w:tblCellMar>
          <w:top w:w="0" w:type="dxa"/>
          <w:left w:w="0" w:type="dxa"/>
          <w:bottom w:w="0" w:type="dxa"/>
          <w:right w:w="0" w:type="dxa"/>
        </w:tblCellMar>
      </w:tblPr>
      <w:tblGrid>
        <w:gridCol w:w="7174"/>
        <w:gridCol w:w="326"/>
        <w:gridCol w:w="212"/>
        <w:gridCol w:w="899"/>
        <w:gridCol w:w="326"/>
        <w:gridCol w:w="211"/>
        <w:gridCol w:w="863"/>
        <w:gridCol w:w="194"/>
      </w:tblGrid>
      <w:tr>
        <w:trPr/>
        <w:tc>
          <w:tcPr>
            <w:tcW w:w="7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55490" cy="175260"/>
                      <wp:effectExtent l="0" t="0" r="0" b="0"/>
                      <wp:wrapNone/>
                      <wp:docPr id="13" name="Frame12"/>
                      <a:graphic xmlns:a="http://schemas.openxmlformats.org/drawingml/2006/main">
                        <a:graphicData uri="http://schemas.microsoft.com/office/word/2010/wordprocessingShape">
                          <wps:wsp>
                            <wps:cNvSpPr txBox="1"/>
                            <wps:spPr>
                              <a:xfrm>
                                <a:off x="0" y="0"/>
                                <a:ext cx="455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4620" cy="175260"/>
                      <wp:effectExtent l="0" t="0" r="0" b="0"/>
                      <wp:wrapNone/>
                      <wp:docPr id="15" name="Frame1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0865" cy="175260"/>
                      <wp:effectExtent l="0" t="0" r="0" b="0"/>
                      <wp:wrapNone/>
                      <wp:docPr id="16" name="Frame15"/>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48005" cy="175260"/>
                      <wp:effectExtent l="0" t="0" r="0" b="0"/>
                      <wp:wrapNone/>
                      <wp:docPr id="19" name="Frame18"/>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3190" cy="175260"/>
                      <wp:effectExtent l="0" t="0" r="0" b="0"/>
                      <wp:wrapNone/>
                      <wp:docPr id="20" name="Frame1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94" w:type="dxa"/>
            <w:tcBorders/>
            <w:vAlign w:val="center"/>
          </w:tcPr>
          <w:p>
            <w:pPr>
              <w:pStyle w:val="TableContents"/>
              <w:bidi w:val="0"/>
              <w:spacing w:before="0" w:after="0"/>
              <w:ind w:left="0" w:right="0" w:hanging="0"/>
              <w:jc w:val="left"/>
              <w:rPr/>
            </w:pPr>
            <w:r>
              <w:rPr/>
              <w:t> </w:t>
            </w:r>
          </w:p>
        </w:tc>
      </w:tr>
      <w:tr>
        <w:trPr/>
        <w:tc>
          <w:tcPr>
            <w:tcW w:w="7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9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11,554</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9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6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9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6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9"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3"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8,778</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326" w:type="dxa"/>
            <w:tcBorders/>
            <w:vAlign w:val="center"/>
          </w:tcPr>
          <w:p>
            <w:pPr>
              <w:pStyle w:val="TableContents"/>
              <w:bidi w:val="0"/>
              <w:spacing w:before="0" w:after="0"/>
              <w:ind w:left="0" w:right="0" w:hanging="0"/>
              <w:jc w:val="left"/>
              <w:rPr/>
            </w:pPr>
            <w:r>
              <w:rPr/>
              <w:t>​</w:t>
            </w:r>
          </w:p>
        </w:tc>
        <w:tc>
          <w:tcPr>
            <w:tcW w:w="21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September 30, 2024 and December 31, 2023, respectively</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21,833,041 and 21,080,472 shares issued and outstanding as of September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191,569</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(137,650)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17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9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59,274</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6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53,921</w:t>
            </w:r>
          </w:p>
        </w:tc>
        <w:tc>
          <w:tcPr>
            <w:tcW w:w="194" w:type="dxa"/>
            <w:tcBorders/>
            <w:vAlign w:val="center"/>
          </w:tcPr>
          <w:p>
            <w:pPr>
              <w:pStyle w:val="TableContents"/>
              <w:bidi w:val="0"/>
              <w:spacing w:before="0" w:after="0"/>
              <w:ind w:left="0" w:right="0" w:hanging="0"/>
              <w:jc w:val="left"/>
              <w:rPr/>
            </w:pPr>
            <w:r>
              <w:rPr/>
              <w:t>​</w:t>
            </w:r>
          </w:p>
        </w:tc>
      </w:tr>
      <w:tr>
        <w:trPr/>
        <w:tc>
          <w:tcPr>
            <w:tcW w:w="717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67,303</w:t>
            </w:r>
          </w:p>
        </w:tc>
        <w:tc>
          <w:tcPr>
            <w:tcW w:w="19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 and Comprehensive (Loss)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center"/>
        <w:tblInd w:w="0" w:type="dxa"/>
        <w:tblLayout w:type="fixed"/>
        <w:tblCellMar>
          <w:top w:w="0" w:type="dxa"/>
          <w:left w:w="0" w:type="dxa"/>
          <w:bottom w:w="0" w:type="dxa"/>
          <w:right w:w="0" w:type="dxa"/>
        </w:tblCellMar>
      </w:tblPr>
      <w:tblGrid>
        <w:gridCol w:w="3722"/>
        <w:gridCol w:w="326"/>
        <w:gridCol w:w="211"/>
        <w:gridCol w:w="1036"/>
        <w:gridCol w:w="326"/>
        <w:gridCol w:w="211"/>
        <w:gridCol w:w="1036"/>
        <w:gridCol w:w="326"/>
        <w:gridCol w:w="211"/>
        <w:gridCol w:w="1036"/>
        <w:gridCol w:w="326"/>
        <w:gridCol w:w="211"/>
        <w:gridCol w:w="1036"/>
        <w:gridCol w:w="191"/>
      </w:tblGrid>
      <w:tr>
        <w:trPr/>
        <w:tc>
          <w:tcPr>
            <w:tcW w:w="3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63470" cy="175260"/>
                      <wp:effectExtent l="0" t="0" r="0" b="0"/>
                      <wp:wrapNone/>
                      <wp:docPr id="21" name="Frame20"/>
                      <a:graphic xmlns:a="http://schemas.openxmlformats.org/drawingml/2006/main">
                        <a:graphicData uri="http://schemas.microsoft.com/office/word/2010/wordprocessingShape">
                          <wps:wsp>
                            <wps:cNvSpPr txBox="1"/>
                            <wps:spPr>
                              <a:xfrm>
                                <a:off x="0" y="0"/>
                                <a:ext cx="2363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7" name="Frame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30"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3" name="Frame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1285" cy="175260"/>
                      <wp:effectExtent l="0" t="0" r="0" b="0"/>
                      <wp:wrapNone/>
                      <wp:docPr id="34" name="Frame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4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40,726</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6,333</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18,133</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19,517</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10,660</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24,862</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xml:space="preserv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and comprehensive (loss) income</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21,767,380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20,848,558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21,529,738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20,653,775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21,985,175</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21,828,789</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21,529,738</w:t>
            </w:r>
          </w:p>
        </w:tc>
        <w:tc>
          <w:tcPr>
            <w:tcW w:w="32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21,276,904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Operating expenses include stock-based compensation as follows: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191" w:type="dxa"/>
            <w:tcBorders/>
            <w:vAlign w:val="center"/>
          </w:tcPr>
          <w:p>
            <w:pPr>
              <w:pStyle w:val="TableContents"/>
              <w:bidi w:val="0"/>
              <w:spacing w:before="0" w:after="0"/>
              <w:ind w:left="0" w:right="0" w:hanging="0"/>
              <w:jc w:val="left"/>
              <w:rPr/>
            </w:pPr>
            <w:r>
              <w:rPr/>
              <w:t>​</w:t>
            </w:r>
          </w:p>
        </w:tc>
      </w:tr>
      <w:tr>
        <w:trPr/>
        <w:tc>
          <w:tcPr>
            <w:tcW w:w="37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32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center"/>
        <w:tblInd w:w="0" w:type="dxa"/>
        <w:tblLayout w:type="fixed"/>
        <w:tblCellMar>
          <w:top w:w="0" w:type="dxa"/>
          <w:left w:w="0" w:type="dxa"/>
          <w:bottom w:w="0" w:type="dxa"/>
          <w:right w:w="0" w:type="dxa"/>
        </w:tblCellMar>
      </w:tblPr>
      <w:tblGrid>
        <w:gridCol w:w="7100"/>
        <w:gridCol w:w="326"/>
        <w:gridCol w:w="259"/>
        <w:gridCol w:w="833"/>
        <w:gridCol w:w="401"/>
        <w:gridCol w:w="259"/>
        <w:gridCol w:w="834"/>
        <w:gridCol w:w="193"/>
      </w:tblGrid>
      <w:tr>
        <w:trPr/>
        <w:tc>
          <w:tcPr>
            <w:tcW w:w="7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508500" cy="175260"/>
                      <wp:effectExtent l="0" t="0" r="0" b="0"/>
                      <wp:wrapNone/>
                      <wp:docPr id="35" name="Frame34"/>
                      <a:graphic xmlns:a="http://schemas.openxmlformats.org/drawingml/2006/main">
                        <a:graphicData uri="http://schemas.microsoft.com/office/word/2010/wordprocessingShape">
                          <wps:wsp>
                            <wps:cNvSpPr txBox="1"/>
                            <wps:spPr>
                              <a:xfrm>
                                <a:off x="0" y="0"/>
                                <a:ext cx="450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4465" cy="175260"/>
                      <wp:effectExtent l="0" t="0" r="0" b="0"/>
                      <wp:wrapNone/>
                      <wp:docPr id="37" name="Frame3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8955" cy="175260"/>
                      <wp:effectExtent l="0" t="0" r="0" b="0"/>
                      <wp:wrapNone/>
                      <wp:docPr id="38" name="Frame3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54635" cy="175260"/>
                      <wp:effectExtent l="0" t="0" r="0" b="0"/>
                      <wp:wrapNone/>
                      <wp:docPr id="39" name="Frame3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4465" cy="175260"/>
                      <wp:effectExtent l="0" t="0" r="0" b="0"/>
                      <wp:wrapNone/>
                      <wp:docPr id="40" name="Frame3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9590" cy="175260"/>
                      <wp:effectExtent l="0" t="0" r="0" b="0"/>
                      <wp:wrapNone/>
                      <wp:docPr id="41" name="Frame4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2555" cy="175260"/>
                      <wp:effectExtent l="0" t="0" r="0" b="0"/>
                      <wp:wrapNone/>
                      <wp:docPr id="42" name="Frame41"/>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093"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 </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xml:space="preserve">— </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prepayment and termination of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xml:space="preserve">— </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warrant revaluation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xml:space="preserve">— </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xml:space="preserve">— </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obligations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 xml:space="preserve">— </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401"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received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401"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long-term debt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 xml:space="preserve">— </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 and purchase of shares in 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401" w:type="dxa"/>
            <w:tcBorders/>
            <w:vAlign w:val="center"/>
          </w:tcPr>
          <w:p>
            <w:pPr>
              <w:pStyle w:val="TableContents"/>
              <w:bidi w:val="0"/>
              <w:spacing w:before="0" w:after="0"/>
              <w:ind w:left="0" w:right="0" w:hanging="0"/>
              <w:jc w:val="left"/>
              <w:rPr/>
            </w:pPr>
            <w:r>
              <w:rPr/>
              <w:t>​</w:t>
            </w:r>
          </w:p>
        </w:tc>
        <w:tc>
          <w:tcPr>
            <w:tcW w:w="25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3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3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c>
          <w:tcPr>
            <w:tcW w:w="40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26,795</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39,588</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cash flow information:</w:t>
            </w:r>
          </w:p>
        </w:tc>
        <w:tc>
          <w:tcPr>
            <w:tcW w:w="326" w:type="dxa"/>
            <w:tcBorders/>
            <w:vAlign w:val="center"/>
          </w:tcPr>
          <w:p>
            <w:pPr>
              <w:pStyle w:val="TableContents"/>
              <w:bidi w:val="0"/>
              <w:spacing w:before="0" w:after="0"/>
              <w:ind w:left="0" w:right="0" w:hanging="0"/>
              <w:jc w:val="left"/>
              <w:rPr/>
            </w:pPr>
            <w:r>
              <w:rPr/>
              <w:t>​</w:t>
            </w:r>
          </w:p>
        </w:tc>
        <w:tc>
          <w:tcPr>
            <w:tcW w:w="25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33"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5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34"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paid for operating leases</w:t>
            </w:r>
          </w:p>
        </w:tc>
        <w:tc>
          <w:tcPr>
            <w:tcW w:w="326" w:type="dxa"/>
            <w:tcBorders/>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401" w:type="dxa"/>
            <w:tcBorders/>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paid for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33"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5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34" w:type="dxa"/>
            <w:tcBorders>
              <w:top w:val="double" w:sz="6" w:space="0" w:color="000000"/>
            </w:tcBorders>
            <w:tcMar>
              <w:top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10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710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1" w:type="dxa"/>
            <w:tcBorders/>
            <w:vAlign w:val="center"/>
          </w:tcPr>
          <w:p>
            <w:pPr>
              <w:pStyle w:val="TableContents"/>
              <w:bidi w:val="0"/>
              <w:spacing w:before="0" w:after="0"/>
              <w:ind w:left="0" w:right="0" w:hanging="0"/>
              <w:jc w:val="left"/>
              <w:rPr/>
            </w:pPr>
            <w:r>
              <w:rPr/>
              <w:t>​</w:t>
            </w:r>
          </w:p>
        </w:tc>
        <w:tc>
          <w:tcPr>
            <w:tcW w:w="259"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Adjusted EBITDA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9121" w:type="dxa"/>
        <w:jc w:val="center"/>
        <w:tblInd w:w="0" w:type="dxa"/>
        <w:tblLayout w:type="fixed"/>
        <w:tblCellMar>
          <w:top w:w="0" w:type="dxa"/>
          <w:left w:w="0" w:type="dxa"/>
          <w:bottom w:w="0" w:type="dxa"/>
          <w:right w:w="0" w:type="dxa"/>
        </w:tblCellMar>
      </w:tblPr>
      <w:tblGrid>
        <w:gridCol w:w="3001"/>
        <w:gridCol w:w="326"/>
        <w:gridCol w:w="299"/>
        <w:gridCol w:w="810"/>
        <w:gridCol w:w="462"/>
        <w:gridCol w:w="299"/>
        <w:gridCol w:w="814"/>
        <w:gridCol w:w="326"/>
        <w:gridCol w:w="273"/>
        <w:gridCol w:w="742"/>
        <w:gridCol w:w="423"/>
        <w:gridCol w:w="273"/>
        <w:gridCol w:w="882"/>
        <w:gridCol w:w="191"/>
      </w:tblGrid>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    </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2"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113"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1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3"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15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bookmarkStart w:id="32" w:name="tblDLtable"/>
            <w:bookmarkEnd w:id="32"/>
            <w:r>
              <w:rPr>
                <w:rFonts w:ascii="Times New Roman;Times;serif" w:hAnsi="Times New Roman;Times;serif"/>
                <w:b/>
                <w:sz w:val="20"/>
              </w:rPr>
              <w:t>Adjusted EBITDA reconciliation:</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1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462"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423"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462"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c>
          <w:tcPr>
            <w:tcW w:w="423"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 xml:space="preserve">— </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 xml:space="preserve">— </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62"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423"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91"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462" w:type="dxa"/>
            <w:tcBorders/>
            <w:shd w:fill="CCEEFF" w:val="clear"/>
            <w:vAlign w:val="center"/>
          </w:tcPr>
          <w:p>
            <w:pPr>
              <w:pStyle w:val="TableContents"/>
              <w:bidi w:val="0"/>
              <w:spacing w:before="0" w:after="0"/>
              <w:ind w:left="0" w:right="0" w:hanging="0"/>
              <w:jc w:val="left"/>
              <w:rPr/>
            </w:pPr>
            <w:r>
              <w:rPr/>
              <w:t>​</w:t>
            </w:r>
          </w:p>
        </w:tc>
        <w:tc>
          <w:tcPr>
            <w:tcW w:w="29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c>
          <w:tcPr>
            <w:tcW w:w="423" w:type="dxa"/>
            <w:tcBorders/>
            <w:shd w:fill="CCEEFF" w:val="clear"/>
            <w:vAlign w:val="center"/>
          </w:tcPr>
          <w:p>
            <w:pPr>
              <w:pStyle w:val="TableContents"/>
              <w:bidi w:val="0"/>
              <w:spacing w:before="0" w:after="0"/>
              <w:ind w:left="0" w:right="0" w:hanging="0"/>
              <w:jc w:val="left"/>
              <w:rPr/>
            </w:pPr>
            <w:r>
              <w:rPr/>
              <w:t>​</w:t>
            </w:r>
          </w:p>
        </w:tc>
        <w:tc>
          <w:tcPr>
            <w:tcW w:w="2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2386</Words>
  <Characters>13462</Characters>
  <CharactersWithSpaces>16247</CharactersWithSpaces>
  <Paragraphs>1366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