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51435</wp:posOffset>
            </wp:positionV>
            <wp:extent cx="1655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24"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74295</wp:posOffset>
            </wp:positionV>
            <wp:extent cx="1655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55" w:lineRule="exact"/>
        <w:rPr>
          <w:sz w:val="24"/>
          <w:szCs w:val="24"/>
          <w:color w:val="auto"/>
        </w:rPr>
      </w:pPr>
      <w:r>
        <w:rPr>
          <w:rFonts w:ascii="Arial Unicode MS" w:cs="Arial Unicode MS" w:eastAsia="Arial Unicode MS" w:hAnsi="Arial Unicode MS"/>
          <w:sz w:val="19"/>
          <w:szCs w:val="19"/>
          <w:color w:val="auto"/>
          <w:highlight w:val="black"/>
        </w:rPr>
        <w:t>☒</w:t>
      </w:r>
      <w:r>
        <w:rPr>
          <w:rFonts w:ascii="Arial" w:cs="Arial" w:eastAsia="Arial" w:hAnsi="Arial"/>
          <w:sz w:val="19"/>
          <w:szCs w:val="19"/>
          <w:b w:val="1"/>
          <w:bCs w:val="1"/>
          <w:color w:val="auto"/>
        </w:rPr>
        <w:t xml:space="preserve">  ANNUAL REPORT 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 w:lineRule="exact"/>
        <w:rPr>
          <w:sz w:val="24"/>
          <w:szCs w:val="24"/>
          <w:color w:val="auto"/>
        </w:rPr>
      </w:pPr>
    </w:p>
    <w:p>
      <w:pPr>
        <w:spacing w:after="0"/>
        <w:rPr>
          <w:sz w:val="24"/>
          <w:szCs w:val="24"/>
          <w:color w:val="auto"/>
        </w:rPr>
      </w:pPr>
      <w:r>
        <w:rPr>
          <w:rFonts w:ascii="Arial" w:cs="Arial" w:eastAsia="Arial" w:hAnsi="Arial"/>
          <w:sz w:val="20"/>
          <w:szCs w:val="20"/>
          <w:b w:val="1"/>
          <w:bCs w:val="1"/>
          <w:color w:val="auto"/>
        </w:rPr>
        <w:t>TRANSITION REPORT PURSUANT TO SECTION 13 OR 15(d) OF THE SECURITIES EXCHANGE ACT</w:t>
      </w:r>
    </w:p>
    <w:p>
      <w:pPr>
        <w:spacing w:after="0" w:line="10" w:lineRule="exact"/>
        <w:rPr>
          <w:sz w:val="24"/>
          <w:szCs w:val="24"/>
          <w:color w:val="auto"/>
        </w:rPr>
      </w:pPr>
    </w:p>
    <w:p>
      <w:pPr>
        <w:ind w:left="420"/>
        <w:spacing w:after="0"/>
        <w:tabs>
          <w:tab w:leader="none" w:pos="5900" w:val="left"/>
        </w:tabs>
        <w:rPr>
          <w:sz w:val="20"/>
          <w:szCs w:val="20"/>
          <w:color w:val="auto"/>
        </w:rPr>
      </w:pPr>
      <w:r>
        <w:rPr>
          <w:rFonts w:ascii="Arial" w:cs="Arial" w:eastAsia="Arial" w:hAnsi="Arial"/>
          <w:sz w:val="20"/>
          <w:szCs w:val="20"/>
          <w:b w:val="1"/>
          <w:bCs w:val="1"/>
          <w:color w:val="auto"/>
        </w:rPr>
        <w:t>OF 1934 FOR THE TRANSITION PERIOD FROM</w:t>
      </w:r>
      <w:r>
        <w:rPr>
          <w:sz w:val="20"/>
          <w:szCs w:val="20"/>
          <w:color w:val="auto"/>
        </w:rPr>
        <w:tab/>
      </w:r>
      <w:r>
        <w:rPr>
          <w:rFonts w:ascii="Arial" w:cs="Arial" w:eastAsia="Arial" w:hAnsi="Arial"/>
          <w:sz w:val="20"/>
          <w:szCs w:val="20"/>
          <w:b w:val="1"/>
          <w:bCs w:val="1"/>
          <w:color w:val="auto"/>
        </w:rPr>
        <w:t>TO</w:t>
      </w:r>
    </w:p>
    <w:p>
      <w:pPr>
        <w:spacing w:after="0" w:line="131"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77470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Everspin Technologies, Inc.</w:t>
      </w: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60325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380"/>
          </w:cols>
          <w:pgMar w:left="760" w:top="220" w:right="759" w:bottom="1440" w:gutter="0" w:footer="0" w:header="0"/>
        </w:sectPr>
      </w:pPr>
    </w:p>
    <w:p>
      <w:pPr>
        <w:spacing w:after="0" w:line="230"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61" w:lineRule="exact"/>
        <w:rPr>
          <w:sz w:val="20"/>
          <w:szCs w:val="20"/>
          <w:color w:val="auto"/>
        </w:rPr>
      </w:pPr>
      <w:r>
        <w:rPr>
          <w:rFonts w:ascii="Arial" w:cs="Arial" w:eastAsia="Arial" w:hAnsi="Arial"/>
          <w:sz w:val="14"/>
          <w:szCs w:val="14"/>
          <w:b w:val="1"/>
          <w:bCs w:val="1"/>
          <w:color w:val="auto"/>
        </w:rPr>
        <w:t>26</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2640654</w:t>
      </w:r>
    </w:p>
    <w:p>
      <w:pPr>
        <w:spacing w:after="0" w:line="12" w:lineRule="exact"/>
        <w:rPr>
          <w:sz w:val="24"/>
          <w:szCs w:val="24"/>
          <w:color w:val="auto"/>
        </w:rPr>
      </w:pPr>
    </w:p>
    <w:p>
      <w:pPr>
        <w:sectPr>
          <w:pgSz w:w="11900" w:h="16838" w:orient="portrait"/>
          <w:cols w:equalWidth="0" w:num="2">
            <w:col w:w="6680" w:space="720"/>
            <w:col w:w="2980"/>
          </w:cols>
          <w:pgMar w:left="760" w:top="220" w:right="759" w:bottom="1440" w:gutter="0" w:footer="0" w:header="0"/>
          <w:type w:val="continuous"/>
        </w:sectPr>
      </w:pPr>
    </w:p>
    <w:p>
      <w:pPr>
        <w:jc w:val="center"/>
        <w:ind w:right="1320"/>
        <w:spacing w:after="0" w:line="196" w:lineRule="auto"/>
        <w:rPr>
          <w:sz w:val="20"/>
          <w:szCs w:val="20"/>
          <w:color w:val="auto"/>
        </w:rPr>
      </w:pPr>
      <w:r>
        <w:rPr>
          <w:rFonts w:ascii="Arial" w:cs="Arial" w:eastAsia="Arial" w:hAnsi="Arial"/>
          <w:sz w:val="14"/>
          <w:szCs w:val="14"/>
          <w:b w:val="1"/>
          <w:bCs w:val="1"/>
          <w:color w:val="auto"/>
        </w:rPr>
        <w:t>(State or other jurisdiction</w:t>
      </w:r>
    </w:p>
    <w:p>
      <w:pPr>
        <w:jc w:val="center"/>
        <w:ind w:right="13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line="196" w:lineRule="auto"/>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56" w:lineRule="exact"/>
        <w:rPr>
          <w:sz w:val="24"/>
          <w:szCs w:val="24"/>
          <w:color w:val="auto"/>
        </w:rPr>
      </w:pPr>
    </w:p>
    <w:p>
      <w:pPr>
        <w:sectPr>
          <w:pgSz w:w="11900" w:h="16838" w:orient="portrait"/>
          <w:cols w:equalWidth="0" w:num="2">
            <w:col w:w="6500" w:space="720"/>
            <w:col w:w="3160"/>
          </w:cols>
          <w:pgMar w:left="760" w:top="220" w:right="7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5670 W. Chandler Boulevard, Suite 100</w:t>
      </w:r>
    </w:p>
    <w:p>
      <w:pPr>
        <w:jc w:val="center"/>
        <w:ind w:right="-19"/>
        <w:spacing w:after="0" w:line="197" w:lineRule="auto"/>
        <w:rPr>
          <w:sz w:val="20"/>
          <w:szCs w:val="20"/>
          <w:color w:val="auto"/>
        </w:rPr>
      </w:pPr>
      <w:r>
        <w:rPr>
          <w:rFonts w:ascii="Arial" w:cs="Arial" w:eastAsia="Arial" w:hAnsi="Arial"/>
          <w:sz w:val="16"/>
          <w:szCs w:val="16"/>
          <w:b w:val="1"/>
          <w:bCs w:val="1"/>
          <w:color w:val="auto"/>
        </w:rPr>
        <w:t>Chandler, Arizona 85226</w:t>
      </w: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380"/>
          </w:cols>
          <w:pgMar w:left="760" w:top="220" w:right="759" w:bottom="1440" w:gutter="0" w:footer="0" w:header="0"/>
          <w:type w:val="continuous"/>
        </w:sectPr>
      </w:pPr>
    </w:p>
    <w:p>
      <w:pPr>
        <w:spacing w:after="0" w:line="5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Registrant’s telephone number, including area code: (480) 347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71755</wp:posOffset>
            </wp:positionV>
            <wp:extent cx="1655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Common Stock, Par Value $0.0001 Per Share; Common stock traded on the Nasdaq Stock Market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6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vMerge w:val="restart"/>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2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140" w:type="dxa"/>
            <w:vAlign w:val="bottom"/>
          </w:tcPr>
          <w:p>
            <w:pPr>
              <w:spacing w:after="0" w:line="161" w:lineRule="exact"/>
              <w:rPr>
                <w:sz w:val="20"/>
                <w:szCs w:val="20"/>
                <w:color w:val="auto"/>
              </w:rPr>
            </w:pPr>
            <w:r>
              <w:rPr>
                <w:rFonts w:ascii="Arial" w:cs="Arial" w:eastAsia="Arial" w:hAnsi="Arial"/>
                <w:sz w:val="14"/>
                <w:szCs w:val="14"/>
                <w:color w:val="auto"/>
                <w:w w:val="96"/>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6"/>
              </w:rPr>
              <w:t>☐</w:t>
            </w:r>
          </w:p>
        </w:tc>
        <w:tc>
          <w:tcPr>
            <w:tcW w:w="260" w:type="dxa"/>
            <w:vAlign w:val="bottom"/>
          </w:tcPr>
          <w:p>
            <w:pPr>
              <w:spacing w:after="0"/>
              <w:rPr>
                <w:sz w:val="20"/>
                <w:szCs w:val="20"/>
                <w:color w:val="auto"/>
              </w:rPr>
            </w:pPr>
            <w:r>
              <w:rPr>
                <w:rFonts w:ascii="Arial" w:cs="Arial" w:eastAsia="Arial" w:hAnsi="Arial"/>
                <w:sz w:val="14"/>
                <w:szCs w:val="14"/>
                <w:color w:val="auto"/>
              </w:rPr>
              <w:t>NO</w:t>
            </w:r>
          </w:p>
        </w:tc>
        <w:tc>
          <w:tcPr>
            <w:tcW w:w="5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320"/>
        <w:spacing w:after="0" w:line="22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114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right="60"/>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80"/>
        <w:spacing w:after="0" w:line="167" w:lineRule="exact"/>
        <w:rPr>
          <w:sz w:val="20"/>
          <w:szCs w:val="20"/>
          <w:color w:val="auto"/>
        </w:rPr>
      </w:pPr>
      <w:r>
        <w:rPr>
          <w:rFonts w:ascii="Arial" w:cs="Arial" w:eastAsia="Arial" w:hAnsi="Arial"/>
          <w:sz w:val="13"/>
          <w:szCs w:val="13"/>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or any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 xml:space="preserve">K. </w:t>
      </w:r>
      <w:r>
        <w:rPr>
          <w:rFonts w:ascii="MS PGothic" w:cs="MS PGothic" w:eastAsia="MS PGothic" w:hAnsi="MS PGothic"/>
          <w:sz w:val="13"/>
          <w:szCs w:val="13"/>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 (Check one):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7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86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70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 reporting company)</w:t>
            </w:r>
          </w:p>
        </w:tc>
        <w:tc>
          <w:tcPr>
            <w:tcW w:w="2860" w:type="dxa"/>
            <w:vAlign w:val="bottom"/>
          </w:tcPr>
          <w:p>
            <w:pPr>
              <w:ind w:left="780"/>
              <w:spacing w:after="0"/>
              <w:rPr>
                <w:sz w:val="20"/>
                <w:szCs w:val="20"/>
                <w:color w:val="auto"/>
              </w:rPr>
            </w:pPr>
            <w:r>
              <w:rPr>
                <w:rFonts w:ascii="Arial" w:cs="Arial" w:eastAsia="Arial" w:hAnsi="Arial"/>
                <w:sz w:val="14"/>
                <w:szCs w:val="14"/>
                <w:color w:val="auto"/>
              </w:rPr>
              <w:t>Small reporting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35"/>
        </w:trPr>
        <w:tc>
          <w:tcPr>
            <w:tcW w:w="15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60" w:type="dxa"/>
            <w:vAlign w:val="bottom"/>
          </w:tcPr>
          <w:p>
            <w:pPr>
              <w:ind w:left="780"/>
              <w:spacing w:after="0" w:line="135" w:lineRule="exact"/>
              <w:rPr>
                <w:sz w:val="20"/>
                <w:szCs w:val="20"/>
                <w:color w:val="auto"/>
              </w:rPr>
            </w:pPr>
            <w:r>
              <w:rPr>
                <w:rFonts w:ascii="Arial" w:cs="Arial" w:eastAsia="Arial" w:hAnsi="Arial"/>
                <w:sz w:val="14"/>
                <w:szCs w:val="14"/>
                <w:color w:val="auto"/>
              </w:rPr>
              <w:t>Emerging growth company</w:t>
            </w:r>
          </w:p>
        </w:tc>
        <w:tc>
          <w:tcPr>
            <w:tcW w:w="220" w:type="dxa"/>
            <w:vAlign w:val="bottom"/>
          </w:tcPr>
          <w:p>
            <w:pPr>
              <w:ind w:left="100"/>
              <w:spacing w:after="0" w:line="135" w:lineRule="exact"/>
              <w:rPr>
                <w:sz w:val="20"/>
                <w:szCs w:val="20"/>
                <w:color w:val="auto"/>
              </w:rPr>
            </w:pPr>
            <w:r>
              <w:rPr>
                <w:rFonts w:ascii="MS PGothic" w:cs="MS PGothic" w:eastAsia="MS PGothic" w:hAnsi="MS PGothic"/>
                <w:sz w:val="14"/>
                <w:szCs w:val="14"/>
                <w:color w:val="auto"/>
                <w:w w:val="71"/>
              </w:rPr>
              <w:t>☒</w:t>
            </w:r>
          </w:p>
        </w:tc>
      </w:tr>
      <w:tr>
        <w:trPr>
          <w:trHeight w:val="135"/>
        </w:trPr>
        <w:tc>
          <w:tcPr>
            <w:tcW w:w="10080" w:type="dxa"/>
            <w:vAlign w:val="bottom"/>
            <w:gridSpan w:val="3"/>
          </w:tcPr>
          <w:p>
            <w:pPr>
              <w:spacing w:after="0" w:line="135" w:lineRule="exact"/>
              <w:rPr>
                <w:sz w:val="20"/>
                <w:szCs w:val="20"/>
                <w:color w:val="auto"/>
              </w:rPr>
            </w:pPr>
            <w:r>
              <w:rPr>
                <w:rFonts w:ascii="Arial" w:cs="Arial" w:eastAsia="Arial" w:hAnsi="Arial"/>
                <w:sz w:val="14"/>
                <w:szCs w:val="14"/>
                <w:color w:val="auto"/>
                <w:w w:val="94"/>
              </w:rPr>
              <w:t>If an emerging growth company, indicate by check mark if the registrant has elected not to use the extended transition period for complying with any new or revised financial</w:t>
            </w:r>
          </w:p>
        </w:tc>
        <w:tc>
          <w:tcPr>
            <w:tcW w:w="220" w:type="dxa"/>
            <w:vAlign w:val="bottom"/>
          </w:tcPr>
          <w:p>
            <w:pPr>
              <w:ind w:left="100"/>
              <w:spacing w:after="0" w:line="135" w:lineRule="exact"/>
              <w:rPr>
                <w:sz w:val="20"/>
                <w:szCs w:val="20"/>
                <w:color w:val="auto"/>
              </w:rPr>
            </w:pPr>
            <w:r>
              <w:rPr>
                <w:rFonts w:ascii="MS PGothic" w:cs="MS PGothic" w:eastAsia="MS PGothic" w:hAnsi="MS PGothic"/>
                <w:sz w:val="14"/>
                <w:szCs w:val="14"/>
                <w:color w:val="auto"/>
                <w:w w:val="71"/>
              </w:rPr>
              <w:t>☒</w:t>
            </w:r>
          </w:p>
        </w:tc>
      </w:tr>
      <w:tr>
        <w:trPr>
          <w:trHeight w:val="182"/>
        </w:trPr>
        <w:tc>
          <w:tcPr>
            <w:tcW w:w="7220" w:type="dxa"/>
            <w:vAlign w:val="bottom"/>
            <w:gridSpan w:val="2"/>
          </w:tcPr>
          <w:p>
            <w:pPr>
              <w:spacing w:after="0"/>
              <w:rPr>
                <w:sz w:val="20"/>
                <w:szCs w:val="20"/>
                <w:color w:val="auto"/>
              </w:rPr>
            </w:pPr>
            <w:r>
              <w:rPr>
                <w:rFonts w:ascii="Arial" w:cs="Arial" w:eastAsia="Arial" w:hAnsi="Arial"/>
                <w:sz w:val="14"/>
                <w:szCs w:val="14"/>
                <w:color w:val="auto"/>
              </w:rPr>
              <w:t>accounting standards provided pursuant to Section 13(a) of the Exchange Act.</w:t>
            </w: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7"/>
        </w:trPr>
        <w:tc>
          <w:tcPr>
            <w:tcW w:w="7220" w:type="dxa"/>
            <w:vAlign w:val="bottom"/>
            <w:gridSpan w:val="2"/>
          </w:tcPr>
          <w:p>
            <w:pPr>
              <w:spacing w:after="0" w:line="161" w:lineRule="exact"/>
              <w:rPr>
                <w:sz w:val="20"/>
                <w:szCs w:val="20"/>
                <w:color w:val="auto"/>
              </w:rPr>
            </w:pPr>
            <w:r>
              <w:rPr>
                <w:rFonts w:ascii="Arial" w:cs="Arial" w:eastAsia="Arial" w:hAnsi="Arial"/>
                <w:sz w:val="14"/>
                <w:szCs w:val="14"/>
                <w:color w:val="auto"/>
                <w:w w:val="97"/>
              </w:rPr>
              <w:t>Indicate by check mark whether the Registrant is a shell company (as defined in Rule 12b</w:t>
            </w:r>
            <w:r>
              <w:rPr>
                <w:rFonts w:ascii="MS PGothic" w:cs="MS PGothic" w:eastAsia="MS PGothic" w:hAnsi="MS PGothic"/>
                <w:sz w:val="14"/>
                <w:szCs w:val="14"/>
                <w:color w:val="auto"/>
                <w:w w:val="97"/>
              </w:rPr>
              <w:t>‑</w:t>
            </w:r>
            <w:r>
              <w:rPr>
                <w:rFonts w:ascii="Arial" w:cs="Arial" w:eastAsia="Arial" w:hAnsi="Arial"/>
                <w:sz w:val="14"/>
                <w:szCs w:val="14"/>
                <w:color w:val="auto"/>
                <w:w w:val="97"/>
              </w:rPr>
              <w:t>2 of the Exchange Act).  YES</w:t>
            </w:r>
          </w:p>
        </w:tc>
        <w:tc>
          <w:tcPr>
            <w:tcW w:w="286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20" w:type="dxa"/>
            <w:vAlign w:val="bottom"/>
          </w:tcPr>
          <w:p>
            <w:pPr>
              <w:spacing w:after="0"/>
              <w:rPr>
                <w:sz w:val="19"/>
                <w:szCs w:val="19"/>
                <w:color w:val="auto"/>
              </w:rPr>
            </w:pPr>
          </w:p>
        </w:tc>
      </w:tr>
    </w:tbl>
    <w:p>
      <w:pPr>
        <w:spacing w:after="0" w:line="4" w:lineRule="exact"/>
        <w:rPr>
          <w:sz w:val="24"/>
          <w:szCs w:val="24"/>
          <w:color w:val="auto"/>
        </w:rPr>
      </w:pPr>
    </w:p>
    <w:p>
      <w:pPr>
        <w:spacing w:after="0" w:line="235" w:lineRule="auto"/>
        <w:rPr>
          <w:sz w:val="20"/>
          <w:szCs w:val="20"/>
          <w:color w:val="auto"/>
        </w:rPr>
      </w:pPr>
      <w:r>
        <w:rPr>
          <w:rFonts w:ascii="Arial" w:cs="Arial" w:eastAsia="Arial" w:hAnsi="Arial"/>
          <w:sz w:val="13"/>
          <w:szCs w:val="13"/>
          <w:color w:val="auto"/>
        </w:rPr>
        <w:t>As of June 30, 2017, the last business day of the Registrant’s most recently completed second fiscal quarter, the aggregate market value of the common stock of Registrant held by non-affiliates, based upon the closing sales price for the Registrant’s common stock for such date, as quoted on the Nasdaq Global Market, was approximately $179.5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7, 2018 was 16,635,651.</w:t>
      </w:r>
    </w:p>
    <w:p>
      <w:pPr>
        <w:spacing w:after="0" w:line="136"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180"/>
        <w:spacing w:after="0" w:line="264"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which will be filed with the Securities and Exchange Commission within 120 days after the end of the Registrant’s fiscal year ended December 31, 2017, are incorporated by reference into Part III of this Report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6612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20"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6"/>
          </w:tcPr>
          <w:p>
            <w:pPr>
              <w:ind w:left="8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86"/>
        </w:trPr>
        <w:tc>
          <w:tcPr>
            <w:tcW w:w="7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0" w:type="dxa"/>
            <w:vAlign w:val="bottom"/>
            <w:tcBorders>
              <w:top w:val="single" w:sz="8" w:color="0000EE"/>
            </w:tcBorders>
          </w:tcPr>
          <w:p>
            <w:pPr>
              <w:spacing w:after="0"/>
              <w:rPr>
                <w:sz w:val="24"/>
                <w:szCs w:val="24"/>
                <w:color w:val="auto"/>
              </w:rPr>
            </w:pPr>
          </w:p>
        </w:tc>
        <w:tc>
          <w:tcPr>
            <w:tcW w:w="2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Item 1A.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64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1B.</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223"/>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5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Borders>
              <w:bottom w:val="single" w:sz="8" w:color="0000EE"/>
            </w:tcBorders>
            <w:gridSpan w:val="4"/>
          </w:tcPr>
          <w:p>
            <w:pPr>
              <w:spacing w:after="0"/>
              <w:rPr>
                <w:rFonts w:ascii="Arial" w:cs="Arial" w:eastAsia="Arial" w:hAnsi="Arial"/>
                <w:sz w:val="22"/>
                <w:szCs w:val="22"/>
                <w:b w:val="1"/>
                <w:bCs w:val="1"/>
                <w:color w:val="0000EE"/>
                <w:w w:val="97"/>
              </w:rPr>
            </w:pPr>
            <w:hyperlink w:anchor="page34">
              <w:r>
                <w:rPr>
                  <w:rFonts w:ascii="Arial" w:cs="Arial" w:eastAsia="Arial" w:hAnsi="Arial"/>
                  <w:sz w:val="22"/>
                  <w:szCs w:val="22"/>
                  <w:b w:val="1"/>
                  <w:bCs w:val="1"/>
                  <w:color w:val="0000EE"/>
                  <w:w w:val="97"/>
                </w:rPr>
                <w:t>PART II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vMerge w:val="restart"/>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5.</w:t>
              </w:r>
            </w:hyperlink>
          </w:p>
        </w:tc>
        <w:tc>
          <w:tcPr>
            <w:tcW w:w="260" w:type="dxa"/>
            <w:vAlign w:val="bottom"/>
            <w:gridSpan w:val="3"/>
            <w:vMerge w:val="restart"/>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Market for Registrant’s Common Equity, Related Stockholder Matters and Issuer Purchases of Equity</w:t>
              </w:r>
            </w:hyperlink>
          </w:p>
        </w:tc>
        <w:tc>
          <w:tcPr>
            <w:tcW w:w="0" w:type="dxa"/>
            <w:vAlign w:val="bottom"/>
          </w:tcPr>
          <w:p>
            <w:pPr>
              <w:spacing w:after="0"/>
              <w:rPr>
                <w:sz w:val="1"/>
                <w:szCs w:val="1"/>
                <w:color w:val="auto"/>
              </w:rPr>
            </w:pPr>
          </w:p>
        </w:tc>
      </w:tr>
      <w:tr>
        <w:trPr>
          <w:trHeight w:val="156"/>
        </w:trPr>
        <w:tc>
          <w:tcPr>
            <w:tcW w:w="52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32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7.</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8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Item 7A.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Quantitative and Qualitative Disclosures About Market Risk</w:t>
              </w:r>
            </w:hyperlink>
          </w:p>
        </w:tc>
        <w:tc>
          <w:tcPr>
            <w:tcW w:w="29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8.</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3"/>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Item 9.</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20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Item 9A.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23"/>
        </w:trPr>
        <w:tc>
          <w:tcPr>
            <w:tcW w:w="660" w:type="dxa"/>
            <w:vAlign w:val="bottom"/>
            <w:tcBorders>
              <w:top w:val="single" w:sz="8" w:color="0000EE"/>
            </w:tcBorders>
            <w:gridSpan w:val="3"/>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Item 9B.</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top w:val="single" w:sz="8" w:color="0000EE"/>
            </w:tcBorders>
            <w:gridSpan w:val="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56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rFonts w:ascii="Arial" w:cs="Arial" w:eastAsia="Arial" w:hAnsi="Arial"/>
          <w:sz w:val="22"/>
          <w:szCs w:val="22"/>
          <w:b w:val="1"/>
          <w:bCs w:val="1"/>
          <w:u w:val="single" w:color="auto"/>
          <w:color w:val="0000EE"/>
        </w:rPr>
      </w:pPr>
      <w:hyperlink w:anchor="page86">
        <w:r>
          <w:rPr>
            <w:rFonts w:ascii="Arial" w:cs="Arial" w:eastAsia="Arial" w:hAnsi="Arial"/>
            <w:sz w:val="22"/>
            <w:szCs w:val="22"/>
            <w:b w:val="1"/>
            <w:bCs w:val="1"/>
            <w:u w:val="single" w:color="auto"/>
            <w:color w:val="0000EE"/>
          </w:rPr>
          <w:t>PART III</w:t>
        </w:r>
      </w:hyperlink>
    </w:p>
    <w:p>
      <w:pPr>
        <w:spacing w:after="0" w:line="179" w:lineRule="exact"/>
        <w:rPr>
          <w:sz w:val="20"/>
          <w:szCs w:val="20"/>
          <w:color w:val="auto"/>
        </w:rPr>
      </w:pPr>
    </w:p>
    <w:p>
      <w:pPr>
        <w:ind w:right="3240"/>
        <w:spacing w:after="0" w:line="281" w:lineRule="auto"/>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Item 11. Executive Compensation</w:t>
        </w:r>
      </w:hyperlink>
    </w:p>
    <w:p>
      <w:pPr>
        <w:spacing w:after="0" w:line="2" w:lineRule="exact"/>
        <w:rPr>
          <w:sz w:val="20"/>
          <w:szCs w:val="20"/>
          <w:color w:val="auto"/>
        </w:rPr>
      </w:pPr>
    </w:p>
    <w:p>
      <w:pPr>
        <w:ind w:right="40"/>
        <w:spacing w:after="0" w:line="295" w:lineRule="auto"/>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Item 14. Principal Accounting Fees and Services</w:t>
        </w:r>
      </w:hyperlink>
    </w:p>
    <w:p>
      <w:pPr>
        <w:spacing w:after="0" w:line="101" w:lineRule="exact"/>
        <w:rPr>
          <w:rFonts w:ascii="Arial" w:cs="Arial" w:eastAsia="Arial" w:hAnsi="Arial"/>
          <w:sz w:val="18"/>
          <w:szCs w:val="18"/>
          <w:u w:val="single" w:color="auto"/>
          <w:color w:val="0000EE"/>
        </w:rPr>
      </w:pPr>
    </w:p>
    <w:p>
      <w:pPr>
        <w:spacing w:after="0"/>
        <w:rPr>
          <w:rFonts w:ascii="Arial" w:cs="Arial" w:eastAsia="Arial" w:hAnsi="Arial"/>
          <w:sz w:val="22"/>
          <w:szCs w:val="22"/>
          <w:b w:val="1"/>
          <w:bCs w:val="1"/>
          <w:u w:val="single" w:color="auto"/>
          <w:color w:val="0000EE"/>
        </w:rPr>
      </w:pPr>
      <w:hyperlink w:anchor="page87">
        <w:r>
          <w:rPr>
            <w:rFonts w:ascii="Arial" w:cs="Arial" w:eastAsia="Arial" w:hAnsi="Arial"/>
            <w:sz w:val="22"/>
            <w:szCs w:val="22"/>
            <w:b w:val="1"/>
            <w:bCs w:val="1"/>
            <w:u w:val="single" w:color="auto"/>
            <w:color w:val="0000EE"/>
          </w:rPr>
          <w:t>PART IV</w:t>
        </w:r>
      </w:hyperlink>
    </w:p>
    <w:p>
      <w:pPr>
        <w:spacing w:after="0" w:line="111"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6"/>
          <w:szCs w:val="16"/>
          <w:u w:val="single" w:color="auto"/>
          <w:color w:val="0000EE"/>
        </w:rPr>
      </w:pPr>
      <w:hyperlink w:anchor="page87">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87">
        <w:r>
          <w:rPr>
            <w:rFonts w:ascii="Arial" w:cs="Arial" w:eastAsia="Arial" w:hAnsi="Arial"/>
            <w:sz w:val="16"/>
            <w:szCs w:val="16"/>
            <w:u w:val="single" w:color="auto"/>
            <w:color w:val="0000EE"/>
          </w:rPr>
          <w:t>Exhibits, Financial Statement Schedules</w:t>
        </w:r>
      </w:hyperlink>
    </w:p>
    <w:p>
      <w:pPr>
        <w:spacing w:after="0" w:line="36"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hyperlink w:anchor="page91">
        <w:r>
          <w:rPr>
            <w:rFonts w:ascii="Arial" w:cs="Arial" w:eastAsia="Arial" w:hAnsi="Arial"/>
            <w:sz w:val="18"/>
            <w:szCs w:val="18"/>
            <w:u w:val="single" w:color="auto"/>
            <w:color w:val="0000EE"/>
          </w:rPr>
          <w:t>Item 16.</w:t>
        </w:r>
      </w:hyperlink>
      <w:r>
        <w:rPr>
          <w:rFonts w:ascii="Arial" w:cs="Arial" w:eastAsia="Arial" w:hAnsi="Arial"/>
          <w:sz w:val="18"/>
          <w:szCs w:val="18"/>
          <w:u w:val="single" w:color="auto"/>
          <w:color w:val="0000EE"/>
        </w:rPr>
        <w:tab/>
      </w:r>
      <w:hyperlink w:anchor="page91">
        <w:r>
          <w:rPr>
            <w:rFonts w:ascii="Arial" w:cs="Arial" w:eastAsia="Arial" w:hAnsi="Arial"/>
            <w:sz w:val="16"/>
            <w:szCs w:val="16"/>
            <w:u w:val="single" w:color="auto"/>
            <w:color w:val="0000EE"/>
          </w:rPr>
          <w:t>Form 10-K Summary</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390"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6350</wp:posOffset>
            </wp:positionV>
            <wp:extent cx="274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55</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86</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92</w:t>
      </w:r>
    </w:p>
    <w:p>
      <w:pPr>
        <w:sectPr>
          <w:pgSz w:w="11900" w:h="16838" w:orient="portrait"/>
          <w:cols w:equalWidth="0" w:num="2">
            <w:col w:w="8260" w:space="440"/>
            <w:col w:w="3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ind w:firstLine="401"/>
        <w:spacing w:after="0" w:line="182"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58" w:lineRule="exact"/>
        <w:rPr>
          <w:sz w:val="20"/>
          <w:szCs w:val="20"/>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revenue, expenses, capital requirements and our needs for additional financing;</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products, technologies and businesses;</w:t>
      </w:r>
    </w:p>
    <w:p>
      <w:pPr>
        <w:spacing w:after="0" w:line="88" w:lineRule="exact"/>
        <w:rPr>
          <w:rFonts w:ascii="Arial" w:cs="Arial" w:eastAsia="Arial" w:hAnsi="Arial"/>
          <w:sz w:val="17"/>
          <w:szCs w:val="17"/>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76" w:lineRule="exact"/>
        <w:rPr>
          <w:rFonts w:ascii="Arial" w:cs="Arial" w:eastAsia="Arial" w:hAnsi="Arial"/>
          <w:sz w:val="18"/>
          <w:szCs w:val="18"/>
          <w:color w:val="auto"/>
        </w:rPr>
      </w:pPr>
    </w:p>
    <w:p>
      <w:pPr>
        <w:ind w:left="740" w:right="480" w:hanging="332"/>
        <w:spacing w:after="0" w:line="23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by expanding our sales to existing customers or introducing our products to new customers;</w:t>
      </w:r>
    </w:p>
    <w:p>
      <w:pPr>
        <w:spacing w:after="0" w:line="53" w:lineRule="exact"/>
        <w:rPr>
          <w:rFonts w:ascii="Arial" w:cs="Arial" w:eastAsia="Arial" w:hAnsi="Arial"/>
          <w:sz w:val="18"/>
          <w:szCs w:val="18"/>
          <w:color w:val="auto"/>
        </w:rPr>
      </w:pPr>
    </w:p>
    <w:p>
      <w:pPr>
        <w:ind w:left="740" w:right="900" w:hanging="332"/>
        <w:spacing w:after="0" w:line="23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MRAM market opportunity;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share price.</w:t>
      </w:r>
    </w:p>
    <w:p>
      <w:pPr>
        <w:spacing w:after="0" w:line="185" w:lineRule="exact"/>
        <w:rPr>
          <w:sz w:val="20"/>
          <w:szCs w:val="20"/>
          <w:color w:val="auto"/>
        </w:rPr>
      </w:pPr>
    </w:p>
    <w:p>
      <w:pPr>
        <w:ind w:right="20" w:firstLine="401"/>
        <w:spacing w:after="0"/>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99" w:firstLine="401"/>
        <w:spacing w:after="0" w:line="214" w:lineRule="auto"/>
        <w:rPr>
          <w:sz w:val="20"/>
          <w:szCs w:val="20"/>
          <w:color w:val="auto"/>
        </w:rPr>
      </w:pPr>
      <w:r>
        <w:rPr>
          <w:rFonts w:ascii="Arial" w:cs="Arial" w:eastAsia="Arial" w:hAnsi="Arial"/>
          <w:sz w:val="18"/>
          <w:szCs w:val="18"/>
          <w:color w:val="auto"/>
        </w:rPr>
        <w:t>We are the leading provider of magnetoresistive random access memory (MRAM) solutions. Our MRAM solutions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w:t>
      </w:r>
    </w:p>
    <w:p>
      <w:pPr>
        <w:spacing w:after="0" w:line="162" w:lineRule="exact"/>
        <w:rPr>
          <w:sz w:val="20"/>
          <w:szCs w:val="20"/>
          <w:color w:val="auto"/>
        </w:rPr>
      </w:pPr>
    </w:p>
    <w:p>
      <w:pPr>
        <w:ind w:right="19" w:firstLine="401"/>
        <w:spacing w:after="0" w:line="223" w:lineRule="auto"/>
        <w:rPr>
          <w:sz w:val="20"/>
          <w:szCs w:val="20"/>
          <w:color w:val="auto"/>
        </w:rPr>
      </w:pPr>
      <w:r>
        <w:rPr>
          <w:rFonts w:ascii="Arial" w:cs="Arial" w:eastAsia="Arial" w:hAnsi="Arial"/>
          <w:sz w:val="17"/>
          <w:szCs w:val="17"/>
          <w:color w:val="auto"/>
        </w:rPr>
        <w:t>Our MRAM technology, unlike traditional semiconductor memory technologies, stores data as a magnetic state rather than an electrical charge, and is offered as either a discrete or embedded solution. Our products read and write data at speeds on par with most dynamic RAM (DRAM) and static RAM (SRAM). Our products offer the non-volatility of flash memory but with significantly superior endurance. We offer our MRAM products with different densities and interfaces to address the various needs of our customers. Our lower-density MRAM products, which we define as having bit densities from 128kb to 16Mb, offer write-speeds on par with SRAM, with virtually unlimited endurance. Our higher density products, which we define as having bit densities at or greater than 64Mb, offer write-speeds on par with DRAM and have superior endurance compared to most other non-volatile memory technologies.</w:t>
      </w:r>
    </w:p>
    <w:p>
      <w:pPr>
        <w:spacing w:after="0" w:line="168" w:lineRule="exact"/>
        <w:rPr>
          <w:sz w:val="20"/>
          <w:szCs w:val="20"/>
          <w:color w:val="auto"/>
        </w:rPr>
      </w:pPr>
    </w:p>
    <w:p>
      <w:pPr>
        <w:ind w:right="79" w:firstLine="401"/>
        <w:spacing w:after="0" w:line="214" w:lineRule="auto"/>
        <w:rPr>
          <w:sz w:val="20"/>
          <w:szCs w:val="20"/>
          <w:color w:val="auto"/>
        </w:rPr>
      </w:pPr>
      <w:r>
        <w:rPr>
          <w:rFonts w:ascii="Arial" w:cs="Arial" w:eastAsia="Arial" w:hAnsi="Arial"/>
          <w:sz w:val="18"/>
          <w:szCs w:val="18"/>
          <w:color w:val="auto"/>
        </w:rPr>
        <w:t>Our lower-density products are optimized for use in industrial, and automotive and transportation applications, while our higher-density products are optimized for use in enterprise storage applications. In the enterprise storage market, we collaborate with industry-leading memory controller companies to enable compatibility of their controllers with our MRAM products, facilitating the adoption of our solutions into our customers’ existing end products. We sell our products directly and through our established distribution channel to industry-leading original equipment manufacturers (OEMs) and original design manufacturers (ODMs)</w:t>
      </w:r>
    </w:p>
    <w:p>
      <w:pPr>
        <w:spacing w:after="0" w:line="162" w:lineRule="exact"/>
        <w:rPr>
          <w:sz w:val="20"/>
          <w:szCs w:val="20"/>
          <w:color w:val="auto"/>
        </w:rPr>
      </w:pPr>
    </w:p>
    <w:p>
      <w:pPr>
        <w:ind w:right="39" w:firstLine="401"/>
        <w:spacing w:after="0" w:line="237" w:lineRule="auto"/>
        <w:rPr>
          <w:sz w:val="20"/>
          <w:szCs w:val="20"/>
          <w:color w:val="auto"/>
        </w:rPr>
      </w:pPr>
      <w:r>
        <w:rPr>
          <w:rFonts w:ascii="Arial" w:cs="Arial" w:eastAsia="Arial" w:hAnsi="Arial"/>
          <w:sz w:val="16"/>
          <w:szCs w:val="16"/>
          <w:color w:val="auto"/>
        </w:rPr>
        <w:t>We leverage both internal and outsourced manufacturing capabilities to produce our MRAM products. We purchase industry-standard complementary metal-oxide semiconductor (CMOS) wafers from semiconductor foundries and complete the processing of our products by inserting our magnetic-bit technology at our 200mm fabrication facility in Chandler, Arizona. We have entered into a manufacturing agreement with GLOBALFOUNDRIES for 300mm high-volume production of our higher-density products. We believe our strategic relationship with GLOBALFOUNDRIES accelerates the development of our MRAM solutions, provides us with leading-edge outsourced manufacturing capabilities, and enables us to operate a variable cost financial model. In addition, GLOBALFOUNDRIES has the ability to embed our technology in its products for sale to its customers, from which we would earn licensing or royalty revenue.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the years ended December 31, 2017, 2016, and 2015 we recorded revenue of $35.9 million, $27.1 million, and</w:t>
      </w:r>
    </w:p>
    <w:p>
      <w:pPr>
        <w:spacing w:after="0" w:line="229" w:lineRule="auto"/>
        <w:rPr>
          <w:sz w:val="20"/>
          <w:szCs w:val="20"/>
          <w:color w:val="auto"/>
        </w:rPr>
      </w:pPr>
      <w:r>
        <w:rPr>
          <w:rFonts w:ascii="Arial" w:cs="Arial" w:eastAsia="Arial" w:hAnsi="Arial"/>
          <w:sz w:val="16"/>
          <w:szCs w:val="16"/>
          <w:color w:val="auto"/>
        </w:rPr>
        <w:t>$26.5 million, gross margin of 59.8%, 54.3%, and 52.7%, and a net loss of $21.1 million, $16.7 million, and $18.2 million,</w:t>
      </w:r>
    </w:p>
    <w:p>
      <w:pPr>
        <w:spacing w:after="0" w:line="215" w:lineRule="auto"/>
        <w:rPr>
          <w:sz w:val="20"/>
          <w:szCs w:val="20"/>
          <w:color w:val="auto"/>
        </w:rPr>
      </w:pPr>
      <w:r>
        <w:rPr>
          <w:rFonts w:ascii="Arial" w:cs="Arial" w:eastAsia="Arial" w:hAnsi="Arial"/>
          <w:sz w:val="17"/>
          <w:szCs w:val="17"/>
          <w:color w:val="auto"/>
        </w:rPr>
        <w:t>respectively. As of December 31, 2017, we had 90 employees, more than half of whom are engaged in research and</w:t>
      </w:r>
    </w:p>
    <w:p>
      <w:pPr>
        <w:spacing w:after="0" w:line="229" w:lineRule="auto"/>
        <w:rPr>
          <w:sz w:val="20"/>
          <w:szCs w:val="20"/>
          <w:color w:val="auto"/>
        </w:rPr>
      </w:pPr>
      <w:r>
        <w:rPr>
          <w:rFonts w:ascii="Arial" w:cs="Arial" w:eastAsia="Arial" w:hAnsi="Arial"/>
          <w:sz w:val="16"/>
          <w:szCs w:val="16"/>
          <w:color w:val="auto"/>
        </w:rPr>
        <w:t>development. Our headquarters are located in Chandler, Arizona. Our principal design center is in Austin, Texas, and we</w:t>
      </w:r>
    </w:p>
    <w:p>
      <w:pPr>
        <w:spacing w:after="0"/>
        <w:rPr>
          <w:sz w:val="20"/>
          <w:szCs w:val="20"/>
          <w:color w:val="auto"/>
        </w:rPr>
      </w:pPr>
      <w:r>
        <w:rPr>
          <w:rFonts w:ascii="Arial" w:cs="Arial" w:eastAsia="Arial" w:hAnsi="Arial"/>
          <w:sz w:val="18"/>
          <w:szCs w:val="18"/>
          <w:color w:val="auto"/>
        </w:rPr>
        <w:t>have additional sales operations in the Americas, Europe and Asia-Pacific regions.</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 for Fast, Persistent Memory MRAM</w:t>
      </w:r>
    </w:p>
    <w:p>
      <w:pPr>
        <w:spacing w:after="0" w:line="189" w:lineRule="exact"/>
        <w:rPr>
          <w:sz w:val="20"/>
          <w:szCs w:val="20"/>
          <w:color w:val="auto"/>
        </w:rPr>
      </w:pPr>
    </w:p>
    <w:p>
      <w:pPr>
        <w:jc w:val="both"/>
        <w:ind w:firstLine="401"/>
        <w:spacing w:after="0" w:line="241" w:lineRule="auto"/>
        <w:rPr>
          <w:sz w:val="20"/>
          <w:szCs w:val="20"/>
          <w:color w:val="auto"/>
        </w:rPr>
      </w:pPr>
      <w:r>
        <w:rPr>
          <w:rFonts w:ascii="Arial" w:cs="Arial" w:eastAsia="Arial" w:hAnsi="Arial"/>
          <w:sz w:val="16"/>
          <w:szCs w:val="16"/>
          <w:color w:val="auto"/>
        </w:rPr>
        <w:t>Traditional memory technologies have either fast write-speeds or are non-volatile, but not both. MRAM combines both features into a single solution, making it an ideal memory to protect data in the event of power interruption or failure, and to store data that is frequently written and accessed. We believe customers that employ MRAM in their systems are better able to design higher performance, lower power, more reliable and simpler systems than they would be able to design using other existing memory technologies. The following attributes make MRAM an increasingly important application specific memory solution for system architectures that require non-volatile memory with the speed and endurance of RAM:</w:t>
      </w:r>
    </w:p>
    <w:p>
      <w:pPr>
        <w:spacing w:after="0" w:line="161" w:lineRule="exact"/>
        <w:rPr>
          <w:sz w:val="20"/>
          <w:szCs w:val="20"/>
          <w:color w:val="auto"/>
        </w:rPr>
      </w:pPr>
    </w:p>
    <w:p>
      <w:pPr>
        <w:ind w:right="80" w:firstLine="401"/>
        <w:spacing w:after="0" w:line="258" w:lineRule="auto"/>
        <w:rPr>
          <w:sz w:val="20"/>
          <w:szCs w:val="20"/>
          <w:color w:val="auto"/>
        </w:rPr>
      </w:pPr>
      <w:r>
        <w:rPr>
          <w:rFonts w:ascii="Arial" w:cs="Arial" w:eastAsia="Arial" w:hAnsi="Arial"/>
          <w:sz w:val="17"/>
          <w:szCs w:val="17"/>
          <w:b w:val="1"/>
          <w:bCs w:val="1"/>
          <w:i w:val="1"/>
          <w:iCs w:val="1"/>
          <w:color w:val="auto"/>
        </w:rPr>
        <w:t xml:space="preserve">Non-volatile. </w:t>
      </w:r>
      <w:r>
        <w:rPr>
          <w:rFonts w:ascii="Arial" w:cs="Arial" w:eastAsia="Arial" w:hAnsi="Arial"/>
          <w:sz w:val="17"/>
          <w:szCs w:val="17"/>
          <w:color w:val="auto"/>
        </w:rPr>
        <w:t>MRAM can retain data in the event of power interruption or failure, which enables end-system designers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create products without costly power-loss protection systems, such as batteries and capacitors.</w:t>
      </w:r>
    </w:p>
    <w:p>
      <w:pPr>
        <w:spacing w:after="0" w:line="147" w:lineRule="exact"/>
        <w:rPr>
          <w:sz w:val="20"/>
          <w:szCs w:val="20"/>
          <w:color w:val="auto"/>
        </w:rPr>
      </w:pPr>
    </w:p>
    <w:p>
      <w:pPr>
        <w:ind w:right="40" w:firstLine="401"/>
        <w:spacing w:after="0" w:line="238" w:lineRule="auto"/>
        <w:rPr>
          <w:sz w:val="20"/>
          <w:szCs w:val="20"/>
          <w:color w:val="auto"/>
        </w:rPr>
      </w:pPr>
      <w:r>
        <w:rPr>
          <w:rFonts w:ascii="Arial" w:cs="Arial" w:eastAsia="Arial" w:hAnsi="Arial"/>
          <w:sz w:val="17"/>
          <w:szCs w:val="17"/>
          <w:b w:val="1"/>
          <w:bCs w:val="1"/>
          <w:i w:val="1"/>
          <w:iCs w:val="1"/>
          <w:color w:val="auto"/>
        </w:rPr>
        <w:t xml:space="preserve">Fast Write- Speeds. </w:t>
      </w:r>
      <w:r>
        <w:rPr>
          <w:rFonts w:ascii="Arial" w:cs="Arial" w:eastAsia="Arial" w:hAnsi="Arial"/>
          <w:sz w:val="17"/>
          <w:szCs w:val="17"/>
          <w:color w:val="auto"/>
        </w:rPr>
        <w:t>MRAM offers write-speeds that are on par with the fastest available volatile memory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most DRAM and SRAM and is significantly faster than other non-volatile memories used today. For example, MRAM writes a block over 100,000 times faster than NAND flash, a type of non-volatile flash memory.</w:t>
      </w:r>
    </w:p>
    <w:p>
      <w:pPr>
        <w:spacing w:after="0" w:line="161" w:lineRule="exact"/>
        <w:rPr>
          <w:sz w:val="20"/>
          <w:szCs w:val="20"/>
          <w:color w:val="auto"/>
        </w:rPr>
      </w:pPr>
    </w:p>
    <w:p>
      <w:pPr>
        <w:ind w:right="40" w:firstLine="401"/>
        <w:spacing w:after="0" w:line="224" w:lineRule="auto"/>
        <w:rPr>
          <w:sz w:val="20"/>
          <w:szCs w:val="20"/>
          <w:color w:val="auto"/>
        </w:rPr>
      </w:pPr>
      <w:r>
        <w:rPr>
          <w:rFonts w:ascii="Arial" w:cs="Arial" w:eastAsia="Arial" w:hAnsi="Arial"/>
          <w:sz w:val="18"/>
          <w:szCs w:val="18"/>
          <w:b w:val="1"/>
          <w:bCs w:val="1"/>
          <w:i w:val="1"/>
          <w:iCs w:val="1"/>
          <w:color w:val="auto"/>
        </w:rPr>
        <w:t xml:space="preserve">Superior Write- Cycle Endurance. </w:t>
      </w:r>
      <w:r>
        <w:rPr>
          <w:rFonts w:ascii="Arial" w:cs="Arial" w:eastAsia="Arial" w:hAnsi="Arial"/>
          <w:sz w:val="18"/>
          <w:szCs w:val="18"/>
          <w:color w:val="auto"/>
        </w:rPr>
        <w:t>MRAM offers superior write-cycle endurance to existing non-volatile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end-systems designers to offer products that are not limited by memory wear-out. For example, MRAM write-cycle endurance is nearly 10 million times greater than NAND flash.</w:t>
      </w:r>
    </w:p>
    <w:p>
      <w:pPr>
        <w:spacing w:after="0" w:line="163"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b w:val="1"/>
          <w:bCs w:val="1"/>
          <w:i w:val="1"/>
          <w:iCs w:val="1"/>
          <w:color w:val="auto"/>
        </w:rPr>
        <w:t xml:space="preserve">Scalable to Greater Densities and Smaller Process Geometries. </w:t>
      </w:r>
      <w:r>
        <w:rPr>
          <w:rFonts w:ascii="Arial" w:cs="Arial" w:eastAsia="Arial" w:hAnsi="Arial"/>
          <w:sz w:val="18"/>
          <w:szCs w:val="18"/>
          <w:color w:val="auto"/>
        </w:rPr>
        <w:t>MRAM’s write-speed and endurance are scalable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bit densities and smaller geometries, which we believe will allow system designers to employ MRAM in applications that require more memory and smaller form factors.</w:t>
      </w:r>
    </w:p>
    <w:p>
      <w:pPr>
        <w:spacing w:after="0" w:line="163"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b w:val="1"/>
          <w:bCs w:val="1"/>
          <w:i w:val="1"/>
          <w:iCs w:val="1"/>
          <w:color w:val="auto"/>
        </w:rPr>
        <w:t xml:space="preserve">Proven to be Manufacturable at High Volumes. </w:t>
      </w:r>
      <w:r>
        <w:rPr>
          <w:rFonts w:ascii="Arial" w:cs="Arial" w:eastAsia="Arial" w:hAnsi="Arial"/>
          <w:sz w:val="18"/>
          <w:szCs w:val="18"/>
          <w:color w:val="auto"/>
        </w:rPr>
        <w:t>MRAM can be manufactured in high volumes and in advanced nodes,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compatible with standard CMOS.</w:t>
      </w:r>
    </w:p>
    <w:p>
      <w:pPr>
        <w:spacing w:after="0" w:line="162" w:lineRule="exact"/>
        <w:rPr>
          <w:sz w:val="20"/>
          <w:szCs w:val="20"/>
          <w:color w:val="auto"/>
        </w:rPr>
      </w:pPr>
    </w:p>
    <w:p>
      <w:pPr>
        <w:jc w:val="both"/>
        <w:ind w:right="160" w:firstLine="401"/>
        <w:spacing w:after="0" w:line="224" w:lineRule="auto"/>
        <w:rPr>
          <w:sz w:val="20"/>
          <w:szCs w:val="20"/>
          <w:color w:val="auto"/>
        </w:rPr>
      </w:pPr>
      <w:r>
        <w:rPr>
          <w:rFonts w:ascii="Arial" w:cs="Arial" w:eastAsia="Arial" w:hAnsi="Arial"/>
          <w:sz w:val="18"/>
          <w:szCs w:val="18"/>
          <w:b w:val="1"/>
          <w:bCs w:val="1"/>
          <w:i w:val="1"/>
          <w:iCs w:val="1"/>
          <w:color w:val="auto"/>
        </w:rPr>
        <w:t xml:space="preserve">Low Energy Requirement. </w:t>
      </w:r>
      <w:r>
        <w:rPr>
          <w:rFonts w:ascii="Arial" w:cs="Arial" w:eastAsia="Arial" w:hAnsi="Arial"/>
          <w:sz w:val="18"/>
          <w:szCs w:val="18"/>
          <w:color w:val="auto"/>
        </w:rPr>
        <w:t>MRAM utilizes energy efficiently over the duration of its write and read cycles. It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be completely powered down, consuming no energy while still retaining data, which data can be accessed quickly once power is restored.</w:t>
      </w:r>
    </w:p>
    <w:p>
      <w:pPr>
        <w:spacing w:after="0" w:line="163" w:lineRule="exact"/>
        <w:rPr>
          <w:sz w:val="20"/>
          <w:szCs w:val="20"/>
          <w:color w:val="auto"/>
        </w:rPr>
      </w:pPr>
    </w:p>
    <w:p>
      <w:pPr>
        <w:ind w:right="80" w:firstLine="401"/>
        <w:spacing w:after="0" w:line="219" w:lineRule="auto"/>
        <w:rPr>
          <w:sz w:val="20"/>
          <w:szCs w:val="20"/>
          <w:color w:val="auto"/>
        </w:rPr>
      </w:pPr>
      <w:r>
        <w:rPr>
          <w:rFonts w:ascii="Arial" w:cs="Arial" w:eastAsia="Arial" w:hAnsi="Arial"/>
          <w:sz w:val="18"/>
          <w:szCs w:val="18"/>
          <w:color w:val="auto"/>
        </w:rPr>
        <w:t>These attributes enable MRAM to be used as a true Persistent Memory, by which we mean a form of memory that has non-volatility that is similar to storage but with performance that is similar to DRAM or SRAM. MRAM has already proven its commercial viability as a discrete and embedded solution in application-specific memory markets and we believe it will become a mainstream memory technology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Discrete MRAM Market Opportunity</w:t>
      </w:r>
    </w:p>
    <w:p>
      <w:pPr>
        <w:spacing w:after="0" w:line="189" w:lineRule="exact"/>
        <w:rPr>
          <w:sz w:val="20"/>
          <w:szCs w:val="20"/>
          <w:color w:val="auto"/>
        </w:rPr>
      </w:pPr>
    </w:p>
    <w:p>
      <w:pPr>
        <w:ind w:right="220" w:firstLine="401"/>
        <w:spacing w:after="0" w:line="235" w:lineRule="auto"/>
        <w:rPr>
          <w:sz w:val="20"/>
          <w:szCs w:val="20"/>
          <w:color w:val="auto"/>
        </w:rPr>
      </w:pPr>
      <w:r>
        <w:rPr>
          <w:rFonts w:ascii="Arial" w:cs="Arial" w:eastAsia="Arial" w:hAnsi="Arial"/>
          <w:sz w:val="18"/>
          <w:szCs w:val="18"/>
          <w:color w:val="auto"/>
        </w:rPr>
        <w:t>We expect the introduction of increasingly higher density MRAM solutions will result in greater adoption of MRAM technology into a wider range of applications and end markets.</w:t>
      </w:r>
    </w:p>
    <w:p>
      <w:pPr>
        <w:spacing w:after="0" w:line="162" w:lineRule="exact"/>
        <w:rPr>
          <w:sz w:val="20"/>
          <w:szCs w:val="20"/>
          <w:color w:val="auto"/>
        </w:rPr>
      </w:pPr>
    </w:p>
    <w:p>
      <w:pPr>
        <w:ind w:firstLine="401"/>
        <w:spacing w:after="0" w:line="211" w:lineRule="auto"/>
        <w:rPr>
          <w:sz w:val="20"/>
          <w:szCs w:val="20"/>
          <w:color w:val="auto"/>
        </w:rPr>
      </w:pPr>
      <w:r>
        <w:rPr>
          <w:rFonts w:ascii="Arial" w:cs="Arial" w:eastAsia="Arial" w:hAnsi="Arial"/>
          <w:sz w:val="18"/>
          <w:szCs w:val="18"/>
          <w:color w:val="auto"/>
        </w:rPr>
        <w:t>We expect our Toggle MRAM solutions, which have lower bit densities ranging from 128kb to 16Mb, to continue to serve customers in the industrial, automotive and transportation end markets, where products tend to have long product life cycles. As MRAM bit densities increase, we believe MRAM solutions will be well-suited to address a wider range of large and growing markets, such as server and storage, increasing the overall market opportunity for MRAM. We believe our Spin-torque Transfer (STT) MRAM solutions, which are designed to have bit densities at or greater than 256b, will drive the rapid adoption of our products into enterprise storage applications. We believe the introduction of MRAM solutions with bit densities of 1Gb or greater will extend the opportunity for MRAM into additional adjacent markets such as server and mobile computing.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MRAM Technology</w:t>
      </w:r>
    </w:p>
    <w:p>
      <w:pPr>
        <w:spacing w:after="0" w:line="189" w:lineRule="exact"/>
        <w:rPr>
          <w:sz w:val="20"/>
          <w:szCs w:val="20"/>
          <w:color w:val="auto"/>
        </w:rPr>
      </w:pPr>
    </w:p>
    <w:p>
      <w:pPr>
        <w:jc w:val="both"/>
        <w:ind w:right="160" w:firstLine="401"/>
        <w:spacing w:after="0" w:line="238" w:lineRule="auto"/>
        <w:rPr>
          <w:sz w:val="20"/>
          <w:szCs w:val="20"/>
          <w:color w:val="auto"/>
        </w:rPr>
      </w:pPr>
      <w:r>
        <w:rPr>
          <w:rFonts w:ascii="Arial" w:cs="Arial" w:eastAsia="Arial" w:hAnsi="Arial"/>
          <w:sz w:val="17"/>
          <w:szCs w:val="17"/>
          <w:color w:val="auto"/>
        </w:rPr>
        <w:t>In addition to use as a discrete product, MRAM can serve as embedded memory in a variety of CMOS technologies. Memory accounts for a significant portion of the area of System-on-a-Chips (SoCs), application-specific integrated circuits (ASICs), application-specific standard products, microcontrollers, baseband processors, storage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controllers, application processors and field-programmable gate arrays. Memory that is integrated in these products is called embedded memory and offers similar performance to its discrete counterparts.</w:t>
      </w:r>
    </w:p>
    <w:p>
      <w:pPr>
        <w:spacing w:after="0" w:line="162" w:lineRule="exact"/>
        <w:rPr>
          <w:sz w:val="20"/>
          <w:szCs w:val="20"/>
          <w:color w:val="auto"/>
        </w:rPr>
      </w:pPr>
    </w:p>
    <w:p>
      <w:pPr>
        <w:ind w:right="60" w:firstLine="401"/>
        <w:spacing w:after="0" w:line="226" w:lineRule="auto"/>
        <w:rPr>
          <w:sz w:val="20"/>
          <w:szCs w:val="20"/>
          <w:color w:val="auto"/>
        </w:rPr>
      </w:pPr>
      <w:r>
        <w:rPr>
          <w:rFonts w:ascii="Arial" w:cs="Arial" w:eastAsia="Arial" w:hAnsi="Arial"/>
          <w:sz w:val="17"/>
          <w:szCs w:val="17"/>
          <w:color w:val="auto"/>
        </w:rPr>
        <w:t>Today’s mainstream embedded memory solutions include embedded SRAM (eSRAM), embedded Flash (eFlash), and embedded DRAM (eDRAM). We believe these technologies have process and cost challenges in scaling to advanced CMOS processing nodes at 28nm and below. Embedded MRAM’s (eMRAM) compatibility with CMOS processes, combined with its lower leakage, byte addressability, small cell size and high write-cycle endurance make it well-suited as a replacement for eSRAM, eFlash and eDRAM. We believe the use of eMRAM will be more cost effective for foundries by maintaining compatibility with standard CMOS, thus improving manufacturing efficiency.</w:t>
      </w:r>
    </w:p>
    <w:p>
      <w:pPr>
        <w:spacing w:after="0" w:line="165" w:lineRule="exact"/>
        <w:rPr>
          <w:sz w:val="20"/>
          <w:szCs w:val="20"/>
          <w:color w:val="auto"/>
        </w:rPr>
      </w:pPr>
    </w:p>
    <w:p>
      <w:pPr>
        <w:ind w:firstLine="401"/>
        <w:spacing w:after="0" w:line="189" w:lineRule="exact"/>
        <w:rPr>
          <w:sz w:val="20"/>
          <w:szCs w:val="20"/>
          <w:color w:val="auto"/>
        </w:rPr>
      </w:pPr>
      <w:r>
        <w:rPr>
          <w:rFonts w:ascii="Arial" w:cs="Arial" w:eastAsia="Arial" w:hAnsi="Arial"/>
          <w:sz w:val="18"/>
          <w:szCs w:val="18"/>
          <w:color w:val="auto"/>
        </w:rPr>
        <w:t>eSRAM, which uses six transistors (6</w:t>
      </w:r>
      <w:r>
        <w:rPr>
          <w:rFonts w:ascii="MS PGothic" w:cs="MS PGothic" w:eastAsia="MS PGothic" w:hAnsi="MS PGothic"/>
          <w:sz w:val="18"/>
          <w:szCs w:val="18"/>
          <w:color w:val="auto"/>
        </w:rPr>
        <w:t>‑</w:t>
      </w:r>
      <w:r>
        <w:rPr>
          <w:rFonts w:ascii="Arial" w:cs="Arial" w:eastAsia="Arial" w:hAnsi="Arial"/>
          <w:sz w:val="18"/>
          <w:szCs w:val="18"/>
          <w:color w:val="auto"/>
        </w:rPr>
        <w:t>T) to construct a memory bit, requires more silicon area and additional power due to leakage current from its multiple-transistor architecture. Embedded MRAM, which uses a single transistor architecture, results in less leakage current and requires a smaller area on an integrated circuit to achieve equivalent or better performance than eSRAM.</w:t>
      </w:r>
    </w:p>
    <w:p>
      <w:pPr>
        <w:spacing w:after="0" w:line="163" w:lineRule="exact"/>
        <w:rPr>
          <w:sz w:val="20"/>
          <w:szCs w:val="20"/>
          <w:color w:val="auto"/>
        </w:rPr>
      </w:pPr>
    </w:p>
    <w:p>
      <w:pPr>
        <w:ind w:right="80" w:firstLine="401"/>
        <w:spacing w:after="0" w:line="226" w:lineRule="auto"/>
        <w:rPr>
          <w:sz w:val="20"/>
          <w:szCs w:val="20"/>
          <w:color w:val="auto"/>
        </w:rPr>
      </w:pPr>
      <w:r>
        <w:rPr>
          <w:rFonts w:ascii="Arial" w:cs="Arial" w:eastAsia="Arial" w:hAnsi="Arial"/>
          <w:sz w:val="17"/>
          <w:szCs w:val="17"/>
          <w:color w:val="auto"/>
        </w:rPr>
        <w:t>eFlash requires relatively high voltage and area overhead to program the memory bits, which is contrary to the trend of scaling down the CMOS process for lower power and less chip area. eFlash also has a limited number of write cycles, which can render it ineffective as working memory on the chip. Compared to eFlash, eMRAM requires lower voltage to program bits, which results in greater power efficiency and it has higher write-cycle endurance. eMRAM is byte-addressable and has symmetric read and write timing, which makes it suitable as working memory. eFlash must be erased and programmed in pages, which is less efficient for intensive writing applications.</w:t>
      </w:r>
    </w:p>
    <w:p>
      <w:pPr>
        <w:spacing w:after="0" w:line="165" w:lineRule="exact"/>
        <w:rPr>
          <w:sz w:val="20"/>
          <w:szCs w:val="20"/>
          <w:color w:val="auto"/>
        </w:rPr>
      </w:pPr>
    </w:p>
    <w:p>
      <w:pPr>
        <w:ind w:right="140" w:firstLine="401"/>
        <w:spacing w:after="0" w:line="232" w:lineRule="auto"/>
        <w:rPr>
          <w:sz w:val="20"/>
          <w:szCs w:val="20"/>
          <w:color w:val="auto"/>
        </w:rPr>
      </w:pPr>
      <w:r>
        <w:rPr>
          <w:rFonts w:ascii="Arial" w:cs="Arial" w:eastAsia="Arial" w:hAnsi="Arial"/>
          <w:sz w:val="17"/>
          <w:szCs w:val="17"/>
          <w:color w:val="auto"/>
        </w:rPr>
        <w:t>eDRAM is a volatile memory that does not retain data when power is off. eDRAM manufacturing requires additional process steps and costs to build a capacitor to store the data. This manufacturing process could diminish the functionality of the memory or logic components in the integrated circuit. eMRAM, however, can be added towards the end of the manufacturing process, which does not impact the overall performance of the integrated circuit.</w:t>
      </w:r>
    </w:p>
    <w:p>
      <w:pPr>
        <w:spacing w:after="0" w:line="163" w:lineRule="exact"/>
        <w:rPr>
          <w:sz w:val="20"/>
          <w:szCs w:val="20"/>
          <w:color w:val="auto"/>
        </w:rPr>
      </w:pPr>
    </w:p>
    <w:p>
      <w:pPr>
        <w:ind w:right="300" w:firstLine="401"/>
        <w:spacing w:after="0" w:line="235" w:lineRule="auto"/>
        <w:rPr>
          <w:sz w:val="20"/>
          <w:szCs w:val="20"/>
          <w:color w:val="auto"/>
        </w:rPr>
      </w:pPr>
      <w:r>
        <w:rPr>
          <w:rFonts w:ascii="Arial" w:cs="Arial" w:eastAsia="Arial" w:hAnsi="Arial"/>
          <w:sz w:val="18"/>
          <w:szCs w:val="18"/>
          <w:color w:val="auto"/>
        </w:rPr>
        <w:t>The versatility of eMRAM can simplify the design and architecture of the overall integrated circuit by providing the ability to have one memory type serve as both working memory and code storage memory.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89" w:lineRule="exact"/>
        <w:rPr>
          <w:sz w:val="20"/>
          <w:szCs w:val="20"/>
          <w:color w:val="auto"/>
        </w:rPr>
      </w:pPr>
    </w:p>
    <w:p>
      <w:pPr>
        <w:ind w:right="100" w:firstLine="401"/>
        <w:spacing w:after="0" w:line="238" w:lineRule="auto"/>
        <w:rPr>
          <w:sz w:val="20"/>
          <w:szCs w:val="20"/>
          <w:color w:val="auto"/>
        </w:rPr>
      </w:pPr>
      <w:r>
        <w:rPr>
          <w:rFonts w:ascii="Arial" w:cs="Arial" w:eastAsia="Arial" w:hAnsi="Arial"/>
          <w:sz w:val="17"/>
          <w:szCs w:val="17"/>
          <w:color w:val="auto"/>
        </w:rPr>
        <w:t>We are the only commercial provider of MRAM products. 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Toggle MRAM</w:t>
      </w:r>
    </w:p>
    <w:p>
      <w:pPr>
        <w:spacing w:after="0" w:line="185" w:lineRule="exact"/>
        <w:rPr>
          <w:sz w:val="20"/>
          <w:szCs w:val="20"/>
          <w:color w:val="auto"/>
        </w:rPr>
      </w:pPr>
    </w:p>
    <w:p>
      <w:pPr>
        <w:ind w:right="120" w:firstLine="401"/>
        <w:spacing w:after="0" w:line="223" w:lineRule="auto"/>
        <w:rPr>
          <w:sz w:val="20"/>
          <w:szCs w:val="20"/>
          <w:color w:val="auto"/>
        </w:rPr>
      </w:pPr>
      <w:r>
        <w:rPr>
          <w:rFonts w:ascii="Arial" w:cs="Arial" w:eastAsia="Arial" w:hAnsi="Arial"/>
          <w:sz w:val="17"/>
          <w:szCs w:val="17"/>
          <w:color w:val="auto"/>
        </w:rPr>
        <w:t>Our Toggle products, which we have been shipping since 2008, are primarily designed to address applications in the industrial, automotive and transportation markets. Our customers in these markets require memory technology that is non-volatile, writes continuously at high speeds to limit data loss, operates in harsh environments, and maintains endurance over long product lifecycles. To address these requirements, we designed our Toggle MRAM products to offer the persistence of non-volatile memory, speeds comparable to SRAM, reliability across a wide temperature range, and virtually unlimited write-cycles. We have designed our Toggle products to be compatible with industry standard interfaces, including standard SRAM, SPI (Serial Peripheral Interface) and QSPI (Quad SPI) interfaces, enabling our customers to replace incumbent memory solutions with our Toggle MRAM solutions. We believe this has been important for the initial success and early adoption of our Toggle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Spin-Transfer Torque MRAM</w:t>
      </w:r>
    </w:p>
    <w:p>
      <w:pPr>
        <w:spacing w:after="0" w:line="185" w:lineRule="exact"/>
        <w:rPr>
          <w:sz w:val="20"/>
          <w:szCs w:val="20"/>
          <w:color w:val="auto"/>
        </w:rPr>
      </w:pPr>
    </w:p>
    <w:p>
      <w:pPr>
        <w:ind w:right="40" w:firstLine="401"/>
        <w:spacing w:after="0" w:line="225" w:lineRule="auto"/>
        <w:rPr>
          <w:sz w:val="20"/>
          <w:szCs w:val="20"/>
          <w:color w:val="auto"/>
        </w:rPr>
      </w:pPr>
      <w:r>
        <w:rPr>
          <w:rFonts w:ascii="Arial" w:cs="Arial" w:eastAsia="Arial" w:hAnsi="Arial"/>
          <w:sz w:val="17"/>
          <w:szCs w:val="17"/>
          <w:color w:val="auto"/>
        </w:rPr>
        <w:t>Our STT-MRAM products, which are currently shipping in 256Mb densities, are initially targeted for enterprise storage market, which includes high performance Solid-State Drives (SSDs), Redundant array of independent disks (RAID) and server applications. Our customers require low latency, protection of data against power interruption and failure, high density and reliability. Our STT-MRAM products offered performance comparable to DRAM, and were up to five orders of magnitude faster than flash block writes, non-volatile to protect against power loss, and offer endurance superior to Flash memory. We use our Perpendicular Magnetic Tunnel Junction (PMTJ) technology to deliver bit density and power efficiency increases to create a true Persistent Memory solution. Our STT-MRAM products are designed with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19"/>
        <w:spacing w:after="0" w:line="235" w:lineRule="auto"/>
        <w:rPr>
          <w:sz w:val="20"/>
          <w:szCs w:val="20"/>
          <w:color w:val="auto"/>
        </w:rPr>
      </w:pPr>
      <w:r>
        <w:rPr>
          <w:rFonts w:ascii="Arial" w:cs="Arial" w:eastAsia="Arial" w:hAnsi="Arial"/>
          <w:sz w:val="18"/>
          <w:szCs w:val="18"/>
          <w:color w:val="auto"/>
        </w:rPr>
        <w:t>derivative standard DDR3 and DDR4 interfaces, which we believe will facilitate market adoption of our products in the enterprise storage and server markets. Our 1Gb density offering is currently in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MRAM</w:t>
      </w:r>
    </w:p>
    <w:p>
      <w:pPr>
        <w:spacing w:after="0" w:line="185" w:lineRule="exact"/>
        <w:rPr>
          <w:sz w:val="20"/>
          <w:szCs w:val="20"/>
          <w:color w:val="auto"/>
        </w:rPr>
      </w:pPr>
    </w:p>
    <w:p>
      <w:pPr>
        <w:ind w:right="179" w:firstLine="401"/>
        <w:spacing w:after="0" w:line="226" w:lineRule="auto"/>
        <w:rPr>
          <w:sz w:val="20"/>
          <w:szCs w:val="20"/>
          <w:color w:val="auto"/>
        </w:rPr>
      </w:pPr>
      <w:r>
        <w:rPr>
          <w:rFonts w:ascii="Arial" w:cs="Arial" w:eastAsia="Arial" w:hAnsi="Arial"/>
          <w:sz w:val="17"/>
          <w:szCs w:val="17"/>
          <w:color w:val="auto"/>
        </w:rPr>
        <w:t>We offer embedded MRAM (eMRAM) to our customers for integration in their SoC solutions. We also enable GLOBALFOUNDRIES to offer eMRAM in the solutions they manufacture for their customers. Our embedded memory solutions offer high performance, low cost and low power and can be manufactured using standard CMOS. eMRAM offers significant advantages over existing embedded memory solutions, particularly in endurance, bandwidth, energy and area requirements, leakage and persistence. We believe our eMRAM solutions offer the performance benefits and process compatibility to become the embedded memory of choice for our current and future foundry partners.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Sensors</w:t>
      </w:r>
    </w:p>
    <w:p>
      <w:pPr>
        <w:spacing w:after="0" w:line="185" w:lineRule="exact"/>
        <w:rPr>
          <w:sz w:val="20"/>
          <w:szCs w:val="20"/>
          <w:color w:val="auto"/>
        </w:rPr>
      </w:pPr>
    </w:p>
    <w:p>
      <w:pPr>
        <w:ind w:right="39" w:firstLine="401"/>
        <w:spacing w:after="0" w:line="226" w:lineRule="auto"/>
        <w:rPr>
          <w:sz w:val="20"/>
          <w:szCs w:val="20"/>
          <w:color w:val="auto"/>
        </w:rPr>
      </w:pPr>
      <w:r>
        <w:rPr>
          <w:rFonts w:ascii="Arial" w:cs="Arial" w:eastAsia="Arial" w:hAnsi="Arial"/>
          <w:sz w:val="17"/>
          <w:szCs w:val="17"/>
          <w:color w:val="auto"/>
        </w:rPr>
        <w:t>We have developed and are currently shipping a high performance, high-reliability magnetic sensor, which is based on our Magnetic Tunnel Junction (MTJ) technology, which is at the core of our memory technology. Our magnetic sensor offers three-axis orientation in a single die, and is integrated into consumer electronics applications as an electronic compass. We believe our magnetic sensor technology can be used for additional power management applications in the industrial, and automotive and transportation, end markets. We currently license our magnetic sensor technology to third parties for their commercial use and plan to continue this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w:t>
      </w:r>
    </w:p>
    <w:p>
      <w:pPr>
        <w:spacing w:after="0" w:line="185" w:lineRule="exact"/>
        <w:rPr>
          <w:sz w:val="20"/>
          <w:szCs w:val="20"/>
          <w:color w:val="auto"/>
        </w:rPr>
      </w:pPr>
    </w:p>
    <w:p>
      <w:pPr>
        <w:ind w:right="159" w:firstLine="401"/>
        <w:spacing w:after="0" w:line="244" w:lineRule="auto"/>
        <w:rPr>
          <w:sz w:val="20"/>
          <w:szCs w:val="20"/>
          <w:color w:val="auto"/>
        </w:rPr>
      </w:pPr>
      <w:r>
        <w:rPr>
          <w:rFonts w:ascii="Arial" w:cs="Arial" w:eastAsia="Arial" w:hAnsi="Arial"/>
          <w:sz w:val="16"/>
          <w:szCs w:val="16"/>
          <w:color w:val="auto"/>
        </w:rPr>
        <w:t>Aerospace and satellite electronic systems require memory that is able to withstand exposure to the levels of radiation encountered in avionics and space applications. MRAM is not susceptible to radiation induced errors because data is stored as a magnetic state rather than as an electrical charge. Aerospace and satellite equipment manufacturers license our technology for use in their electronic systems. Through license agreements, we provide manufacturing service and technology access to certain of our customers, and we sell products to value added subcontractors.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Memory Architecture</w:t>
      </w:r>
    </w:p>
    <w:p>
      <w:pPr>
        <w:spacing w:after="0" w:line="185" w:lineRule="exact"/>
        <w:rPr>
          <w:sz w:val="20"/>
          <w:szCs w:val="20"/>
          <w:color w:val="auto"/>
        </w:rPr>
      </w:pPr>
    </w:p>
    <w:p>
      <w:pPr>
        <w:ind w:right="79" w:firstLine="401"/>
        <w:spacing w:after="0" w:line="232" w:lineRule="auto"/>
        <w:rPr>
          <w:sz w:val="20"/>
          <w:szCs w:val="20"/>
          <w:color w:val="auto"/>
        </w:rPr>
      </w:pPr>
      <w:r>
        <w:rPr>
          <w:rFonts w:ascii="Arial" w:cs="Arial" w:eastAsia="Arial" w:hAnsi="Arial"/>
          <w:sz w:val="17"/>
          <w:szCs w:val="17"/>
          <w:color w:val="auto"/>
        </w:rPr>
        <w:t>Our MRAM solutions are based on our MTJ technology, which writes data by establishing a stable magnetic state, and reads data by measuring the resistance of the MTJ. MTJ devices are multilayered structures, including thin metal and dielectric layers, which are fabricated with methods commonly used in semiconductor manufacturing. The resistance is determined by the orientation of the magnetic field in the free layer relative to the fixed layer.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Toggle MRAM Technology</w:t>
      </w:r>
    </w:p>
    <w:p>
      <w:pPr>
        <w:spacing w:after="0" w:line="185" w:lineRule="exact"/>
        <w:rPr>
          <w:sz w:val="20"/>
          <w:szCs w:val="20"/>
          <w:color w:val="auto"/>
        </w:rPr>
      </w:pPr>
    </w:p>
    <w:p>
      <w:pPr>
        <w:ind w:right="79" w:firstLine="401"/>
        <w:spacing w:after="0" w:line="259" w:lineRule="auto"/>
        <w:rPr>
          <w:sz w:val="20"/>
          <w:szCs w:val="20"/>
          <w:color w:val="auto"/>
        </w:rPr>
      </w:pPr>
      <w:r>
        <w:rPr>
          <w:rFonts w:ascii="Arial" w:cs="Arial" w:eastAsia="Arial" w:hAnsi="Arial"/>
          <w:sz w:val="16"/>
          <w:szCs w:val="16"/>
          <w:color w:val="auto"/>
        </w:rPr>
        <w:t>Our Toggle MRAM technology uses a magnetic field to program, or write, bits. A significant advantage of this “field switching” is virtually unlimited write endurance, as reversing the free-layer magnetization with a magnetic field does not have any wear-out mechanism. Field Switched MRAM products are currently in production at the 180nm and 130nm nodes.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111125</wp:posOffset>
            </wp:positionV>
            <wp:extent cx="1209040"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90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Field Switched MRAM bit cell. Each bit cell comprises an MTJ connected in series with a select transistor.</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STT-MRAM Technology</w:t>
      </w:r>
    </w:p>
    <w:p>
      <w:pPr>
        <w:spacing w:after="0" w:line="185" w:lineRule="exact"/>
        <w:rPr>
          <w:sz w:val="20"/>
          <w:szCs w:val="20"/>
          <w:color w:val="auto"/>
        </w:rPr>
      </w:pPr>
    </w:p>
    <w:p>
      <w:pPr>
        <w:ind w:right="80" w:firstLine="401"/>
        <w:spacing w:after="0" w:line="241" w:lineRule="auto"/>
        <w:rPr>
          <w:sz w:val="20"/>
          <w:szCs w:val="20"/>
          <w:color w:val="auto"/>
        </w:rPr>
      </w:pPr>
      <w:r>
        <w:rPr>
          <w:rFonts w:ascii="Arial" w:cs="Arial" w:eastAsia="Arial" w:hAnsi="Arial"/>
          <w:sz w:val="16"/>
          <w:szCs w:val="16"/>
          <w:color w:val="auto"/>
        </w:rPr>
        <w:t>Our STT-MRAM technologies use the spin-torque transfer property, which is the manipulation of the spin of electrons with a polarizing current, to establish the desired magnetic state of the free layer to program, or write, the bits in the memory array. Spin-transfer torque MRAM (STT-MRAM), provides a significant reduction in switching energy compared to Field-switched (Toggle) MRAM, and is highly scalable, enabling higher density memory products. Our STT-MRAM uses a Perpendicular MTJ. We have developed materials and Perpendicular MTJ stack designs with high perpendicular magnetic anisotropy, which provides long data retention, small cell size, greater density, high endurance and low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120015</wp:posOffset>
            </wp:positionV>
            <wp:extent cx="1689735" cy="136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973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Schematic depiction of the Perpendicular MTJ bit cell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MRAM Technology</w:t>
      </w:r>
    </w:p>
    <w:p>
      <w:pPr>
        <w:spacing w:after="0" w:line="185" w:lineRule="exact"/>
        <w:rPr>
          <w:sz w:val="20"/>
          <w:szCs w:val="20"/>
          <w:color w:val="auto"/>
        </w:rPr>
      </w:pPr>
    </w:p>
    <w:p>
      <w:pPr>
        <w:ind w:firstLine="401"/>
        <w:spacing w:after="0" w:line="232" w:lineRule="auto"/>
        <w:rPr>
          <w:sz w:val="20"/>
          <w:szCs w:val="20"/>
          <w:color w:val="auto"/>
        </w:rPr>
      </w:pPr>
      <w:r>
        <w:rPr>
          <w:rFonts w:ascii="Arial" w:cs="Arial" w:eastAsia="Arial" w:hAnsi="Arial"/>
          <w:sz w:val="17"/>
          <w:szCs w:val="17"/>
          <w:color w:val="auto"/>
        </w:rPr>
        <w:t>MRAM technology is more easily embedded than most other memory technologies, due to the way the MRAM module is integrated in standard CMOS. Since the MRAM module is inserted between metal layers in the back-end-of-line part of the fabrication process, above the transistor layers, it does not disturb the CMOS fabrication process. Integrating MRAM in standard CMOS for SoC applications does not impact the performance of the integrated circuit.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340" w:firstLine="405"/>
        <w:spacing w:after="0" w:line="235" w:lineRule="auto"/>
        <w:rPr>
          <w:sz w:val="20"/>
          <w:szCs w:val="20"/>
          <w:color w:val="auto"/>
        </w:rPr>
      </w:pPr>
      <w:r>
        <w:rPr>
          <w:rFonts w:ascii="Arial" w:cs="Arial" w:eastAsia="Arial" w:hAnsi="Arial"/>
          <w:sz w:val="18"/>
          <w:szCs w:val="18"/>
          <w:color w:val="auto"/>
        </w:rPr>
        <w:t>Our MRAM products are used by top-tier customers in the industrial, automotive and transportation, and enterprise storage markets.</w:t>
      </w:r>
    </w:p>
    <w:p>
      <w:pPr>
        <w:spacing w:after="0" w:line="121"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We consider our customer to be the end customer purchasing either directly from a distributor, a contract manufacturer or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62" w:lineRule="exact"/>
        <w:rPr>
          <w:sz w:val="20"/>
          <w:szCs w:val="20"/>
          <w:color w:val="auto"/>
        </w:rPr>
      </w:pPr>
    </w:p>
    <w:p>
      <w:pPr>
        <w:ind w:right="180" w:firstLine="401"/>
        <w:spacing w:after="0" w:line="226" w:lineRule="auto"/>
        <w:rPr>
          <w:sz w:val="20"/>
          <w:szCs w:val="20"/>
          <w:color w:val="auto"/>
        </w:rPr>
      </w:pPr>
      <w:r>
        <w:rPr>
          <w:rFonts w:ascii="Arial" w:cs="Arial" w:eastAsia="Arial" w:hAnsi="Arial"/>
          <w:sz w:val="17"/>
          <w:szCs w:val="17"/>
          <w:color w:val="auto"/>
        </w:rPr>
        <w:t>During the year ended December 31, 2017, more than 600 end customers purchased our products. No end customers accounted for more than 10% of our revenue during 2017 or 2016. Sales to NXP Semiconductors N.V. (NXP) and Avago Technologies Ltd. (Broadcom) whether directly by us or through distributors or contract manufacturers, each accounted for 13% of our revenue for the year ended December 31, 2015. No other end customers accounted for more than 10% of our revenue during 2015. NXP is a customer for our embedded MRAM and sensor solutions. Broadcom is a customer for our Toggle MRAM products.</w:t>
      </w:r>
    </w:p>
    <w:p>
      <w:pPr>
        <w:spacing w:after="0" w:line="165" w:lineRule="exact"/>
        <w:rPr>
          <w:sz w:val="20"/>
          <w:szCs w:val="20"/>
          <w:color w:val="auto"/>
        </w:rPr>
      </w:pPr>
    </w:p>
    <w:p>
      <w:pPr>
        <w:ind w:right="100" w:firstLine="401"/>
        <w:spacing w:after="0" w:line="214" w:lineRule="auto"/>
        <w:rPr>
          <w:sz w:val="20"/>
          <w:szCs w:val="20"/>
          <w:color w:val="auto"/>
        </w:rPr>
      </w:pPr>
      <w:r>
        <w:rPr>
          <w:rFonts w:ascii="Arial" w:cs="Arial" w:eastAsia="Arial" w:hAnsi="Arial"/>
          <w:sz w:val="18"/>
          <w:szCs w:val="18"/>
          <w:color w:val="auto"/>
        </w:rPr>
        <w:t>We sell our products through a direct sales channel and a network of representatives and distributors. The majority of our customers, and their associated contract manufacturers, buy our products through our distributors. We maintain sales, supply chain and logistics operations and have distributors in Asia to service the production needs of contract manufacturers such as us Flextronics, Foxconn, Inventec and Sanmina. We also maintain direct selling relationships with several strategic customers. Our direct sales representatives are located in North America, the United Kingdom, Germany, Hong Kong, and Taiwan.</w:t>
      </w:r>
    </w:p>
    <w:p>
      <w:pPr>
        <w:spacing w:after="0" w:line="162" w:lineRule="exact"/>
        <w:rPr>
          <w:sz w:val="20"/>
          <w:szCs w:val="20"/>
          <w:color w:val="auto"/>
        </w:rPr>
      </w:pPr>
    </w:p>
    <w:p>
      <w:pPr>
        <w:ind w:right="320" w:firstLine="401"/>
        <w:spacing w:after="0" w:line="258" w:lineRule="auto"/>
        <w:rPr>
          <w:sz w:val="20"/>
          <w:szCs w:val="20"/>
          <w:color w:val="auto"/>
        </w:rPr>
      </w:pPr>
      <w:r>
        <w:rPr>
          <w:rFonts w:ascii="Arial" w:cs="Arial" w:eastAsia="Arial" w:hAnsi="Arial"/>
          <w:sz w:val="17"/>
          <w:szCs w:val="17"/>
          <w:color w:val="auto"/>
        </w:rPr>
        <w:t>Our typical sales cycle consists of a sales and development process in which our field engineers and sales personnel work closely with our customers’ design engineers. This process can take from three to 18 months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complete, and a successful sales cycle culminates in a design win. Note that some customers for our newer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65" w:lineRule="exact"/>
        <w:rPr>
          <w:sz w:val="20"/>
          <w:szCs w:val="20"/>
          <w:color w:val="auto"/>
        </w:rPr>
      </w:pPr>
    </w:p>
    <w:p>
      <w:pPr>
        <w:ind w:right="140" w:firstLine="401"/>
        <w:spacing w:after="0" w:line="224" w:lineRule="auto"/>
        <w:rPr>
          <w:sz w:val="20"/>
          <w:szCs w:val="20"/>
          <w:color w:val="auto"/>
        </w:rPr>
      </w:pPr>
      <w:r>
        <w:rPr>
          <w:rFonts w:ascii="Arial" w:cs="Arial" w:eastAsia="Arial" w:hAnsi="Arial"/>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680" w:firstLine="401"/>
        <w:spacing w:after="0" w:line="235" w:lineRule="auto"/>
        <w:rPr>
          <w:sz w:val="20"/>
          <w:szCs w:val="20"/>
          <w:color w:val="auto"/>
        </w:rPr>
      </w:pPr>
      <w:r>
        <w:rPr>
          <w:rFonts w:ascii="Arial" w:cs="Arial" w:eastAsia="Arial" w:hAnsi="Arial"/>
          <w:sz w:val="18"/>
          <w:szCs w:val="18"/>
          <w:color w:val="auto"/>
        </w:rPr>
        <w:t>We rely on third-party suppliers for most phases of the manufacturing process, including initial fabrication and assembly.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Wafer Manufacturing</w:t>
      </w:r>
    </w:p>
    <w:p>
      <w:pPr>
        <w:spacing w:after="0" w:line="185" w:lineRule="exact"/>
        <w:rPr>
          <w:sz w:val="20"/>
          <w:szCs w:val="20"/>
          <w:color w:val="auto"/>
        </w:rPr>
      </w:pPr>
    </w:p>
    <w:p>
      <w:pPr>
        <w:ind w:right="160" w:firstLine="401"/>
        <w:spacing w:after="0" w:line="189" w:lineRule="exact"/>
        <w:rPr>
          <w:sz w:val="20"/>
          <w:szCs w:val="20"/>
          <w:color w:val="auto"/>
        </w:rPr>
      </w:pPr>
      <w:r>
        <w:rPr>
          <w:rFonts w:ascii="Arial" w:cs="Arial" w:eastAsia="Arial" w:hAnsi="Arial"/>
          <w:sz w:val="16"/>
          <w:szCs w:val="16"/>
          <w:color w:val="auto"/>
        </w:rPr>
        <w:t>We manufacture our Toggle MRAM products and provide foundry services for embedded MRAM, licensed MRAM products and MTJ-based sensors in our 200mm manufacturing facility. Our facility is in an ISO</w:t>
      </w:r>
      <w:r>
        <w:rPr>
          <w:rFonts w:ascii="MS PGothic" w:cs="MS PGothic" w:eastAsia="MS PGothic" w:hAnsi="MS PGothic"/>
          <w:sz w:val="16"/>
          <w:szCs w:val="16"/>
          <w:color w:val="auto"/>
        </w:rPr>
        <w:t>‑</w:t>
      </w:r>
      <w:r>
        <w:rPr>
          <w:rFonts w:ascii="Arial" w:cs="Arial" w:eastAsia="Arial" w:hAnsi="Arial"/>
          <w:sz w:val="16"/>
          <w:szCs w:val="16"/>
          <w:color w:val="auto"/>
        </w:rPr>
        <w:t>4 clean room and our equipment is certified for the production of automotive grade products. We actively manage inventory, including automated process flows, process controls and recipe management, and we use standard equipment to manufacture our products.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STT-MRAM is produced in a 300mm GLOBALFOUNDRIES fabrication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Assembly and Test</w:t>
      </w:r>
    </w:p>
    <w:p>
      <w:pPr>
        <w:spacing w:after="0" w:line="185" w:lineRule="exact"/>
        <w:rPr>
          <w:sz w:val="20"/>
          <w:szCs w:val="20"/>
          <w:color w:val="auto"/>
        </w:rPr>
      </w:pPr>
    </w:p>
    <w:p>
      <w:pPr>
        <w:ind w:right="40" w:firstLine="401"/>
        <w:spacing w:after="0" w:line="216" w:lineRule="auto"/>
        <w:rPr>
          <w:sz w:val="20"/>
          <w:szCs w:val="20"/>
          <w:color w:val="auto"/>
        </w:rPr>
      </w:pPr>
      <w:r>
        <w:rPr>
          <w:rFonts w:ascii="Arial" w:cs="Arial" w:eastAsia="Arial" w:hAnsi="Arial"/>
          <w:sz w:val="18"/>
          <w:szCs w:val="18"/>
          <w:color w:val="auto"/>
        </w:rPr>
        <w:t>We have designed test protocols to maximize yields at assembly and final test, reduce manufacturing costs and improve quality. Our design and product engineering teams have developed and implemented wafer-level test programs to characterize the behavior of our MRAM devices. We create predictive models and test each of our parts to assure the reliability of the products in the field. We also add unique electronic part identification numbers to provide material traceability.</w:t>
      </w:r>
    </w:p>
    <w:p>
      <w:pPr>
        <w:spacing w:after="0" w:line="162" w:lineRule="exact"/>
        <w:rPr>
          <w:sz w:val="20"/>
          <w:szCs w:val="20"/>
          <w:color w:val="auto"/>
        </w:rPr>
      </w:pPr>
    </w:p>
    <w:p>
      <w:pPr>
        <w:ind w:right="220" w:firstLine="401"/>
        <w:spacing w:after="0" w:line="244" w:lineRule="auto"/>
        <w:rPr>
          <w:sz w:val="20"/>
          <w:szCs w:val="20"/>
          <w:color w:val="auto"/>
        </w:rPr>
      </w:pPr>
      <w:r>
        <w:rPr>
          <w:rFonts w:ascii="Arial" w:cs="Arial" w:eastAsia="Arial" w:hAnsi="Arial"/>
          <w:sz w:val="16"/>
          <w:szCs w:val="16"/>
          <w:color w:val="auto"/>
        </w:rPr>
        <w:t>To protect the Toggle MRAM devices from stray magnetic fields, we developed packaging solutions, which we have qualified at independent, industry-leading sub-contractors, including Amkor, OSE, GTC, ChipMos and UTAC. We have successfully qualified our MRAM devices in various packages at temperatures ranging from commercial to automotive grade. As part of our commitment to quality, our quality management system has been certified to ISO 9001:2000 and ISO 14000 standards. Our foundry vendors and sub-contractors are also ISO 9001 and ISO 14001 certified.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STT-MRAM Joint Development Agreement</w:t>
      </w:r>
    </w:p>
    <w:p>
      <w:pPr>
        <w:spacing w:after="0" w:line="185" w:lineRule="exact"/>
        <w:rPr>
          <w:sz w:val="20"/>
          <w:szCs w:val="20"/>
          <w:color w:val="auto"/>
        </w:rPr>
      </w:pPr>
    </w:p>
    <w:p>
      <w:pPr>
        <w:ind w:right="40" w:firstLine="401"/>
        <w:spacing w:after="0" w:line="219" w:lineRule="auto"/>
        <w:rPr>
          <w:sz w:val="20"/>
          <w:szCs w:val="20"/>
          <w:color w:val="auto"/>
        </w:rPr>
      </w:pPr>
      <w:r>
        <w:rPr>
          <w:rFonts w:ascii="Arial" w:cs="Arial" w:eastAsia="Arial" w:hAnsi="Arial"/>
          <w:sz w:val="18"/>
          <w:szCs w:val="18"/>
          <w:color w:val="auto"/>
        </w:rPr>
        <w:t>On October 17, 2014, we entered into a joint development agreement with GLOBALFOUNDRIES Inc., a semiconductor foundry, for the joint development of our STT-MRAM technology. The term of the agreement is the later of four years from the effective date or until the completion, termination, or expiration of the last statement of work entered into pursuant to the joint development agreement.</w:t>
      </w:r>
    </w:p>
    <w:p>
      <w:pPr>
        <w:spacing w:after="0" w:line="163" w:lineRule="exact"/>
        <w:rPr>
          <w:sz w:val="20"/>
          <w:szCs w:val="20"/>
          <w:color w:val="auto"/>
        </w:rPr>
      </w:pPr>
    </w:p>
    <w:p>
      <w:pPr>
        <w:ind w:right="80" w:firstLine="401"/>
        <w:spacing w:after="0" w:line="224" w:lineRule="auto"/>
        <w:rPr>
          <w:sz w:val="20"/>
          <w:szCs w:val="20"/>
          <w:color w:val="auto"/>
        </w:rPr>
      </w:pPr>
      <w:r>
        <w:rPr>
          <w:rFonts w:ascii="Arial" w:cs="Arial" w:eastAsia="Arial" w:hAnsi="Arial"/>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“—STT-MRAM Manufacturing Agreement” below.</w:t>
      </w:r>
    </w:p>
    <w:p>
      <w:pPr>
        <w:spacing w:after="0" w:line="163" w:lineRule="exact"/>
        <w:rPr>
          <w:sz w:val="20"/>
          <w:szCs w:val="20"/>
          <w:color w:val="auto"/>
        </w:rPr>
      </w:pPr>
    </w:p>
    <w:p>
      <w:pPr>
        <w:ind w:firstLine="401"/>
        <w:spacing w:after="0" w:line="229" w:lineRule="auto"/>
        <w:rPr>
          <w:sz w:val="20"/>
          <w:szCs w:val="20"/>
          <w:color w:val="auto"/>
        </w:rPr>
      </w:pPr>
      <w:r>
        <w:rPr>
          <w:rFonts w:ascii="Arial" w:cs="Arial" w:eastAsia="Arial" w:hAnsi="Arial"/>
          <w:sz w:val="17"/>
          <w:szCs w:val="17"/>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Spin Transfer Torque MRAM devices developed pursuant to the agreement until the earlier of three years after the qualification of the MRAM device for a particular technology node or four years after the completion of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00"/>
        <w:spacing w:after="0" w:line="224" w:lineRule="auto"/>
        <w:rPr>
          <w:sz w:val="20"/>
          <w:szCs w:val="20"/>
          <w:color w:val="auto"/>
        </w:rPr>
      </w:pPr>
      <w:r>
        <w:rPr>
          <w:rFonts w:ascii="Arial" w:cs="Arial" w:eastAsia="Arial" w:hAnsi="Arial"/>
          <w:sz w:val="18"/>
          <w:szCs w:val="18"/>
          <w:color w:val="auto"/>
        </w:rPr>
        <w:t>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63" w:lineRule="exact"/>
        <w:rPr>
          <w:sz w:val="20"/>
          <w:szCs w:val="20"/>
          <w:color w:val="auto"/>
        </w:rPr>
      </w:pPr>
    </w:p>
    <w:p>
      <w:pPr>
        <w:ind w:right="240" w:firstLine="401"/>
        <w:spacing w:after="0" w:line="249" w:lineRule="auto"/>
        <w:rPr>
          <w:sz w:val="20"/>
          <w:szCs w:val="20"/>
          <w:color w:val="auto"/>
        </w:rPr>
      </w:pPr>
      <w:r>
        <w:rPr>
          <w:rFonts w:ascii="Arial" w:cs="Arial" w:eastAsia="Arial" w:hAnsi="Arial"/>
          <w:sz w:val="16"/>
          <w:szCs w:val="16"/>
          <w:color w:val="auto"/>
        </w:rPr>
        <w:t>Generally, unless otherwise specified in the agreement or a statement of work, we and GLOBALFOUNDRIES share defined project costs equally under the joint development agreement. 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55" w:lineRule="exact"/>
        <w:rPr>
          <w:sz w:val="20"/>
          <w:szCs w:val="20"/>
          <w:color w:val="auto"/>
        </w:rPr>
      </w:pPr>
    </w:p>
    <w:p>
      <w:pPr>
        <w:ind w:right="60" w:firstLine="401"/>
        <w:spacing w:after="0" w:line="244"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59" w:lineRule="exact"/>
        <w:rPr>
          <w:sz w:val="20"/>
          <w:szCs w:val="20"/>
          <w:color w:val="auto"/>
        </w:rPr>
      </w:pPr>
    </w:p>
    <w:p>
      <w:pPr>
        <w:ind w:right="120" w:firstLine="401"/>
        <w:spacing w:after="0" w:line="226" w:lineRule="auto"/>
        <w:rPr>
          <w:sz w:val="20"/>
          <w:szCs w:val="20"/>
          <w:color w:val="auto"/>
        </w:rPr>
      </w:pPr>
      <w:r>
        <w:rPr>
          <w:rFonts w:ascii="Arial" w:cs="Arial" w:eastAsia="Arial" w:hAnsi="Arial"/>
          <w:sz w:val="17"/>
          <w:szCs w:val="17"/>
          <w:color w:val="auto"/>
        </w:rPr>
        <w:t>On May 27, 2016, we entered into an amendment to the joint development agreement to modify the payment schedule and to clarify our payment obligations for certain past project costs. Under the amendment,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See “Risk Factors” for further discussion of our agreements with GLOBALFOUNDRIES.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STT-MRAM Manufacturing Agreement</w:t>
      </w:r>
    </w:p>
    <w:p>
      <w:pPr>
        <w:spacing w:after="0" w:line="185"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On October 23, 2014, we entered into a manufacturing agreement with GLOBALFOUNDRIES Singapore Pte. Ltd. that sets forth the specific terms and conditions for the production and supply of wafers manufactured using our Spin Transfer Torque 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 year periods thereafter unless either party provides sufficient advance notice of non-renewal.</w:t>
      </w:r>
    </w:p>
    <w:p>
      <w:pPr>
        <w:spacing w:after="0" w:line="163" w:lineRule="exact"/>
        <w:rPr>
          <w:sz w:val="20"/>
          <w:szCs w:val="20"/>
          <w:color w:val="auto"/>
        </w:rPr>
      </w:pPr>
    </w:p>
    <w:p>
      <w:pPr>
        <w:ind w:right="80" w:firstLine="401"/>
        <w:spacing w:after="0" w:line="241"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twelve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ind w:right="40" w:firstLine="401"/>
        <w:spacing w:after="0" w:line="214" w:lineRule="auto"/>
        <w:rPr>
          <w:sz w:val="20"/>
          <w:szCs w:val="20"/>
          <w:color w:val="auto"/>
        </w:rPr>
      </w:pPr>
      <w:r>
        <w:rPr>
          <w:rFonts w:ascii="Arial" w:cs="Arial" w:eastAsia="Arial" w:hAnsi="Arial"/>
          <w:sz w:val="18"/>
          <w:szCs w:val="18"/>
          <w:color w:val="auto"/>
        </w:rPr>
        <w:t>As of December 31, 2017, our backlog was $13.7 million, compared to $7.4 million as of December 31, 2016, and includes all purchase orders scheduled for delivery within the subsequent 12 months. Our business and, to a large extent, that of the entire semiconductor industry, is characterized by short-term orders and shipment schedules. Orders constituting our current backlog are subject to changes in delivery schedules, or to cancellation at the customer's option without significant penalty. Thus, while backlog is useful for scheduling production, backlog as of any particular date may not be a reliable measure of sales for any future period.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right="20" w:firstLine="401"/>
        <w:spacing w:after="0" w:line="232" w:lineRule="auto"/>
        <w:rPr>
          <w:sz w:val="20"/>
          <w:szCs w:val="20"/>
          <w:color w:val="auto"/>
        </w:rPr>
      </w:pPr>
      <w:r>
        <w:rPr>
          <w:rFonts w:ascii="Arial" w:cs="Arial" w:eastAsia="Arial" w:hAnsi="Arial"/>
          <w:sz w:val="17"/>
          <w:szCs w:val="17"/>
          <w:color w:val="auto"/>
        </w:rPr>
        <w:t>Our products, all of which offer the persistence of non-volatile memory with the speed and endurance of random access memory, enable the protection of mission critical data particularly in the event of power interruption or failure. Our solutions are designed for use in applications in the industrial, automotive and transportation, and enterprise storage markets where the combination of high write-cycle endurance and fast write-speeds are of critical importance.</w:t>
      </w:r>
    </w:p>
    <w:p>
      <w:pPr>
        <w:spacing w:after="0" w:line="163" w:lineRule="exact"/>
        <w:rPr>
          <w:sz w:val="20"/>
          <w:szCs w:val="20"/>
          <w:color w:val="auto"/>
        </w:rPr>
      </w:pPr>
    </w:p>
    <w:p>
      <w:pPr>
        <w:ind w:firstLine="401"/>
        <w:spacing w:after="0" w:line="220" w:lineRule="auto"/>
        <w:rPr>
          <w:sz w:val="20"/>
          <w:szCs w:val="20"/>
          <w:color w:val="auto"/>
        </w:rPr>
      </w:pPr>
      <w:r>
        <w:rPr>
          <w:rFonts w:ascii="Arial" w:cs="Arial" w:eastAsia="Arial" w:hAnsi="Arial"/>
          <w:sz w:val="17"/>
          <w:szCs w:val="17"/>
          <w:color w:val="auto"/>
        </w:rPr>
        <w:t>Our principal competitors to our Toggle Field Switched MRAM products, which are tailored primarily for the industrial, automotive and transportation, and enterprise storage markets, include companies that offer nonvolatile SRAM (NVSRAM), SRAM, and ferroelectric RAM (FRAM) products, such as Cypress, Fujitsu, Integrated Silicon Solution (ISSI), Macronix, Microchip, Micron, Renesas, Samsung and Toshiba. Our STT-MRAM products are designed primarily for the enterprise storage market, which includes high performance SSDs, RAID systems and servers. Our STT-MRAM products are intended to replace DRAM-based solutions, which comprised DRAM and additional back-up power supply components, such as super capacitors and batteries that are required to make DRAM persistent. Customers typically purchase DRAM and super capacitors and batteries from separate vendors, and pair them together in order to create a DRAM-based solution capable of protecting data against power interruption or loss. Companies that offer DRAM devices include Hynix, Micron, Samsung, and several other smaller companies. In the future we may also face competition from companies developing MRAM technologies, such as Avalanche, Spin Transfer Technologies, Samsung and other larger and smaller semiconductor companies. We may also face indirect competition from RRAM, 3D XPoint and NAND Flash manufacturers in some market applications.</w:t>
      </w:r>
    </w:p>
    <w:p>
      <w:pPr>
        <w:spacing w:after="0" w:line="169" w:lineRule="exact"/>
        <w:rPr>
          <w:sz w:val="20"/>
          <w:szCs w:val="20"/>
          <w:color w:val="auto"/>
        </w:rPr>
      </w:pPr>
    </w:p>
    <w:p>
      <w:pPr>
        <w:ind w:right="80" w:firstLine="401"/>
        <w:spacing w:after="0" w:line="289" w:lineRule="auto"/>
        <w:rPr>
          <w:sz w:val="20"/>
          <w:szCs w:val="20"/>
          <w:color w:val="auto"/>
        </w:rPr>
      </w:pPr>
      <w:r>
        <w:rPr>
          <w:rFonts w:ascii="Arial" w:cs="Arial" w:eastAsia="Arial" w:hAnsi="Arial"/>
          <w:sz w:val="16"/>
          <w:szCs w:val="16"/>
          <w:color w:val="auto"/>
        </w:rPr>
        <w:t>Our sensor products compete with giant magnetoresistive (GMR), anisotropic magnetoresistive (AMR) and Hall effect sensors supplied by Alps, Asahi Kasei Microdevices, Crocus, Fairchild, Invensys (now Schneider), Kionix and Micronix.</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ability to compete successfully in the market for our products is based on a number of factors, including:</w:t>
      </w:r>
    </w:p>
    <w:p>
      <w:pPr>
        <w:spacing w:after="0" w:line="77" w:lineRule="exact"/>
        <w:rPr>
          <w:sz w:val="20"/>
          <w:szCs w:val="20"/>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attributes and specifications;</w:t>
      </w:r>
    </w:p>
    <w:p>
      <w:pPr>
        <w:spacing w:after="0" w:line="76" w:lineRule="exact"/>
        <w:rPr>
          <w:rFonts w:ascii="Arial" w:cs="Arial" w:eastAsia="Arial" w:hAnsi="Arial"/>
          <w:sz w:val="18"/>
          <w:szCs w:val="18"/>
          <w:color w:val="auto"/>
        </w:rPr>
      </w:pPr>
    </w:p>
    <w:p>
      <w:pPr>
        <w:ind w:left="740" w:right="440" w:hanging="332"/>
        <w:spacing w:after="0" w:line="23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adoption of MRAM technology despite the price per bit premium of our products verses competing technologies;</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controller supplier and customer engagements throughout the product life cycle;</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and reliability as measured by our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preferred supplier status at numerous customers and ODMs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expertise and strength;</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 and strength of customer relationships;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in the market against the competition while maintaining our gross margin profile;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420" w:right="20" w:hanging="12"/>
        <w:spacing w:after="0" w:line="451" w:lineRule="auto"/>
        <w:tabs>
          <w:tab w:leader="none" w:pos="73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meeting the needs of future customer requirements through continued development of new products. We believe we compete favorably with respect to each of these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2017, we held 399 issued patents that expire at various times between December 31, 2017,and October 2036, and had 145 patent applications pending. Included in our issued patents and pending applications are patents/applications in the United States, China, Europe, France, Germany, Japan, the Republic of Korea, Italy, Singapore, Taiwan, and the United Kingdom.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401"/>
        <w:spacing w:after="0" w:line="239" w:lineRule="auto"/>
        <w:rPr>
          <w:sz w:val="20"/>
          <w:szCs w:val="20"/>
          <w:color w:val="auto"/>
        </w:rPr>
      </w:pPr>
      <w:r>
        <w:rPr>
          <w:rFonts w:ascii="Arial" w:cs="Arial" w:eastAsia="Arial" w:hAnsi="Arial"/>
          <w:sz w:val="16"/>
          <w:szCs w:val="16"/>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63" w:lineRule="exact"/>
        <w:rPr>
          <w:sz w:val="20"/>
          <w:szCs w:val="20"/>
          <w:color w:val="auto"/>
        </w:rPr>
      </w:pPr>
    </w:p>
    <w:p>
      <w:pPr>
        <w:ind w:right="300" w:firstLine="401"/>
        <w:spacing w:after="0" w:line="238" w:lineRule="auto"/>
        <w:rPr>
          <w:sz w:val="20"/>
          <w:szCs w:val="20"/>
          <w:color w:val="auto"/>
        </w:rPr>
      </w:pPr>
      <w:r>
        <w:rPr>
          <w:rFonts w:ascii="Arial" w:cs="Arial" w:eastAsia="Arial" w:hAnsi="Arial"/>
          <w:sz w:val="17"/>
          <w:szCs w:val="17"/>
          <w:color w:val="auto"/>
        </w:rPr>
        <w:t>We seek to enforce our IP and to monetize our patent portfolio through licensing of third parties in return for cash remuneration, patent cross licenses or both. We anticipate that we will recognize revenue from licensing our IP during the first quarter of 2018 which, if that occurs, would be revenue in addition to product sales.</w:t>
      </w:r>
    </w:p>
    <w:p>
      <w:pPr>
        <w:spacing w:after="0" w:line="161" w:lineRule="exact"/>
        <w:rPr>
          <w:sz w:val="20"/>
          <w:szCs w:val="20"/>
          <w:color w:val="auto"/>
        </w:rPr>
      </w:pPr>
    </w:p>
    <w:p>
      <w:pPr>
        <w:ind w:right="100" w:firstLine="401"/>
        <w:spacing w:after="0" w:line="244" w:lineRule="auto"/>
        <w:rPr>
          <w:sz w:val="20"/>
          <w:szCs w:val="20"/>
          <w:color w:val="auto"/>
        </w:rPr>
      </w:pPr>
      <w:r>
        <w:rPr>
          <w:rFonts w:ascii="Arial" w:cs="Arial" w:eastAsia="Arial" w:hAnsi="Arial"/>
          <w:sz w:val="16"/>
          <w:szCs w:val="16"/>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89"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61" w:lineRule="exact"/>
        <w:rPr>
          <w:sz w:val="20"/>
          <w:szCs w:val="20"/>
          <w:color w:val="auto"/>
        </w:rPr>
      </w:pPr>
    </w:p>
    <w:p>
      <w:pPr>
        <w:ind w:right="120" w:firstLine="401"/>
        <w:spacing w:after="0" w:line="249"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220" w:firstLine="401"/>
        <w:spacing w:after="0" w:line="219" w:lineRule="auto"/>
        <w:rPr>
          <w:sz w:val="20"/>
          <w:szCs w:val="20"/>
          <w:color w:val="auto"/>
        </w:rPr>
      </w:pPr>
      <w:r>
        <w:rPr>
          <w:rFonts w:ascii="Arial" w:cs="Arial" w:eastAsia="Arial" w:hAnsi="Arial"/>
          <w:sz w:val="18"/>
          <w:szCs w:val="18"/>
          <w:color w:val="auto"/>
        </w:rPr>
        <w:t>At December 31, 2017, we had 90 employees in the United States and 28 full time equivalent contractors and consultants in Singapore, China, Taiwan, the United Kingdom, the United States and Germany. None of our employees are either represented by a labor union or subject to a collective bargaining agreement. We have not experienced any work stoppages, and we consider our relations with our employees to be good.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89" w:lineRule="exact"/>
        <w:rPr>
          <w:sz w:val="20"/>
          <w:szCs w:val="20"/>
          <w:color w:val="auto"/>
        </w:rPr>
      </w:pPr>
    </w:p>
    <w:p>
      <w:pPr>
        <w:ind w:right="80" w:firstLine="401"/>
        <w:spacing w:after="0" w:line="244" w:lineRule="auto"/>
        <w:rPr>
          <w:sz w:val="20"/>
          <w:szCs w:val="20"/>
          <w:color w:val="auto"/>
        </w:rPr>
      </w:pPr>
      <w:r>
        <w:rPr>
          <w:rFonts w:ascii="Arial" w:cs="Arial" w:eastAsia="Arial" w:hAnsi="Arial"/>
          <w:sz w:val="16"/>
          <w:szCs w:val="16"/>
          <w:color w:val="auto"/>
        </w:rPr>
        <w:t>Revenue from customers designated based on the geographic region or country to which the product is delivered or licensee is located is set forth in Note 10 to our financial statements, which information is incorporated by reference here. Of our revenues, 13%, 16% and 20% are from customers in the United States for the years ended December 31, 2017, 2016 and 2015, respectively. All of our assets are located in the United States. Our research and development expenses were $25.4 million, $19.2 million and $21.1 million for the years ended December 31, 2017, 2016 and 2015,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40" w:firstLine="401"/>
        <w:spacing w:after="0" w:line="232" w:lineRule="auto"/>
        <w:rPr>
          <w:sz w:val="20"/>
          <w:szCs w:val="20"/>
          <w:color w:val="auto"/>
        </w:rPr>
      </w:pPr>
      <w:r>
        <w:rPr>
          <w:rFonts w:ascii="Arial" w:cs="Arial" w:eastAsia="Arial" w:hAnsi="Arial"/>
          <w:sz w:val="17"/>
          <w:szCs w:val="17"/>
          <w:color w:val="auto"/>
        </w:rPr>
        <w:t xml:space="preserve">We were incorporated in Delaware in May 2008. In June 2008, Freescale Semiconductor, Inc. (now a wholly-owned subsidiary of NXP Semiconductors N.V.), spun-out its MRAM business as Everspin. Our offices are located at 5670 W. Chandler Boulevard, Suite 100, Chandler, Arizona 85226. Our telephone number is (480) 347-1111. Our corporate website is at </w:t>
      </w:r>
      <w:r>
        <w:rPr>
          <w:rFonts w:ascii="Arial" w:cs="Arial" w:eastAsia="Arial" w:hAnsi="Arial"/>
          <w:sz w:val="17"/>
          <w:szCs w:val="17"/>
          <w:i w:val="1"/>
          <w:iCs w:val="1"/>
          <w:color w:val="auto"/>
        </w:rPr>
        <w:t>www.Everspin.com</w:t>
      </w:r>
      <w:r>
        <w:rPr>
          <w:rFonts w:ascii="Arial" w:cs="Arial" w:eastAsia="Arial" w:hAnsi="Arial"/>
          <w:sz w:val="17"/>
          <w:szCs w:val="17"/>
          <w:color w:val="auto"/>
        </w:rPr>
        <w:t>. Our annual report on Form 10-K, quarterly reports on Form 10-Q, current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firstLine="324"/>
        <w:spacing w:after="0" w:line="249"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18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62" w:lineRule="exact"/>
        <w:rPr>
          <w:sz w:val="20"/>
          <w:szCs w:val="20"/>
          <w:color w:val="auto"/>
        </w:rPr>
      </w:pPr>
    </w:p>
    <w:p>
      <w:pPr>
        <w:ind w:right="80" w:firstLine="401"/>
        <w:spacing w:after="0" w:line="222" w:lineRule="auto"/>
        <w:rPr>
          <w:sz w:val="20"/>
          <w:szCs w:val="20"/>
          <w:color w:val="auto"/>
        </w:rPr>
      </w:pPr>
      <w:r>
        <w:rPr>
          <w:rFonts w:ascii="Arial" w:cs="Arial" w:eastAsia="Arial" w:hAnsi="Arial"/>
          <w:sz w:val="17"/>
          <w:szCs w:val="17"/>
          <w:color w:val="auto"/>
        </w:rPr>
        <w:t>We have incurred net losses since our inception. We incurred net losses of $21.1 million, $16.7 million and $18.2 million for the years ended December 31, 2017, 2016 and 2015, respectively. As of December 31, 2017, we had an accumulated deficit of $117.5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our revenue will grow rapidly enough to absorb these costs, and our limited operating history makes it difficult to assess the extent of these expenses, or their impact on our results of operations.</w:t>
      </w:r>
    </w:p>
    <w:p>
      <w:pPr>
        <w:spacing w:after="0" w:line="164" w:lineRule="exact"/>
        <w:rPr>
          <w:sz w:val="20"/>
          <w:szCs w:val="20"/>
          <w:color w:val="auto"/>
        </w:rPr>
      </w:pPr>
    </w:p>
    <w:p>
      <w:pPr>
        <w:jc w:val="both"/>
        <w:ind w:right="140" w:firstLine="401"/>
        <w:spacing w:after="0" w:line="216"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85" w:lineRule="exact"/>
        <w:rPr>
          <w:sz w:val="20"/>
          <w:szCs w:val="20"/>
          <w:color w:val="auto"/>
        </w:rPr>
      </w:pPr>
    </w:p>
    <w:p>
      <w:pPr>
        <w:ind w:right="20" w:firstLine="401"/>
        <w:spacing w:after="0" w:line="226" w:lineRule="auto"/>
        <w:rPr>
          <w:sz w:val="20"/>
          <w:szCs w:val="20"/>
          <w:color w:val="auto"/>
        </w:rPr>
      </w:pPr>
      <w:r>
        <w:rPr>
          <w:rFonts w:ascii="Arial" w:cs="Arial" w:eastAsia="Arial" w:hAnsi="Arial"/>
          <w:sz w:val="17"/>
          <w:szCs w:val="17"/>
          <w:color w:val="auto"/>
        </w:rPr>
        <w:t>We have been in existence as a stand-alone company since 2008, when Freescale Semiconductor, Inc.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are just starting the manufacture of Spin Transfer Torque MRAM, (STT-MRAM) products. Adoption of these products is important to the future growth of our business, but revenue associated with these products has not been material to date.</w:t>
      </w:r>
    </w:p>
    <w:p>
      <w:pPr>
        <w:spacing w:after="0" w:line="165" w:lineRule="exact"/>
        <w:rPr>
          <w:sz w:val="20"/>
          <w:szCs w:val="20"/>
          <w:color w:val="auto"/>
        </w:rPr>
      </w:pPr>
    </w:p>
    <w:p>
      <w:pPr>
        <w:ind w:firstLine="401"/>
        <w:spacing w:after="0" w:line="210" w:lineRule="auto"/>
        <w:rPr>
          <w:sz w:val="20"/>
          <w:szCs w:val="20"/>
          <w:color w:val="auto"/>
        </w:rPr>
      </w:pPr>
      <w:r>
        <w:rPr>
          <w:rFonts w:ascii="Arial" w:cs="Arial" w:eastAsia="Arial" w:hAnsi="Arial"/>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60"/>
        <w:spacing w:after="0" w:line="22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63" w:lineRule="exact"/>
        <w:rPr>
          <w:sz w:val="20"/>
          <w:szCs w:val="20"/>
          <w:color w:val="auto"/>
        </w:rPr>
      </w:pPr>
    </w:p>
    <w:p>
      <w:pPr>
        <w:ind w:firstLine="401"/>
        <w:spacing w:after="0" w:line="233"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08" w:lineRule="exact"/>
        <w:rPr>
          <w:sz w:val="20"/>
          <w:szCs w:val="20"/>
          <w:color w:val="auto"/>
        </w:rPr>
      </w:pPr>
    </w:p>
    <w:p>
      <w:pPr>
        <w:ind w:right="120" w:firstLine="401"/>
        <w:spacing w:after="0" w:line="236" w:lineRule="auto"/>
        <w:rPr>
          <w:sz w:val="20"/>
          <w:szCs w:val="20"/>
          <w:color w:val="auto"/>
        </w:rPr>
      </w:pPr>
      <w:r>
        <w:rPr>
          <w:rFonts w:ascii="Arial" w:cs="Arial" w:eastAsia="Arial" w:hAnsi="Arial"/>
          <w:sz w:val="16"/>
          <w:szCs w:val="16"/>
          <w:color w:val="auto"/>
        </w:rPr>
        <w:t>We believe that our existing cash and cash equivalents as of December 31, 2017, coupled with our anticipated growth and sales levels, and net proceeds from the follow-on underwritten public offering in February 2018, will be sufficient to meet our anticipated cash requirements for at least the next 12 months from the filing of this Annual Report on Form 10-K.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68" w:lineRule="exact"/>
        <w:rPr>
          <w:sz w:val="20"/>
          <w:szCs w:val="20"/>
          <w:color w:val="auto"/>
        </w:rPr>
      </w:pPr>
    </w:p>
    <w:p>
      <w:pPr>
        <w:ind w:right="20" w:firstLine="401"/>
        <w:spacing w:after="0" w:line="244"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9" w:lineRule="exact"/>
        <w:rPr>
          <w:sz w:val="20"/>
          <w:szCs w:val="20"/>
          <w:color w:val="auto"/>
        </w:rPr>
      </w:pPr>
    </w:p>
    <w:p>
      <w:pPr>
        <w:ind w:right="540"/>
        <w:spacing w:after="0" w:line="289"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right="140" w:firstLine="401"/>
        <w:spacing w:after="0" w:line="235"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Selling into these markets, including higher density memory markets and the module business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63" w:lineRule="exact"/>
        <w:rPr>
          <w:sz w:val="20"/>
          <w:szCs w:val="20"/>
          <w:color w:val="auto"/>
        </w:rPr>
      </w:pPr>
    </w:p>
    <w:p>
      <w:pPr>
        <w:jc w:val="both"/>
        <w:ind w:right="540"/>
        <w:spacing w:after="0" w:line="238"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1" w:lineRule="exact"/>
        <w:rPr>
          <w:sz w:val="20"/>
          <w:szCs w:val="20"/>
          <w:color w:val="auto"/>
        </w:rPr>
      </w:pPr>
    </w:p>
    <w:p>
      <w:pPr>
        <w:ind w:right="80" w:firstLine="401"/>
        <w:spacing w:after="0" w:line="226"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65" w:lineRule="exact"/>
        <w:rPr>
          <w:sz w:val="20"/>
          <w:szCs w:val="20"/>
          <w:color w:val="auto"/>
        </w:rPr>
      </w:pPr>
    </w:p>
    <w:p>
      <w:pPr>
        <w:ind w:right="640" w:firstLine="401"/>
        <w:spacing w:after="0" w:line="235"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54" w:lineRule="exact"/>
        <w:rPr>
          <w:sz w:val="20"/>
          <w:szCs w:val="20"/>
          <w:color w:val="auto"/>
        </w:rPr>
      </w:pPr>
    </w:p>
    <w:p>
      <w:pPr>
        <w:ind w:left="740" w:right="160" w:hanging="332"/>
        <w:spacing w:after="0" w:line="22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5"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185"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67" w:lineRule="exact"/>
        <w:rPr>
          <w:sz w:val="20"/>
          <w:szCs w:val="20"/>
          <w:color w:val="auto"/>
        </w:rPr>
      </w:pPr>
    </w:p>
    <w:p>
      <w:pPr>
        <w:ind w:right="20" w:firstLine="401"/>
        <w:spacing w:after="0" w:line="223" w:lineRule="auto"/>
        <w:rPr>
          <w:sz w:val="20"/>
          <w:szCs w:val="20"/>
          <w:color w:val="auto"/>
        </w:rPr>
      </w:pPr>
      <w:r>
        <w:rPr>
          <w:rFonts w:ascii="Arial" w:cs="Arial" w:eastAsia="Arial" w:hAnsi="Arial"/>
          <w:sz w:val="17"/>
          <w:szCs w:val="17"/>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3" w:lineRule="exact"/>
        <w:rPr>
          <w:sz w:val="20"/>
          <w:szCs w:val="20"/>
          <w:color w:val="auto"/>
        </w:rPr>
      </w:pPr>
    </w:p>
    <w:p>
      <w:pPr>
        <w:ind w:right="80" w:firstLine="401"/>
        <w:spacing w:after="0" w:line="214"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62" w:lineRule="exact"/>
        <w:rPr>
          <w:sz w:val="20"/>
          <w:szCs w:val="20"/>
          <w:color w:val="auto"/>
        </w:rPr>
      </w:pPr>
    </w:p>
    <w:p>
      <w:pPr>
        <w:ind w:right="80" w:firstLine="401"/>
        <w:spacing w:after="0" w:line="216"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185" w:lineRule="exact"/>
        <w:rPr>
          <w:sz w:val="20"/>
          <w:szCs w:val="20"/>
          <w:color w:val="auto"/>
        </w:rPr>
      </w:pPr>
    </w:p>
    <w:p>
      <w:pPr>
        <w:ind w:right="300" w:firstLine="401"/>
        <w:spacing w:after="0" w:line="232"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54" w:lineRule="exact"/>
        <w:rPr>
          <w:sz w:val="20"/>
          <w:szCs w:val="20"/>
          <w:color w:val="auto"/>
        </w:rPr>
      </w:pPr>
    </w:p>
    <w:p>
      <w:pPr>
        <w:ind w:left="740" w:right="160" w:hanging="332"/>
        <w:spacing w:after="0" w:line="22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5"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76" w:lineRule="exact"/>
        <w:rPr>
          <w:rFonts w:ascii="Arial" w:cs="Arial" w:eastAsia="Arial" w:hAnsi="Arial"/>
          <w:sz w:val="18"/>
          <w:szCs w:val="18"/>
          <w:color w:val="auto"/>
        </w:rPr>
      </w:pPr>
    </w:p>
    <w:p>
      <w:pPr>
        <w:ind w:left="740" w:right="260" w:hanging="332"/>
        <w:spacing w:after="0" w:line="23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53" w:lineRule="exact"/>
        <w:rPr>
          <w:rFonts w:ascii="Arial" w:cs="Arial" w:eastAsia="Arial" w:hAnsi="Arial"/>
          <w:sz w:val="18"/>
          <w:szCs w:val="18"/>
          <w:color w:val="auto"/>
        </w:rPr>
      </w:pPr>
    </w:p>
    <w:p>
      <w:pPr>
        <w:ind w:left="740" w:hanging="332"/>
        <w:spacing w:after="0" w:line="23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76" w:lineRule="exact"/>
        <w:rPr>
          <w:rFonts w:ascii="Arial" w:cs="Arial" w:eastAsia="Arial" w:hAnsi="Arial"/>
          <w:sz w:val="18"/>
          <w:szCs w:val="18"/>
          <w:color w:val="auto"/>
        </w:rPr>
      </w:pPr>
    </w:p>
    <w:p>
      <w:pPr>
        <w:ind w:left="740" w:right="40" w:hanging="332"/>
        <w:spacing w:after="0" w:line="23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185" w:lineRule="exact"/>
        <w:rPr>
          <w:sz w:val="20"/>
          <w:szCs w:val="20"/>
          <w:color w:val="auto"/>
        </w:rPr>
      </w:pPr>
    </w:p>
    <w:p>
      <w:pPr>
        <w:ind w:right="40" w:firstLine="401"/>
        <w:spacing w:after="0" w:line="216" w:lineRule="auto"/>
        <w:rPr>
          <w:sz w:val="20"/>
          <w:szCs w:val="20"/>
          <w:color w:val="auto"/>
        </w:rPr>
      </w:pPr>
      <w:r>
        <w:rPr>
          <w:rFonts w:ascii="Arial" w:cs="Arial" w:eastAsia="Arial" w:hAnsi="Arial"/>
          <w:sz w:val="18"/>
          <w:szCs w:val="18"/>
          <w:color w:val="auto"/>
        </w:rPr>
        <w:t>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If GLOBALFOUNDRIES terminates the joint development agreement, our ability to continue to develop our MRAM technology will be significantly impaired.</w:t>
      </w:r>
    </w:p>
    <w:p>
      <w:pPr>
        <w:spacing w:after="0" w:line="162" w:lineRule="exact"/>
        <w:rPr>
          <w:sz w:val="20"/>
          <w:szCs w:val="20"/>
          <w:color w:val="auto"/>
        </w:rPr>
      </w:pPr>
    </w:p>
    <w:p>
      <w:pPr>
        <w:ind w:right="660" w:firstLine="401"/>
        <w:spacing w:after="0" w:line="235"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62" w:lineRule="exact"/>
        <w:rPr>
          <w:sz w:val="20"/>
          <w:szCs w:val="20"/>
          <w:color w:val="auto"/>
        </w:rPr>
      </w:pPr>
    </w:p>
    <w:p>
      <w:pPr>
        <w:ind w:firstLine="401"/>
        <w:spacing w:after="0" w:line="234" w:lineRule="auto"/>
        <w:rPr>
          <w:sz w:val="20"/>
          <w:szCs w:val="20"/>
          <w:color w:val="auto"/>
        </w:rPr>
      </w:pPr>
      <w:r>
        <w:rPr>
          <w:rFonts w:ascii="Arial" w:cs="Arial" w:eastAsia="Arial" w:hAnsi="Arial"/>
          <w:sz w:val="16"/>
          <w:szCs w:val="16"/>
          <w:color w:val="auto"/>
        </w:rPr>
        <w:t>Our customers expect the average selling price of our products to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66" w:lineRule="exact"/>
        <w:rPr>
          <w:sz w:val="20"/>
          <w:szCs w:val="20"/>
          <w:color w:val="auto"/>
        </w:rPr>
      </w:pPr>
    </w:p>
    <w:p>
      <w:pPr>
        <w:ind w:right="120" w:firstLine="401"/>
        <w:spacing w:after="0" w:line="214"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62"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62" w:lineRule="exact"/>
        <w:rPr>
          <w:sz w:val="20"/>
          <w:szCs w:val="20"/>
          <w:color w:val="auto"/>
        </w:rPr>
      </w:pPr>
    </w:p>
    <w:p>
      <w:pPr>
        <w:ind w:right="60" w:firstLine="401"/>
        <w:spacing w:after="0" w:line="244"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63" w:lineRule="exact"/>
        <w:rPr>
          <w:sz w:val="20"/>
          <w:szCs w:val="20"/>
          <w:color w:val="auto"/>
        </w:rPr>
      </w:pPr>
    </w:p>
    <w:p>
      <w:pPr>
        <w:ind w:firstLine="401"/>
        <w:spacing w:after="0" w:line="233"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products with improved features in a cost-effective manner in response to changing technologies and market demand. This requires us to devote substantial financial and other resources to research and development. We are developing new products, which we expect to be one of the drivers of our revenue growth in the future. However, as it is taking us longer than we expected to develop our 1Gb STT-MRAM product, we may not succeed in developing and marketing this and other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1" w:lineRule="exact"/>
        <w:rPr>
          <w:sz w:val="20"/>
          <w:szCs w:val="20"/>
          <w:color w:val="auto"/>
        </w:rPr>
      </w:pPr>
    </w:p>
    <w:p>
      <w:pPr>
        <w:ind w:firstLine="401"/>
        <w:spacing w:after="0" w:line="234"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are in process of ramping up production in 2018. To date we have not sold any of our 1Gb MRAM products.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delay in the development of our 256Mb and 1Gb MRAM products, or failure of our customers to adopt our 256Mb and 1Gb MRAM products, could inhibit revenue growth or cause declines, which would significantly harm our business and prevent us from becoming profitable.</w:t>
      </w:r>
    </w:p>
    <w:p>
      <w:pPr>
        <w:spacing w:after="0" w:line="163" w:lineRule="exact"/>
        <w:rPr>
          <w:sz w:val="20"/>
          <w:szCs w:val="20"/>
          <w:color w:val="auto"/>
        </w:rPr>
      </w:pPr>
    </w:p>
    <w:p>
      <w:pPr>
        <w:ind w:firstLine="401"/>
        <w:spacing w:after="0" w:line="225"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2"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We rely on our relationships with OEMs and ODMs to enhance our solutions and market position, and our failure to continue to develop or maintain such relationships in the future would harm our ability to remain competitive.</w:t>
      </w:r>
    </w:p>
    <w:p>
      <w:pPr>
        <w:spacing w:after="0" w:line="124" w:lineRule="exact"/>
        <w:rPr>
          <w:sz w:val="20"/>
          <w:szCs w:val="20"/>
          <w:color w:val="auto"/>
        </w:rPr>
      </w:pPr>
    </w:p>
    <w:p>
      <w:pPr>
        <w:jc w:val="both"/>
        <w:ind w:right="140" w:firstLine="401"/>
        <w:spacing w:after="0" w:line="235"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6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62" w:lineRule="exact"/>
        <w:rPr>
          <w:sz w:val="20"/>
          <w:szCs w:val="20"/>
          <w:color w:val="auto"/>
        </w:rPr>
      </w:pPr>
    </w:p>
    <w:p>
      <w:pPr>
        <w:ind w:right="60" w:firstLine="401"/>
        <w:spacing w:after="0" w:line="237"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28% of our total revenue for the year ended December 31, 2017, but none of these customers individually accounted for more than 10% of our total revenue during the period. Our four largest end customers together accounted for 32% of our total revenue for the year ended December 31, 2016, but none of these customers individually accounted for more than 10% of our total revenue during the period. Our four largest end customers together accounted for 41% of our total revenue for the year ended December 31, 2015, and two customers each accounted for more than 10% of our total revenue during the period. The loss of a significant customer, a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196" w:lineRule="exact"/>
        <w:rPr>
          <w:sz w:val="20"/>
          <w:szCs w:val="20"/>
          <w:color w:val="auto"/>
        </w:rPr>
      </w:pPr>
    </w:p>
    <w:p>
      <w:pPr>
        <w:ind w:right="480" w:firstLine="401"/>
        <w:spacing w:after="0" w:line="238" w:lineRule="auto"/>
        <w:rPr>
          <w:sz w:val="20"/>
          <w:szCs w:val="20"/>
          <w:color w:val="auto"/>
        </w:rPr>
      </w:pPr>
      <w:r>
        <w:rPr>
          <w:rFonts w:ascii="Arial" w:cs="Arial" w:eastAsia="Arial" w:hAnsi="Arial"/>
          <w:sz w:val="17"/>
          <w:szCs w:val="17"/>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53" w:lineRule="exact"/>
        <w:rPr>
          <w:sz w:val="20"/>
          <w:szCs w:val="20"/>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reduction, delay or cancellation of orders by large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significant customers or distributors;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our launch of new or enhanced products and those of our competitors;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99" w:lineRule="exact"/>
        <w:rPr>
          <w:rFonts w:ascii="Arial" w:cs="Arial" w:eastAsia="Arial" w:hAnsi="Arial"/>
          <w:sz w:val="16"/>
          <w:szCs w:val="16"/>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extent of research and development and sales and marketing expenditures;</w:t>
      </w:r>
    </w:p>
    <w:p>
      <w:pPr>
        <w:spacing w:after="0" w:line="76" w:lineRule="exact"/>
        <w:rPr>
          <w:rFonts w:ascii="Arial" w:cs="Arial" w:eastAsia="Arial" w:hAnsi="Arial"/>
          <w:sz w:val="18"/>
          <w:szCs w:val="18"/>
          <w:color w:val="auto"/>
        </w:rPr>
      </w:pPr>
    </w:p>
    <w:p>
      <w:pPr>
        <w:ind w:left="740" w:right="100" w:hanging="332"/>
        <w:spacing w:after="0" w:line="23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reduce the manufacturing costs of our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resulting in lower than expected average selling prices;</w:t>
      </w:r>
    </w:p>
    <w:p>
      <w:pPr>
        <w:spacing w:after="0" w:line="76" w:lineRule="exact"/>
        <w:rPr>
          <w:rFonts w:ascii="Arial" w:cs="Arial" w:eastAsia="Arial" w:hAnsi="Arial"/>
          <w:sz w:val="18"/>
          <w:szCs w:val="18"/>
          <w:color w:val="auto"/>
        </w:rPr>
      </w:pPr>
    </w:p>
    <w:p>
      <w:pPr>
        <w:ind w:left="740" w:right="280" w:hanging="332"/>
        <w:spacing w:after="0" w:line="23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cyclical and seasonal fluctuations in our markets;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manufacturing yields of our third-party manufacturers;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issues that arise from manufacturing issues at our third-party manufacturers;</w:t>
      </w:r>
    </w:p>
    <w:p>
      <w:pPr>
        <w:spacing w:after="0" w:line="76" w:lineRule="exact"/>
        <w:rPr>
          <w:rFonts w:ascii="Arial" w:cs="Arial" w:eastAsia="Arial" w:hAnsi="Arial"/>
          <w:sz w:val="18"/>
          <w:szCs w:val="18"/>
          <w:color w:val="auto"/>
        </w:rPr>
      </w:pPr>
    </w:p>
    <w:p>
      <w:pPr>
        <w:ind w:left="740" w:hanging="332"/>
        <w:spacing w:after="0" w:line="22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55"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99" w:lineRule="exact"/>
        <w:rPr>
          <w:rFonts w:ascii="Arial" w:cs="Arial" w:eastAsia="Arial" w:hAnsi="Arial"/>
          <w:sz w:val="16"/>
          <w:szCs w:val="16"/>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acquisition of technologies or businesses;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rates of return or price concessions in excess of those expected or forecasted;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the repair and replacement of defective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inventory write-downs or write-offs;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litigation over intellectual property rights and other litigation;</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and unpredictability of the purchasing and budgeting cycles of our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accounting standards, such as revenue recognition, which we are required to adopt beginning in 2018;</w:t>
      </w:r>
    </w:p>
    <w:p>
      <w:pPr>
        <w:spacing w:after="0" w:line="99" w:lineRule="exact"/>
        <w:rPr>
          <w:rFonts w:ascii="Arial" w:cs="Arial" w:eastAsia="Arial" w:hAnsi="Arial"/>
          <w:sz w:val="16"/>
          <w:szCs w:val="16"/>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such as the Tax Cuts and Jobs Act of 2017 recently enacted;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qualified engineers;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401"/>
        <w:spacing w:after="0" w:line="244"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9"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62" w:lineRule="exact"/>
        <w:rPr>
          <w:sz w:val="20"/>
          <w:szCs w:val="20"/>
          <w:color w:val="auto"/>
        </w:rPr>
      </w:pPr>
    </w:p>
    <w:p>
      <w:pPr>
        <w:ind w:firstLine="401"/>
        <w:spacing w:after="0" w:line="234"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63" w:lineRule="exact"/>
        <w:rPr>
          <w:sz w:val="20"/>
          <w:szCs w:val="20"/>
          <w:color w:val="auto"/>
        </w:rPr>
      </w:pPr>
    </w:p>
    <w:p>
      <w:pPr>
        <w:ind w:right="20" w:firstLine="401"/>
        <w:spacing w:after="0" w:line="239"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62" w:lineRule="exact"/>
        <w:rPr>
          <w:sz w:val="20"/>
          <w:szCs w:val="20"/>
          <w:color w:val="auto"/>
        </w:rPr>
      </w:pPr>
    </w:p>
    <w:p>
      <w:pPr>
        <w:ind w:firstLine="401"/>
        <w:spacing w:after="0" w:line="220"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Asahi Kasei Microdevices, Fairchild, Invensys (now Schneider), Kionix and Micronas. In addition, as the MRAM market opportunity grows, we expect new entrants such as Avalanche will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77" w:lineRule="exact"/>
        <w:rPr>
          <w:sz w:val="20"/>
          <w:szCs w:val="20"/>
          <w:color w:val="auto"/>
        </w:rPr>
      </w:pPr>
    </w:p>
    <w:p>
      <w:pPr>
        <w:ind w:left="740" w:hanging="33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76" w:lineRule="exact"/>
        <w:rPr>
          <w:rFonts w:ascii="Arial" w:cs="Arial" w:eastAsia="Arial" w:hAnsi="Arial"/>
          <w:sz w:val="18"/>
          <w:szCs w:val="18"/>
          <w:color w:val="auto"/>
        </w:rPr>
      </w:pPr>
    </w:p>
    <w:p>
      <w:pPr>
        <w:ind w:left="740" w:right="480" w:hanging="332"/>
        <w:spacing w:after="0" w:line="23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62"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63" w:lineRule="exact"/>
        <w:rPr>
          <w:sz w:val="20"/>
          <w:szCs w:val="20"/>
          <w:color w:val="auto"/>
        </w:rPr>
      </w:pPr>
    </w:p>
    <w:p>
      <w:pPr>
        <w:ind w:firstLine="401"/>
        <w:spacing w:after="0" w:line="235"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more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6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62" w:lineRule="exact"/>
        <w:rPr>
          <w:sz w:val="20"/>
          <w:szCs w:val="20"/>
          <w:color w:val="auto"/>
        </w:rPr>
      </w:pPr>
    </w:p>
    <w:p>
      <w:pPr>
        <w:ind w:right="120" w:firstLine="401"/>
        <w:spacing w:after="0" w:line="214"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62"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62" w:lineRule="exact"/>
        <w:rPr>
          <w:sz w:val="20"/>
          <w:szCs w:val="20"/>
          <w:color w:val="auto"/>
        </w:rPr>
      </w:pPr>
    </w:p>
    <w:p>
      <w:pPr>
        <w:ind w:right="20" w:firstLine="401"/>
        <w:spacing w:after="0" w:line="223"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60" w:lineRule="exact"/>
        <w:rPr>
          <w:sz w:val="20"/>
          <w:szCs w:val="20"/>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196"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63"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7" w:lineRule="exact"/>
        <w:rPr>
          <w:sz w:val="20"/>
          <w:szCs w:val="20"/>
          <w:color w:val="auto"/>
        </w:rPr>
      </w:pPr>
    </w:p>
    <w:p>
      <w:pPr>
        <w:ind w:right="20" w:firstLine="401"/>
        <w:spacing w:after="0" w:line="222"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reduce costs while integrating greater levels of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reduce our costs and increase performance.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64"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62" w:lineRule="exact"/>
        <w:rPr>
          <w:sz w:val="20"/>
          <w:szCs w:val="20"/>
          <w:color w:val="auto"/>
        </w:rPr>
      </w:pPr>
    </w:p>
    <w:p>
      <w:pPr>
        <w:ind w:right="100" w:firstLine="401"/>
        <w:spacing w:after="0" w:line="249"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55" w:lineRule="exact"/>
        <w:rPr>
          <w:sz w:val="20"/>
          <w:szCs w:val="20"/>
          <w:color w:val="auto"/>
        </w:rPr>
      </w:pPr>
    </w:p>
    <w:p>
      <w:pPr>
        <w:ind w:firstLine="401"/>
        <w:spacing w:after="0" w:line="223"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185" w:lineRule="exact"/>
        <w:rPr>
          <w:sz w:val="20"/>
          <w:szCs w:val="20"/>
          <w:color w:val="auto"/>
        </w:rPr>
      </w:pPr>
    </w:p>
    <w:p>
      <w:pPr>
        <w:ind w:firstLine="401"/>
        <w:spacing w:after="0" w:line="235"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66" w:lineRule="exact"/>
        <w:rPr>
          <w:sz w:val="20"/>
          <w:szCs w:val="20"/>
          <w:color w:val="auto"/>
        </w:rPr>
      </w:pPr>
    </w:p>
    <w:p>
      <w:pPr>
        <w:ind w:right="20" w:firstLine="401"/>
        <w:spacing w:after="0" w:line="216"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62" w:lineRule="exact"/>
        <w:rPr>
          <w:sz w:val="20"/>
          <w:szCs w:val="20"/>
          <w:color w:val="auto"/>
        </w:rPr>
      </w:pPr>
    </w:p>
    <w:p>
      <w:pPr>
        <w:ind w:right="40" w:firstLine="401"/>
        <w:spacing w:after="0" w:line="239"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1" w:lineRule="exact"/>
        <w:rPr>
          <w:sz w:val="20"/>
          <w:szCs w:val="20"/>
          <w:color w:val="auto"/>
        </w:rPr>
      </w:pPr>
    </w:p>
    <w:p>
      <w:pPr>
        <w:ind w:right="40" w:firstLine="401"/>
        <w:spacing w:after="0" w:line="214"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401"/>
        <w:spacing w:after="0" w:line="214"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62" w:lineRule="exact"/>
        <w:rPr>
          <w:sz w:val="20"/>
          <w:szCs w:val="20"/>
          <w:color w:val="auto"/>
        </w:rPr>
      </w:pPr>
    </w:p>
    <w:p>
      <w:pPr>
        <w:ind w:left="740" w:hanging="332"/>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76" w:lineRule="exact"/>
        <w:rPr>
          <w:rFonts w:ascii="Arial" w:cs="Arial" w:eastAsia="Arial" w:hAnsi="Arial"/>
          <w:sz w:val="18"/>
          <w:szCs w:val="18"/>
          <w:color w:val="auto"/>
        </w:rPr>
      </w:pPr>
    </w:p>
    <w:p>
      <w:pPr>
        <w:ind w:left="740" w:right="54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53" w:lineRule="exact"/>
        <w:rPr>
          <w:rFonts w:ascii="Arial" w:cs="Arial" w:eastAsia="Arial" w:hAnsi="Arial"/>
          <w:sz w:val="18"/>
          <w:szCs w:val="18"/>
          <w:color w:val="auto"/>
        </w:rPr>
      </w:pPr>
    </w:p>
    <w:p>
      <w:pPr>
        <w:ind w:left="740" w:right="102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53" w:lineRule="exact"/>
        <w:rPr>
          <w:rFonts w:ascii="Arial" w:cs="Arial" w:eastAsia="Arial" w:hAnsi="Arial"/>
          <w:sz w:val="18"/>
          <w:szCs w:val="18"/>
          <w:color w:val="auto"/>
        </w:rPr>
      </w:pPr>
    </w:p>
    <w:p>
      <w:pPr>
        <w:ind w:left="740" w:right="20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53" w:lineRule="exact"/>
        <w:rPr>
          <w:rFonts w:ascii="Arial" w:cs="Arial" w:eastAsia="Arial" w:hAnsi="Arial"/>
          <w:sz w:val="18"/>
          <w:szCs w:val="18"/>
          <w:color w:val="auto"/>
        </w:rPr>
      </w:pPr>
    </w:p>
    <w:p>
      <w:pPr>
        <w:ind w:left="740" w:right="34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right="160" w:firstLine="401"/>
        <w:spacing w:after="0" w:line="214"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62"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62"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firstLine="401"/>
        <w:spacing w:after="0" w:line="211" w:lineRule="auto"/>
        <w:rPr>
          <w:sz w:val="20"/>
          <w:szCs w:val="20"/>
          <w:color w:val="auto"/>
        </w:rPr>
      </w:pPr>
      <w:r>
        <w:rPr>
          <w:rFonts w:ascii="Arial" w:cs="Arial" w:eastAsia="Arial" w:hAnsi="Arial"/>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6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62" w:lineRule="exact"/>
        <w:rPr>
          <w:sz w:val="20"/>
          <w:szCs w:val="20"/>
          <w:color w:val="auto"/>
        </w:rPr>
      </w:pPr>
    </w:p>
    <w:p>
      <w:pPr>
        <w:ind w:firstLine="401"/>
        <w:spacing w:after="0" w:line="235"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issued refresh equity awards to our personnel in connection with our initial public offering, and repriced options in mid-December 2016 to reflect our then current stock price,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of the services of one or more of our key employees, especially our key engineers, or our inability to attract and retain qualified engineers, could harm our business, financial condition and results of operations.</w:t>
      </w:r>
    </w:p>
    <w:p>
      <w:pPr>
        <w:spacing w:after="0" w:line="162"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63" w:lineRule="exact"/>
        <w:rPr>
          <w:sz w:val="20"/>
          <w:szCs w:val="20"/>
          <w:color w:val="auto"/>
        </w:rPr>
      </w:pPr>
    </w:p>
    <w:p>
      <w:pPr>
        <w:ind w:right="40" w:firstLine="401"/>
        <w:spacing w:after="0" w:line="237" w:lineRule="auto"/>
        <w:rPr>
          <w:sz w:val="20"/>
          <w:szCs w:val="20"/>
          <w:color w:val="auto"/>
        </w:rPr>
      </w:pPr>
      <w:r>
        <w:rPr>
          <w:rFonts w:ascii="Arial" w:cs="Arial" w:eastAsia="Arial" w:hAnsi="Arial"/>
          <w:sz w:val="16"/>
          <w:szCs w:val="16"/>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67" w:lineRule="exact"/>
        <w:rPr>
          <w:sz w:val="20"/>
          <w:szCs w:val="20"/>
          <w:color w:val="auto"/>
        </w:rPr>
      </w:pPr>
    </w:p>
    <w:p>
      <w:pPr>
        <w:ind w:right="520"/>
        <w:spacing w:after="0" w:line="324"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2" w:lineRule="exact"/>
        <w:rPr>
          <w:sz w:val="20"/>
          <w:szCs w:val="20"/>
          <w:color w:val="auto"/>
        </w:rPr>
      </w:pPr>
    </w:p>
    <w:p>
      <w:pPr>
        <w:ind w:right="280" w:firstLine="401"/>
        <w:spacing w:after="0" w:line="232" w:lineRule="auto"/>
        <w:rPr>
          <w:sz w:val="20"/>
          <w:szCs w:val="20"/>
          <w:color w:val="auto"/>
        </w:rPr>
      </w:pPr>
      <w:r>
        <w:rPr>
          <w:rFonts w:ascii="Arial" w:cs="Arial" w:eastAsia="Arial" w:hAnsi="Arial"/>
          <w:sz w:val="17"/>
          <w:szCs w:val="17"/>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54" w:lineRule="exact"/>
        <w:rPr>
          <w:sz w:val="20"/>
          <w:szCs w:val="20"/>
          <w:color w:val="auto"/>
        </w:rPr>
      </w:pPr>
    </w:p>
    <w:p>
      <w:pPr>
        <w:ind w:left="740" w:right="140" w:hanging="332"/>
        <w:spacing w:after="0" w:line="259"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39" w:lineRule="exact"/>
        <w:rPr>
          <w:rFonts w:ascii="Arial" w:cs="Arial" w:eastAsia="Arial" w:hAnsi="Arial"/>
          <w:sz w:val="16"/>
          <w:szCs w:val="16"/>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or liabilities, including possible litigation, associated with the acquisition;</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an acquisition.</w:t>
      </w:r>
    </w:p>
    <w:p>
      <w:pPr>
        <w:spacing w:after="0" w:line="185" w:lineRule="exact"/>
        <w:rPr>
          <w:sz w:val="20"/>
          <w:szCs w:val="20"/>
          <w:color w:val="auto"/>
        </w:rPr>
      </w:pPr>
    </w:p>
    <w:p>
      <w:pPr>
        <w:ind w:right="40" w:firstLine="401"/>
        <w:spacing w:after="0" w:line="259"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62" w:lineRule="exact"/>
        <w:rPr>
          <w:sz w:val="20"/>
          <w:szCs w:val="20"/>
          <w:color w:val="auto"/>
        </w:rPr>
      </w:pPr>
    </w:p>
    <w:p>
      <w:pPr>
        <w:ind w:right="80" w:firstLine="401"/>
        <w:spacing w:after="0" w:line="239"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54" w:lineRule="exact"/>
        <w:rPr>
          <w:sz w:val="20"/>
          <w:szCs w:val="20"/>
          <w:color w:val="auto"/>
        </w:rPr>
      </w:pPr>
    </w:p>
    <w:p>
      <w:pPr>
        <w:ind w:left="4440" w:right="1580" w:hanging="4032"/>
        <w:spacing w:after="0" w:line="857" w:lineRule="auto"/>
        <w:tabs>
          <w:tab w:leader="none" w:pos="7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99" w:lineRule="exact"/>
        <w:rPr>
          <w:rFonts w:ascii="Arial" w:cs="Arial" w:eastAsia="Arial" w:hAnsi="Arial"/>
          <w:sz w:val="16"/>
          <w:szCs w:val="16"/>
          <w:color w:val="auto"/>
        </w:rPr>
      </w:pPr>
    </w:p>
    <w:p>
      <w:pPr>
        <w:ind w:left="740" w:right="500" w:hanging="332"/>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53" w:lineRule="exact"/>
        <w:rPr>
          <w:rFonts w:ascii="Arial" w:cs="Arial" w:eastAsia="Arial" w:hAnsi="Arial"/>
          <w:sz w:val="18"/>
          <w:szCs w:val="18"/>
          <w:color w:val="auto"/>
        </w:rPr>
      </w:pPr>
    </w:p>
    <w:p>
      <w:pPr>
        <w:ind w:left="740" w:right="100" w:hanging="332"/>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53" w:lineRule="exact"/>
        <w:rPr>
          <w:rFonts w:ascii="Arial" w:cs="Arial" w:eastAsia="Arial" w:hAnsi="Arial"/>
          <w:sz w:val="18"/>
          <w:szCs w:val="18"/>
          <w:color w:val="auto"/>
        </w:rPr>
      </w:pPr>
    </w:p>
    <w:p>
      <w:pPr>
        <w:ind w:left="740" w:right="40" w:hanging="332"/>
        <w:spacing w:after="0" w:line="219"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54"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18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63" w:lineRule="exact"/>
        <w:rPr>
          <w:sz w:val="20"/>
          <w:szCs w:val="20"/>
          <w:color w:val="auto"/>
        </w:rPr>
      </w:pPr>
    </w:p>
    <w:p>
      <w:pPr>
        <w:ind w:right="100" w:firstLine="401"/>
        <w:spacing w:after="0" w:line="234"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66" w:lineRule="exact"/>
        <w:rPr>
          <w:sz w:val="20"/>
          <w:szCs w:val="20"/>
          <w:color w:val="auto"/>
        </w:rPr>
      </w:pPr>
    </w:p>
    <w:p>
      <w:pPr>
        <w:ind w:right="380"/>
        <w:spacing w:after="0" w:line="324"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2"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185" w:lineRule="exact"/>
        <w:rPr>
          <w:sz w:val="20"/>
          <w:szCs w:val="20"/>
          <w:color w:val="auto"/>
        </w:rPr>
      </w:pPr>
    </w:p>
    <w:p>
      <w:pPr>
        <w:ind w:right="580" w:firstLine="401"/>
        <w:spacing w:after="0" w:line="235"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54" w:lineRule="exact"/>
        <w:rPr>
          <w:sz w:val="20"/>
          <w:szCs w:val="20"/>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185" w:lineRule="exact"/>
        <w:rPr>
          <w:sz w:val="20"/>
          <w:szCs w:val="20"/>
          <w:color w:val="auto"/>
        </w:rPr>
      </w:pPr>
    </w:p>
    <w:p>
      <w:pPr>
        <w:ind w:right="80" w:firstLine="401"/>
        <w:spacing w:after="0" w:line="237"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tax reform bill could adversely affect our business and financial condition.</w:t>
      </w:r>
    </w:p>
    <w:p>
      <w:pPr>
        <w:spacing w:after="0" w:line="185" w:lineRule="exact"/>
        <w:rPr>
          <w:sz w:val="20"/>
          <w:szCs w:val="20"/>
          <w:color w:val="auto"/>
        </w:rPr>
      </w:pPr>
    </w:p>
    <w:p>
      <w:pPr>
        <w:ind w:right="60" w:firstLine="324"/>
        <w:spacing w:after="0" w:line="234" w:lineRule="auto"/>
        <w:rPr>
          <w:sz w:val="20"/>
          <w:szCs w:val="20"/>
          <w:color w:val="auto"/>
        </w:rPr>
      </w:pPr>
      <w:r>
        <w:rPr>
          <w:rFonts w:ascii="Arial" w:cs="Arial" w:eastAsia="Arial" w:hAnsi="Arial"/>
          <w:sz w:val="16"/>
          <w:szCs w:val="16"/>
          <w:color w:val="auto"/>
        </w:rPr>
        <w:t>On December 22, 2017, President Trump signed into law the Tax Cuts and Jobs Act (“2017 Tax Act”), which significantly amends the Internal Revenue Code of 1986. The 2017 Tax Act, among other things, reduces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 Under the new corporate income tax rate of 21%, we expect deferred income tax assets will decrease by $14.8 million and the valuation allowance will decrease by $14.8 million. The net effect of the tax reform enactment on the financial statements is $0 as of December 31, 2017. We continue to examine the impact these changes may have on the business. We are currently analyzing the 2017 Tax Act and this Annual Report on Form 10-K does not fully discuss the 2017 Tax Act or the manner in which it might affect us or holders of our common stock. We urge our stockholders, including potential purchasers of our common stock, to consult with their legal and tax advisers with respect to the 2017 Tax Act and the potential tax consequences of investing in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96"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2017, we had federal net operating loss carryforwards of approximately $100.1 million which will begin to expire in 2028 if not utilized, and state net operating loss carryforwards of approximately $39.3 million which will begin to expire in 2023 if not utilized. The federal NOLs generated prior to 2018 will continue to be governed by the NOL tax rules as they existed prior to the adoption of the new Tax Act, which means that generally they will expire 20 years after they were generated if not used prior thereto. The federal NOLs generated prior to 2018 will continue to be governed by the NOL tax rules as they existed prior to the adoption of the new Tax Act, which means that generally they will expire 20 years after they were generated if not used prior thereto. We may experience an ownership change in the future, and our ability to utilize our NOLs and tax credits could be further limited by Section 382 of the Code. Future changes in our stock ownership, many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24" w:lineRule="auto"/>
        <w:rPr>
          <w:sz w:val="20"/>
          <w:szCs w:val="20"/>
          <w:color w:val="auto"/>
        </w:rPr>
      </w:pPr>
      <w:r>
        <w:rPr>
          <w:rFonts w:ascii="Arial" w:cs="Arial" w:eastAsia="Arial" w:hAnsi="Arial"/>
          <w:sz w:val="18"/>
          <w:szCs w:val="18"/>
          <w:color w:val="auto"/>
        </w:rPr>
        <w:t>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63"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We have hired additional accounting and finance staff members to augment our current staff and to improve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185" w:lineRule="exact"/>
        <w:rPr>
          <w:sz w:val="20"/>
          <w:szCs w:val="20"/>
          <w:color w:val="auto"/>
        </w:rPr>
      </w:pPr>
    </w:p>
    <w:p>
      <w:pPr>
        <w:ind w:right="40" w:firstLine="401"/>
        <w:spacing w:after="0" w:line="209"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69" w:lineRule="exact"/>
        <w:rPr>
          <w:sz w:val="20"/>
          <w:szCs w:val="20"/>
          <w:color w:val="auto"/>
        </w:rPr>
      </w:pPr>
    </w:p>
    <w:p>
      <w:pPr>
        <w:ind w:right="20" w:firstLine="401"/>
        <w:spacing w:after="0" w:line="229"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61" w:lineRule="exact"/>
        <w:rPr>
          <w:sz w:val="20"/>
          <w:szCs w:val="20"/>
          <w:color w:val="auto"/>
        </w:rPr>
      </w:pPr>
    </w:p>
    <w:p>
      <w:pPr>
        <w:ind w:right="20" w:firstLine="401"/>
        <w:spacing w:after="0" w:line="216"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6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61" w:lineRule="exact"/>
        <w:rPr>
          <w:sz w:val="20"/>
          <w:szCs w:val="20"/>
          <w:color w:val="auto"/>
        </w:rPr>
      </w:pPr>
    </w:p>
    <w:p>
      <w:pPr>
        <w:ind w:right="20" w:firstLine="401"/>
        <w:spacing w:after="0" w:line="236" w:lineRule="auto"/>
        <w:rPr>
          <w:sz w:val="20"/>
          <w:szCs w:val="20"/>
          <w:color w:val="auto"/>
        </w:rPr>
      </w:pPr>
      <w:r>
        <w:rPr>
          <w:rFonts w:ascii="Arial" w:cs="Arial" w:eastAsia="Arial" w:hAnsi="Arial"/>
          <w:sz w:val="16"/>
          <w:szCs w:val="16"/>
          <w:color w:val="auto"/>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In connection with the audit of our financial statements as of and for the years ended December 31, 2016 and 2015, we identified material weaknesses in our internal control over financial reporting, as defined in the standards established by the Public Company Accounting Oversight Board of the United States. Although we enhanced our internal controls, processes and related documentation necessary to remediate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our material weakness and to perform the evaluation needed to comply with Section 404, and have concluded that we do not currently have any material weaknesses, there can be no assurances that we will not have any material weaknesses in the future.</w:t>
      </w:r>
    </w:p>
    <w:p>
      <w:pPr>
        <w:spacing w:after="0" w:line="163"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162"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62" w:lineRule="exact"/>
        <w:rPr>
          <w:sz w:val="20"/>
          <w:szCs w:val="20"/>
          <w:color w:val="auto"/>
        </w:rPr>
      </w:pPr>
    </w:p>
    <w:p>
      <w:pPr>
        <w:ind w:right="40" w:firstLine="401"/>
        <w:spacing w:after="0" w:line="234" w:lineRule="auto"/>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will adopt the new revenue recognition standard, which will change the way we recognize revenue. We do not expect the adoption of the standard to have a material impact on our quarterly and/or annual statement of operations, however the exact impact will be dependent on facts and circumstances that could vary from quarter to quarter.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70"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62" w:lineRule="exact"/>
        <w:rPr>
          <w:sz w:val="20"/>
          <w:szCs w:val="20"/>
          <w:color w:val="auto"/>
        </w:rPr>
      </w:pPr>
    </w:p>
    <w:p>
      <w:pPr>
        <w:ind w:firstLine="401"/>
        <w:spacing w:after="0" w:line="234"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185" w:lineRule="exact"/>
        <w:rPr>
          <w:sz w:val="20"/>
          <w:szCs w:val="20"/>
          <w:color w:val="auto"/>
        </w:rPr>
      </w:pPr>
    </w:p>
    <w:p>
      <w:pPr>
        <w:ind w:right="140" w:firstLine="401"/>
        <w:spacing w:after="0" w:line="229" w:lineRule="auto"/>
        <w:rPr>
          <w:sz w:val="20"/>
          <w:szCs w:val="20"/>
          <w:color w:val="auto"/>
        </w:rPr>
      </w:pPr>
      <w:r>
        <w:rPr>
          <w:rFonts w:ascii="Arial" w:cs="Arial" w:eastAsia="Arial" w:hAnsi="Arial"/>
          <w:sz w:val="17"/>
          <w:szCs w:val="17"/>
          <w:color w:val="auto"/>
        </w:rPr>
        <w:t>Prior to the initial public offering of our common stock in October 2016, there was no public market for our common stock. 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185" w:lineRule="exact"/>
        <w:rPr>
          <w:sz w:val="20"/>
          <w:szCs w:val="20"/>
          <w:color w:val="auto"/>
        </w:rPr>
      </w:pPr>
    </w:p>
    <w:p>
      <w:pPr>
        <w:ind w:right="520" w:firstLine="401"/>
        <w:spacing w:after="0" w:line="235"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54" w:lineRule="exact"/>
        <w:rPr>
          <w:sz w:val="20"/>
          <w:szCs w:val="20"/>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76" w:lineRule="exact"/>
        <w:rPr>
          <w:rFonts w:ascii="Arial" w:cs="Arial" w:eastAsia="Arial" w:hAnsi="Arial"/>
          <w:sz w:val="18"/>
          <w:szCs w:val="18"/>
          <w:color w:val="auto"/>
        </w:rPr>
      </w:pPr>
    </w:p>
    <w:p>
      <w:pPr>
        <w:ind w:left="740" w:right="580" w:hanging="332"/>
        <w:spacing w:after="0" w:line="23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ind w:right="40" w:firstLine="401"/>
        <w:spacing w:after="0" w:line="232"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63" w:lineRule="exact"/>
        <w:rPr>
          <w:sz w:val="20"/>
          <w:szCs w:val="20"/>
          <w:color w:val="auto"/>
        </w:rPr>
      </w:pPr>
    </w:p>
    <w:p>
      <w:pPr>
        <w:ind w:right="400" w:firstLine="401"/>
        <w:spacing w:after="0" w:line="249"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62" w:lineRule="exact"/>
        <w:rPr>
          <w:sz w:val="20"/>
          <w:szCs w:val="20"/>
          <w:color w:val="auto"/>
        </w:rPr>
      </w:pPr>
    </w:p>
    <w:p>
      <w:pPr>
        <w:ind w:right="20" w:firstLine="401"/>
        <w:spacing w:after="0" w:line="210" w:lineRule="auto"/>
        <w:rPr>
          <w:sz w:val="20"/>
          <w:szCs w:val="20"/>
          <w:color w:val="auto"/>
        </w:rPr>
      </w:pPr>
      <w:r>
        <w:rPr>
          <w:rFonts w:ascii="Arial" w:cs="Arial" w:eastAsia="Arial" w:hAnsi="Arial"/>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66"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401"/>
        <w:spacing w:after="0" w:line="237"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7" w:lineRule="exact"/>
        <w:rPr>
          <w:sz w:val="20"/>
          <w:szCs w:val="20"/>
          <w:color w:val="auto"/>
        </w:rPr>
      </w:pPr>
    </w:p>
    <w:p>
      <w:pPr>
        <w:ind w:right="220" w:firstLine="401"/>
        <w:spacing w:after="0" w:line="289" w:lineRule="auto"/>
        <w:rPr>
          <w:sz w:val="20"/>
          <w:szCs w:val="20"/>
          <w:color w:val="auto"/>
        </w:rPr>
      </w:pPr>
      <w:r>
        <w:rPr>
          <w:rFonts w:ascii="Arial" w:cs="Arial" w:eastAsia="Arial" w:hAnsi="Arial"/>
          <w:sz w:val="16"/>
          <w:szCs w:val="16"/>
          <w:color w:val="auto"/>
        </w:rPr>
        <w:t>We may remain an “emerging growth company” until as late as December 31, 2021, the fiscal year-end following the fifth anniversary of the completion of our initial public offering, though we may cease to be an “emerging growth</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61"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80" w:firstLine="401"/>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6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62" w:lineRule="exact"/>
        <w:rPr>
          <w:sz w:val="20"/>
          <w:szCs w:val="20"/>
          <w:color w:val="auto"/>
        </w:rPr>
      </w:pPr>
    </w:p>
    <w:p>
      <w:pPr>
        <w:ind w:firstLine="401"/>
        <w:spacing w:after="0" w:line="226"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5" w:lineRule="exact"/>
        <w:rPr>
          <w:sz w:val="20"/>
          <w:szCs w:val="20"/>
          <w:color w:val="auto"/>
        </w:rPr>
      </w:pPr>
    </w:p>
    <w:p>
      <w:pPr>
        <w:ind w:right="120" w:firstLine="401"/>
        <w:spacing w:after="0" w:line="214"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2" w:lineRule="exact"/>
        <w:rPr>
          <w:sz w:val="20"/>
          <w:szCs w:val="20"/>
          <w:color w:val="auto"/>
        </w:rPr>
      </w:pPr>
    </w:p>
    <w:p>
      <w:pPr>
        <w:ind w:right="240" w:firstLine="401"/>
        <w:spacing w:after="0" w:line="249"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5"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401"/>
        <w:spacing w:after="0" w:line="223"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54" w:lineRule="exact"/>
        <w:rPr>
          <w:sz w:val="20"/>
          <w:szCs w:val="20"/>
          <w:color w:val="auto"/>
        </w:rPr>
      </w:pPr>
    </w:p>
    <w:p>
      <w:pPr>
        <w:ind w:left="740" w:right="60" w:hanging="332"/>
        <w:spacing w:after="0" w:line="22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right="300" w:hanging="332"/>
        <w:spacing w:after="0" w:line="21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54" w:lineRule="exact"/>
        <w:rPr>
          <w:rFonts w:ascii="Arial" w:cs="Arial" w:eastAsia="Arial" w:hAnsi="Arial"/>
          <w:sz w:val="18"/>
          <w:szCs w:val="18"/>
          <w:color w:val="auto"/>
        </w:rPr>
      </w:pPr>
    </w:p>
    <w:p>
      <w:pPr>
        <w:ind w:left="740" w:right="200" w:hanging="332"/>
        <w:spacing w:after="0" w:line="23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Arial" w:cs="Arial" w:eastAsia="Arial" w:hAnsi="Arial"/>
          <w:sz w:val="18"/>
          <w:szCs w:val="18"/>
          <w:color w:val="auto"/>
        </w:rPr>
      </w:pPr>
    </w:p>
    <w:p>
      <w:pPr>
        <w:ind w:left="740" w:right="80" w:hanging="332"/>
        <w:spacing w:after="0" w:line="187" w:lineRule="exact"/>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affirmative vote of holders of at least 66</w:t>
      </w:r>
      <w:r>
        <w:rPr>
          <w:rFonts w:ascii="MS PGothic" w:cs="MS PGothic" w:eastAsia="MS PGothic" w:hAnsi="MS PGothic"/>
          <w:sz w:val="18"/>
          <w:szCs w:val="18"/>
          <w:color w:val="auto"/>
        </w:rPr>
        <w:t>‑</w:t>
      </w:r>
      <w:r>
        <w:rPr>
          <w:rFonts w:ascii="Arial" w:cs="Arial" w:eastAsia="Arial" w:hAnsi="Arial"/>
          <w:sz w:val="18"/>
          <w:szCs w:val="18"/>
          <w:color w:val="auto"/>
        </w:rPr>
        <w:t>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54" w:lineRule="exact"/>
        <w:rPr>
          <w:rFonts w:ascii="Arial" w:cs="Arial" w:eastAsia="Arial" w:hAnsi="Arial"/>
          <w:sz w:val="18"/>
          <w:szCs w:val="18"/>
          <w:color w:val="auto"/>
        </w:rPr>
      </w:pPr>
    </w:p>
    <w:p>
      <w:pPr>
        <w:ind w:left="740" w:right="140" w:hanging="332"/>
        <w:spacing w:after="0" w:line="232"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54" w:lineRule="exact"/>
        <w:rPr>
          <w:rFonts w:ascii="Arial" w:cs="Arial" w:eastAsia="Arial" w:hAnsi="Arial"/>
          <w:sz w:val="17"/>
          <w:szCs w:val="17"/>
          <w:color w:val="auto"/>
        </w:rPr>
      </w:pPr>
    </w:p>
    <w:p>
      <w:pPr>
        <w:ind w:left="740" w:right="120" w:hanging="332"/>
        <w:spacing w:after="0" w:line="238"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1" w:lineRule="exact"/>
        <w:rPr>
          <w:sz w:val="20"/>
          <w:szCs w:val="20"/>
          <w:color w:val="auto"/>
        </w:rPr>
      </w:pPr>
    </w:p>
    <w:p>
      <w:pPr>
        <w:ind w:right="40" w:firstLine="401"/>
        <w:spacing w:after="0" w:line="24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100" w:firstLine="401"/>
        <w:spacing w:after="0" w:line="235" w:lineRule="auto"/>
        <w:rPr>
          <w:sz w:val="20"/>
          <w:szCs w:val="20"/>
          <w:color w:val="auto"/>
        </w:rPr>
      </w:pPr>
      <w:r>
        <w:rPr>
          <w:rFonts w:ascii="Arial" w:cs="Arial" w:eastAsia="Arial" w:hAnsi="Arial"/>
          <w:sz w:val="18"/>
          <w:szCs w:val="18"/>
          <w:color w:val="auto"/>
        </w:rPr>
        <w:t>We lease office space for our corporate headquarters located in Chandler, Arizona and for our design facility located in Austin, Texas. The leases expire in January 2022.</w:t>
      </w:r>
    </w:p>
    <w:p>
      <w:pPr>
        <w:spacing w:after="0" w:line="162"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We have an operating lease for our Arizona manufacturing facility, as amended, for certain of the fabrication, laboratory and office premises of Freescale, a related party. This lease is cancellable upon 24 months’ notice by either of the parties. In the first quarter of 2017, we extended the lease through January 28, 2019 and amended the premises covered to remove laboratory space, decrease fabrication space and expand office space. In the fourth quarter of 2017, we extended the lease through January 2020.</w:t>
      </w:r>
    </w:p>
    <w:p>
      <w:pPr>
        <w:spacing w:after="0" w:line="162" w:lineRule="exact"/>
        <w:rPr>
          <w:sz w:val="20"/>
          <w:szCs w:val="20"/>
          <w:color w:val="auto"/>
        </w:rPr>
      </w:pPr>
    </w:p>
    <w:p>
      <w:pPr>
        <w:jc w:val="both"/>
        <w:ind w:right="240" w:firstLine="401"/>
        <w:spacing w:after="0" w:line="219" w:lineRule="auto"/>
        <w:rPr>
          <w:sz w:val="20"/>
          <w:szCs w:val="20"/>
          <w:color w:val="auto"/>
        </w:rPr>
      </w:pPr>
      <w:r>
        <w:rPr>
          <w:rFonts w:ascii="Arial" w:cs="Arial" w:eastAsia="Arial" w:hAnsi="Arial"/>
          <w:sz w:val="18"/>
          <w:szCs w:val="18"/>
          <w:color w:val="auto"/>
        </w:rPr>
        <w:t>In the first quarter of 2017, we entered into a five-year operating lease with Freescale for 10,023 square feet of office and laboratory space. In the third quarter of 2017, we amended the lease with Freescale to add 17,951 square feet of office space. The initial term of this amendment to the lease ends on January 31, 2022, with an option to renew the lease through August 31, 2024.</w:t>
      </w:r>
    </w:p>
    <w:p>
      <w:pPr>
        <w:spacing w:after="0" w:line="163" w:lineRule="exact"/>
        <w:rPr>
          <w:sz w:val="20"/>
          <w:szCs w:val="20"/>
          <w:color w:val="auto"/>
        </w:rPr>
      </w:pPr>
    </w:p>
    <w:p>
      <w:pPr>
        <w:ind w:right="340" w:firstLine="401"/>
        <w:spacing w:after="0" w:line="235" w:lineRule="auto"/>
        <w:rPr>
          <w:sz w:val="20"/>
          <w:szCs w:val="20"/>
          <w:color w:val="auto"/>
        </w:rPr>
      </w:pPr>
      <w:r>
        <w:rPr>
          <w:rFonts w:ascii="Arial" w:cs="Arial" w:eastAsia="Arial" w:hAnsi="Arial"/>
          <w:sz w:val="18"/>
          <w:szCs w:val="18"/>
          <w:color w:val="auto"/>
        </w:rPr>
        <w:t>We believe our existing facilities are well maintained and in good operating condition and they are adequate for our foreseeable business needs.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40" w:firstLine="401"/>
        <w:spacing w:after="0" w:line="224" w:lineRule="auto"/>
        <w:rPr>
          <w:sz w:val="20"/>
          <w:szCs w:val="20"/>
          <w:color w:val="auto"/>
        </w:rPr>
      </w:pPr>
      <w:r>
        <w:rPr>
          <w:rFonts w:ascii="Arial" w:cs="Arial" w:eastAsia="Arial" w:hAnsi="Arial"/>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Common Stock</w:t>
      </w:r>
    </w:p>
    <w:p>
      <w:pPr>
        <w:spacing w:after="0" w:line="189" w:lineRule="exact"/>
        <w:rPr>
          <w:sz w:val="20"/>
          <w:szCs w:val="20"/>
          <w:color w:val="auto"/>
        </w:rPr>
      </w:pPr>
    </w:p>
    <w:p>
      <w:pPr>
        <w:ind w:right="260" w:firstLine="401"/>
        <w:spacing w:after="0" w:line="259" w:lineRule="auto"/>
        <w:rPr>
          <w:sz w:val="20"/>
          <w:szCs w:val="20"/>
          <w:color w:val="auto"/>
        </w:rPr>
      </w:pPr>
      <w:r>
        <w:rPr>
          <w:rFonts w:ascii="Arial" w:cs="Arial" w:eastAsia="Arial" w:hAnsi="Arial"/>
          <w:sz w:val="16"/>
          <w:szCs w:val="16"/>
          <w:color w:val="auto"/>
        </w:rPr>
        <w:t>Our common stock has been listed on the Nasdaq Global Market under the symbol “MRAM” since October 7, 2016. Prior to that date, there was no public trading market for our common stock. The following table sets forth for the period indicated the high and low sales prices per share of our common stock as reported on the Nasdaq Global Market: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5"/>
              </w:rPr>
              <w:t>Prices</w:t>
            </w:r>
          </w:p>
        </w:tc>
        <w:tc>
          <w:tcPr>
            <w:tcW w:w="1000" w:type="dxa"/>
            <w:vAlign w:val="bottom"/>
            <w:tcBorders>
              <w:bottom w:val="single" w:sz="8" w:color="auto"/>
            </w:tcBorders>
          </w:tcPr>
          <w:p>
            <w:pPr>
              <w:spacing w:after="0"/>
              <w:rPr>
                <w:sz w:val="14"/>
                <w:szCs w:val="14"/>
                <w:color w:val="auto"/>
              </w:rPr>
            </w:pPr>
          </w:p>
        </w:tc>
      </w:tr>
      <w:tr>
        <w:trPr>
          <w:trHeight w:val="129"/>
        </w:trPr>
        <w:tc>
          <w:tcPr>
            <w:tcW w:w="51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High</w:t>
            </w:r>
          </w:p>
        </w:tc>
        <w:tc>
          <w:tcPr>
            <w:tcW w:w="480" w:type="dxa"/>
            <w:vAlign w:val="bottom"/>
            <w:tcBorders>
              <w:bottom w:val="single" w:sz="8" w:color="auto"/>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33"/>
              <w:spacing w:after="0" w:line="129" w:lineRule="exact"/>
              <w:rPr>
                <w:sz w:val="20"/>
                <w:szCs w:val="20"/>
                <w:color w:val="auto"/>
              </w:rPr>
            </w:pPr>
            <w:r>
              <w:rPr>
                <w:rFonts w:ascii="Arial" w:cs="Arial" w:eastAsia="Arial" w:hAnsi="Arial"/>
                <w:sz w:val="14"/>
                <w:szCs w:val="14"/>
                <w:b w:val="1"/>
                <w:bCs w:val="1"/>
                <w:color w:val="auto"/>
              </w:rPr>
              <w:t>Low</w:t>
            </w:r>
          </w:p>
        </w:tc>
      </w:tr>
      <w:tr>
        <w:trPr>
          <w:trHeight w:val="169"/>
        </w:trPr>
        <w:tc>
          <w:tcPr>
            <w:tcW w:w="51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2016</w:t>
            </w:r>
          </w:p>
        </w:tc>
        <w:tc>
          <w:tcPr>
            <w:tcW w:w="9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Quarter ended December 31, 2016 (from October 7, 2016)</w:t>
            </w:r>
          </w:p>
        </w:tc>
        <w:tc>
          <w:tcPr>
            <w:tcW w:w="1760" w:type="dxa"/>
            <w:vAlign w:val="bottom"/>
            <w:gridSpan w:val="2"/>
          </w:tcPr>
          <w:p>
            <w:pPr>
              <w:jc w:val="right"/>
              <w:ind w:right="648"/>
              <w:spacing w:after="0" w:line="17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9.99</w:t>
            </w: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6.15</w:t>
            </w: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2017</w:t>
            </w: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Quarter ended March 31, 2017</w:t>
            </w:r>
          </w:p>
        </w:tc>
        <w:tc>
          <w:tcPr>
            <w:tcW w:w="1760" w:type="dxa"/>
            <w:vAlign w:val="bottom"/>
            <w:gridSpan w:val="2"/>
          </w:tcPr>
          <w:p>
            <w:pPr>
              <w:jc w:val="right"/>
              <w:ind w:right="648"/>
              <w:spacing w:after="0" w:line="17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w w:val="88"/>
              </w:rPr>
              <w:t>10.28</w:t>
            </w: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7.00</w:t>
            </w: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Quarter ended June 30, 2017</w:t>
            </w: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23.11</w:t>
            </w: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7.80</w:t>
            </w: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Quarter ended September 30, 2017</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w w:val="88"/>
              </w:rPr>
              <w:t>25.39</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14.14</w:t>
            </w: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Quarter ended December 31, 2017</w:t>
            </w: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17.16</w:t>
            </w: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jc w:val="both"/>
        <w:ind w:right="60" w:firstLine="401"/>
        <w:spacing w:after="0" w:line="219" w:lineRule="auto"/>
        <w:rPr>
          <w:sz w:val="20"/>
          <w:szCs w:val="20"/>
          <w:color w:val="auto"/>
        </w:rPr>
      </w:pPr>
      <w:r>
        <w:rPr>
          <w:rFonts w:ascii="Arial" w:cs="Arial" w:eastAsia="Arial" w:hAnsi="Arial"/>
          <w:sz w:val="18"/>
          <w:szCs w:val="18"/>
          <w:color w:val="auto"/>
        </w:rPr>
        <w:t>As of March 7, 2018, we had 31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100" w:firstLine="401"/>
        <w:spacing w:after="0" w:line="229"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Under our Loan and Security Agreement with Silicon Valley Bank entered into in May 2017, we are not allowed to pay any cash dividends without the consent of Silicon Valley Bank.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20" w:firstLine="401"/>
        <w:spacing w:after="0" w:line="219"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of our filings under the Securities Act of 1933, as amended, or the Exchange Act.</w:t>
      </w:r>
    </w:p>
    <w:p>
      <w:pPr>
        <w:spacing w:after="0" w:line="163" w:lineRule="exact"/>
        <w:rPr>
          <w:sz w:val="20"/>
          <w:szCs w:val="20"/>
          <w:color w:val="auto"/>
        </w:rPr>
      </w:pPr>
    </w:p>
    <w:p>
      <w:pPr>
        <w:ind w:firstLine="401"/>
        <w:spacing w:after="0" w:line="219" w:lineRule="auto"/>
        <w:rPr>
          <w:sz w:val="20"/>
          <w:szCs w:val="20"/>
          <w:color w:val="auto"/>
        </w:rPr>
      </w:pPr>
      <w:r>
        <w:rPr>
          <w:rFonts w:ascii="Arial" w:cs="Arial" w:eastAsia="Arial" w:hAnsi="Arial"/>
          <w:sz w:val="18"/>
          <w:szCs w:val="18"/>
          <w:color w:val="auto"/>
        </w:rPr>
        <w:t>The graph below shows the cumulative total stockholder return for Everspin Technologies, Inc., the Nasdaq Composite Index and the PHLX Semiconductor Index, assuming the investment of $100.00 in our common stock on the date specified. The comparisons in the graph are required by the Securities and Exchange Commission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121285</wp:posOffset>
            </wp:positionV>
            <wp:extent cx="4399280" cy="3653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9928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189" w:lineRule="exact"/>
        <w:rPr>
          <w:sz w:val="20"/>
          <w:szCs w:val="20"/>
          <w:color w:val="auto"/>
        </w:rPr>
      </w:pPr>
    </w:p>
    <w:p>
      <w:pPr>
        <w:ind w:firstLine="401"/>
        <w:spacing w:after="0" w:line="187" w:lineRule="exact"/>
        <w:rPr>
          <w:sz w:val="20"/>
          <w:szCs w:val="20"/>
          <w:color w:val="auto"/>
        </w:rPr>
      </w:pPr>
      <w:r>
        <w:rPr>
          <w:rFonts w:ascii="Arial" w:cs="Arial" w:eastAsia="Arial" w:hAnsi="Arial"/>
          <w:sz w:val="18"/>
          <w:szCs w:val="18"/>
          <w:color w:val="auto"/>
        </w:rPr>
        <w:t>On October 7, 2016, our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213569) relating to our initial public offering (IPO) of common stock became effective. The IPO closed on October 13, 2016 at which time we issued 5,000,000 shares of our common stock at an initial offering price of $8.00 per share for gross proceeds of $40.0 million. We received net proceeds from the IPO of $33.9 million, after deducting the underwriting discount and other offering-related expenses paid by us.</w:t>
      </w:r>
    </w:p>
    <w:p>
      <w:pPr>
        <w:spacing w:after="0" w:line="162" w:lineRule="exact"/>
        <w:rPr>
          <w:sz w:val="20"/>
          <w:szCs w:val="20"/>
          <w:color w:val="auto"/>
        </w:rPr>
      </w:pPr>
    </w:p>
    <w:p>
      <w:pPr>
        <w:jc w:val="both"/>
        <w:ind w:right="200" w:firstLine="401"/>
        <w:spacing w:after="0" w:line="224"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7, 2016. As of December 31, 2017, we had used approximately $30.9 million of the proceeds from our IPO.</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Repurchases of Shares or of Company Equity Securities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right="300" w:firstLine="401"/>
        <w:spacing w:after="0" w:line="211" w:lineRule="auto"/>
        <w:rPr>
          <w:sz w:val="20"/>
          <w:szCs w:val="20"/>
          <w:color w:val="auto"/>
        </w:rPr>
      </w:pPr>
      <w:r>
        <w:rPr>
          <w:rFonts w:ascii="Arial" w:cs="Arial" w:eastAsia="Arial" w:hAnsi="Arial"/>
          <w:sz w:val="18"/>
          <w:szCs w:val="18"/>
          <w:color w:val="auto"/>
        </w:rPr>
        <w:t>The information set forth below should be read together with "Item 7. Management’s Discussion and Analysis of Financial Condition and Results of Operations" and our financial statements and related notes included elsewhere in this report. The selected balance sheet data at December 31, 2017 and 2016, and the selected statements of operations data for each of the years ended December 31, 2017, 2016, and 2015, have been derived from our audited financial statements that are included elsewhere in this report. The selected balance sheet data at December 31, 2015 and 2014, and the selected statements of operations data for the year ended December 31, 2014, were derived from our audited financial statements which are not included in this report. Historical results are not necessarily indicative of results to be expected in any future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11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4"/>
          </w:tcPr>
          <w:p>
            <w:pPr>
              <w:jc w:val="right"/>
              <w:ind w:right="151"/>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60" w:type="dxa"/>
            <w:vAlign w:val="bottom"/>
            <w:gridSpan w:val="23"/>
          </w:tcPr>
          <w:p>
            <w:pPr>
              <w:jc w:val="right"/>
              <w:ind w:right="500"/>
              <w:spacing w:after="0" w:line="129" w:lineRule="exact"/>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76"/>
        </w:trPr>
        <w:tc>
          <w:tcPr>
            <w:tcW w:w="4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Product sales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33,677</w:t>
            </w:r>
          </w:p>
        </w:tc>
        <w:tc>
          <w:tcPr>
            <w:tcW w:w="2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26,611</w:t>
            </w:r>
          </w:p>
        </w:tc>
        <w:tc>
          <w:tcPr>
            <w:tcW w:w="4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25,875</w:t>
            </w:r>
          </w:p>
        </w:tc>
        <w:tc>
          <w:tcPr>
            <w:tcW w:w="14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23,071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CEEFF"/>
            </w:tcBorders>
            <w:gridSpan w:val="3"/>
          </w:tcPr>
          <w:p>
            <w:pPr>
              <w:spacing w:after="0" w:line="176" w:lineRule="exact"/>
              <w:rPr>
                <w:sz w:val="20"/>
                <w:szCs w:val="20"/>
                <w:color w:val="auto"/>
              </w:rPr>
            </w:pPr>
            <w:r>
              <w:rPr>
                <w:rFonts w:ascii="Arial" w:cs="Arial" w:eastAsia="Arial" w:hAnsi="Arial"/>
                <w:sz w:val="18"/>
                <w:szCs w:val="18"/>
                <w:color w:val="auto"/>
              </w:rPr>
              <w:t>Licensing and royalty revenue</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2,259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spacing w:after="0" w:line="176" w:lineRule="exact"/>
              <w:rPr>
                <w:sz w:val="20"/>
                <w:szCs w:val="20"/>
                <w:color w:val="auto"/>
              </w:rPr>
            </w:pPr>
            <w:r>
              <w:rPr>
                <w:rFonts w:ascii="Arial" w:cs="Arial" w:eastAsia="Arial" w:hAnsi="Arial"/>
                <w:sz w:val="18"/>
                <w:szCs w:val="18"/>
                <w:color w:val="auto"/>
                <w:w w:val="86"/>
              </w:rPr>
              <w:t>483</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tcPr>
          <w:p>
            <w:pPr>
              <w:jc w:val="right"/>
              <w:spacing w:after="0" w:line="176" w:lineRule="exact"/>
              <w:rPr>
                <w:sz w:val="20"/>
                <w:szCs w:val="20"/>
                <w:color w:val="auto"/>
              </w:rPr>
            </w:pPr>
            <w:r>
              <w:rPr>
                <w:rFonts w:ascii="Arial" w:cs="Arial" w:eastAsia="Arial" w:hAnsi="Arial"/>
                <w:sz w:val="18"/>
                <w:szCs w:val="18"/>
                <w:color w:val="auto"/>
              </w:rPr>
              <w:t>671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1,825</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gridSpan w:val="3"/>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35,936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rPr>
              <w:t>27,094</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26,546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24,896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CEEFF"/>
            </w:tcBorders>
            <w:gridSpan w:val="3"/>
          </w:tcPr>
          <w:p>
            <w:pPr>
              <w:spacing w:after="0" w:line="176" w:lineRule="exact"/>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14,451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jc w:val="right"/>
              <w:spacing w:after="0" w:line="176" w:lineRule="exact"/>
              <w:rPr>
                <w:sz w:val="20"/>
                <w:szCs w:val="20"/>
                <w:color w:val="auto"/>
              </w:rPr>
            </w:pPr>
            <w:r>
              <w:rPr>
                <w:rFonts w:ascii="Arial" w:cs="Arial" w:eastAsia="Arial" w:hAnsi="Arial"/>
                <w:sz w:val="18"/>
                <w:szCs w:val="18"/>
                <w:color w:val="auto"/>
              </w:rPr>
              <w:t>12,395</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tcPr>
          <w:p>
            <w:pPr>
              <w:jc w:val="right"/>
              <w:spacing w:after="0" w:line="176" w:lineRule="exact"/>
              <w:rPr>
                <w:sz w:val="20"/>
                <w:szCs w:val="20"/>
                <w:color w:val="auto"/>
              </w:rPr>
            </w:pPr>
            <w:r>
              <w:rPr>
                <w:rFonts w:ascii="Arial" w:cs="Arial" w:eastAsia="Arial" w:hAnsi="Arial"/>
                <w:sz w:val="18"/>
                <w:szCs w:val="18"/>
                <w:color w:val="auto"/>
                <w:w w:val="98"/>
              </w:rPr>
              <w:t>12,568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7"/>
              </w:rPr>
              <w:t>11,806</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21,485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rPr>
              <w:t>14,699</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13,978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13,090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line="17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8"/>
                <w:szCs w:val="8"/>
                <w:color w:val="auto"/>
              </w:rPr>
              <w:t>(1)</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25,437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19,233</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21,126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12,664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8"/>
                <w:szCs w:val="8"/>
                <w:color w:val="auto"/>
              </w:rPr>
              <w:t>(1)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11,516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7,281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6,565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7,085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8"/>
                <w:szCs w:val="8"/>
                <w:color w:val="auto"/>
              </w:rPr>
              <w:t>(1)</w:t>
            </w:r>
          </w:p>
        </w:tc>
        <w:tc>
          <w:tcPr>
            <w:tcW w:w="2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4,740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3,706</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3,823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3,259</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tcBorders>
              <w:bottom w:val="single" w:sz="8" w:color="CCEEFF"/>
            </w:tcBorders>
            <w:gridSpan w:val="3"/>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41,693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spacing w:after="0" w:line="170" w:lineRule="exact"/>
              <w:rPr>
                <w:sz w:val="20"/>
                <w:szCs w:val="20"/>
                <w:color w:val="auto"/>
              </w:rPr>
            </w:pPr>
            <w:r>
              <w:rPr>
                <w:rFonts w:ascii="Arial" w:cs="Arial" w:eastAsia="Arial" w:hAnsi="Arial"/>
                <w:sz w:val="18"/>
                <w:szCs w:val="18"/>
                <w:color w:val="auto"/>
              </w:rPr>
              <w:t>30,220</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right"/>
              <w:spacing w:after="0" w:line="170" w:lineRule="exact"/>
              <w:rPr>
                <w:sz w:val="20"/>
                <w:szCs w:val="20"/>
                <w:color w:val="auto"/>
              </w:rPr>
            </w:pPr>
            <w:r>
              <w:rPr>
                <w:rFonts w:ascii="Arial" w:cs="Arial" w:eastAsia="Arial" w:hAnsi="Arial"/>
                <w:sz w:val="18"/>
                <w:szCs w:val="18"/>
                <w:color w:val="auto"/>
                <w:w w:val="98"/>
              </w:rPr>
              <w:t>31,514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7"/>
              </w:rPr>
              <w:t>23,008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(20,208)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rPr>
              <w:t>(15,521)</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(17,536)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(9,918)</w:t>
            </w: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line="176"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(764)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(2,347)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(653)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76"/>
        </w:trPr>
        <w:tc>
          <w:tcPr>
            <w:tcW w:w="4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(246)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700" w:type="dxa"/>
            <w:vAlign w:val="bottom"/>
            <w:tcBorders>
              <w:top w:val="single" w:sz="8" w:color="CCEEFF"/>
              <w:bottom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(21,100)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rPr>
              <w:t>(16,708)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(18,183)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5"/>
            <w:shd w:val="clear" w:color="auto" w:fill="CCEEFF"/>
          </w:tcPr>
          <w:p>
            <w:pPr>
              <w:jc w:val="right"/>
              <w:spacing w:after="0" w:line="170" w:lineRule="exact"/>
              <w:rPr>
                <w:sz w:val="20"/>
                <w:szCs w:val="20"/>
                <w:color w:val="auto"/>
              </w:rPr>
            </w:pPr>
            <w:r>
              <w:rPr>
                <w:rFonts w:ascii="Arial" w:cs="Arial" w:eastAsia="Arial" w:hAnsi="Arial"/>
                <w:sz w:val="18"/>
                <w:szCs w:val="18"/>
                <w:color w:val="auto"/>
              </w:rPr>
              <w:t>(10,183)</w:t>
            </w:r>
          </w:p>
        </w:tc>
        <w:tc>
          <w:tcPr>
            <w:tcW w:w="0" w:type="dxa"/>
            <w:vAlign w:val="bottom"/>
          </w:tcPr>
          <w:p>
            <w:pPr>
              <w:spacing w:after="0"/>
              <w:rPr>
                <w:sz w:val="1"/>
                <w:szCs w:val="1"/>
                <w:color w:val="auto"/>
              </w:rPr>
            </w:pPr>
          </w:p>
        </w:tc>
      </w:tr>
      <w:tr>
        <w:trPr>
          <w:trHeight w:val="170"/>
        </w:trPr>
        <w:tc>
          <w:tcPr>
            <w:tcW w:w="4700" w:type="dxa"/>
            <w:vAlign w:val="bottom"/>
            <w:tcBorders>
              <w:bottom w:val="single" w:sz="8" w:color="CCEEFF"/>
            </w:tcBorders>
            <w:gridSpan w:val="3"/>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4"/>
          </w:tcPr>
          <w:p>
            <w:pPr>
              <w:jc w:val="right"/>
              <w:spacing w:after="0" w:line="163" w:lineRule="exact"/>
              <w:rPr>
                <w:sz w:val="20"/>
                <w:szCs w:val="20"/>
                <w:color w:val="auto"/>
              </w:rPr>
            </w:pPr>
            <w:r>
              <w:rPr>
                <w:rFonts w:ascii="Arial" w:cs="Arial" w:eastAsia="Arial" w:hAnsi="Arial"/>
                <w:sz w:val="18"/>
                <w:szCs w:val="18"/>
                <w:color w:val="auto"/>
              </w:rPr>
              <w:t>(3.53)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4"/>
          </w:tcPr>
          <w:p>
            <w:pPr>
              <w:jc w:val="right"/>
              <w:spacing w:after="0" w:line="163" w:lineRule="exact"/>
              <w:rPr>
                <w:sz w:val="20"/>
                <w:szCs w:val="20"/>
                <w:color w:val="auto"/>
              </w:rPr>
            </w:pPr>
            <w:r>
              <w:rPr>
                <w:rFonts w:ascii="Arial" w:cs="Arial" w:eastAsia="Arial" w:hAnsi="Arial"/>
                <w:sz w:val="18"/>
                <w:szCs w:val="18"/>
                <w:color w:val="auto"/>
              </w:rPr>
              <w:t>(7.12)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gridSpan w:val="2"/>
          </w:tcPr>
          <w:p>
            <w:pPr>
              <w:jc w:val="right"/>
              <w:ind w:right="20"/>
              <w:spacing w:after="0" w:line="163" w:lineRule="exact"/>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35"/>
        </w:trPr>
        <w:tc>
          <w:tcPr>
            <w:tcW w:w="4700" w:type="dxa"/>
            <w:vAlign w:val="bottom"/>
            <w:gridSpan w:val="3"/>
            <w:shd w:val="clear" w:color="auto" w:fill="CCEEFF"/>
          </w:tcPr>
          <w:p>
            <w:pPr>
              <w:spacing w:after="0" w:line="135" w:lineRule="exact"/>
              <w:rPr>
                <w:sz w:val="20"/>
                <w:szCs w:val="20"/>
                <w:color w:val="auto"/>
              </w:rPr>
            </w:pPr>
            <w:r>
              <w:rPr>
                <w:rFonts w:ascii="Arial" w:cs="Arial" w:eastAsia="Arial" w:hAnsi="Arial"/>
                <w:sz w:val="15"/>
                <w:szCs w:val="15"/>
                <w:color w:val="auto"/>
              </w:rPr>
              <w:t>Shares used to compute net loss per common share, basic and</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12,484,984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4,738,496</w:t>
            </w:r>
          </w:p>
        </w:tc>
        <w:tc>
          <w:tcPr>
            <w:tcW w:w="1040" w:type="dxa"/>
            <w:vAlign w:val="bottom"/>
            <w:gridSpan w:val="6"/>
            <w:vMerge w:val="restart"/>
            <w:shd w:val="clear" w:color="auto" w:fill="CCEEFF"/>
          </w:tcPr>
          <w:p>
            <w:pPr>
              <w:jc w:val="right"/>
              <w:spacing w:after="0"/>
              <w:rPr>
                <w:sz w:val="20"/>
                <w:szCs w:val="20"/>
                <w:color w:val="auto"/>
              </w:rPr>
            </w:pPr>
            <w:r>
              <w:rPr>
                <w:rFonts w:ascii="Arial" w:cs="Arial" w:eastAsia="Arial" w:hAnsi="Arial"/>
                <w:sz w:val="18"/>
                <w:szCs w:val="18"/>
                <w:color w:val="auto"/>
              </w:rPr>
              <w:t>2,552,205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2,544,578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7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1040" w:type="dxa"/>
            <w:vAlign w:val="bottom"/>
            <w:gridSpan w:val="6"/>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700" w:type="dxa"/>
            <w:vAlign w:val="bottom"/>
            <w:tcBorders>
              <w:top w:val="single" w:sz="8" w:color="CCEEFF"/>
            </w:tcBorders>
            <w:gridSpan w:val="3"/>
          </w:tcPr>
          <w:p>
            <w:pPr>
              <w:spacing w:after="0" w:line="150" w:lineRule="exact"/>
              <w:rPr>
                <w:sz w:val="20"/>
                <w:szCs w:val="20"/>
                <w:color w:val="auto"/>
              </w:rPr>
            </w:pPr>
            <w:r>
              <w:rPr>
                <w:rFonts w:ascii="Arial" w:cs="Arial" w:eastAsia="Arial" w:hAnsi="Arial"/>
                <w:sz w:val="17"/>
                <w:szCs w:val="17"/>
                <w:b w:val="1"/>
                <w:bCs w:val="1"/>
                <w:color w:val="auto"/>
              </w:rPr>
              <w:t>Other Financial Data:</w:t>
            </w: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(2)</w:t>
            </w:r>
          </w:p>
        </w:tc>
        <w:tc>
          <w:tcPr>
            <w:tcW w:w="3000" w:type="dxa"/>
            <w:vAlign w:val="bottom"/>
            <w:gridSpan w:val="2"/>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(15,625)</w:t>
            </w:r>
          </w:p>
        </w:tc>
        <w:tc>
          <w:tcPr>
            <w:tcW w:w="26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rPr>
              <w:t>(11,429)</w:t>
            </w:r>
          </w:p>
        </w:tc>
        <w:tc>
          <w:tcPr>
            <w:tcW w:w="420" w:type="dxa"/>
            <w:vAlign w:val="bottom"/>
            <w:gridSpan w:val="2"/>
            <w:shd w:val="clear" w:color="auto" w:fill="CCEEFF"/>
          </w:tcPr>
          <w:p>
            <w:pPr>
              <w:ind w:left="140"/>
              <w:spacing w:after="0" w:line="170" w:lineRule="exact"/>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(14,013)</w:t>
            </w:r>
          </w:p>
        </w:tc>
        <w:tc>
          <w:tcPr>
            <w:tcW w:w="14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(7,497)</w:t>
            </w:r>
          </w:p>
        </w:tc>
        <w:tc>
          <w:tcPr>
            <w:tcW w:w="0" w:type="dxa"/>
            <w:vAlign w:val="bottom"/>
          </w:tcPr>
          <w:p>
            <w:pPr>
              <w:spacing w:after="0"/>
              <w:rPr>
                <w:sz w:val="1"/>
                <w:szCs w:val="1"/>
                <w:color w:val="auto"/>
              </w:rPr>
            </w:pPr>
          </w:p>
        </w:tc>
      </w:tr>
      <w:tr>
        <w:trPr>
          <w:trHeight w:val="324"/>
        </w:trPr>
        <w:tc>
          <w:tcPr>
            <w:tcW w:w="17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gridSpan w:val="3"/>
          </w:tcPr>
          <w:p>
            <w:pPr>
              <w:spacing w:after="0"/>
              <w:rPr>
                <w:sz w:val="20"/>
                <w:szCs w:val="20"/>
                <w:color w:val="auto"/>
              </w:rPr>
            </w:pPr>
            <w:r>
              <w:rPr>
                <w:rFonts w:ascii="Arial" w:cs="Arial" w:eastAsia="Arial" w:hAnsi="Arial"/>
                <w:sz w:val="18"/>
                <w:szCs w:val="18"/>
                <w:color w:val="auto"/>
              </w:rPr>
              <w:t>(1) Includes stock-based compensation as follows: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5"/>
          </w:tcPr>
          <w:p>
            <w:pPr>
              <w:jc w:val="right"/>
              <w:ind w:right="150"/>
              <w:spacing w:after="0"/>
              <w:rPr>
                <w:sz w:val="20"/>
                <w:szCs w:val="20"/>
                <w:color w:val="auto"/>
              </w:rPr>
            </w:pPr>
            <w:r>
              <w:rPr>
                <w:rFonts w:ascii="Arial" w:cs="Arial" w:eastAsia="Arial" w:hAnsi="Arial"/>
                <w:sz w:val="14"/>
                <w:szCs w:val="14"/>
                <w:b w:val="1"/>
                <w:bCs w:val="1"/>
                <w:color w:val="auto"/>
                <w:w w:val="95"/>
              </w:rPr>
              <w:t>Year Ended December 31,</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7"/>
          </w:tcPr>
          <w:p>
            <w:pPr>
              <w:jc w:val="right"/>
              <w:ind w:right="18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488</w:t>
            </w:r>
          </w:p>
        </w:tc>
        <w:tc>
          <w:tcPr>
            <w:tcW w:w="36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86"/>
              </w:rPr>
              <w:t>403</w:t>
            </w:r>
          </w:p>
        </w:tc>
        <w:tc>
          <w:tcPr>
            <w:tcW w:w="3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line="176"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w w:val="88"/>
              </w:rPr>
              <w:t>1,297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86"/>
              </w:rPr>
              <w:t>637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392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263</w:t>
            </w:r>
          </w:p>
        </w:tc>
        <w:tc>
          <w:tcPr>
            <w:tcW w:w="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86"/>
              </w:rPr>
              <w:t>101</w:t>
            </w: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gridSpan w:val="3"/>
          </w:tcPr>
          <w:p>
            <w:pPr>
              <w:ind w:left="220"/>
              <w:spacing w:after="0" w:line="170" w:lineRule="exact"/>
              <w:rPr>
                <w:sz w:val="20"/>
                <w:szCs w:val="20"/>
                <w:color w:val="auto"/>
              </w:rPr>
            </w:pPr>
            <w:r>
              <w:rPr>
                <w:rFonts w:ascii="Arial" w:cs="Arial" w:eastAsia="Arial" w:hAnsi="Arial"/>
                <w:sz w:val="18"/>
                <w:szCs w:val="18"/>
                <w:color w:val="auto"/>
              </w:rPr>
              <w:t>Total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w w:val="86"/>
              </w:rPr>
              <w:t>$ 2,048</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gridSpan w:val="3"/>
          </w:tcPr>
          <w:p>
            <w:pPr>
              <w:spacing w:after="0" w:line="170" w:lineRule="exact"/>
              <w:rPr>
                <w:sz w:val="20"/>
                <w:szCs w:val="20"/>
                <w:color w:val="auto"/>
              </w:rPr>
            </w:pPr>
            <w:r>
              <w:rPr>
                <w:rFonts w:ascii="Arial" w:cs="Arial" w:eastAsia="Arial" w:hAnsi="Arial"/>
                <w:sz w:val="18"/>
                <w:szCs w:val="18"/>
                <w:color w:val="auto"/>
                <w:w w:val="86"/>
              </w:rPr>
              <w:t>$ 1,141</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416</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right="180" w:hanging="317"/>
        <w:spacing w:after="0" w:line="239"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define Adjusted EBITDA as net income or loss adjusted for depreciation and amortization, stock-based compensation expense, compensation expense related to the vesting of common stock held by GLOBALFOUNDRIES resulting from our joint development agreement, and interest expense. We use Adjusted EBITDA in conjunction with traditional GAAP operating performance measures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11" w:right="135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0" w:right="180"/>
        <w:spacing w:after="0" w:line="258" w:lineRule="auto"/>
        <w:rPr>
          <w:sz w:val="20"/>
          <w:szCs w:val="20"/>
          <w:color w:val="auto"/>
        </w:rPr>
      </w:pPr>
      <w:r>
        <w:rPr>
          <w:rFonts w:ascii="Arial" w:cs="Arial" w:eastAsia="Arial" w:hAnsi="Arial"/>
          <w:sz w:val="17"/>
          <w:szCs w:val="17"/>
          <w:color w:val="auto"/>
        </w:rPr>
        <w:t>Adjusted EBITDA has limitations as a financial measure and should not be considered a substitute for other measures of financial performance reported in accordance with GAAP. These limitations include the following:</w:t>
      </w:r>
    </w:p>
    <w:p>
      <w:pPr>
        <w:spacing w:after="0" w:line="147"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84" w:lineRule="exact"/>
        <w:rPr>
          <w:rFonts w:ascii="Arial" w:cs="Arial" w:eastAsia="Arial" w:hAnsi="Arial"/>
          <w:sz w:val="18"/>
          <w:szCs w:val="18"/>
          <w:color w:val="auto"/>
        </w:rPr>
      </w:pPr>
    </w:p>
    <w:p>
      <w:pPr>
        <w:ind w:left="980" w:right="260" w:hanging="329"/>
        <w:spacing w:after="0" w:line="23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or the impact of deferred income tax;</w:t>
      </w:r>
    </w:p>
    <w:p>
      <w:pPr>
        <w:spacing w:after="0" w:line="161" w:lineRule="exact"/>
        <w:rPr>
          <w:rFonts w:ascii="Arial" w:cs="Arial" w:eastAsia="Arial" w:hAnsi="Arial"/>
          <w:sz w:val="18"/>
          <w:szCs w:val="18"/>
          <w:color w:val="auto"/>
        </w:rPr>
      </w:pPr>
    </w:p>
    <w:p>
      <w:pPr>
        <w:ind w:left="980" w:right="760" w:hanging="329"/>
        <w:spacing w:after="0" w:line="23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cash expenditure requirements for replacements or for new capital expenditures;</w:t>
      </w:r>
    </w:p>
    <w:p>
      <w:pPr>
        <w:spacing w:after="0" w:line="161" w:lineRule="exact"/>
        <w:rPr>
          <w:rFonts w:ascii="Arial" w:cs="Arial" w:eastAsia="Arial" w:hAnsi="Arial"/>
          <w:sz w:val="18"/>
          <w:szCs w:val="18"/>
          <w:color w:val="auto"/>
        </w:rPr>
      </w:pPr>
    </w:p>
    <w:p>
      <w:pPr>
        <w:ind w:left="980" w:right="720" w:hanging="329"/>
        <w:spacing w:after="0" w:line="23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excludes some recurring costs, such as the dilutive impact of non-cash stock-based compensation and depreciation and amortization; and</w:t>
      </w:r>
    </w:p>
    <w:p>
      <w:pPr>
        <w:spacing w:after="0" w:line="161" w:lineRule="exact"/>
        <w:rPr>
          <w:rFonts w:ascii="Arial" w:cs="Arial" w:eastAsia="Arial" w:hAnsi="Arial"/>
          <w:sz w:val="18"/>
          <w:szCs w:val="18"/>
          <w:color w:val="auto"/>
        </w:rPr>
      </w:pPr>
    </w:p>
    <w:p>
      <w:pPr>
        <w:ind w:left="980" w:right="180" w:hanging="329"/>
        <w:spacing w:after="0" w:line="25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Adjusted EBITDA differently from how we calculate this measure or not at all, which reduces its usefulness as a comparative measure.</w:t>
      </w:r>
    </w:p>
    <w:p>
      <w:pPr>
        <w:spacing w:after="0" w:line="147" w:lineRule="exact"/>
        <w:rPr>
          <w:sz w:val="20"/>
          <w:szCs w:val="20"/>
          <w:color w:val="auto"/>
        </w:rPr>
      </w:pPr>
    </w:p>
    <w:p>
      <w:pPr>
        <w:ind w:left="400" w:right="140"/>
        <w:spacing w:after="0" w:line="219"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net loss and our financial results presented in accordance with GAAP. The following table presents a reconciliation of net loss, the most directly comparable GAAP measure, to Adjusted EBITDA for each of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5"/>
          </w:tcPr>
          <w:p>
            <w:pPr>
              <w:jc w:val="right"/>
              <w:ind w:right="48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Adjusted EBITDA reconciliation:</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180" w:type="dxa"/>
            <w:vAlign w:val="bottom"/>
            <w:gridSpan w:val="5"/>
          </w:tcPr>
          <w:p>
            <w:pPr>
              <w:jc w:val="right"/>
              <w:ind w:right="100"/>
              <w:spacing w:after="0" w:line="176" w:lineRule="exact"/>
              <w:rPr>
                <w:sz w:val="20"/>
                <w:szCs w:val="20"/>
                <w:color w:val="auto"/>
              </w:rPr>
            </w:pPr>
            <w:r>
              <w:rPr>
                <w:rFonts w:ascii="Arial" w:cs="Arial" w:eastAsia="Arial" w:hAnsi="Arial"/>
                <w:sz w:val="18"/>
                <w:szCs w:val="18"/>
                <w:color w:val="auto"/>
              </w:rPr>
              <w:t>$ (21,100)</w:t>
            </w: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7"/>
              </w:rPr>
              <w:t>$ (16,708)</w:t>
            </w:r>
          </w:p>
        </w:tc>
        <w:tc>
          <w:tcPr>
            <w:tcW w:w="98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auto"/>
              </w:rPr>
              <w:t>$ (18,183)</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w w:val="89"/>
              </w:rPr>
              <w:t>(10,183)</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2,048</w:t>
            </w:r>
          </w:p>
        </w:tc>
        <w:tc>
          <w:tcPr>
            <w:tcW w:w="100" w:type="dxa"/>
            <w:vAlign w:val="bottom"/>
          </w:tcPr>
          <w:p>
            <w:pPr>
              <w:spacing w:after="0"/>
              <w:rPr>
                <w:sz w:val="15"/>
                <w:szCs w:val="15"/>
                <w:color w:val="auto"/>
              </w:rPr>
            </w:pP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1,141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416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49"/>
        </w:trPr>
        <w:tc>
          <w:tcPr>
            <w:tcW w:w="52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Compensation expense related to vesting of GLOBALFOUNDRIES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764</w:t>
            </w:r>
          </w:p>
        </w:tc>
        <w:tc>
          <w:tcPr>
            <w:tcW w:w="100" w:type="dxa"/>
            <w:vAlign w:val="bottom"/>
          </w:tcPr>
          <w:p>
            <w:pPr>
              <w:spacing w:after="0"/>
              <w:rPr>
                <w:sz w:val="15"/>
                <w:szCs w:val="15"/>
                <w:color w:val="auto"/>
              </w:rPr>
            </w:pP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2,347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653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76"/>
        </w:trPr>
        <w:tc>
          <w:tcPr>
            <w:tcW w:w="5260" w:type="dxa"/>
            <w:vAlign w:val="bottom"/>
            <w:tcBorders>
              <w:top w:val="single" w:sz="8" w:color="CCEEFF"/>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 (15,625)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 (11,429)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 (14,013)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5"/>
          </w:tcPr>
          <w:p>
            <w:pPr>
              <w:jc w:val="right"/>
              <w:ind w:right="44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Cash and cash equivalents</w:t>
            </w:r>
          </w:p>
        </w:tc>
        <w:tc>
          <w:tcPr>
            <w:tcW w:w="520" w:type="dxa"/>
            <w:vAlign w:val="bottom"/>
            <w:gridSpan w:val="3"/>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12,950</w:t>
            </w: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$ 29,727</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2,307</w:t>
            </w:r>
          </w:p>
        </w:tc>
        <w:tc>
          <w:tcPr>
            <w:tcW w:w="80" w:type="dxa"/>
            <w:vAlign w:val="bottom"/>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Working capital (deficit)</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15,043</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29,119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31,437</w:t>
            </w: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41,472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8"/>
              </w:rPr>
              <w:t>10,961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w w:val="98"/>
              </w:rPr>
              <w:t>17,775</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long-term debt, current and non-current</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12,165</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8,102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7,914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Redeemable convertible preferred stock warrant liability</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437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Redeemable convertible preferred stock</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64,642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64,642</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10,884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26,871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(70,430)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(54,428)</w:t>
            </w:r>
          </w:p>
        </w:tc>
        <w:tc>
          <w:tcPr>
            <w:tcW w:w="0" w:type="dxa"/>
            <w:vAlign w:val="bottom"/>
          </w:tcPr>
          <w:p>
            <w:pPr>
              <w:spacing w:after="0"/>
              <w:rPr>
                <w:sz w:val="1"/>
                <w:szCs w:val="1"/>
                <w:color w:val="auto"/>
              </w:rPr>
            </w:pPr>
          </w:p>
        </w:tc>
      </w:tr>
      <w:tr>
        <w:trPr>
          <w:trHeight w:val="593"/>
        </w:trPr>
        <w:tc>
          <w:tcPr>
            <w:tcW w:w="5260" w:type="dxa"/>
            <w:vAlign w:val="bottom"/>
          </w:tcPr>
          <w:p>
            <w:pPr>
              <w:ind w:left="444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40" w:firstLine="401"/>
        <w:spacing w:after="0" w:line="22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Financial Data” and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firstLine="401"/>
        <w:spacing w:after="0" w:line="244" w:lineRule="auto"/>
        <w:rPr>
          <w:sz w:val="20"/>
          <w:szCs w:val="20"/>
          <w:color w:val="auto"/>
        </w:rPr>
      </w:pPr>
      <w:r>
        <w:rPr>
          <w:rFonts w:ascii="Arial" w:cs="Arial" w:eastAsia="Arial" w:hAnsi="Arial"/>
          <w:sz w:val="16"/>
          <w:szCs w:val="16"/>
          <w:color w:val="auto"/>
        </w:rPr>
        <w:t>We are the leading provider of MRAM solutions. Our MRAM solutions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w:t>
      </w:r>
    </w:p>
    <w:p>
      <w:pPr>
        <w:spacing w:after="0" w:line="159" w:lineRule="exact"/>
        <w:rPr>
          <w:sz w:val="20"/>
          <w:szCs w:val="20"/>
          <w:color w:val="auto"/>
        </w:rPr>
      </w:pPr>
    </w:p>
    <w:p>
      <w:pPr>
        <w:ind w:right="80" w:firstLine="401"/>
        <w:spacing w:after="0" w:line="235" w:lineRule="auto"/>
        <w:rPr>
          <w:sz w:val="20"/>
          <w:szCs w:val="20"/>
          <w:color w:val="auto"/>
        </w:rPr>
      </w:pPr>
      <w:r>
        <w:rPr>
          <w:rFonts w:ascii="Arial" w:cs="Arial" w:eastAsia="Arial" w:hAnsi="Arial"/>
          <w:sz w:val="18"/>
          <w:szCs w:val="18"/>
          <w:color w:val="auto"/>
        </w:rPr>
        <w:t>Our revenue is derived from the sale of our MRAM-based products in discrete unit form, as embedded technology, and through licensing and royalties of our MRAM and magnetic sensor technology.</w:t>
      </w:r>
    </w:p>
    <w:p>
      <w:pPr>
        <w:spacing w:after="0" w:line="162" w:lineRule="exact"/>
        <w:rPr>
          <w:sz w:val="20"/>
          <w:szCs w:val="20"/>
          <w:color w:val="auto"/>
        </w:rPr>
      </w:pPr>
    </w:p>
    <w:p>
      <w:pPr>
        <w:ind w:right="100" w:firstLine="401"/>
        <w:spacing w:after="0" w:line="216" w:lineRule="auto"/>
        <w:rPr>
          <w:sz w:val="20"/>
          <w:szCs w:val="20"/>
          <w:color w:val="auto"/>
        </w:rPr>
      </w:pPr>
      <w:r>
        <w:rPr>
          <w:rFonts w:ascii="Arial" w:cs="Arial" w:eastAsia="Arial" w:hAnsi="Arial"/>
          <w:sz w:val="18"/>
          <w:szCs w:val="18"/>
          <w:color w:val="auto"/>
        </w:rPr>
        <w:t>We work directly with our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74%, 79%, and 66% of our revenue from products sold through distributors for the years ended December 31, 2017, 2016 and 2015, respectively.</w:t>
      </w:r>
    </w:p>
    <w:p>
      <w:pPr>
        <w:spacing w:after="0" w:line="162" w:lineRule="exact"/>
        <w:rPr>
          <w:sz w:val="20"/>
          <w:szCs w:val="20"/>
          <w:color w:val="auto"/>
        </w:rPr>
      </w:pPr>
    </w:p>
    <w:p>
      <w:pPr>
        <w:ind w:right="40" w:firstLine="401"/>
        <w:spacing w:after="0" w:line="232" w:lineRule="auto"/>
        <w:rPr>
          <w:sz w:val="20"/>
          <w:szCs w:val="20"/>
          <w:color w:val="auto"/>
        </w:rPr>
      </w:pPr>
      <w:r>
        <w:rPr>
          <w:rFonts w:ascii="Arial" w:cs="Arial" w:eastAsia="Arial" w:hAnsi="Arial"/>
          <w:sz w:val="16"/>
          <w:szCs w:val="16"/>
          <w:color w:val="auto"/>
        </w:rPr>
        <w:t>We maintain a direct selling relationship, for strategic purposes, with several key customer accounts. Our direct sales personnel and representatives are organized into three primary regions: North America; Europe, Middle East and Africa (EMEA); and Asia-Pacific (APAC). In North America, our revenue was $6.3 million, $5.7 million and $6.1 million for the years ended December 31, 2017, 2016, and 2015, respectively. Our revenue in North America decreased for the year ended December 31, 2016, compared to the same period in 2015 primarily due to our licensing revenue decreasing as a result of more subscription type licensing in 2016. In EMEA, our revenue was $8.0 million, $5.1 million, and $4.3 million for</w:t>
      </w:r>
    </w:p>
    <w:p>
      <w:pPr>
        <w:spacing w:after="0" w:line="2"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the years ended December 31, 2017, 2016, and 2015, respectively. In APAC, our revenue was $21.6 million, $16.3 million, and $16.1 million for the years ended December 31, 2017, 2016, and 2015, respectively. Our revenue in EMEA and APAC increased for the year ended December 31, 2017, compared to the same period in 2016 due to both expansion of footprint and entry into new verticals. We recognize revenue by geography based on the region in which our products are sold, and not to where the end products are shipped.</w:t>
      </w:r>
    </w:p>
    <w:p>
      <w:pPr>
        <w:spacing w:after="0" w:line="164" w:lineRule="exact"/>
        <w:rPr>
          <w:sz w:val="20"/>
          <w:szCs w:val="20"/>
          <w:color w:val="auto"/>
        </w:rPr>
      </w:pPr>
    </w:p>
    <w:p>
      <w:pPr>
        <w:ind w:firstLine="401"/>
        <w:spacing w:after="0" w:line="239"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intend to utilize leading semiconductor foundries, including GLOBALFOUNDRIES, to support high-volume production of our high density MRAM products on 300mm wafers at advanced process nodes.</w:t>
      </w:r>
    </w:p>
    <w:p>
      <w:pPr>
        <w:spacing w:after="0" w:line="163" w:lineRule="exact"/>
        <w:rPr>
          <w:sz w:val="20"/>
          <w:szCs w:val="20"/>
          <w:color w:val="auto"/>
        </w:rPr>
      </w:pPr>
    </w:p>
    <w:p>
      <w:pPr>
        <w:ind w:right="120" w:firstLine="401"/>
        <w:spacing w:after="0" w:line="241" w:lineRule="auto"/>
        <w:rPr>
          <w:sz w:val="20"/>
          <w:szCs w:val="20"/>
          <w:color w:val="auto"/>
        </w:rPr>
      </w:pPr>
      <w:r>
        <w:rPr>
          <w:rFonts w:ascii="Arial" w:cs="Arial" w:eastAsia="Arial" w:hAnsi="Arial"/>
          <w:sz w:val="16"/>
          <w:szCs w:val="16"/>
          <w:color w:val="auto"/>
        </w:rPr>
        <w:t>During the years ended December 31, 2017, 2016 and 2015, we continued to invest in research and development to support the development and production of our STT-MRAM technology. We believe our continued investment will allow us to continue to develop and deploy products based on our STT-MRAM technology. For the years ended December 31, 2017, 2016, and 2015, our research and development expenses were $25.4 million, $19.2 million, and $21.1 million, respectively. We expect that our research and development expenses will increase in the future as we continue to develop our MRAM technology internally and through our joint development agreement with GLOBALFOUNDRIES.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401"/>
        <w:spacing w:after="0" w:line="224" w:lineRule="auto"/>
        <w:rPr>
          <w:sz w:val="20"/>
          <w:szCs w:val="20"/>
          <w:color w:val="auto"/>
        </w:rPr>
      </w:pPr>
      <w:r>
        <w:rPr>
          <w:rFonts w:ascii="Arial" w:cs="Arial" w:eastAsia="Arial" w:hAnsi="Arial"/>
          <w:sz w:val="18"/>
          <w:szCs w:val="18"/>
          <w:color w:val="auto"/>
        </w:rPr>
        <w:t>For the years ended December 31, 2017, 2016, and 2015, we recorded revenue of $35.9 million, $27.1, million, and $26.5 million, gross margin of 59.8%, 54.3%, and 52.7%, and a net loss of $21.1 million, $16.7 million, and $18.2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89" w:lineRule="exact"/>
        <w:rPr>
          <w:sz w:val="20"/>
          <w:szCs w:val="20"/>
          <w:color w:val="auto"/>
        </w:rPr>
      </w:pPr>
    </w:p>
    <w:p>
      <w:pPr>
        <w:ind w:right="40" w:firstLine="401"/>
        <w:spacing w:after="0" w:line="216" w:lineRule="auto"/>
        <w:rPr>
          <w:sz w:val="20"/>
          <w:szCs w:val="20"/>
          <w:color w:val="auto"/>
        </w:rPr>
      </w:pPr>
      <w:r>
        <w:rPr>
          <w:rFonts w:ascii="Arial" w:cs="Arial" w:eastAsia="Arial" w:hAnsi="Arial"/>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w:t>
      </w:r>
    </w:p>
    <w:p>
      <w:pPr>
        <w:spacing w:after="0" w:line="162" w:lineRule="exact"/>
        <w:rPr>
          <w:sz w:val="20"/>
          <w:szCs w:val="20"/>
          <w:color w:val="auto"/>
        </w:rPr>
      </w:pPr>
    </w:p>
    <w:p>
      <w:pPr>
        <w:ind w:right="40" w:firstLine="401"/>
        <w:spacing w:after="0" w:line="236" w:lineRule="auto"/>
        <w:rPr>
          <w:sz w:val="20"/>
          <w:szCs w:val="20"/>
          <w:color w:val="auto"/>
        </w:rPr>
      </w:pPr>
      <w:r>
        <w:rPr>
          <w:rFonts w:ascii="Arial" w:cs="Arial" w:eastAsia="Arial" w:hAnsi="Arial"/>
          <w:sz w:val="16"/>
          <w:szCs w:val="16"/>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was $(15.6) million, $(11.4) million, and $(14.0) million in 2017, 2016, and 2015, respectively. The changes were primarily a result of increased personnel-related costs, excluding stock-based compensation, contract labor and expenses resulting from our joint development agreement with GLOBALFOUNDRIES. Personnel-related costs and contract labor costs were $18.8 million in 2017, $15.8 million in 2016, and $15.2 million in 2015. The increase in personnel-related and contract labor is consistent with our strategy to expand our operations and develop our MRAM technologies and products to support future growth. Expenses from our joint development agreement were $5.2 million in 2017, $2.9 million in 2016, and $3.6 million in 2015.</w:t>
      </w:r>
    </w:p>
    <w:p>
      <w:pPr>
        <w:spacing w:after="0" w:line="163" w:lineRule="exact"/>
        <w:rPr>
          <w:sz w:val="20"/>
          <w:szCs w:val="20"/>
          <w:color w:val="auto"/>
        </w:rPr>
      </w:pPr>
    </w:p>
    <w:p>
      <w:pPr>
        <w:ind w:right="500" w:firstLine="401"/>
        <w:spacing w:after="0" w:line="235" w:lineRule="auto"/>
        <w:rPr>
          <w:sz w:val="20"/>
          <w:szCs w:val="20"/>
          <w:color w:val="auto"/>
        </w:rPr>
      </w:pPr>
      <w:r>
        <w:rPr>
          <w:rFonts w:ascii="Arial" w:cs="Arial" w:eastAsia="Arial" w:hAnsi="Arial"/>
          <w:sz w:val="18"/>
          <w:szCs w:val="18"/>
          <w:color w:val="auto"/>
        </w:rPr>
        <w:t>See “Selected Financial Data” for more information and reconciliation of Adjusted EBITDA to net loss, the most directly comparable financial measure calculated in accordance with GAAP.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89" w:lineRule="exact"/>
        <w:rPr>
          <w:sz w:val="20"/>
          <w:szCs w:val="20"/>
          <w:color w:val="auto"/>
        </w:rPr>
      </w:pPr>
    </w:p>
    <w:p>
      <w:pPr>
        <w:ind w:right="60" w:firstLine="401"/>
        <w:spacing w:after="0" w:line="222" w:lineRule="auto"/>
        <w:rPr>
          <w:sz w:val="20"/>
          <w:szCs w:val="20"/>
          <w:color w:val="auto"/>
        </w:rPr>
      </w:pPr>
      <w:r>
        <w:rPr>
          <w:rFonts w:ascii="Arial" w:cs="Arial" w:eastAsia="Arial" w:hAnsi="Arial"/>
          <w:sz w:val="17"/>
          <w:szCs w:val="17"/>
          <w:i w:val="1"/>
          <w:iCs w:val="1"/>
          <w:color w:val="auto"/>
        </w:rPr>
        <w:t>Design wins</w:t>
      </w:r>
      <w:r>
        <w:rPr>
          <w:rFonts w:ascii="Arial" w:cs="Arial" w:eastAsia="Arial" w:hAnsi="Arial"/>
          <w:sz w:val="17"/>
          <w:szCs w:val="17"/>
          <w:color w:val="auto"/>
        </w:rPr>
        <w:t>. To continue to grow our revenue, we must continue to achieve design wins for our MRAM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a design win to occur when an original equipment manufacturer (OEM) or contract manufacturer notifies us that it has qualified one of our products as a component in a product or system for production. We believe we are dependent on the adoption of our 256Mb and 1Gb MRAM products by our customers to secure design wins. Because the life cycles for our customers’ products can last for several years, if these products have successful commercial introductions, we expect to continue to generate revenues over an extended period of time for each successful design win. Any delay in the development of our 1Gb MRAM products, or failure of our customers to adopt our 1Gb MRAM products, could inhibit revenue growth or cause declines, which would significantly harm our business and prevent us from becoming profitable. In the fourth quarter of 2017, we recorded revenue for our first sale of 40nm 256Mb STT-MRAM products and we are in process of ramping up production in 2018.</w:t>
      </w:r>
    </w:p>
    <w:p>
      <w:pPr>
        <w:spacing w:after="0" w:line="164" w:lineRule="exact"/>
        <w:rPr>
          <w:sz w:val="20"/>
          <w:szCs w:val="20"/>
          <w:color w:val="auto"/>
        </w:rPr>
      </w:pPr>
    </w:p>
    <w:p>
      <w:pPr>
        <w:ind w:firstLine="401"/>
        <w:spacing w:after="0" w:line="226" w:lineRule="auto"/>
        <w:rPr>
          <w:sz w:val="20"/>
          <w:szCs w:val="20"/>
          <w:color w:val="auto"/>
        </w:rPr>
      </w:pPr>
      <w:r>
        <w:rPr>
          <w:rFonts w:ascii="Arial" w:cs="Arial" w:eastAsia="Arial" w:hAnsi="Arial"/>
          <w:sz w:val="17"/>
          <w:szCs w:val="17"/>
          <w:i w:val="1"/>
          <w:iCs w:val="1"/>
          <w:color w:val="auto"/>
        </w:rPr>
        <w:t>Customer acceptance of our technology and customer product success</w:t>
      </w:r>
      <w:r>
        <w:rPr>
          <w:rFonts w:ascii="Arial" w:cs="Arial" w:eastAsia="Arial" w:hAnsi="Arial"/>
          <w:sz w:val="17"/>
          <w:szCs w:val="17"/>
          <w:color w:val="auto"/>
        </w:rPr>
        <w:t>. For our customers to use our products, they may</w:t>
      </w:r>
      <w:r>
        <w:rPr>
          <w:rFonts w:ascii="Arial" w:cs="Arial" w:eastAsia="Arial" w:hAnsi="Arial"/>
          <w:sz w:val="17"/>
          <w:szCs w:val="17"/>
          <w:i w:val="1"/>
          <w:iCs w:val="1"/>
          <w:color w:val="auto"/>
        </w:rPr>
        <w:t xml:space="preserve"> </w:t>
      </w:r>
      <w:r>
        <w:rPr>
          <w:rFonts w:ascii="Arial" w:cs="Arial" w:eastAsia="Arial" w:hAnsi="Arial"/>
          <w:sz w:val="17"/>
          <w:szCs w:val="17"/>
          <w:color w:val="auto"/>
        </w:rPr>
        <w:t>have to redesign certain components of their existing designs. We have established relationships with several controller companies, including Broadcom (formerly LSI and Avago), Marvell and Microsemi (formerly PMC-Sierra), and IP core companies, including Cadence, Synopsys, and Northwest Logic, and FPGA manufacturers, including Xilinx and Altera (now part of Intel), to accelerate the integration of our MRAM solutions into our customers’ end products. Delays in our customers’ design cycles may have adverse effects on the demand, and therefore sales, of our products.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Customer concentration</w:t>
      </w:r>
      <w:r>
        <w:rPr>
          <w:rFonts w:ascii="Arial" w:cs="Arial" w:eastAsia="Arial" w:hAnsi="Arial"/>
          <w:sz w:val="18"/>
          <w:szCs w:val="18"/>
          <w:color w:val="auto"/>
        </w:rPr>
        <w:t>. A relatively small number of end customers have historically accounted for a</w:t>
      </w:r>
    </w:p>
    <w:p>
      <w:pPr>
        <w:ind w:right="120"/>
        <w:spacing w:after="0" w:line="236" w:lineRule="auto"/>
        <w:rPr>
          <w:sz w:val="20"/>
          <w:szCs w:val="20"/>
          <w:color w:val="auto"/>
        </w:rPr>
      </w:pPr>
      <w:r>
        <w:rPr>
          <w:rFonts w:ascii="Arial" w:cs="Arial" w:eastAsia="Arial" w:hAnsi="Arial"/>
          <w:sz w:val="16"/>
          <w:szCs w:val="16"/>
          <w:color w:val="auto"/>
        </w:rPr>
        <w:t>significant percentage of our revenue. Revenue, including through distributors, from Broadcom, NXP, STMicroelectronics, and Dell, collectively, accounted for 25%, 32%, and 41% of our total revenue in 2017, 2016, and 2015, respectively. Two of these customers accounted for more than 10% of our revenue in 2015. None of these customers individually accounted for more than 10% of our total revenue in 2017 and 2016.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401"/>
        <w:spacing w:after="0" w:line="222" w:lineRule="auto"/>
        <w:rPr>
          <w:sz w:val="20"/>
          <w:szCs w:val="20"/>
          <w:color w:val="auto"/>
        </w:rPr>
      </w:pPr>
      <w:r>
        <w:rPr>
          <w:rFonts w:ascii="Arial" w:cs="Arial" w:eastAsia="Arial" w:hAnsi="Arial"/>
          <w:sz w:val="17"/>
          <w:szCs w:val="17"/>
          <w:i w:val="1"/>
          <w:iCs w:val="1"/>
          <w:color w:val="auto"/>
        </w:rPr>
        <w:t>Pricing, product cost and gross margins of our products</w:t>
      </w:r>
      <w:r>
        <w:rPr>
          <w:rFonts w:ascii="Arial" w:cs="Arial" w:eastAsia="Arial" w:hAnsi="Arial"/>
          <w:sz w:val="17"/>
          <w:szCs w:val="17"/>
          <w:color w:val="auto"/>
        </w:rPr>
        <w:t>. Our gross margin has been, and will continue to be, affected</w:t>
      </w:r>
      <w:r>
        <w:rPr>
          <w:rFonts w:ascii="Arial" w:cs="Arial" w:eastAsia="Arial" w:hAnsi="Arial"/>
          <w:sz w:val="17"/>
          <w:szCs w:val="17"/>
          <w:i w:val="1"/>
          <w:iCs w:val="1"/>
          <w:color w:val="auto"/>
        </w:rPr>
        <w:t xml:space="preserve"> </w:t>
      </w:r>
      <w:r>
        <w:rPr>
          <w:rFonts w:ascii="Arial" w:cs="Arial" w:eastAsia="Arial" w:hAnsi="Arial"/>
          <w:sz w:val="17"/>
          <w:szCs w:val="17"/>
          <w:color w:val="auto"/>
        </w:rPr>
        <w:t>by 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costs and introducing newer, higher value-added products. If we are unable to maintain overall average selling prices or to offset any declines in average selling prices with savings on product costs, our gross margin will decline.</w:t>
      </w:r>
    </w:p>
    <w:p>
      <w:pPr>
        <w:spacing w:after="0" w:line="164" w:lineRule="exact"/>
        <w:rPr>
          <w:sz w:val="20"/>
          <w:szCs w:val="20"/>
          <w:color w:val="auto"/>
        </w:rPr>
      </w:pPr>
    </w:p>
    <w:p>
      <w:pPr>
        <w:ind w:right="60" w:firstLine="401"/>
        <w:spacing w:after="0" w:line="249" w:lineRule="auto"/>
        <w:rPr>
          <w:sz w:val="20"/>
          <w:szCs w:val="20"/>
          <w:color w:val="auto"/>
        </w:rPr>
      </w:pPr>
      <w:r>
        <w:rPr>
          <w:rFonts w:ascii="Arial" w:cs="Arial" w:eastAsia="Arial" w:hAnsi="Arial"/>
          <w:sz w:val="16"/>
          <w:szCs w:val="16"/>
          <w:i w:val="1"/>
          <w:iCs w:val="1"/>
          <w:color w:val="auto"/>
        </w:rPr>
        <w:t>Gross margin impact of licensing revenue</w:t>
      </w:r>
      <w:r>
        <w:rPr>
          <w:rFonts w:ascii="Arial" w:cs="Arial" w:eastAsia="Arial" w:hAnsi="Arial"/>
          <w:sz w:val="16"/>
          <w:szCs w:val="16"/>
          <w:color w:val="auto"/>
        </w:rPr>
        <w:t>. 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5" w:lineRule="exact"/>
        <w:rPr>
          <w:sz w:val="20"/>
          <w:szCs w:val="20"/>
          <w:color w:val="auto"/>
        </w:rPr>
      </w:pPr>
    </w:p>
    <w:p>
      <w:pPr>
        <w:ind w:right="20" w:firstLine="401"/>
        <w:spacing w:after="0" w:line="225" w:lineRule="auto"/>
        <w:rPr>
          <w:sz w:val="20"/>
          <w:szCs w:val="20"/>
          <w:color w:val="auto"/>
        </w:rPr>
      </w:pPr>
      <w:r>
        <w:rPr>
          <w:rFonts w:ascii="Arial" w:cs="Arial" w:eastAsia="Arial" w:hAnsi="Arial"/>
          <w:sz w:val="17"/>
          <w:szCs w:val="17"/>
          <w:i w:val="1"/>
          <w:iCs w:val="1"/>
          <w:color w:val="auto"/>
        </w:rPr>
        <w:t>Technology, process, and product development investment</w:t>
      </w:r>
      <w:r>
        <w:rPr>
          <w:rFonts w:ascii="Arial" w:cs="Arial" w:eastAsia="Arial" w:hAnsi="Arial"/>
          <w:sz w:val="17"/>
          <w:szCs w:val="17"/>
          <w:color w:val="auto"/>
        </w:rPr>
        <w:t>. 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401"/>
        <w:spacing w:after="0" w:line="223" w:lineRule="auto"/>
        <w:rPr>
          <w:sz w:val="20"/>
          <w:szCs w:val="20"/>
          <w:color w:val="auto"/>
        </w:rPr>
      </w:pPr>
      <w:r>
        <w:rPr>
          <w:rFonts w:ascii="Arial" w:cs="Arial" w:eastAsia="Arial" w:hAnsi="Arial"/>
          <w:sz w:val="17"/>
          <w:szCs w:val="17"/>
          <w:color w:val="auto"/>
        </w:rPr>
        <w:t>We derive our revenue from the sale of our MRAM-based products in discrete unit form, as embedded technology, and through licensing of and royalties on our MRAM and magnetic sensor technology. Our distributors worldwide generally have broad price protection and product return rights which prevent the sales pricing from being fixed or determinable at the time of shipment to our distributors. Therefore, for sales through distributors of our discrete MRAM products, revenue recognition is deferred until the pricing uncertainty is resolved, which generally occurs when the distributor sells the product to their customer. We recognize license fees when the applicable development milestones have been met in accordance with the terms of the licensing agreement. Our licensing revenue is largely dependent on a small number of transactions during a given year. We recognize revenue for royalties resulting from our licensing agreements in accordance with the terms of the licensing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185" w:lineRule="exact"/>
        <w:rPr>
          <w:sz w:val="20"/>
          <w:szCs w:val="20"/>
          <w:color w:val="auto"/>
        </w:rPr>
      </w:pPr>
    </w:p>
    <w:p>
      <w:pPr>
        <w:ind w:right="300" w:firstLine="401"/>
        <w:spacing w:after="0" w:line="259"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401"/>
        <w:spacing w:after="0" w:line="214"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right="440" w:firstLine="401"/>
        <w:spacing w:after="0" w:line="22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the most significant component of each of our operating expense categories.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Our research and development expenses consist primarily of personnel-related expenses for the design and development of our products and technologies, test wafers required to characterize our technology, and expenses associated with our joint development agreement with GLOBALFOUNDRIES. Research and development expenses also include consulting services, circuit design costs, materials and laboratory supplies, fabrication and new packaging technology, compensation charges related to the vesting of the shares of common stock issued to GLOBALFOUNDRIES, and an allocation of related facilities and equipment costs. We recognize research and development expenses as they are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20" w:firstLine="401"/>
        <w:spacing w:after="0" w:line="234" w:lineRule="auto"/>
        <w:rPr>
          <w:sz w:val="20"/>
          <w:szCs w:val="20"/>
          <w:color w:val="auto"/>
        </w:rPr>
      </w:pPr>
      <w:r>
        <w:rPr>
          <w:rFonts w:ascii="Arial" w:cs="Arial" w:eastAsia="Arial" w:hAnsi="Arial"/>
          <w:sz w:val="16"/>
          <w:szCs w:val="16"/>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will increase as a result of operating as a public company following our IPO in October 2016, including expenses related to compliance with the</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rules and regulations of the Securities and Exchange Commission, or SEC, and those of the Nasdaq Global Market exchange, additional insurance expenses, investor relations activities and other administrative and professional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85" w:lineRule="exact"/>
        <w:rPr>
          <w:sz w:val="20"/>
          <w:szCs w:val="20"/>
          <w:color w:val="auto"/>
        </w:rPr>
      </w:pPr>
    </w:p>
    <w:p>
      <w:pPr>
        <w:ind w:right="40" w:firstLine="401"/>
        <w:spacing w:after="0" w:line="259" w:lineRule="auto"/>
        <w:rPr>
          <w:sz w:val="20"/>
          <w:szCs w:val="20"/>
          <w:color w:val="auto"/>
        </w:rPr>
      </w:pPr>
      <w:r>
        <w:rPr>
          <w:rFonts w:ascii="Arial" w:cs="Arial" w:eastAsia="Arial" w:hAnsi="Arial"/>
          <w:sz w:val="16"/>
          <w:szCs w:val="16"/>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80" w:firstLine="401"/>
        <w:spacing w:after="0" w:line="241" w:lineRule="auto"/>
        <w:rPr>
          <w:sz w:val="20"/>
          <w:szCs w:val="20"/>
          <w:color w:val="auto"/>
        </w:rPr>
      </w:pPr>
      <w:r>
        <w:rPr>
          <w:rFonts w:ascii="Arial" w:cs="Arial" w:eastAsia="Arial" w:hAnsi="Arial"/>
          <w:sz w:val="16"/>
          <w:szCs w:val="16"/>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The non-cash component also includes interest expense on our convertible promissory notes as well as the amortization of debt discounts from the bifurcation of an embedded derivative related to the notes. These notes were converted into shares of our common stock upon the completion of our IPO in October 2016.The cash component of interest expense is attributable to our borrowings under our loan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5" w:lineRule="exact"/>
        <w:rPr>
          <w:sz w:val="20"/>
          <w:szCs w:val="20"/>
          <w:color w:val="auto"/>
        </w:rPr>
      </w:pPr>
    </w:p>
    <w:p>
      <w:pPr>
        <w:ind w:firstLine="401"/>
        <w:spacing w:after="0" w:line="244" w:lineRule="auto"/>
        <w:rPr>
          <w:sz w:val="20"/>
          <w:szCs w:val="20"/>
          <w:color w:val="auto"/>
        </w:rPr>
      </w:pPr>
      <w:r>
        <w:rPr>
          <w:rFonts w:ascii="Arial" w:cs="Arial" w:eastAsia="Arial" w:hAnsi="Arial"/>
          <w:sz w:val="16"/>
          <w:szCs w:val="16"/>
          <w:color w:val="auto"/>
        </w:rPr>
        <w:t>Other income, net consists primarily of the change in fair value of our convertible preferred stock warrant liability. Prior to the completion of our IPO, our convertible preferred stock warrants were exercisable into shares that were contingently redeemable. As such, these warrants were classified as a liability on our balance sheets at their estimated fair value and were marked to market at each reporting period. We continued to record adjustments to the estimated fair values of the convertible preferred stock warrants until they converted into common stock warrants upon the closing of the IPO.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85" w:lineRule="exact"/>
        <w:rPr>
          <w:sz w:val="20"/>
          <w:szCs w:val="20"/>
          <w:color w:val="auto"/>
        </w:rPr>
      </w:pPr>
    </w:p>
    <w:p>
      <w:pPr>
        <w:ind w:right="100" w:firstLine="401"/>
        <w:spacing w:after="0" w:line="224" w:lineRule="auto"/>
        <w:rPr>
          <w:sz w:val="20"/>
          <w:szCs w:val="20"/>
          <w:color w:val="auto"/>
        </w:rPr>
      </w:pPr>
      <w:r>
        <w:rPr>
          <w:rFonts w:ascii="Arial" w:cs="Arial" w:eastAsia="Arial" w:hAnsi="Arial"/>
          <w:sz w:val="18"/>
          <w:szCs w:val="18"/>
          <w:color w:val="auto"/>
        </w:rPr>
        <w:t>In the second quarter of 2017, we repaid the outstanding balance of our revolving loan and term loan at which time the unamortized balance of the debt discount and a prepayment penalty for the term loan were recognized as a loss on extinguishment of debt.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center"/>
              <w:ind w:right="91"/>
              <w:spacing w:after="0"/>
              <w:rPr>
                <w:sz w:val="20"/>
                <w:szCs w:val="20"/>
                <w:color w:val="auto"/>
              </w:rPr>
            </w:pPr>
            <w:r>
              <w:rPr>
                <w:rFonts w:ascii="Arial" w:cs="Arial" w:eastAsia="Arial" w:hAnsi="Arial"/>
                <w:sz w:val="14"/>
                <w:szCs w:val="14"/>
                <w:b w:val="1"/>
                <w:bCs w:val="1"/>
                <w:color w:val="auto"/>
                <w:w w:val="93"/>
              </w:rPr>
              <w:t>Year Ended December 31,</w:t>
            </w:r>
          </w:p>
        </w:tc>
      </w:tr>
      <w:tr>
        <w:trPr>
          <w:trHeight w:val="129"/>
        </w:trPr>
        <w:tc>
          <w:tcPr>
            <w:tcW w:w="3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51"/>
              <w:spacing w:after="0" w:line="129"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2015</w:t>
            </w:r>
          </w:p>
        </w:tc>
      </w:tr>
      <w:tr>
        <w:trPr>
          <w:trHeight w:val="129"/>
        </w:trPr>
        <w:tc>
          <w:tcPr>
            <w:tcW w:w="3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right="6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sales</w:t>
            </w:r>
          </w:p>
        </w:tc>
        <w:tc>
          <w:tcPr>
            <w:tcW w:w="1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33,677</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26,611</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25,875</w:t>
            </w:r>
          </w:p>
        </w:tc>
      </w:tr>
      <w:tr>
        <w:trPr>
          <w:trHeight w:val="176"/>
        </w:trPr>
        <w:tc>
          <w:tcPr>
            <w:tcW w:w="3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Licensing and royalty revenue</w:t>
            </w:r>
          </w:p>
        </w:tc>
        <w:tc>
          <w:tcPr>
            <w:tcW w:w="1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2,259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671</w:t>
            </w:r>
          </w:p>
        </w:tc>
      </w:tr>
      <w:tr>
        <w:trPr>
          <w:trHeight w:val="169"/>
        </w:trPr>
        <w:tc>
          <w:tcPr>
            <w:tcW w:w="360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revenue</w:t>
            </w: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35,936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27,094</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26,546</w:t>
            </w:r>
          </w:p>
        </w:tc>
      </w:tr>
      <w:tr>
        <w:trPr>
          <w:trHeight w:val="176"/>
        </w:trPr>
        <w:tc>
          <w:tcPr>
            <w:tcW w:w="3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14,451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12,395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12,568</w:t>
            </w:r>
          </w:p>
        </w:tc>
      </w:tr>
      <w:tr>
        <w:trPr>
          <w:trHeight w:val="169"/>
        </w:trPr>
        <w:tc>
          <w:tcPr>
            <w:tcW w:w="360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14,699</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13,978</w:t>
            </w: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6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19,233</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21,126</w:t>
            </w:r>
          </w:p>
        </w:tc>
      </w:tr>
      <w:tr>
        <w:trPr>
          <w:trHeight w:val="176"/>
        </w:trPr>
        <w:tc>
          <w:tcPr>
            <w:tcW w:w="3600" w:type="dxa"/>
            <w:vAlign w:val="bottom"/>
          </w:tcPr>
          <w:p>
            <w:pPr>
              <w:ind w:left="120"/>
              <w:spacing w:after="0" w:line="176" w:lineRule="exact"/>
              <w:rPr>
                <w:sz w:val="20"/>
                <w:szCs w:val="20"/>
                <w:color w:val="auto"/>
              </w:rPr>
            </w:pPr>
            <w:r>
              <w:rPr>
                <w:rFonts w:ascii="Arial" w:cs="Arial" w:eastAsia="Arial" w:hAnsi="Arial"/>
                <w:sz w:val="18"/>
                <w:szCs w:val="18"/>
                <w:color w:val="auto"/>
              </w:rPr>
              <w:t>General and administrative</w:t>
            </w: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11,516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7,281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6,565</w:t>
            </w:r>
          </w:p>
        </w:tc>
      </w:tr>
      <w:tr>
        <w:trPr>
          <w:trHeight w:val="176"/>
        </w:trPr>
        <w:tc>
          <w:tcPr>
            <w:tcW w:w="36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Sales and marketing</w:t>
            </w:r>
          </w:p>
        </w:tc>
        <w:tc>
          <w:tcPr>
            <w:tcW w:w="13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3,706</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3,823</w:t>
            </w:r>
          </w:p>
        </w:tc>
      </w:tr>
      <w:tr>
        <w:trPr>
          <w:trHeight w:val="169"/>
        </w:trPr>
        <w:tc>
          <w:tcPr>
            <w:tcW w:w="360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41,693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30,220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31,514</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(20,208)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(15,521)</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(17,536)</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(2,347)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1,160</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Loss on extinguishment of debt</w:t>
            </w:r>
          </w:p>
        </w:tc>
        <w:tc>
          <w:tcPr>
            <w:tcW w:w="1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(21,100)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(16,708)</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(18,183)</w:t>
            </w:r>
          </w:p>
        </w:tc>
      </w:tr>
      <w:tr>
        <w:trPr>
          <w:trHeight w:val="27"/>
        </w:trPr>
        <w:tc>
          <w:tcPr>
            <w:tcW w:w="36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439" w:firstLine="401"/>
        <w:spacing w:after="0" w:line="235" w:lineRule="auto"/>
        <w:rPr>
          <w:sz w:val="20"/>
          <w:szCs w:val="20"/>
          <w:color w:val="auto"/>
        </w:rPr>
      </w:pPr>
      <w:r>
        <w:rPr>
          <w:rFonts w:ascii="Arial" w:cs="Arial" w:eastAsia="Arial" w:hAnsi="Arial"/>
          <w:sz w:val="18"/>
          <w:szCs w:val="18"/>
          <w:color w:val="auto"/>
        </w:rPr>
        <w:t>The following table set forth the statements of operations data for each of the periods presented as a percentage of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13"/>
          </w:tcPr>
          <w:p>
            <w:pPr>
              <w:jc w:val="right"/>
              <w:ind w:right="510"/>
              <w:spacing w:after="0"/>
              <w:rPr>
                <w:sz w:val="20"/>
                <w:szCs w:val="20"/>
                <w:color w:val="auto"/>
              </w:rPr>
            </w:pPr>
            <w:r>
              <w:rPr>
                <w:rFonts w:ascii="Arial" w:cs="Arial" w:eastAsia="Arial" w:hAnsi="Arial"/>
                <w:sz w:val="14"/>
                <w:szCs w:val="14"/>
                <w:b w:val="1"/>
                <w:bCs w:val="1"/>
                <w:color w:val="auto"/>
                <w:w w:val="94"/>
              </w:rPr>
              <w:t>Year Ended December 31,</w:t>
            </w:r>
          </w:p>
        </w:tc>
      </w:tr>
      <w:tr>
        <w:trPr>
          <w:trHeight w:val="129"/>
        </w:trPr>
        <w:tc>
          <w:tcPr>
            <w:tcW w:w="2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jc w:val="right"/>
              <w:ind w:right="200"/>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r>
      <w:tr>
        <w:trPr>
          <w:trHeight w:val="169"/>
        </w:trPr>
        <w:tc>
          <w:tcPr>
            <w:tcW w:w="29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revenue</w:t>
            </w:r>
          </w:p>
        </w:tc>
        <w:tc>
          <w:tcPr>
            <w:tcW w:w="7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4"/>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gridSpan w:val="3"/>
            <w:shd w:val="clear" w:color="auto" w:fill="CCEEFF"/>
          </w:tcPr>
          <w:p>
            <w:pPr>
              <w:jc w:val="right"/>
              <w:ind w:right="80"/>
              <w:spacing w:after="0" w:line="170"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2980" w:type="dxa"/>
            <w:vAlign w:val="bottom"/>
          </w:tcPr>
          <w:p>
            <w:pPr>
              <w:spacing w:after="0" w:line="176" w:lineRule="exact"/>
              <w:rPr>
                <w:sz w:val="20"/>
                <w:szCs w:val="20"/>
                <w:color w:val="auto"/>
              </w:rPr>
            </w:pPr>
            <w:r>
              <w:rPr>
                <w:rFonts w:ascii="Arial" w:cs="Arial" w:eastAsia="Arial" w:hAnsi="Arial"/>
                <w:sz w:val="18"/>
                <w:szCs w:val="18"/>
                <w:color w:val="auto"/>
              </w:rPr>
              <w:t>Cost of sales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40</w:t>
            </w:r>
          </w:p>
        </w:tc>
        <w:tc>
          <w:tcPr>
            <w:tcW w:w="160" w:type="dxa"/>
            <w:vAlign w:val="bottom"/>
          </w:tcPr>
          <w:p>
            <w:pPr>
              <w:spacing w:after="0"/>
              <w:rPr>
                <w:sz w:val="15"/>
                <w:szCs w:val="15"/>
                <w:color w:val="auto"/>
              </w:rPr>
            </w:pPr>
          </w:p>
        </w:tc>
        <w:tc>
          <w:tcPr>
            <w:tcW w:w="6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5"/>
                <w:szCs w:val="15"/>
                <w:color w:val="auto"/>
              </w:rPr>
            </w:pPr>
          </w:p>
        </w:tc>
      </w:tr>
      <w:tr>
        <w:trPr>
          <w:trHeight w:val="169"/>
        </w:trPr>
        <w:tc>
          <w:tcPr>
            <w:tcW w:w="29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Gross profit</w:t>
            </w:r>
          </w:p>
        </w:tc>
        <w:tc>
          <w:tcPr>
            <w:tcW w:w="7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54</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gridSpan w:val="3"/>
            <w:shd w:val="clear" w:color="auto" w:fill="CCEEFF"/>
          </w:tcPr>
          <w:p>
            <w:pPr>
              <w:jc w:val="right"/>
              <w:ind w:right="80"/>
              <w:spacing w:after="0" w:line="170" w:lineRule="exact"/>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spacing w:after="0"/>
              <w:rPr>
                <w:sz w:val="14"/>
                <w:szCs w:val="14"/>
                <w:color w:val="auto"/>
              </w:rPr>
            </w:pPr>
          </w:p>
        </w:tc>
      </w:tr>
      <w:tr>
        <w:trPr>
          <w:trHeight w:val="176"/>
        </w:trPr>
        <w:tc>
          <w:tcPr>
            <w:tcW w:w="298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29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5"/>
                <w:szCs w:val="15"/>
                <w:color w:val="auto"/>
              </w:rPr>
            </w:pPr>
          </w:p>
        </w:tc>
      </w:tr>
      <w:tr>
        <w:trPr>
          <w:trHeight w:val="176"/>
        </w:trPr>
        <w:tc>
          <w:tcPr>
            <w:tcW w:w="2980" w:type="dxa"/>
            <w:vAlign w:val="bottom"/>
          </w:tcPr>
          <w:p>
            <w:pPr>
              <w:ind w:left="120"/>
              <w:spacing w:after="0" w:line="176" w:lineRule="exact"/>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5"/>
                <w:szCs w:val="15"/>
                <w:color w:val="auto"/>
              </w:rPr>
            </w:pPr>
          </w:p>
        </w:tc>
        <w:tc>
          <w:tcPr>
            <w:tcW w:w="6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5"/>
                <w:szCs w:val="15"/>
                <w:color w:val="auto"/>
              </w:rPr>
            </w:pPr>
          </w:p>
        </w:tc>
      </w:tr>
      <w:tr>
        <w:trPr>
          <w:trHeight w:val="176"/>
        </w:trPr>
        <w:tc>
          <w:tcPr>
            <w:tcW w:w="29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5"/>
                <w:szCs w:val="15"/>
                <w:color w:val="auto"/>
              </w:rPr>
            </w:pPr>
          </w:p>
        </w:tc>
      </w:tr>
      <w:tr>
        <w:trPr>
          <w:trHeight w:val="169"/>
        </w:trPr>
        <w:tc>
          <w:tcPr>
            <w:tcW w:w="2980" w:type="dxa"/>
            <w:vAlign w:val="bottom"/>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gridSpan w:val="4"/>
          </w:tcPr>
          <w:p>
            <w:pPr>
              <w:jc w:val="right"/>
              <w:spacing w:after="0" w:line="170" w:lineRule="exact"/>
              <w:rPr>
                <w:sz w:val="20"/>
                <w:szCs w:val="20"/>
                <w:color w:val="auto"/>
              </w:rPr>
            </w:pPr>
            <w:r>
              <w:rPr>
                <w:rFonts w:ascii="Arial" w:cs="Arial" w:eastAsia="Arial" w:hAnsi="Arial"/>
                <w:sz w:val="18"/>
                <w:szCs w:val="18"/>
                <w:color w:val="auto"/>
              </w:rPr>
              <w:t>116</w:t>
            </w:r>
          </w:p>
        </w:tc>
        <w:tc>
          <w:tcPr>
            <w:tcW w:w="160" w:type="dxa"/>
            <w:vAlign w:val="bottom"/>
          </w:tcPr>
          <w:p>
            <w:pPr>
              <w:spacing w:after="0"/>
              <w:rPr>
                <w:sz w:val="14"/>
                <w:szCs w:val="14"/>
                <w:color w:val="auto"/>
              </w:rPr>
            </w:pPr>
          </w:p>
        </w:tc>
        <w:tc>
          <w:tcPr>
            <w:tcW w:w="680" w:type="dxa"/>
            <w:vAlign w:val="bottom"/>
            <w:tcBorders>
              <w:top w:val="single" w:sz="8" w:color="auto"/>
            </w:tcBorders>
            <w:gridSpan w:val="2"/>
          </w:tcPr>
          <w:p>
            <w:pPr>
              <w:jc w:val="right"/>
              <w:ind w:right="60"/>
              <w:spacing w:after="0" w:line="170" w:lineRule="exact"/>
              <w:rPr>
                <w:sz w:val="20"/>
                <w:szCs w:val="20"/>
                <w:color w:val="auto"/>
              </w:rPr>
            </w:pPr>
            <w:r>
              <w:rPr>
                <w:rFonts w:ascii="Arial" w:cs="Arial" w:eastAsia="Arial" w:hAnsi="Arial"/>
                <w:sz w:val="18"/>
                <w:szCs w:val="18"/>
                <w:color w:val="auto"/>
              </w:rPr>
              <w:t>112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gridSpan w:val="3"/>
          </w:tcPr>
          <w:p>
            <w:pPr>
              <w:jc w:val="right"/>
              <w:ind w:right="80"/>
              <w:spacing w:after="0" w:line="170" w:lineRule="exact"/>
              <w:rPr>
                <w:sz w:val="20"/>
                <w:szCs w:val="20"/>
                <w:color w:val="auto"/>
              </w:rPr>
            </w:pPr>
            <w:r>
              <w:rPr>
                <w:rFonts w:ascii="Arial" w:cs="Arial" w:eastAsia="Arial" w:hAnsi="Arial"/>
                <w:sz w:val="18"/>
                <w:szCs w:val="18"/>
                <w:color w:val="auto"/>
              </w:rPr>
              <w:t>119</w:t>
            </w:r>
          </w:p>
        </w:tc>
        <w:tc>
          <w:tcPr>
            <w:tcW w:w="160" w:type="dxa"/>
            <w:vAlign w:val="bottom"/>
          </w:tcPr>
          <w:p>
            <w:pPr>
              <w:spacing w:after="0"/>
              <w:rPr>
                <w:sz w:val="14"/>
                <w:szCs w:val="14"/>
                <w:color w:val="auto"/>
              </w:rPr>
            </w:pP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(56)</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5"/>
                <w:szCs w:val="15"/>
                <w:color w:val="auto"/>
              </w:rPr>
            </w:pPr>
          </w:p>
        </w:tc>
      </w:tr>
      <w:tr>
        <w:trPr>
          <w:trHeight w:val="176"/>
        </w:trPr>
        <w:tc>
          <w:tcPr>
            <w:tcW w:w="2980" w:type="dxa"/>
            <w:vAlign w:val="bottom"/>
          </w:tcPr>
          <w:p>
            <w:pPr>
              <w:spacing w:after="0" w:line="176" w:lineRule="exact"/>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5"/>
          </w:tcPr>
          <w:p>
            <w:pPr>
              <w:jc w:val="right"/>
              <w:ind w:right="70"/>
              <w:spacing w:after="0" w:line="176" w:lineRule="exact"/>
              <w:rPr>
                <w:sz w:val="20"/>
                <w:szCs w:val="20"/>
                <w:color w:val="auto"/>
              </w:rPr>
            </w:pPr>
            <w:r>
              <w:rPr>
                <w:rFonts w:ascii="Arial" w:cs="Arial" w:eastAsia="Arial" w:hAnsi="Arial"/>
                <w:sz w:val="18"/>
                <w:szCs w:val="18"/>
                <w:color w:val="auto"/>
              </w:rPr>
              <w:t>(2)</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176"/>
        </w:trPr>
        <w:tc>
          <w:tcPr>
            <w:tcW w:w="2980" w:type="dxa"/>
            <w:vAlign w:val="bottom"/>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720" w:type="dxa"/>
            <w:vAlign w:val="bottom"/>
            <w:gridSpan w:val="3"/>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3"/>
          </w:tcPr>
          <w:p>
            <w:pPr>
              <w:jc w:val="right"/>
              <w:ind w:right="150"/>
              <w:spacing w:after="0" w:line="176" w:lineRule="exact"/>
              <w:rPr>
                <w:sz w:val="20"/>
                <w:szCs w:val="20"/>
                <w:color w:val="auto"/>
              </w:rPr>
            </w:pPr>
            <w:r>
              <w:rPr>
                <w:rFonts w:ascii="Arial" w:cs="Arial" w:eastAsia="Arial" w:hAnsi="Arial"/>
                <w:sz w:val="18"/>
                <w:szCs w:val="18"/>
                <w:color w:val="auto"/>
              </w:rPr>
              <w:t>—</w:t>
            </w:r>
          </w:p>
        </w:tc>
      </w:tr>
      <w:tr>
        <w:trPr>
          <w:trHeight w:val="176"/>
        </w:trPr>
        <w:tc>
          <w:tcPr>
            <w:tcW w:w="29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(59)</w:t>
            </w:r>
          </w:p>
        </w:tc>
        <w:tc>
          <w:tcPr>
            <w:tcW w:w="1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(63)</w:t>
            </w:r>
          </w:p>
        </w:tc>
        <w:tc>
          <w:tcPr>
            <w:tcW w:w="140" w:type="dxa"/>
            <w:vAlign w:val="bottom"/>
            <w:tcBorders>
              <w:top w:val="single" w:sz="8" w:color="CCEEFF"/>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rPr>
              <w:t>(68)</w:t>
            </w:r>
          </w:p>
        </w:tc>
        <w:tc>
          <w:tcPr>
            <w:tcW w:w="1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378"/>
        </w:trPr>
        <w:tc>
          <w:tcPr>
            <w:tcW w:w="5400" w:type="dxa"/>
            <w:vAlign w:val="bottom"/>
            <w:gridSpan w:val="8"/>
          </w:tcPr>
          <w:p>
            <w:pPr>
              <w:ind w:left="400"/>
              <w:spacing w:after="0"/>
              <w:rPr>
                <w:sz w:val="20"/>
                <w:szCs w:val="20"/>
                <w:color w:val="auto"/>
              </w:rPr>
            </w:pPr>
            <w:r>
              <w:rPr>
                <w:rFonts w:ascii="Arial" w:cs="Arial" w:eastAsia="Arial" w:hAnsi="Arial"/>
                <w:sz w:val="18"/>
                <w:szCs w:val="18"/>
                <w:b w:val="1"/>
                <w:bCs w:val="1"/>
                <w:i w:val="1"/>
                <w:iCs w:val="1"/>
                <w:color w:val="auto"/>
                <w:w w:val="95"/>
              </w:rPr>
              <w:t>Comparison of the Years Ended December 31, 2017 and 2016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2980" w:type="dxa"/>
            <w:vAlign w:val="bottom"/>
          </w:tcPr>
          <w:p>
            <w:pPr>
              <w:ind w:left="400"/>
              <w:spacing w:after="0"/>
              <w:rPr>
                <w:sz w:val="20"/>
                <w:szCs w:val="20"/>
                <w:color w:val="auto"/>
              </w:rPr>
            </w:pPr>
            <w:r>
              <w:rPr>
                <w:rFonts w:ascii="Arial" w:cs="Arial" w:eastAsia="Arial" w:hAnsi="Arial"/>
                <w:sz w:val="18"/>
                <w:szCs w:val="18"/>
                <w:i w:val="1"/>
                <w:iCs w:val="1"/>
                <w:color w:val="auto"/>
              </w:rPr>
              <w:t>Revenue</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8"/>
        </w:trPr>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96"/>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gridSpan w:val="3"/>
          </w:tcPr>
          <w:p>
            <w:pPr>
              <w:jc w:val="right"/>
              <w:ind w:right="150"/>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9"/>
        </w:trPr>
        <w:tc>
          <w:tcPr>
            <w:tcW w:w="2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10"/>
          </w:tcPr>
          <w:p>
            <w:pPr>
              <w:jc w:val="center"/>
              <w:ind w:right="410"/>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sales</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33,677</w:t>
            </w:r>
          </w:p>
        </w:tc>
        <w:tc>
          <w:tcPr>
            <w:tcW w:w="360" w:type="dxa"/>
            <w:vAlign w:val="bottom"/>
            <w:gridSpan w:val="2"/>
            <w:shd w:val="clear" w:color="auto" w:fill="CCEEFF"/>
          </w:tcPr>
          <w:p>
            <w:pPr>
              <w:jc w:val="right"/>
              <w:ind w:right="7"/>
              <w:spacing w:after="0" w:line="17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26,611</w:t>
            </w:r>
          </w:p>
        </w:tc>
        <w:tc>
          <w:tcPr>
            <w:tcW w:w="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7,066</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26.6 %</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2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Licensing and royalty revenue</w:t>
            </w:r>
          </w:p>
        </w:tc>
        <w:tc>
          <w:tcPr>
            <w:tcW w:w="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2,259</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483</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8"/>
              </w:rPr>
              <w:t>1,776</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gridSpan w:val="4"/>
          </w:tcPr>
          <w:p>
            <w:pPr>
              <w:jc w:val="right"/>
              <w:spacing w:after="0" w:line="176" w:lineRule="exact"/>
              <w:rPr>
                <w:sz w:val="20"/>
                <w:szCs w:val="20"/>
                <w:color w:val="auto"/>
              </w:rPr>
            </w:pPr>
            <w:r>
              <w:rPr>
                <w:rFonts w:ascii="Arial" w:cs="Arial" w:eastAsia="Arial" w:hAnsi="Arial"/>
                <w:sz w:val="18"/>
                <w:szCs w:val="18"/>
                <w:color w:val="auto"/>
                <w:w w:val="93"/>
              </w:rPr>
              <w:t>367.7 %</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29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35,936</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27,094</w:t>
            </w: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8,842</w:t>
            </w: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3"/>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32.6 %</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148" w:lineRule="exact"/>
        <w:rPr>
          <w:sz w:val="20"/>
          <w:szCs w:val="20"/>
          <w:color w:val="auto"/>
        </w:rPr>
      </w:pPr>
    </w:p>
    <w:p>
      <w:pPr>
        <w:ind w:right="239" w:firstLine="401"/>
        <w:spacing w:after="0" w:line="229" w:lineRule="auto"/>
        <w:rPr>
          <w:sz w:val="20"/>
          <w:szCs w:val="20"/>
          <w:color w:val="auto"/>
        </w:rPr>
      </w:pPr>
      <w:r>
        <w:rPr>
          <w:rFonts w:ascii="Arial" w:cs="Arial" w:eastAsia="Arial" w:hAnsi="Arial"/>
          <w:sz w:val="17"/>
          <w:szCs w:val="17"/>
          <w:color w:val="auto"/>
        </w:rPr>
        <w:t>Total revenue increased by $8.8 million, or 32.6%, from $27.1 million during the year ended December 31, 2016, to $35.9 million during the year ended December 31, 2017. Product sales increased by $7.1 million or 26.6% from $26.6 million, to $33.7 million. The increase in product sales was primarily due to increased sales volume in our Toggle MRAM products resulting in $5.7 million in additional sales and $1.4 million increase in sales of legacy products, of which $0.9 million was related to embedded products and $0.5 million related to sensor products.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401"/>
        <w:spacing w:after="0" w:line="219" w:lineRule="auto"/>
        <w:rPr>
          <w:sz w:val="20"/>
          <w:szCs w:val="20"/>
          <w:color w:val="auto"/>
        </w:rPr>
      </w:pPr>
      <w:r>
        <w:rPr>
          <w:rFonts w:ascii="Arial" w:cs="Arial" w:eastAsia="Arial" w:hAnsi="Arial"/>
          <w:sz w:val="18"/>
          <w:szCs w:val="18"/>
          <w:color w:val="auto"/>
        </w:rPr>
        <w:t>Licensing and royalty revenue is a highly variable revenue item characterized by a small number of transactions annually with revenues based on size and terms of each transaction. Licensing and royalty revenue increased by $1.8 million primarily due to $1.6 million in milestone fees earned for the achievement of specified events during 2017 under the joint development agreement with GLOBALFOUNDRIES.</w:t>
      </w: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Cost of Sales and Gross Margin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Year Ended 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2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8"/>
              </w:rPr>
              <w:t>Amount</w:t>
            </w:r>
          </w:p>
        </w:tc>
        <w:tc>
          <w:tcPr>
            <w:tcW w:w="5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56"/>
        </w:trPr>
        <w:tc>
          <w:tcPr>
            <w:tcW w:w="2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80" w:type="dxa"/>
            <w:vAlign w:val="bottom"/>
            <w:gridSpan w:val="5"/>
          </w:tcPr>
          <w:p>
            <w:pPr>
              <w:jc w:val="right"/>
              <w:ind w:right="559"/>
              <w:spacing w:after="0" w:line="155"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6"/>
        </w:trPr>
        <w:tc>
          <w:tcPr>
            <w:tcW w:w="2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sales</w:t>
            </w:r>
          </w:p>
        </w:tc>
        <w:tc>
          <w:tcPr>
            <w:tcW w:w="2380" w:type="dxa"/>
            <w:vAlign w:val="bottom"/>
            <w:gridSpan w:val="2"/>
            <w:shd w:val="clear" w:color="auto" w:fill="CCEEFF"/>
          </w:tcPr>
          <w:p>
            <w:pPr>
              <w:jc w:val="right"/>
              <w:ind w:right="188"/>
              <w:spacing w:after="0" w:line="176" w:lineRule="exact"/>
              <w:rPr>
                <w:sz w:val="20"/>
                <w:szCs w:val="20"/>
                <w:color w:val="auto"/>
              </w:rPr>
            </w:pPr>
            <w:r>
              <w:rPr>
                <w:rFonts w:ascii="Arial" w:cs="Arial" w:eastAsia="Arial" w:hAnsi="Arial"/>
                <w:sz w:val="18"/>
                <w:szCs w:val="18"/>
                <w:color w:val="auto"/>
              </w:rPr>
              <w:t>$  14,451</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12,395</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9"/>
              <w:spacing w:after="0" w:line="176" w:lineRule="exact"/>
              <w:rPr>
                <w:sz w:val="20"/>
                <w:szCs w:val="20"/>
                <w:color w:val="auto"/>
              </w:rPr>
            </w:pPr>
            <w:r>
              <w:rPr>
                <w:rFonts w:ascii="Arial" w:cs="Arial" w:eastAsia="Arial" w:hAnsi="Arial"/>
                <w:sz w:val="18"/>
                <w:szCs w:val="18"/>
                <w:color w:val="auto"/>
              </w:rPr>
              <w:t>2,056</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w:t>
            </w:r>
          </w:p>
        </w:tc>
        <w:tc>
          <w:tcPr>
            <w:tcW w:w="2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9"/>
              </w:rPr>
              <w:t>%</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Gross margin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59.8 %</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54.3 %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2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Cost of sales increased by $2.1 million, or 16.6%, from $12.4 million during the year ended December 31, 2016, to</w:t>
      </w:r>
    </w:p>
    <w:p>
      <w:pPr>
        <w:spacing w:after="0" w:line="229" w:lineRule="auto"/>
        <w:rPr>
          <w:sz w:val="20"/>
          <w:szCs w:val="20"/>
          <w:color w:val="auto"/>
        </w:rPr>
      </w:pPr>
      <w:r>
        <w:rPr>
          <w:rFonts w:ascii="Arial" w:cs="Arial" w:eastAsia="Arial" w:hAnsi="Arial"/>
          <w:sz w:val="16"/>
          <w:szCs w:val="16"/>
          <w:color w:val="auto"/>
        </w:rPr>
        <w:t>$14.5 million during the year ended December 31, 2017. The increase was primarily due to the increased sales volume on our</w:t>
      </w:r>
    </w:p>
    <w:p>
      <w:pPr>
        <w:spacing w:after="0"/>
        <w:rPr>
          <w:sz w:val="20"/>
          <w:szCs w:val="20"/>
          <w:color w:val="auto"/>
        </w:rPr>
      </w:pPr>
      <w:r>
        <w:rPr>
          <w:rFonts w:ascii="Arial" w:cs="Arial" w:eastAsia="Arial" w:hAnsi="Arial"/>
          <w:sz w:val="18"/>
          <w:szCs w:val="18"/>
          <w:color w:val="auto"/>
        </w:rPr>
        <w:t>Toggle MRAM and legacy products.</w:t>
      </w:r>
    </w:p>
    <w:p>
      <w:pPr>
        <w:spacing w:after="0" w:line="169" w:lineRule="exact"/>
        <w:rPr>
          <w:sz w:val="20"/>
          <w:szCs w:val="20"/>
          <w:color w:val="auto"/>
        </w:rPr>
      </w:pPr>
    </w:p>
    <w:p>
      <w:pPr>
        <w:ind w:right="380" w:firstLine="401"/>
        <w:spacing w:after="0" w:line="289" w:lineRule="auto"/>
        <w:rPr>
          <w:sz w:val="20"/>
          <w:szCs w:val="20"/>
          <w:color w:val="auto"/>
        </w:rPr>
      </w:pPr>
      <w:r>
        <w:rPr>
          <w:rFonts w:ascii="Arial" w:cs="Arial" w:eastAsia="Arial" w:hAnsi="Arial"/>
          <w:sz w:val="16"/>
          <w:szCs w:val="16"/>
          <w:color w:val="auto"/>
        </w:rPr>
        <w:t>Gross margin increased from 54.3% during the year ended December 31, 2016, to 59.8% during the year ended December 31, 2017. The increase was primarily due to increased sales and product mix on our Toggle MRAM products.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3"/>
        </w:trPr>
        <w:tc>
          <w:tcPr>
            <w:tcW w:w="2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2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6"/>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25,437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19,233</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6,204</w:t>
            </w:r>
          </w:p>
        </w:tc>
        <w:tc>
          <w:tcPr>
            <w:tcW w:w="2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32.3 %</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11,516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7,281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4,235</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58.2</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4,740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w:t>
            </w:r>
          </w:p>
        </w:tc>
      </w:tr>
      <w:tr>
        <w:trPr>
          <w:trHeight w:val="176"/>
        </w:trPr>
        <w:tc>
          <w:tcPr>
            <w:tcW w:w="2800" w:type="dxa"/>
            <w:vAlign w:val="bottom"/>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41,693</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30,220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11,473</w:t>
            </w:r>
          </w:p>
        </w:tc>
        <w:tc>
          <w:tcPr>
            <w:tcW w:w="260" w:type="dxa"/>
            <w:vAlign w:val="bottom"/>
          </w:tcPr>
          <w:p>
            <w:pPr>
              <w:spacing w:after="0"/>
              <w:rPr>
                <w:sz w:val="15"/>
                <w:szCs w:val="15"/>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38.0</w:t>
            </w:r>
          </w:p>
        </w:tc>
        <w:tc>
          <w:tcPr>
            <w:tcW w:w="280" w:type="dxa"/>
            <w:vAlign w:val="bottom"/>
            <w:gridSpan w:val="2"/>
          </w:tcPr>
          <w:p>
            <w:pPr>
              <w:jc w:val="right"/>
              <w:ind w:right="100"/>
              <w:spacing w:after="0" w:line="170" w:lineRule="exact"/>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right="20" w:firstLine="401"/>
        <w:spacing w:after="0" w:line="22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$6.2 million, or 32.3%, from $19.2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year ended December 31, 2016, to $25.4 million during the year ended December 31, 2017. The increase was due to a $2.8 million increase in equipment maintenance and supplies expenses related to the move to our new office and laboratory space in March 2017 and more equipment purchases in the year ended December 31, 2017 compared to the same period in 2016, a $2.3 million increase in expenses incurred related to our joint development agreement with GLOBALFOUNDRIES due to the use of more technologically advanced materials, a $0.9 million increase in employee and contract labor costs due to an increase in headcount, bonuses and stock-based compensation expense, and a $0.5 million increase in the amount attributable to the vesting of shares of common stock issued to GLOBALFOUNDRIES due to revaluing shares.</w:t>
      </w:r>
    </w:p>
    <w:p>
      <w:pPr>
        <w:spacing w:after="0" w:line="162" w:lineRule="exact"/>
        <w:rPr>
          <w:sz w:val="20"/>
          <w:szCs w:val="20"/>
          <w:color w:val="auto"/>
        </w:rPr>
      </w:pPr>
    </w:p>
    <w:p>
      <w:pPr>
        <w:ind w:right="60" w:firstLine="401"/>
        <w:spacing w:after="0" w:line="21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$4.2 million, or 58.2%, from $7.3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year ended December 31, 2016, to $11.5 million during the year ended December 31, 2017. The increase was due to a $2.2 million increase in professional services incurred due to becoming a publicly traded company, such as accounting services, legal and investor relations, and a $2.0 million increase in employee and contract labor costs, of which $0.6 million was due to our change in Chief Executive Officer and $1.3 million was due to increases in headcount and stock-based compensation expense.</w:t>
      </w:r>
    </w:p>
    <w:p>
      <w:pPr>
        <w:spacing w:after="0" w:line="162" w:lineRule="exact"/>
        <w:rPr>
          <w:sz w:val="20"/>
          <w:szCs w:val="20"/>
          <w:color w:val="auto"/>
        </w:rPr>
      </w:pPr>
    </w:p>
    <w:p>
      <w:pPr>
        <w:ind w:right="40" w:firstLine="401"/>
        <w:spacing w:after="0" w:line="21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$1.0 million, or 27.9%, from $3.7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2016, to $4.7 million during the year ended December 31, 2017. The increase was primarily due to a $1.0 million increase in employee and contract labor costs as a result of higher headcount and an increase in salaries, bonuses and stock-based compensation expense.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4"/>
                <w:szCs w:val="14"/>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2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228"/>
              <w:spacing w:after="0" w:line="129"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29"/>
        </w:trPr>
        <w:tc>
          <w:tcPr>
            <w:tcW w:w="2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80" w:type="dxa"/>
            <w:vAlign w:val="bottom"/>
            <w:gridSpan w:val="3"/>
          </w:tcPr>
          <w:p>
            <w:pPr>
              <w:ind w:left="16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6"/>
        </w:trPr>
        <w:tc>
          <w:tcPr>
            <w:tcW w:w="2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CEEFF"/>
          </w:tcPr>
          <w:p>
            <w:pPr>
              <w:jc w:val="right"/>
              <w:ind w:right="28"/>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9"/>
              <w:spacing w:after="0" w:line="176" w:lineRule="exact"/>
              <w:rPr>
                <w:sz w:val="20"/>
                <w:szCs w:val="20"/>
                <w:color w:val="auto"/>
              </w:rPr>
            </w:pPr>
            <w:r>
              <w:rPr>
                <w:rFonts w:ascii="Arial" w:cs="Arial" w:eastAsia="Arial" w:hAnsi="Arial"/>
                <w:sz w:val="18"/>
                <w:szCs w:val="18"/>
                <w:color w:val="auto"/>
              </w:rPr>
              <w:t>764</w:t>
            </w:r>
          </w:p>
        </w:tc>
        <w:tc>
          <w:tcPr>
            <w:tcW w:w="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  2,347</w:t>
            </w:r>
          </w:p>
        </w:tc>
        <w:tc>
          <w:tcPr>
            <w:tcW w:w="1180" w:type="dxa"/>
            <w:vAlign w:val="bottom"/>
            <w:gridSpan w:val="2"/>
            <w:shd w:val="clear" w:color="auto" w:fill="CCEEFF"/>
          </w:tcPr>
          <w:p>
            <w:pPr>
              <w:jc w:val="right"/>
              <w:ind w:right="248"/>
              <w:spacing w:after="0" w:line="176" w:lineRule="exact"/>
              <w:rPr>
                <w:sz w:val="20"/>
                <w:szCs w:val="20"/>
                <w:color w:val="auto"/>
              </w:rPr>
            </w:pPr>
            <w:r>
              <w:rPr>
                <w:rFonts w:ascii="Arial" w:cs="Arial" w:eastAsia="Arial" w:hAnsi="Arial"/>
                <w:sz w:val="18"/>
                <w:szCs w:val="18"/>
                <w:color w:val="auto"/>
              </w:rPr>
              <w:t>$ (1,583)</w:t>
            </w:r>
          </w:p>
        </w:tc>
        <w:tc>
          <w:tcPr>
            <w:tcW w:w="66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w w:val="91"/>
              </w:rPr>
              <w:t>(67.4)%</w:t>
            </w:r>
          </w:p>
        </w:tc>
      </w:tr>
    </w:tbl>
    <w:p>
      <w:pPr>
        <w:spacing w:after="0" w:line="148" w:lineRule="exact"/>
        <w:rPr>
          <w:sz w:val="20"/>
          <w:szCs w:val="20"/>
          <w:color w:val="auto"/>
        </w:rPr>
      </w:pPr>
    </w:p>
    <w:p>
      <w:pPr>
        <w:ind w:right="180" w:firstLine="401"/>
        <w:spacing w:after="0" w:line="216" w:lineRule="auto"/>
        <w:rPr>
          <w:sz w:val="20"/>
          <w:szCs w:val="20"/>
          <w:color w:val="auto"/>
        </w:rPr>
      </w:pPr>
      <w:r>
        <w:rPr>
          <w:rFonts w:ascii="Arial" w:cs="Arial" w:eastAsia="Arial" w:hAnsi="Arial"/>
          <w:sz w:val="18"/>
          <w:szCs w:val="18"/>
          <w:color w:val="auto"/>
        </w:rPr>
        <w:t>Interest expense decreased by $1.6 million, or 67.4%, from $2.3 million during the year ended December 31, 2016, to $0.8 million during the year ended December 31, 2017. The decrease was primarily related to a $0.9 million decrease in interest expense on our 2016 convertible promissory notes which were converted to equity in October 2016, and a $0.7 million decrease due to lower interest expense on our 2017 Credit Facility with Silicon Valley Bank, compared to our prior facility with Ares Venture Finance.</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14"/>
                <w:szCs w:val="14"/>
                <w:color w:val="auto"/>
              </w:rPr>
            </w:pP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2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8"/>
              <w:spacing w:after="0" w:line="155"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r>
      <w:tr>
        <w:trPr>
          <w:trHeight w:val="129"/>
        </w:trPr>
        <w:tc>
          <w:tcPr>
            <w:tcW w:w="2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6"/>
        </w:trPr>
        <w:tc>
          <w:tcPr>
            <w:tcW w:w="2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net</w:t>
            </w:r>
          </w:p>
        </w:tc>
        <w:tc>
          <w:tcPr>
            <w:tcW w:w="1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2"/>
              <w:spacing w:after="0" w:line="176" w:lineRule="exact"/>
              <w:rPr>
                <w:sz w:val="20"/>
                <w:szCs w:val="20"/>
                <w:color w:val="auto"/>
              </w:rPr>
            </w:pPr>
            <w:r>
              <w:rPr>
                <w:rFonts w:ascii="Arial" w:cs="Arial" w:eastAsia="Arial" w:hAnsi="Arial"/>
                <w:sz w:val="18"/>
                <w:szCs w:val="18"/>
                <w:color w:val="auto"/>
              </w:rPr>
              <w:t>118</w:t>
            </w:r>
          </w:p>
        </w:tc>
        <w:tc>
          <w:tcPr>
            <w:tcW w:w="900" w:type="dxa"/>
            <w:vAlign w:val="bottom"/>
            <w:shd w:val="clear" w:color="auto" w:fill="CCEEFF"/>
          </w:tcPr>
          <w:p>
            <w:pPr>
              <w:jc w:val="right"/>
              <w:ind w:right="2"/>
              <w:spacing w:after="0" w:line="176" w:lineRule="exact"/>
              <w:rPr>
                <w:sz w:val="20"/>
                <w:szCs w:val="20"/>
                <w:color w:val="auto"/>
              </w:rPr>
            </w:pPr>
            <w:r>
              <w:rPr>
                <w:rFonts w:ascii="Arial" w:cs="Arial" w:eastAsia="Arial" w:hAnsi="Arial"/>
                <w:sz w:val="18"/>
                <w:szCs w:val="18"/>
                <w:color w:val="auto"/>
              </w:rPr>
              <w:t>$  1,160</w:t>
            </w:r>
          </w:p>
        </w:tc>
        <w:tc>
          <w:tcPr>
            <w:tcW w:w="1120" w:type="dxa"/>
            <w:vAlign w:val="bottom"/>
            <w:gridSpan w:val="2"/>
            <w:shd w:val="clear" w:color="auto" w:fill="CCEEFF"/>
          </w:tcPr>
          <w:p>
            <w:pPr>
              <w:jc w:val="right"/>
              <w:ind w:right="188"/>
              <w:spacing w:after="0" w:line="176" w:lineRule="exact"/>
              <w:rPr>
                <w:sz w:val="20"/>
                <w:szCs w:val="20"/>
                <w:color w:val="auto"/>
              </w:rPr>
            </w:pPr>
            <w:r>
              <w:rPr>
                <w:rFonts w:ascii="Arial" w:cs="Arial" w:eastAsia="Arial" w:hAnsi="Arial"/>
                <w:sz w:val="18"/>
                <w:szCs w:val="18"/>
                <w:color w:val="auto"/>
              </w:rPr>
              <w:t>$  (1,042)</w:t>
            </w: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5"/>
              </w:rPr>
              <w:t>(89.8)%</w:t>
            </w:r>
          </w:p>
        </w:tc>
      </w:tr>
    </w:tbl>
    <w:p>
      <w:pPr>
        <w:spacing w:after="0" w:line="364" w:lineRule="exact"/>
        <w:rPr>
          <w:sz w:val="20"/>
          <w:szCs w:val="20"/>
          <w:color w:val="auto"/>
        </w:rPr>
      </w:pPr>
    </w:p>
    <w:p>
      <w:pPr>
        <w:ind w:firstLine="401"/>
        <w:spacing w:after="0" w:line="219" w:lineRule="auto"/>
        <w:rPr>
          <w:sz w:val="20"/>
          <w:szCs w:val="20"/>
          <w:color w:val="auto"/>
        </w:rPr>
      </w:pPr>
      <w:r>
        <w:rPr>
          <w:rFonts w:ascii="Arial" w:cs="Arial" w:eastAsia="Arial" w:hAnsi="Arial"/>
          <w:sz w:val="18"/>
          <w:szCs w:val="18"/>
          <w:color w:val="auto"/>
        </w:rPr>
        <w:t>Other income, net decreased by $1.0 million, or 89.8%, from $1.2 million during the year ended December 31, 2016, to $0.1 million during the year ended December 31, 2017. The decrease was primarily related to a $1.2 million gain on the fair value remeasurement of our warrant liabilities in 2016 which were reclassified to equity upon the IPO in October 2016, offset in part by an increase of $0.1 million in interest income in 2017.</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Loss on extinguishment of debt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r>
      <w:tr>
        <w:trPr>
          <w:trHeight w:val="129"/>
        </w:trPr>
        <w:tc>
          <w:tcPr>
            <w:tcW w:w="2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82"/>
              <w:spacing w:after="0" w:line="129"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r>
      <w:tr>
        <w:trPr>
          <w:trHeight w:val="129"/>
        </w:trPr>
        <w:tc>
          <w:tcPr>
            <w:tcW w:w="2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gridSpan w:val="5"/>
          </w:tcPr>
          <w:p>
            <w:pPr>
              <w:jc w:val="center"/>
              <w:ind w:right="282"/>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Pr>
          <w:p>
            <w:pPr>
              <w:spacing w:after="0"/>
              <w:rPr>
                <w:sz w:val="11"/>
                <w:szCs w:val="11"/>
                <w:color w:val="auto"/>
              </w:rPr>
            </w:pPr>
          </w:p>
        </w:tc>
      </w:tr>
      <w:tr>
        <w:trPr>
          <w:trHeight w:val="176"/>
        </w:trPr>
        <w:tc>
          <w:tcPr>
            <w:tcW w:w="2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Loss on debt extinguishment</w:t>
            </w:r>
          </w:p>
        </w:tc>
        <w:tc>
          <w:tcPr>
            <w:tcW w:w="160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9"/>
              <w:spacing w:after="0" w:line="176" w:lineRule="exact"/>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center"/>
              <w:ind w:left="239"/>
              <w:spacing w:after="0" w:line="176"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342"/>
              <w:spacing w:after="0" w:line="176" w:lineRule="exact"/>
              <w:rPr>
                <w:sz w:val="20"/>
                <w:szCs w:val="20"/>
                <w:color w:val="auto"/>
              </w:rPr>
            </w:pPr>
            <w:r>
              <w:rPr>
                <w:rFonts w:ascii="Arial" w:cs="Arial" w:eastAsia="Arial" w:hAnsi="Arial"/>
                <w:sz w:val="18"/>
                <w:szCs w:val="18"/>
                <w:color w:val="auto"/>
              </w:rPr>
              <w:t>246</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r>
    </w:tbl>
    <w:p>
      <w:pPr>
        <w:spacing w:after="0" w:line="8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ind w:right="280" w:firstLine="401"/>
        <w:spacing w:after="0" w:line="289" w:lineRule="auto"/>
        <w:rPr>
          <w:sz w:val="20"/>
          <w:szCs w:val="20"/>
          <w:color w:val="auto"/>
        </w:rPr>
      </w:pPr>
      <w:r>
        <w:rPr>
          <w:rFonts w:ascii="Arial" w:cs="Arial" w:eastAsia="Arial" w:hAnsi="Arial"/>
          <w:sz w:val="16"/>
          <w:szCs w:val="16"/>
          <w:color w:val="auto"/>
        </w:rPr>
        <w:t>Loss on extinguishment of debt was $0.2 million during the year ended December 31, 2017, due to the payoff of our prior facility with Ares Venture Finance in May 2017. There was no such loss during the year ended December 31, 2016.</w:t>
      </w:r>
    </w:p>
    <w:p>
      <w:pPr>
        <w:spacing w:after="0" w:line="124" w:lineRule="exact"/>
        <w:rPr>
          <w:sz w:val="20"/>
          <w:szCs w:val="20"/>
          <w:color w:val="auto"/>
        </w:rPr>
      </w:pPr>
    </w:p>
    <w:p>
      <w:pPr>
        <w:ind w:left="400" w:right="4100"/>
        <w:spacing w:after="0" w:line="457" w:lineRule="auto"/>
        <w:rPr>
          <w:sz w:val="20"/>
          <w:szCs w:val="20"/>
          <w:color w:val="auto"/>
        </w:rPr>
      </w:pPr>
      <w:r>
        <w:rPr>
          <w:rFonts w:ascii="Arial" w:cs="Arial" w:eastAsia="Arial" w:hAnsi="Arial"/>
          <w:sz w:val="18"/>
          <w:szCs w:val="18"/>
          <w:b w:val="1"/>
          <w:bCs w:val="1"/>
          <w:i w:val="1"/>
          <w:iCs w:val="1"/>
          <w:color w:val="auto"/>
        </w:rPr>
        <w:t xml:space="preserve">Comparison of the Years Ended December 31, 2016 and 2015 </w:t>
      </w:r>
      <w:r>
        <w:rPr>
          <w:rFonts w:ascii="Arial" w:cs="Arial" w:eastAsia="Arial" w:hAnsi="Arial"/>
          <w:sz w:val="18"/>
          <w:szCs w:val="18"/>
          <w:i w:val="1"/>
          <w:iCs w:val="1"/>
          <w:color w:val="auto"/>
        </w:rPr>
        <w:t>Revenue</w:t>
      </w: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29"/>
        </w:trPr>
        <w:tc>
          <w:tcPr>
            <w:tcW w:w="2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6"/>
          </w:tcPr>
          <w:p>
            <w:pPr>
              <w:ind w:left="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6"/>
        </w:trPr>
        <w:tc>
          <w:tcPr>
            <w:tcW w:w="2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sales</w:t>
            </w:r>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26,611</w:t>
            </w:r>
          </w:p>
        </w:tc>
        <w:tc>
          <w:tcPr>
            <w:tcW w:w="340" w:type="dxa"/>
            <w:vAlign w:val="bottom"/>
            <w:gridSpan w:val="2"/>
            <w:shd w:val="clear" w:color="auto" w:fill="CCEEFF"/>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25,875</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99"/>
              </w:rPr>
              <w:t>%</w:t>
            </w:r>
          </w:p>
        </w:tc>
      </w:tr>
      <w:tr>
        <w:trPr>
          <w:trHeight w:val="176"/>
        </w:trPr>
        <w:tc>
          <w:tcPr>
            <w:tcW w:w="28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Licensing and royalty revenue</w:t>
            </w: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(188)</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gridSpan w:val="3"/>
          </w:tcPr>
          <w:p>
            <w:pPr>
              <w:jc w:val="right"/>
              <w:ind w:right="20"/>
              <w:spacing w:after="0" w:line="176" w:lineRule="exact"/>
              <w:rPr>
                <w:sz w:val="20"/>
                <w:szCs w:val="20"/>
                <w:color w:val="auto"/>
              </w:rPr>
            </w:pPr>
            <w:r>
              <w:rPr>
                <w:rFonts w:ascii="Arial" w:cs="Arial" w:eastAsia="Arial" w:hAnsi="Arial"/>
                <w:sz w:val="18"/>
                <w:szCs w:val="18"/>
                <w:color w:val="auto"/>
                <w:w w:val="95"/>
              </w:rPr>
              <w:t>(28.0)%</w:t>
            </w:r>
          </w:p>
        </w:tc>
      </w:tr>
      <w:tr>
        <w:trPr>
          <w:trHeight w:val="176"/>
        </w:trPr>
        <w:tc>
          <w:tcPr>
            <w:tcW w:w="28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27,094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26,546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w w:val="99"/>
              </w:rPr>
              <w:t>%</w:t>
            </w:r>
          </w:p>
        </w:tc>
      </w:tr>
    </w:tbl>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revenue increased by $0.6 million, or 2.1%, from $26.5 million during the year ended December 31, 2015, to</w:t>
      </w:r>
    </w:p>
    <w:p>
      <w:pPr>
        <w:spacing w:after="0" w:line="229" w:lineRule="auto"/>
        <w:rPr>
          <w:sz w:val="20"/>
          <w:szCs w:val="20"/>
          <w:color w:val="auto"/>
        </w:rPr>
      </w:pPr>
      <w:r>
        <w:rPr>
          <w:rFonts w:ascii="Arial" w:cs="Arial" w:eastAsia="Arial" w:hAnsi="Arial"/>
          <w:sz w:val="16"/>
          <w:szCs w:val="16"/>
          <w:color w:val="auto"/>
        </w:rPr>
        <w:t>$27.1 million during the year ended December 31, 2016. Product sales increased by $0.7 million or 2.8% from $25.9 million,</w:t>
      </w:r>
    </w:p>
    <w:p>
      <w:pPr>
        <w:spacing w:after="0" w:line="229" w:lineRule="auto"/>
        <w:rPr>
          <w:sz w:val="20"/>
          <w:szCs w:val="20"/>
          <w:color w:val="auto"/>
        </w:rPr>
      </w:pPr>
      <w:r>
        <w:rPr>
          <w:rFonts w:ascii="Arial" w:cs="Arial" w:eastAsia="Arial" w:hAnsi="Arial"/>
          <w:sz w:val="16"/>
          <w:szCs w:val="16"/>
          <w:color w:val="auto"/>
        </w:rPr>
        <w:t>to $26.6 million. The increase in product sales was primarily due to increased sales volume in our Toggle MRAM products</w:t>
      </w:r>
    </w:p>
    <w:p>
      <w:pPr>
        <w:spacing w:after="0"/>
        <w:rPr>
          <w:sz w:val="20"/>
          <w:szCs w:val="20"/>
          <w:color w:val="auto"/>
        </w:rPr>
      </w:pPr>
      <w:r>
        <w:rPr>
          <w:rFonts w:ascii="Arial" w:cs="Arial" w:eastAsia="Arial" w:hAnsi="Arial"/>
          <w:sz w:val="18"/>
          <w:szCs w:val="18"/>
          <w:color w:val="auto"/>
        </w:rPr>
        <w:t>resulting in $1.4 million in additional sales, partially offset by a decrease of $0.7 million in legacy product sales.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401"/>
        <w:spacing w:after="0" w:line="249" w:lineRule="auto"/>
        <w:rPr>
          <w:sz w:val="20"/>
          <w:szCs w:val="20"/>
          <w:color w:val="auto"/>
        </w:rPr>
      </w:pPr>
      <w:r>
        <w:rPr>
          <w:rFonts w:ascii="Arial" w:cs="Arial" w:eastAsia="Arial" w:hAnsi="Arial"/>
          <w:sz w:val="16"/>
          <w:szCs w:val="16"/>
          <w:color w:val="auto"/>
        </w:rPr>
        <w:t>Licensing and royalty revenue is a highly variable revenue item characterized by a small number of transactions annually with revenues based on size and terms of each transaction. Licensing and royalty revenue decreased by $0.2 million due to the change in the type of licensing activity. In 2015 we received primarily one time, lump sum payments for the transfer of IP while 2016 licensing royalty revenue has been from subscription type licensing and royalty payments.</w:t>
      </w:r>
    </w:p>
    <w:p>
      <w:pPr>
        <w:spacing w:after="0" w:line="33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Cost of Sales and Gross Margin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428"/>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29"/>
        </w:trPr>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100" w:type="dxa"/>
            <w:vAlign w:val="bottom"/>
            <w:gridSpan w:val="5"/>
          </w:tcPr>
          <w:p>
            <w:pPr>
              <w:jc w:val="right"/>
              <w:ind w:right="548"/>
              <w:spacing w:after="0" w:line="129" w:lineRule="exact"/>
              <w:rPr>
                <w:sz w:val="20"/>
                <w:szCs w:val="20"/>
                <w:color w:val="auto"/>
              </w:rPr>
            </w:pPr>
            <w:r>
              <w:rPr>
                <w:rFonts w:ascii="Arial" w:cs="Arial" w:eastAsia="Arial" w:hAnsi="Arial"/>
                <w:sz w:val="14"/>
                <w:szCs w:val="14"/>
                <w:b w:val="1"/>
                <w:bCs w:val="1"/>
                <w:color w:val="auto"/>
                <w:w w:val="98"/>
              </w:rPr>
              <w:t>(Dollars in thousands)</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6"/>
        </w:trPr>
        <w:tc>
          <w:tcPr>
            <w:tcW w:w="2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sales</w:t>
            </w:r>
          </w:p>
        </w:tc>
        <w:tc>
          <w:tcPr>
            <w:tcW w:w="2360" w:type="dxa"/>
            <w:vAlign w:val="bottom"/>
            <w:gridSpan w:val="2"/>
            <w:shd w:val="clear" w:color="auto" w:fill="CCEEFF"/>
          </w:tcPr>
          <w:p>
            <w:pPr>
              <w:jc w:val="right"/>
              <w:ind w:right="188"/>
              <w:spacing w:after="0" w:line="176" w:lineRule="exact"/>
              <w:rPr>
                <w:sz w:val="20"/>
                <w:szCs w:val="20"/>
                <w:color w:val="auto"/>
              </w:rPr>
            </w:pPr>
            <w:r>
              <w:rPr>
                <w:rFonts w:ascii="Arial" w:cs="Arial" w:eastAsia="Arial" w:hAnsi="Arial"/>
                <w:sz w:val="18"/>
                <w:szCs w:val="18"/>
                <w:color w:val="auto"/>
              </w:rPr>
              <w:t>$   12,395</w:t>
            </w:r>
          </w:p>
        </w:tc>
        <w:tc>
          <w:tcPr>
            <w:tcW w:w="260" w:type="dxa"/>
            <w:vAlign w:val="bottom"/>
            <w:shd w:val="clear" w:color="auto" w:fill="CCEEFF"/>
          </w:tcPr>
          <w:p>
            <w:pPr>
              <w:jc w:val="right"/>
              <w:ind w:right="39"/>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12,568</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8"/>
              <w:spacing w:after="0" w:line="176" w:lineRule="exact"/>
              <w:rPr>
                <w:sz w:val="20"/>
                <w:szCs w:val="20"/>
                <w:color w:val="auto"/>
              </w:rPr>
            </w:pPr>
            <w:r>
              <w:rPr>
                <w:rFonts w:ascii="Arial" w:cs="Arial" w:eastAsia="Arial" w:hAnsi="Arial"/>
                <w:sz w:val="18"/>
                <w:szCs w:val="18"/>
                <w:color w:val="auto"/>
              </w:rPr>
              <w:t>$  (173)</w:t>
            </w:r>
          </w:p>
        </w:tc>
        <w:tc>
          <w:tcPr>
            <w:tcW w:w="5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94"/>
              </w:rPr>
              <w:t>(1.4)%</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Gross margin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54.3 %</w:t>
            </w:r>
          </w:p>
        </w:tc>
        <w:tc>
          <w:tcPr>
            <w:tcW w:w="2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52.7 %</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440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2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jc w:val="both"/>
        <w:ind w:right="380" w:firstLine="401"/>
        <w:spacing w:after="0" w:line="224" w:lineRule="auto"/>
        <w:rPr>
          <w:sz w:val="20"/>
          <w:szCs w:val="20"/>
          <w:color w:val="auto"/>
        </w:rPr>
      </w:pPr>
      <w:r>
        <w:rPr>
          <w:rFonts w:ascii="Arial" w:cs="Arial" w:eastAsia="Arial" w:hAnsi="Arial"/>
          <w:sz w:val="18"/>
          <w:szCs w:val="18"/>
          <w:color w:val="auto"/>
        </w:rPr>
        <w:t>Cost of sales decreased by $0.2 million, or 1.4%, from $12.6 million during the year ended December 31, 2015, to $12.4 million during the year ended December 31, 2016. The decrease was primarily due to the decreased volume in our legacy products and favorable pricing on Toggle MRAM raw materials.</w:t>
      </w:r>
    </w:p>
    <w:p>
      <w:pPr>
        <w:spacing w:after="0" w:line="163"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Gross margin increased from 52.7% during the year ended December 31, 2015, to 54.3% during the year ended December 31, 2016. The increase was primarily due to increased sales volume related to our Toggle MRAM products and the benefit of favorable pricing on raw materials.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2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29"/>
        </w:trPr>
        <w:tc>
          <w:tcPr>
            <w:tcW w:w="2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7"/>
          </w:tcPr>
          <w:p>
            <w:pPr>
              <w:ind w:left="6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6"/>
        </w:trPr>
        <w:tc>
          <w:tcPr>
            <w:tcW w:w="2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19,233</w:t>
            </w:r>
          </w:p>
        </w:tc>
        <w:tc>
          <w:tcPr>
            <w:tcW w:w="36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21,126</w:t>
            </w:r>
          </w:p>
        </w:tc>
        <w:tc>
          <w:tcPr>
            <w:tcW w:w="16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(1,893)</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(9.0)%</w:t>
            </w:r>
          </w:p>
        </w:tc>
      </w:tr>
      <w:tr>
        <w:trPr>
          <w:trHeight w:val="176"/>
        </w:trPr>
        <w:tc>
          <w:tcPr>
            <w:tcW w:w="2800" w:type="dxa"/>
            <w:vAlign w:val="bottom"/>
          </w:tcPr>
          <w:p>
            <w:pPr>
              <w:spacing w:after="0" w:line="176" w:lineRule="exact"/>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7,281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6,565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716</w:t>
            </w:r>
          </w:p>
        </w:tc>
        <w:tc>
          <w:tcPr>
            <w:tcW w:w="220" w:type="dxa"/>
            <w:vAlign w:val="bottom"/>
          </w:tcPr>
          <w:p>
            <w:pPr>
              <w:spacing w:after="0"/>
              <w:rPr>
                <w:sz w:val="15"/>
                <w:szCs w:val="15"/>
                <w:color w:val="auto"/>
              </w:rPr>
            </w:pPr>
          </w:p>
        </w:tc>
        <w:tc>
          <w:tcPr>
            <w:tcW w:w="6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9"/>
              </w:rPr>
              <w:t>10.9 %</w:t>
            </w:r>
          </w:p>
        </w:tc>
      </w:tr>
      <w:tr>
        <w:trPr>
          <w:trHeight w:val="176"/>
        </w:trPr>
        <w:tc>
          <w:tcPr>
            <w:tcW w:w="2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3,706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3,823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(117)</w:t>
            </w:r>
          </w:p>
        </w:tc>
        <w:tc>
          <w:tcPr>
            <w:tcW w:w="6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(3.1)%</w:t>
            </w:r>
          </w:p>
        </w:tc>
      </w:tr>
      <w:tr>
        <w:trPr>
          <w:trHeight w:val="176"/>
        </w:trPr>
        <w:tc>
          <w:tcPr>
            <w:tcW w:w="2800" w:type="dxa"/>
            <w:vAlign w:val="bottom"/>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30,220</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31,514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(1,294)</w:t>
            </w:r>
          </w:p>
        </w:tc>
        <w:tc>
          <w:tcPr>
            <w:tcW w:w="220" w:type="dxa"/>
            <w:vAlign w:val="bottom"/>
          </w:tcPr>
          <w:p>
            <w:pPr>
              <w:spacing w:after="0"/>
              <w:rPr>
                <w:sz w:val="15"/>
                <w:szCs w:val="15"/>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rPr>
              <w:t>(4.1)%</w:t>
            </w:r>
          </w:p>
        </w:tc>
      </w:tr>
    </w:tbl>
    <w:p>
      <w:pPr>
        <w:spacing w:after="0" w:line="148" w:lineRule="exact"/>
        <w:rPr>
          <w:sz w:val="20"/>
          <w:szCs w:val="20"/>
          <w:color w:val="auto"/>
        </w:rPr>
      </w:pPr>
    </w:p>
    <w:p>
      <w:pPr>
        <w:ind w:right="20" w:firstLine="401"/>
        <w:spacing w:after="0" w:line="239"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decreased by $1.9 million, or 9.0%, from $21.1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2015, to $19.2 million during the year ended December 31, 2016. The decrease was primarily due to a $1.9 million decrease in direct materials for technology development, a decrease of $0.8 million in the amount attributable to the vesting of shares of common stock issued to GLOBALFOUNDRIES, $0.7 million in lower expenses incurred in our joint development agreement with GLOBALFOUNDRIES and a $0.6 million decrease in equipment maintenance. These decreases were partially offset by an increase of $1.9 million in personnel-related expenses and contract labor due to an increase in headcount and redeployment of personnel from general and administrative operations</w:t>
      </w:r>
    </w:p>
    <w:p>
      <w:pPr>
        <w:spacing w:after="0" w:line="163" w:lineRule="exact"/>
        <w:rPr>
          <w:sz w:val="20"/>
          <w:szCs w:val="20"/>
          <w:color w:val="auto"/>
        </w:rPr>
      </w:pPr>
    </w:p>
    <w:p>
      <w:pPr>
        <w:ind w:firstLine="401"/>
        <w:spacing w:after="0" w:line="21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$0.7 million, or 10.9%, from $6.6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2015, to $7.3 million during the year ended December 31, 2016. The increase was primarily attributable to an increase of $0.9 million in professional services incurred due to becoming a publicly traded company such as accounting services, insurance, legal and investor relations, partially offset by a net decrease of $0.4 million in personnel-related and contract labor due to the redeployment of existing general and administrative operations personnel to research and development.</w:t>
      </w:r>
    </w:p>
    <w:p>
      <w:pPr>
        <w:spacing w:after="0" w:line="162"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$0.1 million, or 3.1%, from $3.8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to $3.7 million during the year ended December 31, 2016. The decrease was primarily attributable to a decrease in personnel-related expenses as a result of lower headcount.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60" w:type="dxa"/>
            <w:vAlign w:val="bottom"/>
          </w:tcPr>
          <w:p>
            <w:pPr>
              <w:spacing w:after="0"/>
              <w:rPr>
                <w:sz w:val="14"/>
                <w:szCs w:val="14"/>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Change</w:t>
            </w:r>
          </w:p>
        </w:tc>
      </w:tr>
      <w:tr>
        <w:trPr>
          <w:trHeight w:val="129"/>
        </w:trPr>
        <w:tc>
          <w:tcPr>
            <w:tcW w:w="2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29"/>
        </w:trPr>
        <w:tc>
          <w:tcPr>
            <w:tcW w:w="2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4"/>
          </w:tcPr>
          <w:p>
            <w:pPr>
              <w:ind w:left="120"/>
              <w:spacing w:after="0" w:line="129"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6"/>
        </w:trPr>
        <w:tc>
          <w:tcPr>
            <w:tcW w:w="2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2140" w:type="dxa"/>
            <w:vAlign w:val="bottom"/>
            <w:gridSpan w:val="2"/>
            <w:shd w:val="clear" w:color="auto" w:fill="CCEEFF"/>
          </w:tcPr>
          <w:p>
            <w:pPr>
              <w:jc w:val="right"/>
              <w:ind w:right="48"/>
              <w:spacing w:after="0" w:line="176" w:lineRule="exact"/>
              <w:rPr>
                <w:sz w:val="20"/>
                <w:szCs w:val="20"/>
                <w:color w:val="auto"/>
              </w:rPr>
            </w:pPr>
            <w:r>
              <w:rPr>
                <w:rFonts w:ascii="Arial" w:cs="Arial" w:eastAsia="Arial" w:hAnsi="Arial"/>
                <w:sz w:val="18"/>
                <w:szCs w:val="18"/>
                <w:color w:val="auto"/>
              </w:rPr>
              <w:t>$  2,347</w:t>
            </w:r>
          </w:p>
        </w:tc>
        <w:tc>
          <w:tcPr>
            <w:tcW w:w="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653</w:t>
            </w:r>
          </w:p>
        </w:tc>
        <w:tc>
          <w:tcPr>
            <w:tcW w:w="920" w:type="dxa"/>
            <w:vAlign w:val="bottom"/>
            <w:gridSpan w:val="2"/>
            <w:shd w:val="clear" w:color="auto" w:fill="CCEEFF"/>
          </w:tcPr>
          <w:p>
            <w:pPr>
              <w:jc w:val="right"/>
              <w:ind w:right="88"/>
              <w:spacing w:after="0" w:line="176" w:lineRule="exact"/>
              <w:rPr>
                <w:sz w:val="20"/>
                <w:szCs w:val="20"/>
                <w:color w:val="auto"/>
              </w:rPr>
            </w:pPr>
            <w:r>
              <w:rPr>
                <w:rFonts w:ascii="Arial" w:cs="Arial" w:eastAsia="Arial" w:hAnsi="Arial"/>
                <w:sz w:val="18"/>
                <w:szCs w:val="18"/>
                <w:color w:val="auto"/>
              </w:rPr>
              <w:t>$ 1,694</w:t>
            </w:r>
          </w:p>
        </w:tc>
        <w:tc>
          <w:tcPr>
            <w:tcW w:w="8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259.4 %</w:t>
            </w:r>
          </w:p>
        </w:tc>
      </w:tr>
    </w:tbl>
    <w:p>
      <w:pPr>
        <w:spacing w:after="0" w:line="148" w:lineRule="exact"/>
        <w:rPr>
          <w:sz w:val="20"/>
          <w:szCs w:val="20"/>
          <w:color w:val="auto"/>
        </w:rPr>
      </w:pPr>
    </w:p>
    <w:p>
      <w:pPr>
        <w:ind w:right="19" w:firstLine="401"/>
        <w:spacing w:after="0" w:line="224" w:lineRule="auto"/>
        <w:rPr>
          <w:sz w:val="20"/>
          <w:szCs w:val="20"/>
          <w:color w:val="auto"/>
        </w:rPr>
      </w:pPr>
      <w:r>
        <w:rPr>
          <w:rFonts w:ascii="Arial" w:cs="Arial" w:eastAsia="Arial" w:hAnsi="Arial"/>
          <w:sz w:val="18"/>
          <w:szCs w:val="18"/>
          <w:color w:val="auto"/>
        </w:rPr>
        <w:t>Interest expense increased $1.7 million from $0.7 million for the year ended December 31, 2015, to $2.3 million during the year ended December 31, 2016. The increase was primarily due to the increase in our outstanding debt balance during 2016 and amortization of debt discounts.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Income,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4"/>
                <w:szCs w:val="14"/>
                <w:color w:val="auto"/>
              </w:rPr>
            </w:pPr>
          </w:p>
        </w:tc>
      </w:tr>
      <w:tr>
        <w:trPr>
          <w:trHeight w:val="129"/>
        </w:trPr>
        <w:tc>
          <w:tcPr>
            <w:tcW w:w="2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r>
      <w:tr>
        <w:trPr>
          <w:trHeight w:val="129"/>
        </w:trPr>
        <w:tc>
          <w:tcPr>
            <w:tcW w:w="2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0" w:type="dxa"/>
            <w:vAlign w:val="bottom"/>
            <w:gridSpan w:val="4"/>
          </w:tcPr>
          <w:p>
            <w:pPr>
              <w:jc w:val="right"/>
              <w:ind w:right="488"/>
              <w:spacing w:after="0" w:line="129" w:lineRule="exact"/>
              <w:rPr>
                <w:sz w:val="20"/>
                <w:szCs w:val="20"/>
                <w:color w:val="auto"/>
              </w:rPr>
            </w:pPr>
            <w:r>
              <w:rPr>
                <w:rFonts w:ascii="Arial" w:cs="Arial" w:eastAsia="Arial" w:hAnsi="Arial"/>
                <w:sz w:val="14"/>
                <w:szCs w:val="14"/>
                <w:b w:val="1"/>
                <w:bCs w:val="1"/>
                <w:color w:val="auto"/>
                <w:w w:val="96"/>
              </w:rPr>
              <w:t>(Dollars in thousands)</w:t>
            </w:r>
          </w:p>
        </w:tc>
        <w:tc>
          <w:tcPr>
            <w:tcW w:w="360" w:type="dxa"/>
            <w:vAlign w:val="bottom"/>
          </w:tcPr>
          <w:p>
            <w:pPr>
              <w:spacing w:after="0"/>
              <w:rPr>
                <w:sz w:val="11"/>
                <w:szCs w:val="11"/>
                <w:color w:val="auto"/>
              </w:rPr>
            </w:pPr>
          </w:p>
        </w:tc>
      </w:tr>
      <w:tr>
        <w:trPr>
          <w:trHeight w:val="176"/>
        </w:trPr>
        <w:tc>
          <w:tcPr>
            <w:tcW w:w="2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net</w:t>
            </w:r>
          </w:p>
        </w:tc>
        <w:tc>
          <w:tcPr>
            <w:tcW w:w="226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   1,160</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208"/>
              <w:spacing w:after="0" w:line="176" w:lineRule="exact"/>
              <w:rPr>
                <w:sz w:val="20"/>
                <w:szCs w:val="20"/>
                <w:color w:val="auto"/>
              </w:rPr>
            </w:pPr>
            <w:r>
              <w:rPr>
                <w:rFonts w:ascii="Arial" w:cs="Arial" w:eastAsia="Arial" w:hAnsi="Arial"/>
                <w:sz w:val="18"/>
                <w:szCs w:val="18"/>
                <w:color w:val="auto"/>
              </w:rPr>
              <w:t>$  1,154</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r>
    </w:tbl>
    <w:p>
      <w:pPr>
        <w:spacing w:after="0" w:line="8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ind w:right="219" w:firstLine="401"/>
        <w:spacing w:after="0" w:line="219" w:lineRule="auto"/>
        <w:rPr>
          <w:sz w:val="20"/>
          <w:szCs w:val="20"/>
          <w:color w:val="auto"/>
        </w:rPr>
      </w:pPr>
      <w:r>
        <w:rPr>
          <w:rFonts w:ascii="Arial" w:cs="Arial" w:eastAsia="Arial" w:hAnsi="Arial"/>
          <w:sz w:val="18"/>
          <w:szCs w:val="18"/>
          <w:color w:val="auto"/>
        </w:rPr>
        <w:t>Other income, net increased by $1.2 million, from $6,000 during the year ended December 31, 2015 to $1.2 million during the year ended December 31, 2016. The increase was primarily due to the gain related to fair value measurement of our warrant liabilities at each balance sheet date and the fair value remeasurement of our derivative liability, which was initially recognized in the first quarter of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9" w:firstLine="401"/>
        <w:spacing w:after="0" w:line="249" w:lineRule="auto"/>
        <w:rPr>
          <w:sz w:val="20"/>
          <w:szCs w:val="20"/>
          <w:color w:val="auto"/>
        </w:rPr>
      </w:pPr>
      <w:r>
        <w:rPr>
          <w:rFonts w:ascii="Arial" w:cs="Arial" w:eastAsia="Arial" w:hAnsi="Arial"/>
          <w:sz w:val="16"/>
          <w:szCs w:val="16"/>
          <w:color w:val="auto"/>
        </w:rPr>
        <w:t>We have generated significant losses since our inception and had an accumulated deficit of $117.5 million as of December 31, 2017. We have financed our operations primarily through the sale of our common stock in our initial public offering, (IPO), sales of our redeemable convertible preferred stock, debt financing and the sale of our products. As of December 31, 2017, we had $13.0 million of cash and cash equivalents, compared to $29.7 million as of December 31, 2016.</w:t>
      </w:r>
    </w:p>
    <w:p>
      <w:pPr>
        <w:spacing w:after="0" w:line="155" w:lineRule="exact"/>
        <w:rPr>
          <w:sz w:val="20"/>
          <w:szCs w:val="20"/>
          <w:color w:val="auto"/>
        </w:rPr>
      </w:pPr>
    </w:p>
    <w:p>
      <w:pPr>
        <w:ind w:right="299" w:firstLine="405"/>
        <w:spacing w:after="0" w:line="249" w:lineRule="auto"/>
        <w:rPr>
          <w:sz w:val="20"/>
          <w:szCs w:val="20"/>
          <w:color w:val="auto"/>
        </w:rPr>
      </w:pPr>
      <w:r>
        <w:rPr>
          <w:rFonts w:ascii="Arial" w:cs="Arial" w:eastAsia="Arial" w:hAnsi="Arial"/>
          <w:sz w:val="16"/>
          <w:szCs w:val="16"/>
          <w:color w:val="auto"/>
        </w:rPr>
        <w:t>In November 2017, we filed a Registration Statement (File No. 333-221331) registering the offer and sale of up to $100.0 million of our securities, and in February 2018 we completed a follow-on underwritten public offering of our common stock under the Registration Statement, completing the sale of 3,722,447 shares at an offering price of $7.00 per share for proceeds of $24.8 million, net of underwriting discounts and commissions, but before offering costs.</w:t>
      </w:r>
    </w:p>
    <w:p>
      <w:pPr>
        <w:spacing w:after="0" w:line="114" w:lineRule="exact"/>
        <w:rPr>
          <w:sz w:val="20"/>
          <w:szCs w:val="20"/>
          <w:color w:val="auto"/>
        </w:rPr>
      </w:pPr>
    </w:p>
    <w:p>
      <w:pPr>
        <w:ind w:right="39" w:firstLine="401"/>
        <w:spacing w:after="0" w:line="244" w:lineRule="auto"/>
        <w:rPr>
          <w:sz w:val="20"/>
          <w:szCs w:val="20"/>
          <w:color w:val="auto"/>
        </w:rPr>
      </w:pPr>
      <w:r>
        <w:rPr>
          <w:rFonts w:ascii="Arial" w:cs="Arial" w:eastAsia="Arial" w:hAnsi="Arial"/>
          <w:sz w:val="16"/>
          <w:szCs w:val="16"/>
          <w:color w:val="auto"/>
        </w:rPr>
        <w:t>In May 2017, we executed a Loan and Security Agreement with Silicon Valley Bank for a $12.0 million term loan. The term of the loan is three years, which would be extended by one year if we achieve a revenue target of $4.0 million for our Spin-transfer torque product. The loan bears interest at a floating rate equal to the prime rate minus 0.75% and is payable monthly. The outstanding balance of the loan is to be repaid monthly beginning on May 1, 2018 over the remaining term of the loan. The loan is secured by a first priority perfected security interest in our assets excluding any intellectual property.</w:t>
      </w:r>
    </w:p>
    <w:p>
      <w:pPr>
        <w:spacing w:after="0" w:line="159" w:lineRule="exact"/>
        <w:rPr>
          <w:sz w:val="20"/>
          <w:szCs w:val="20"/>
          <w:color w:val="auto"/>
        </w:rPr>
      </w:pPr>
    </w:p>
    <w:p>
      <w:pPr>
        <w:ind w:right="59" w:firstLine="401"/>
        <w:spacing w:after="0" w:line="219" w:lineRule="auto"/>
        <w:rPr>
          <w:sz w:val="20"/>
          <w:szCs w:val="20"/>
          <w:color w:val="auto"/>
        </w:rPr>
      </w:pPr>
      <w:r>
        <w:rPr>
          <w:rFonts w:ascii="Arial" w:cs="Arial" w:eastAsia="Arial" w:hAnsi="Arial"/>
          <w:sz w:val="18"/>
          <w:szCs w:val="18"/>
          <w:color w:val="auto"/>
        </w:rPr>
        <w:t>In June 2015, we entered into a loan and security agreement with Ares Venture Finance for a term loan of $8.0 million and a $4.0 million revolving loan for working capital purposes and to repay our existing debt to another lender. In April 2017, the loan was terminated and we repaid the outstanding balance of $1.1 million on the revolving loan. In May 2017, we repaid the outstanding principal balance of $6.2 million on the term loan.</w:t>
      </w:r>
    </w:p>
    <w:p>
      <w:pPr>
        <w:spacing w:after="0" w:line="163" w:lineRule="exact"/>
        <w:rPr>
          <w:sz w:val="20"/>
          <w:szCs w:val="20"/>
          <w:color w:val="auto"/>
        </w:rPr>
      </w:pPr>
    </w:p>
    <w:p>
      <w:pPr>
        <w:ind w:right="119" w:firstLine="401"/>
        <w:spacing w:after="0" w:line="237" w:lineRule="auto"/>
        <w:rPr>
          <w:sz w:val="20"/>
          <w:szCs w:val="20"/>
          <w:color w:val="auto"/>
        </w:rPr>
      </w:pPr>
      <w:r>
        <w:rPr>
          <w:rFonts w:ascii="Arial" w:cs="Arial" w:eastAsia="Arial" w:hAnsi="Arial"/>
          <w:sz w:val="16"/>
          <w:szCs w:val="16"/>
          <w:color w:val="auto"/>
        </w:rPr>
        <w:t>We believe that our existing cash and cash equivalents as of December 31, 2017, coupled with anticipated growth and sales levels, and net proceeds from the follow-on underwritten public offering in February 2018, will be sufficient to meet our anticipated cash requirements through for at least the next 12 months from March 15, 2018.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auto"/>
        </w:rPr>
        <w:t>operations, we will need to curtail planned activities to reduce costs and extend the time period over which our current resources will be able to fund operations. Doing so will likely harm our ability to execute on our business plan.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r>
      <w:tr>
        <w:trPr>
          <w:trHeight w:val="129"/>
        </w:trPr>
        <w:tc>
          <w:tcPr>
            <w:tcW w:w="3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6"/>
        </w:trPr>
        <w:tc>
          <w:tcPr>
            <w:tcW w:w="3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used in operating activities</w:t>
            </w:r>
          </w:p>
        </w:tc>
        <w:tc>
          <w:tcPr>
            <w:tcW w:w="13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(18,888)</w:t>
            </w:r>
          </w:p>
        </w:tc>
        <w:tc>
          <w:tcPr>
            <w:tcW w:w="3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(18,539)</w:t>
            </w:r>
          </w:p>
        </w:tc>
        <w:tc>
          <w:tcPr>
            <w:tcW w:w="30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(10,670)</w:t>
            </w:r>
          </w:p>
        </w:tc>
      </w:tr>
      <w:tr>
        <w:trPr>
          <w:trHeight w:val="176"/>
        </w:trPr>
        <w:tc>
          <w:tcPr>
            <w:tcW w:w="3840" w:type="dxa"/>
            <w:vAlign w:val="bottom"/>
          </w:tcPr>
          <w:p>
            <w:pPr>
              <w:spacing w:after="0" w:line="176" w:lineRule="exact"/>
              <w:rPr>
                <w:sz w:val="20"/>
                <w:szCs w:val="20"/>
                <w:color w:val="auto"/>
              </w:rPr>
            </w:pPr>
            <w:r>
              <w:rPr>
                <w:rFonts w:ascii="Arial" w:cs="Arial" w:eastAsia="Arial" w:hAnsi="Arial"/>
                <w:sz w:val="18"/>
                <w:szCs w:val="18"/>
                <w:color w:val="auto"/>
              </w:rPr>
              <w:t>Cash used in investing activities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(3,070)</w:t>
            </w:r>
          </w:p>
        </w:tc>
        <w:tc>
          <w:tcPr>
            <w:tcW w:w="3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(1,040)</w:t>
            </w:r>
          </w:p>
        </w:tc>
        <w:tc>
          <w:tcPr>
            <w:tcW w:w="3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(1,295)</w:t>
            </w:r>
          </w:p>
        </w:tc>
      </w:tr>
      <w:tr>
        <w:trPr>
          <w:trHeight w:val="176"/>
        </w:trPr>
        <w:tc>
          <w:tcPr>
            <w:tcW w:w="3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7"/>
              <w:spacing w:after="0" w:line="176" w:lineRule="exact"/>
              <w:rPr>
                <w:sz w:val="20"/>
                <w:szCs w:val="20"/>
                <w:color w:val="auto"/>
              </w:rPr>
            </w:pPr>
            <w:r>
              <w:rPr>
                <w:rFonts w:ascii="Arial" w:cs="Arial" w:eastAsia="Arial" w:hAnsi="Arial"/>
                <w:sz w:val="18"/>
                <w:szCs w:val="18"/>
                <w:color w:val="auto"/>
              </w:rPr>
              <w:t>5,181</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4"/>
              <w:spacing w:after="0" w:line="176" w:lineRule="exact"/>
              <w:rPr>
                <w:sz w:val="20"/>
                <w:szCs w:val="20"/>
                <w:color w:val="auto"/>
              </w:rPr>
            </w:pPr>
            <w:r>
              <w:rPr>
                <w:rFonts w:ascii="Arial" w:cs="Arial" w:eastAsia="Arial" w:hAnsi="Arial"/>
                <w:sz w:val="18"/>
                <w:szCs w:val="18"/>
                <w:color w:val="auto"/>
              </w:rPr>
              <w:t>46,999</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4,648</w:t>
            </w: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85"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During the year ended December 31, 2017, cash used in operating activities was $18.9 million, which consisted of a net loss of $21.1 million, adjusted by non-cash charges of $5.2 million and a change of $3.0 million in our net operating assets and liabilities. The non-cash charges consisted of stock-based compensation of $2.0 million, compensation expense related to vesting of common stock issued to GLOBALFOUNDRIES under our joint development agreement of $1.5 million, depreciation and amortization of $1.2 million, non-cash interest expense of $0.3 million and loss on debt extinguishment of $0.2 million. The change in our net operating assets and liabilities was primarily due to an increase in inventory of $3.9 million to meet demands of future sales and growing backlog, an increase of $0.4 million in accounts receivable and amounts due from related parties due to the timing of cash receipts for outstanding balances and a $0.1 million decrease in deferred income on shipments to distributors. These were partially offset by an increase in prepaid expenses and other current assets, accounts payable, accrued liabilities, and amounts due to related parties of $1.4 million due to the timing of payments.</w:t>
      </w:r>
    </w:p>
    <w:p>
      <w:pPr>
        <w:spacing w:after="0" w:line="163"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color w:val="auto"/>
        </w:rPr>
        <w:t>During the year ended December 31, 2016, cash used in operating activities was $18.5 million, which consisted of a net loss of $16.7 million, adjusted by non-cash charges of $3.0 million and a change of $4.8 million in our net operating assets and liabilities. The non-cash charges primarily consisted of non-cash interest expense of $1.2 million, stock-based compensation of $1.1 million, compensation expense related to vesting of common stock issued to GLOBALFOUNDRIES under our joint development agreement of $1.0 million, and depreciation and amortization of $0.8 million partially offset by a change from the remeasurement to fair value of our warrant and derivative liabilities of $1.2 million. The change in our net operating assets and liabilities was primarily due to payments of $2.5 million associated with the joint development agreement, an increase in inventory of $0.9 million to meet demands of future sales and growing backlog, an increase of $1.3 million in accounts receivable due to the timing of cash receipts for outstanding balances, and an increase in prepaid and other current assets of $0.9 million for advances made for the purchase of wafers. These were partially offset by an increase in accounts payable of $0.4 million due to the timing of payments.</w:t>
      </w:r>
    </w:p>
    <w:p>
      <w:pPr>
        <w:spacing w:after="0" w:line="167" w:lineRule="exact"/>
        <w:rPr>
          <w:sz w:val="20"/>
          <w:szCs w:val="20"/>
          <w:color w:val="auto"/>
        </w:rPr>
      </w:pPr>
    </w:p>
    <w:p>
      <w:pPr>
        <w:ind w:right="20" w:firstLine="401"/>
        <w:spacing w:after="0" w:line="212" w:lineRule="auto"/>
        <w:rPr>
          <w:sz w:val="20"/>
          <w:szCs w:val="20"/>
          <w:color w:val="auto"/>
        </w:rPr>
      </w:pPr>
      <w:r>
        <w:rPr>
          <w:rFonts w:ascii="Arial" w:cs="Arial" w:eastAsia="Arial" w:hAnsi="Arial"/>
          <w:sz w:val="18"/>
          <w:szCs w:val="18"/>
          <w:color w:val="auto"/>
        </w:rPr>
        <w:t>During the year ended December 31, 2015, cash used in operating activities was $10.7 million, which consisted of a net loss of $18.2 million, adjusted by non-cash charges of $3.7 million and a change of $3.8 million in our net operating assets and liabilities. The non-cash charges primarily consisted of compensation expense related to vesting of common stock issued to GLOBALFOUNDRIES under our joint development agreement of $1.8 million, depreciation and amortization of $1.3 million, stock-based compensation of $0.4 million, and non-cash interest expense of $0.2 million. The change in our net operating assets and liabilities was primarily due to $3.3 million in accrued expenses associated with the joint development agreement.</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85" w:lineRule="exact"/>
        <w:rPr>
          <w:sz w:val="20"/>
          <w:szCs w:val="20"/>
          <w:color w:val="auto"/>
        </w:rPr>
      </w:pPr>
    </w:p>
    <w:p>
      <w:pPr>
        <w:ind w:right="160" w:firstLine="401"/>
        <w:spacing w:after="0" w:line="224" w:lineRule="auto"/>
        <w:rPr>
          <w:sz w:val="20"/>
          <w:szCs w:val="20"/>
          <w:color w:val="auto"/>
        </w:rPr>
      </w:pPr>
      <w:r>
        <w:rPr>
          <w:rFonts w:ascii="Arial" w:cs="Arial" w:eastAsia="Arial" w:hAnsi="Arial"/>
          <w:sz w:val="18"/>
          <w:szCs w:val="18"/>
          <w:color w:val="auto"/>
        </w:rPr>
        <w:t>Cash used in investing activities during the years ended December 31, 2017, 2016, and 2015 was $3.1 million, $1.0 million, and $1.3 million, respectively, which consisted of capital expenditures primarily for the purchase of manufacturing equipment, and purchased software.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85" w:lineRule="exact"/>
        <w:rPr>
          <w:sz w:val="20"/>
          <w:szCs w:val="20"/>
          <w:color w:val="auto"/>
        </w:rPr>
      </w:pPr>
    </w:p>
    <w:p>
      <w:pPr>
        <w:ind w:right="160" w:firstLine="401"/>
        <w:spacing w:after="0" w:line="258" w:lineRule="auto"/>
        <w:rPr>
          <w:sz w:val="20"/>
          <w:szCs w:val="20"/>
          <w:color w:val="auto"/>
        </w:rPr>
      </w:pPr>
      <w:r>
        <w:rPr>
          <w:rFonts w:ascii="Arial" w:cs="Arial" w:eastAsia="Arial" w:hAnsi="Arial"/>
          <w:sz w:val="17"/>
          <w:szCs w:val="17"/>
          <w:color w:val="auto"/>
        </w:rPr>
        <w:t>During the year ended December 31, 2017, cash provided by financing activities was $5.2 million consisting of $12.0 million from borrowings under our 2017 long-term debt facility, and $1.6 million in proceeds from the exercise of</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stock options and purchase of shares under the employee stock purchase plan, partially offset by $8.4 million in payments on our 2015 long-term debt facility and capital lease obligations.</w:t>
      </w:r>
    </w:p>
    <w:p>
      <w:pPr>
        <w:spacing w:after="0" w:line="162" w:lineRule="exact"/>
        <w:rPr>
          <w:sz w:val="20"/>
          <w:szCs w:val="20"/>
          <w:color w:val="auto"/>
        </w:rPr>
      </w:pPr>
    </w:p>
    <w:p>
      <w:pPr>
        <w:jc w:val="both"/>
        <w:ind w:right="100" w:firstLine="401"/>
        <w:spacing w:after="0" w:line="238" w:lineRule="auto"/>
        <w:rPr>
          <w:sz w:val="20"/>
          <w:szCs w:val="20"/>
          <w:color w:val="auto"/>
        </w:rPr>
      </w:pPr>
      <w:r>
        <w:rPr>
          <w:rFonts w:ascii="Arial" w:cs="Arial" w:eastAsia="Arial" w:hAnsi="Arial"/>
          <w:sz w:val="17"/>
          <w:szCs w:val="17"/>
          <w:color w:val="auto"/>
        </w:rPr>
        <w:t>During the year ended December 31, 2016, cash provided by financing activities was $47.0 million consisting of $38.5 million of net proceeds from our IPO and concurrent private placement, and $10.0 million from borrowings under our long-term debt facility, partially offset by $1.5 million in payments on long-term debt and capital lease obligations.</w:t>
      </w:r>
    </w:p>
    <w:p>
      <w:pPr>
        <w:spacing w:after="0" w:line="161" w:lineRule="exact"/>
        <w:rPr>
          <w:sz w:val="20"/>
          <w:szCs w:val="20"/>
          <w:color w:val="auto"/>
        </w:rPr>
      </w:pPr>
    </w:p>
    <w:p>
      <w:pPr>
        <w:jc w:val="both"/>
        <w:ind w:right="40" w:firstLine="401"/>
        <w:spacing w:after="0" w:line="224" w:lineRule="auto"/>
        <w:rPr>
          <w:sz w:val="20"/>
          <w:szCs w:val="20"/>
          <w:color w:val="auto"/>
        </w:rPr>
      </w:pPr>
      <w:r>
        <w:rPr>
          <w:rFonts w:ascii="Arial" w:cs="Arial" w:eastAsia="Arial" w:hAnsi="Arial"/>
          <w:sz w:val="18"/>
          <w:szCs w:val="18"/>
          <w:color w:val="auto"/>
        </w:rPr>
        <w:t>During the year ended December 31, 2015, cash provided by financing activities was $4.6 million consisting primarily of proceeds of $8.0 million from borrowings under our long-term debt facility partially offset by $3.2 million in payments on long-term debt and capital lease obligations.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contractual obligations as of December 31, 2017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rPr>
              <w:t>Less Than</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ind w:right="80"/>
              <w:spacing w:after="0" w:line="102" w:lineRule="exact"/>
              <w:rPr>
                <w:sz w:val="20"/>
                <w:szCs w:val="20"/>
                <w:color w:val="auto"/>
              </w:rPr>
            </w:pPr>
            <w:r>
              <w:rPr>
                <w:rFonts w:ascii="Arial" w:cs="Arial" w:eastAsia="Arial" w:hAnsi="Arial"/>
                <w:sz w:val="11"/>
                <w:szCs w:val="11"/>
                <w:b w:val="1"/>
                <w:bCs w:val="1"/>
                <w:color w:val="auto"/>
              </w:rPr>
              <w:t>1 to 3</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ind w:right="59"/>
              <w:spacing w:after="0" w:line="102" w:lineRule="exact"/>
              <w:rPr>
                <w:sz w:val="20"/>
                <w:szCs w:val="20"/>
                <w:color w:val="auto"/>
              </w:rPr>
            </w:pPr>
            <w:r>
              <w:rPr>
                <w:rFonts w:ascii="Arial" w:cs="Arial" w:eastAsia="Arial" w:hAnsi="Arial"/>
                <w:sz w:val="11"/>
                <w:szCs w:val="11"/>
                <w:b w:val="1"/>
                <w:bCs w:val="1"/>
                <w:color w:val="auto"/>
              </w:rPr>
              <w:t>3 to 5</w:t>
            </w:r>
          </w:p>
        </w:tc>
        <w:tc>
          <w:tcPr>
            <w:tcW w:w="980" w:type="dxa"/>
            <w:vAlign w:val="bottom"/>
            <w:gridSpan w:val="4"/>
          </w:tcPr>
          <w:p>
            <w:pPr>
              <w:ind w:left="140"/>
              <w:spacing w:after="0" w:line="102" w:lineRule="exact"/>
              <w:rPr>
                <w:sz w:val="20"/>
                <w:szCs w:val="20"/>
                <w:color w:val="auto"/>
              </w:rPr>
            </w:pPr>
            <w:r>
              <w:rPr>
                <w:rFonts w:ascii="Arial" w:cs="Arial" w:eastAsia="Arial" w:hAnsi="Arial"/>
                <w:sz w:val="11"/>
                <w:szCs w:val="11"/>
                <w:b w:val="1"/>
                <w:bCs w:val="1"/>
                <w:color w:val="auto"/>
              </w:rPr>
              <w:t>More Than</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1 Year</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Years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5 Years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Long-term debt, current and non-current, including interest</w:t>
            </w:r>
            <w:r>
              <w:rPr>
                <w:rFonts w:ascii="Arial" w:cs="Arial" w:eastAsia="Arial" w:hAnsi="Arial"/>
                <w:sz w:val="8"/>
                <w:szCs w:val="8"/>
                <w:color w:val="auto"/>
                <w:w w:val="98"/>
              </w:rPr>
              <w:t>(1)</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$ 4,412</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8,935</w:t>
            </w:r>
          </w:p>
        </w:tc>
        <w:tc>
          <w:tcPr>
            <w:tcW w:w="2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176"/>
        </w:trPr>
        <w:tc>
          <w:tcPr>
            <w:tcW w:w="4700" w:type="dxa"/>
            <w:vAlign w:val="bottom"/>
            <w:gridSpan w:val="2"/>
          </w:tcPr>
          <w:p>
            <w:pPr>
              <w:spacing w:after="0" w:line="176" w:lineRule="exact"/>
              <w:rPr>
                <w:sz w:val="20"/>
                <w:szCs w:val="20"/>
                <w:color w:val="auto"/>
              </w:rPr>
            </w:pPr>
            <w:r>
              <w:rPr>
                <w:rFonts w:ascii="Arial" w:cs="Arial" w:eastAsia="Arial" w:hAnsi="Arial"/>
                <w:sz w:val="18"/>
                <w:szCs w:val="18"/>
                <w:color w:val="auto"/>
              </w:rPr>
              <w:t>Capital lease obligation</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4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leases</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2,478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$ 5,959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3"/>
              </w:rPr>
              <w:t>11,433</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812</w:t>
            </w:r>
          </w:p>
        </w:tc>
        <w:tc>
          <w:tcPr>
            <w:tcW w:w="14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18,204</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right="200" w:hanging="317"/>
        <w:spacing w:after="0" w:line="258"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interest charges have been calculated using a rate of 3.75%, which was the rate in effect as of December 31, 2017. The debt bears interest at a variable rate and interest charges in future periods may be higher.</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Prior Facilities</w:t>
      </w:r>
    </w:p>
    <w:p>
      <w:pPr>
        <w:spacing w:after="0" w:line="185" w:lineRule="exact"/>
        <w:rPr>
          <w:sz w:val="20"/>
          <w:szCs w:val="20"/>
          <w:color w:val="auto"/>
        </w:rPr>
      </w:pPr>
    </w:p>
    <w:p>
      <w:pPr>
        <w:ind w:right="80" w:firstLine="401"/>
        <w:spacing w:after="0" w:line="219" w:lineRule="auto"/>
        <w:rPr>
          <w:sz w:val="20"/>
          <w:szCs w:val="20"/>
          <w:color w:val="auto"/>
        </w:rPr>
      </w:pPr>
      <w:r>
        <w:rPr>
          <w:rFonts w:ascii="Arial" w:cs="Arial" w:eastAsia="Arial" w:hAnsi="Arial"/>
          <w:sz w:val="18"/>
          <w:szCs w:val="18"/>
          <w:color w:val="auto"/>
        </w:rPr>
        <w:t>In June 2015, we entered into a loan and security agreement with Ares Venture Finance for a term loan of $8.0 million and a $4.0 million revolving loan for working capital purposes and to repay our existing debt to another lender. In April 2017, the loan was terminated and we repaid the outstanding balance of $1.1 million on the revolving loan. In May 2017, we repaid the outstanding principal balance of $6.2 million on the term loan.</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May 2017, we entered into a Loan and Security Agreement with Silicon Valley Bank for a term loan of</w:t>
      </w:r>
    </w:p>
    <w:p>
      <w:pPr>
        <w:ind w:right="80"/>
        <w:spacing w:after="0" w:line="210" w:lineRule="auto"/>
        <w:rPr>
          <w:sz w:val="20"/>
          <w:szCs w:val="20"/>
          <w:color w:val="auto"/>
        </w:rPr>
      </w:pPr>
      <w:r>
        <w:rPr>
          <w:rFonts w:ascii="Arial" w:cs="Arial" w:eastAsia="Arial" w:hAnsi="Arial"/>
          <w:sz w:val="18"/>
          <w:szCs w:val="18"/>
          <w:color w:val="auto"/>
        </w:rPr>
        <w:t>$12.0 million. The term loan bears for interest at a floating rate equal to the prime rate minus 0.75%. The term loan provides for a period of interest-only payments through April 30, 2018, followed by fixed principal and interest payments based on either a 24-month amortization schedule or a 36-month amortization schedule if we meet certain sales milestones, and an additional payment of 6% of the Loan Amount when the loan is prepaid or repaid, whether at maturity or as a result of a prepayment or acceleration or otherwise. As of December 31, 2017, we determined we would not meet the sales milestones and as such the term loan will be based on a 24-month amortization schedule. Borrowings under the 2017 Credit Facility mature in May 2020.</w:t>
      </w:r>
    </w:p>
    <w:p>
      <w:pPr>
        <w:spacing w:after="0" w:line="161" w:lineRule="exact"/>
        <w:rPr>
          <w:sz w:val="20"/>
          <w:szCs w:val="20"/>
          <w:color w:val="auto"/>
        </w:rPr>
      </w:pPr>
    </w:p>
    <w:p>
      <w:pPr>
        <w:ind w:right="40" w:firstLine="401"/>
        <w:spacing w:after="0" w:line="241" w:lineRule="auto"/>
        <w:rPr>
          <w:sz w:val="20"/>
          <w:szCs w:val="20"/>
          <w:color w:val="auto"/>
        </w:rPr>
      </w:pPr>
      <w:r>
        <w:rPr>
          <w:rFonts w:ascii="Arial" w:cs="Arial" w:eastAsia="Arial" w:hAnsi="Arial"/>
          <w:sz w:val="16"/>
          <w:szCs w:val="16"/>
          <w:color w:val="auto"/>
        </w:rPr>
        <w:t>Security for the 2017 Credit Facility includes all of our assets except for Intellectual Property. The 2017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cash dividends with respect to our capital stock. The 2017 Credit Facility also contains a material adverse effect clause which provides that an event of default will occur if, among other triggers, an event occurs that could reasonably be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expected to result in a material adverse effect on our business, operations or condition, or on our ability to perform our obligations under the term loan. We were in compliance with all covenants at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20" w:firstLine="401"/>
        <w:spacing w:after="0" w:line="236" w:lineRule="auto"/>
        <w:rPr>
          <w:sz w:val="20"/>
          <w:szCs w:val="20"/>
          <w:color w:val="auto"/>
        </w:rPr>
      </w:pPr>
      <w:r>
        <w:rPr>
          <w:rFonts w:ascii="Arial" w:cs="Arial" w:eastAsia="Arial" w:hAnsi="Arial"/>
          <w:sz w:val="16"/>
          <w:szCs w:val="16"/>
          <w:color w:val="auto"/>
        </w:rPr>
        <w:t>Our financial statements and related notes have been prepared in accordance with generally accepted accounting principles in the United States, or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Recognition—Distributors</w:t>
      </w:r>
    </w:p>
    <w:p>
      <w:pPr>
        <w:spacing w:after="0" w:line="185" w:lineRule="exact"/>
        <w:rPr>
          <w:sz w:val="20"/>
          <w:szCs w:val="20"/>
          <w:color w:val="auto"/>
        </w:rPr>
      </w:pPr>
    </w:p>
    <w:p>
      <w:pPr>
        <w:ind w:right="20" w:firstLine="401"/>
        <w:spacing w:after="0" w:line="231" w:lineRule="auto"/>
        <w:rPr>
          <w:sz w:val="20"/>
          <w:szCs w:val="20"/>
          <w:color w:val="auto"/>
        </w:rPr>
      </w:pPr>
      <w:r>
        <w:rPr>
          <w:rFonts w:ascii="Arial" w:cs="Arial" w:eastAsia="Arial" w:hAnsi="Arial"/>
          <w:sz w:val="16"/>
          <w:szCs w:val="16"/>
          <w:color w:val="auto"/>
        </w:rPr>
        <w:t>We sell the majority of our products to our distributors at a uniform list price. Price protection rights grant distributors the right to a credit in the event of declines in the price of our products. Distributors are provided with price concessions subsequent to delivery of product to them depending on their end customer and sales price. These concessions are based on a variety of factors, including customer, product, quantity, geography and competitive differentiation. We defer revenue on shipments to distributors as the price is not fixed or determinable until delivery has been made by the distributor to its customer and the final sales price has been established. At the time of shipment to distributors, we record a trade receivable for the selling price as there is a legally enforceable obligation of the distributor to pay for the product delivered, we relieve inventory for the carrying value of goods shipped, and the net of these amounts, the gross profit, we record as deferred income on shipments to distributors on the balance sheet. The amount of gross profit that will be ultimately recognized in our statements of operations on such sales could be lower than the deferred income recorded on our balance sheet as a result of</w:t>
      </w:r>
    </w:p>
    <w:p>
      <w:pPr>
        <w:spacing w:after="0" w:line="1" w:lineRule="exact"/>
        <w:rPr>
          <w:sz w:val="20"/>
          <w:szCs w:val="20"/>
          <w:color w:val="auto"/>
        </w:rPr>
      </w:pPr>
    </w:p>
    <w:p>
      <w:pPr>
        <w:ind w:firstLine="3"/>
        <w:spacing w:after="0" w:line="237"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credits granted to distributors on specifically identified products and customers to allow the distributors to earn a competitive gross profit on the sale of our products to the end customer and (b) price protection concessions related to market pricing conditions. We are unable to estimate the credits to the distributors due to the wide variability of negotiated price concessions granted to them. Therefore, we record the price concessions against deferred income at the time the distributor sells the product to its customers. The recognition of revenue from deferred income on shipments to distributors is ultimately contingent upon delivery of product to the distributor’s customer, at which point the price is fixed or determinable.</w:t>
      </w:r>
    </w:p>
    <w:p>
      <w:pPr>
        <w:spacing w:after="0" w:line="163" w:lineRule="exact"/>
        <w:rPr>
          <w:sz w:val="20"/>
          <w:szCs w:val="20"/>
          <w:color w:val="auto"/>
        </w:rPr>
      </w:pPr>
    </w:p>
    <w:p>
      <w:pPr>
        <w:jc w:val="both"/>
        <w:ind w:right="80" w:firstLine="401"/>
        <w:spacing w:after="0" w:line="219" w:lineRule="auto"/>
        <w:rPr>
          <w:sz w:val="20"/>
          <w:szCs w:val="20"/>
          <w:color w:val="auto"/>
        </w:rPr>
      </w:pPr>
      <w:r>
        <w:rPr>
          <w:rFonts w:ascii="Arial" w:cs="Arial" w:eastAsia="Arial" w:hAnsi="Arial"/>
          <w:sz w:val="18"/>
          <w:szCs w:val="18"/>
          <w:color w:val="auto"/>
        </w:rPr>
        <w:t>At December 31, 2017, we had $2.6 million of deferred revenue and $0.9 million of deferred cost of sales, resulting in the recognition of $1.7 million of deferred income on shipments to distributors. At December 31, 2016, we had $2.9 million of deferred revenue and $1.1 million of deferred cost of sales, resulting in the recognition of $1.8 million of deferred income on shipments to distributors.</w:t>
      </w:r>
    </w:p>
    <w:p>
      <w:pPr>
        <w:spacing w:after="0" w:line="163" w:lineRule="exact"/>
        <w:rPr>
          <w:sz w:val="20"/>
          <w:szCs w:val="20"/>
          <w:color w:val="auto"/>
        </w:rPr>
      </w:pPr>
    </w:p>
    <w:p>
      <w:pPr>
        <w:ind w:right="240" w:firstLine="401"/>
        <w:spacing w:after="0" w:line="216" w:lineRule="auto"/>
        <w:rPr>
          <w:sz w:val="20"/>
          <w:szCs w:val="20"/>
          <w:color w:val="auto"/>
        </w:rPr>
      </w:pPr>
      <w:r>
        <w:rPr>
          <w:rFonts w:ascii="Arial" w:cs="Arial" w:eastAsia="Arial" w:hAnsi="Arial"/>
          <w:sz w:val="18"/>
          <w:szCs w:val="18"/>
          <w:color w:val="auto"/>
        </w:rPr>
        <w:t>Products returned by distributors and subsequently scrapped have historically been immaterial to our results of operations. We routinely evaluate the risk of impairment of the deferred cost of sales component of deferred income on shipments to distributors. Because of the historically immaterial amounts of inventory that have been scrapped, and historically rare instances where discounts given to a distributor result in a price less than our cost, we believe the deferred costs are recorded at their approximate carrying values.</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firstLine="401"/>
        <w:spacing w:after="0" w:line="225" w:lineRule="auto"/>
        <w:rPr>
          <w:sz w:val="20"/>
          <w:szCs w:val="20"/>
          <w:color w:val="auto"/>
        </w:rPr>
      </w:pPr>
      <w:r>
        <w:rPr>
          <w:rFonts w:ascii="Arial" w:cs="Arial" w:eastAsia="Arial" w:hAnsi="Arial"/>
          <w:sz w:val="17"/>
          <w:szCs w:val="17"/>
          <w:color w:val="auto"/>
        </w:rPr>
        <w:t>We record inventories at the lower of cost, determined on a first-in, first-out basis or specific identification method, or market. We routinely evaluate quantities and values of inventory on hand and inventory that may be returned from distributors in light of current market conditions and market trends, and record provisions for inventories in excess of demand and subject to obsolescence. This evaluation may take into consideration expected demand, the effect new products may have on the sale of existing products, technological obsolescence and other factors. We record inventory write-downs for the valuation of inventory when required based on the analysis of the information immediately above and inventory balances are not readjusted until sold. Unanticipated changes in technology or customer demand could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result in a decrease in demand for our products, which may require additional inventory write-downs that could materially affect our results of operations.</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40" w:firstLine="401"/>
        <w:spacing w:after="0" w:line="214" w:lineRule="auto"/>
        <w:rPr>
          <w:sz w:val="20"/>
          <w:szCs w:val="20"/>
          <w:color w:val="auto"/>
        </w:rPr>
      </w:pPr>
      <w:r>
        <w:rPr>
          <w:rFonts w:ascii="Arial" w:cs="Arial" w:eastAsia="Arial" w:hAnsi="Arial"/>
          <w:sz w:val="18"/>
          <w:szCs w:val="18"/>
          <w:color w:val="auto"/>
        </w:rPr>
        <w:t>We recognize compensation costs related to stock options granted to employees and directors based on the estimated fair value of the awards on the date of grant. We have made an accounting policy election to account for forfeitures as they occur, rather than estimate expected forfeitures. We estimate the grant date fair value and the resulting stock-based compensation expense using the Black-Scholes option-pricing model. We expense the grant date fair value of stock-based awards on a straight-line basis over the period during which the employee is required to provide service in exchange for the award (generally the vesting period).</w:t>
      </w:r>
    </w:p>
    <w:p>
      <w:pPr>
        <w:spacing w:after="0" w:line="162"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We estimate the fair value of our stock-based awards using the Black-Scholes option-pricing model, which requires the input of highly subjective assumptions. Our assumptions are as follows:</w:t>
      </w:r>
    </w:p>
    <w:p>
      <w:pPr>
        <w:spacing w:after="0" w:line="54" w:lineRule="exact"/>
        <w:rPr>
          <w:sz w:val="20"/>
          <w:szCs w:val="20"/>
          <w:color w:val="auto"/>
        </w:rPr>
      </w:pPr>
    </w:p>
    <w:p>
      <w:pPr>
        <w:ind w:left="400" w:right="100"/>
        <w:spacing w:after="0" w:line="22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we expect the stock-based awards to be outstanding.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to determine the expected term, which is calculated as the average of the time to vesting and the contractual life of the options.</w:t>
      </w:r>
    </w:p>
    <w:p>
      <w:pPr>
        <w:spacing w:after="0" w:line="55" w:lineRule="exact"/>
        <w:rPr>
          <w:sz w:val="20"/>
          <w:szCs w:val="20"/>
          <w:color w:val="auto"/>
        </w:rPr>
      </w:pPr>
    </w:p>
    <w:p>
      <w:pPr>
        <w:ind w:left="400"/>
        <w:spacing w:after="0" w:line="229"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we do not have a long trading history for our common stock, we derive the expected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average historical volatilities of publicly traded companies within our industry that we consider to be comparable to our business over a period approximately equal to the expected term for employees’ options and the remaining contractual life for non-employees’ options. We will continue to apply this process until a sufficient amount of historical information regarding the volatility of our own stock price becomes available.</w:t>
      </w:r>
    </w:p>
    <w:p>
      <w:pPr>
        <w:spacing w:after="0" w:line="53" w:lineRule="exact"/>
        <w:rPr>
          <w:sz w:val="20"/>
          <w:szCs w:val="20"/>
          <w:color w:val="auto"/>
        </w:rPr>
      </w:pPr>
    </w:p>
    <w:p>
      <w:pPr>
        <w:ind w:left="400" w:right="560"/>
        <w:spacing w:after="0" w:line="235"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54" w:lineRule="exact"/>
        <w:rPr>
          <w:sz w:val="20"/>
          <w:szCs w:val="20"/>
          <w:color w:val="auto"/>
        </w:rPr>
      </w:pPr>
    </w:p>
    <w:p>
      <w:pPr>
        <w:ind w:left="400" w:right="20"/>
        <w:spacing w:after="0" w:line="235"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assume the expected dividend to be zero as we have never paid dividends and have no current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to pay any dividends on our common stock.</w:t>
      </w:r>
    </w:p>
    <w:p>
      <w:pPr>
        <w:spacing w:after="0" w:line="162"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color w:val="auto"/>
        </w:rPr>
        <w:t>In addition to the assumptions used in the Black-Scholes option-pricing model. We will continue to use judgment in evaluating the expected volatility and expected terms utilized for our stock-based compensation calculations on a prospective basis.</w:t>
      </w:r>
    </w:p>
    <w:p>
      <w:pPr>
        <w:spacing w:after="0" w:line="163" w:lineRule="exact"/>
        <w:rPr>
          <w:sz w:val="20"/>
          <w:szCs w:val="20"/>
          <w:color w:val="auto"/>
        </w:rPr>
      </w:pPr>
    </w:p>
    <w:p>
      <w:pPr>
        <w:ind w:right="340" w:firstLine="401"/>
        <w:spacing w:after="0" w:line="235" w:lineRule="auto"/>
        <w:rPr>
          <w:sz w:val="20"/>
          <w:szCs w:val="20"/>
          <w:color w:val="auto"/>
        </w:rPr>
      </w:pPr>
      <w:r>
        <w:rPr>
          <w:rFonts w:ascii="Arial" w:cs="Arial" w:eastAsia="Arial" w:hAnsi="Arial"/>
          <w:sz w:val="18"/>
          <w:szCs w:val="18"/>
          <w:color w:val="auto"/>
        </w:rPr>
        <w:t>We recorded stock-based compensation expense of $2.0 million, $1.1 million, and $0.4 million, for the years ended December 31, 2017, 2016, and 2015, respectively.</w:t>
      </w:r>
    </w:p>
    <w:p>
      <w:pPr>
        <w:spacing w:after="0" w:line="162"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color w:val="auto"/>
        </w:rPr>
        <w:t xml:space="preserve">Historically, for all periods prior to the IPO, the fair value of the shares of common stock underlying our stock-based awards was estimated on each grant date by our board of directors. In order to determine the fair value of our common stock underlying option grants,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Given the absence of a public trading market for our common stock, our board of directors exercised</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judgment and considered a number of objective and subjective factors to determine the best estimate of the fair value of our common stock, including: the rights, preferences and privileges of our preferred stock relative to those of our common stock; our operating results and financial condition; our levels of available capital resources; equity market conditions affecting comparable public companies; general U.S. market conditions; and the lack of marketability of our common stock.</w:t>
      </w:r>
    </w:p>
    <w:p>
      <w:pPr>
        <w:spacing w:after="0" w:line="167" w:lineRule="exact"/>
        <w:rPr>
          <w:sz w:val="20"/>
          <w:szCs w:val="20"/>
          <w:color w:val="auto"/>
        </w:rPr>
      </w:pPr>
    </w:p>
    <w:p>
      <w:pPr>
        <w:jc w:val="both"/>
        <w:ind w:right="140" w:firstLine="401"/>
        <w:spacing w:after="0" w:line="235" w:lineRule="auto"/>
        <w:rPr>
          <w:sz w:val="20"/>
          <w:szCs w:val="20"/>
          <w:color w:val="auto"/>
        </w:rPr>
      </w:pPr>
      <w:r>
        <w:rPr>
          <w:rFonts w:ascii="Arial" w:cs="Arial" w:eastAsia="Arial" w:hAnsi="Arial"/>
          <w:sz w:val="18"/>
          <w:szCs w:val="18"/>
          <w:color w:val="auto"/>
        </w:rPr>
        <w:t>After the completion of the IPO, our board of directors determined the fair value of each share of underlying common stock based on the closing price of our common stock as reported on the date of grant.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9" w:lineRule="exact"/>
        <w:rPr>
          <w:sz w:val="20"/>
          <w:szCs w:val="20"/>
          <w:color w:val="auto"/>
        </w:rPr>
      </w:pPr>
    </w:p>
    <w:p>
      <w:pPr>
        <w:jc w:val="both"/>
        <w:ind w:right="160" w:firstLine="401"/>
        <w:spacing w:after="0" w:line="249"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may take advantage of certain exemptions from various public company reporting requirements, including not being required to have our internal control over financial reporting audited by our independent registered public accounting firm pursuant to Section 404 of the Sarbanes-Oxley Act of 2002, or the Sarbanes-Oxley Act, reduced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we are no longer an “emerging growth company.” We may remain an “emerging growth company” for up to five years. We will cease to be an “emerging growth company” upon the earliest of:</w:t>
      </w:r>
    </w:p>
    <w:p>
      <w:pPr>
        <w:ind w:left="260" w:hanging="257"/>
        <w:spacing w:after="0" w:line="229" w:lineRule="auto"/>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December 31, 2021, (2) the last day of the first fiscal year in which our annual gross revenues are $1.07 billion or more,</w:t>
      </w:r>
    </w:p>
    <w:p>
      <w:pPr>
        <w:ind w:right="20" w:firstLine="3"/>
        <w:spacing w:after="0" w:line="21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$1.0 billion in non-convertible debt securities, and (4) the date on which we are deemed to be a “large accelerated filer” as defined in the Securities Exchange Act of 1934, as amended, or the Exchange Act.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May 2014, the Financial Accounting Standards Board (FASB) issued Accounting Standards Update (ASU)</w:t>
      </w:r>
    </w:p>
    <w:p>
      <w:pPr>
        <w:spacing w:after="0" w:line="181" w:lineRule="exact"/>
        <w:rPr>
          <w:sz w:val="20"/>
          <w:szCs w:val="20"/>
          <w:color w:val="auto"/>
        </w:rPr>
      </w:pPr>
      <w:r>
        <w:rPr>
          <w:rFonts w:ascii="Arial" w:cs="Arial" w:eastAsia="Arial" w:hAnsi="Arial"/>
          <w:sz w:val="16"/>
          <w:szCs w:val="16"/>
          <w:color w:val="auto"/>
        </w:rPr>
        <w:t>No. 2014</w:t>
      </w:r>
      <w:r>
        <w:rPr>
          <w:rFonts w:ascii="MS PGothic" w:cs="MS PGothic" w:eastAsia="MS PGothic" w:hAnsi="MS PGothic"/>
          <w:sz w:val="16"/>
          <w:szCs w:val="16"/>
          <w:color w:val="auto"/>
        </w:rPr>
        <w:t>‑</w:t>
      </w:r>
      <w:r>
        <w:rPr>
          <w:rFonts w:ascii="Arial" w:cs="Arial" w:eastAsia="Arial" w:hAnsi="Arial"/>
          <w:sz w:val="16"/>
          <w:szCs w:val="16"/>
          <w:color w:val="auto"/>
        </w:rPr>
        <w:t>09, Revenue from Contracts with Customers.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As described in our significant accounting policies, we currently defer the revenue and cost of sales on shipments to distributors until the distributor sells the product to their end customer.</w:t>
      </w:r>
    </w:p>
    <w:p>
      <w:pPr>
        <w:spacing w:after="0" w:line="163" w:lineRule="exact"/>
        <w:rPr>
          <w:sz w:val="20"/>
          <w:szCs w:val="20"/>
          <w:color w:val="auto"/>
        </w:rPr>
      </w:pPr>
    </w:p>
    <w:p>
      <w:pPr>
        <w:ind w:right="340" w:firstLine="401"/>
        <w:spacing w:after="0" w:line="235" w:lineRule="auto"/>
        <w:rPr>
          <w:sz w:val="20"/>
          <w:szCs w:val="20"/>
          <w:color w:val="auto"/>
        </w:rPr>
      </w:pPr>
      <w:r>
        <w:rPr>
          <w:rFonts w:ascii="Arial" w:cs="Arial" w:eastAsia="Arial" w:hAnsi="Arial"/>
          <w:sz w:val="18"/>
          <w:szCs w:val="18"/>
          <w:color w:val="auto"/>
        </w:rPr>
        <w:t>We plan to adopt ASU 2014-09 and its amendments on January 1, 2018 under the modified retrospective approach, applying the amendments to prospective reporting periods.</w:t>
      </w:r>
    </w:p>
    <w:p>
      <w:pPr>
        <w:spacing w:after="0" w:line="162" w:lineRule="exact"/>
        <w:rPr>
          <w:sz w:val="20"/>
          <w:szCs w:val="20"/>
          <w:color w:val="auto"/>
        </w:rPr>
      </w:pPr>
    </w:p>
    <w:p>
      <w:pPr>
        <w:ind w:right="20" w:firstLine="401"/>
        <w:spacing w:after="0" w:line="219" w:lineRule="auto"/>
        <w:rPr>
          <w:sz w:val="20"/>
          <w:szCs w:val="20"/>
          <w:color w:val="auto"/>
        </w:rPr>
      </w:pPr>
      <w:r>
        <w:rPr>
          <w:rFonts w:ascii="Arial" w:cs="Arial" w:eastAsia="Arial" w:hAnsi="Arial"/>
          <w:sz w:val="18"/>
          <w:szCs w:val="18"/>
          <w:color w:val="auto"/>
        </w:rPr>
        <w:t>Upon adoption, we expect a material impact to the opening balance sheet as of January 1, 2018, related to the cumulative effect of adopting the standard, primarily as a result of the items discussed below. We will continue to assess and complete the review of all potential impacts of the standard including the tax related impact. The most significantly impacted areas are the following:</w:t>
      </w:r>
    </w:p>
    <w:p>
      <w:pPr>
        <w:spacing w:after="0" w:line="163" w:lineRule="exact"/>
        <w:rPr>
          <w:sz w:val="20"/>
          <w:szCs w:val="20"/>
          <w:color w:val="auto"/>
        </w:rPr>
      </w:pPr>
    </w:p>
    <w:p>
      <w:pPr>
        <w:ind w:left="660" w:right="60" w:hanging="333"/>
        <w:spacing w:after="0" w:line="23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Distributor sales: Under ASU 2014-09, we will recognize revenue from sales to distributors upon delivery of the product to the distributor, rather than upon delivery of the product to the end customer. At December 31, 2017, the deferred income on shipments to distributors under Topic 605 related to shipments to distributors that had not sold through to end-users is $1.7 million. Concessions and price protection credits offered to distributors, which are earned when sales to end customers are completed, will be estimated at the point of revenue recognition and impact is estimated to be between $0.2 million and $0.4 million as of December 31, 2017 and will be a direct offset to the deferred income mentioned above. Since we will recognize revenue when control of the products transfer to the distributor under ASU 2014-09, the majority of this amount will be eliminated as a cumulative effect adjustment of implementing ASU 2014-09 as of January 1, 2018, net of our estimate of such concessions and price protection.</w:t>
      </w:r>
    </w:p>
    <w:p>
      <w:pPr>
        <w:spacing w:after="0" w:line="167" w:lineRule="exact"/>
        <w:rPr>
          <w:rFonts w:ascii="Arial" w:cs="Arial" w:eastAsia="Arial" w:hAnsi="Arial"/>
          <w:sz w:val="16"/>
          <w:szCs w:val="16"/>
          <w:color w:val="auto"/>
        </w:rPr>
      </w:pPr>
    </w:p>
    <w:p>
      <w:pPr>
        <w:jc w:val="both"/>
        <w:ind w:left="660" w:right="400" w:hanging="333"/>
        <w:spacing w:after="0" w:line="259"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delivered over time: Under ASU 2014-09, Topic 605 permitted straight-line recognition of revenue for performance obligations that are delivered over time. The new standard requires an entity to recognize revenue based on the pattern of transfer of the services. We are expecting a minimal impact upon adoption.</w:t>
      </w:r>
    </w:p>
    <w:p>
      <w:pPr>
        <w:spacing w:after="0" w:line="147" w:lineRule="exact"/>
        <w:rPr>
          <w:sz w:val="20"/>
          <w:szCs w:val="20"/>
          <w:color w:val="auto"/>
        </w:rPr>
      </w:pPr>
    </w:p>
    <w:p>
      <w:pPr>
        <w:jc w:val="both"/>
        <w:ind w:right="260" w:firstLine="401"/>
        <w:spacing w:after="0" w:line="224" w:lineRule="auto"/>
        <w:rPr>
          <w:sz w:val="20"/>
          <w:szCs w:val="20"/>
          <w:color w:val="auto"/>
        </w:rPr>
      </w:pPr>
      <w:r>
        <w:rPr>
          <w:rFonts w:ascii="Arial" w:cs="Arial" w:eastAsia="Arial" w:hAnsi="Arial"/>
          <w:sz w:val="18"/>
          <w:szCs w:val="18"/>
          <w:color w:val="auto"/>
        </w:rPr>
        <w:t>We do not expect the changes described above to have a material impact on our quarterly and/or annual statement of operations, however the exact impact of ASU 2014-09 will be dependent on facts and circumstances that could vary from quarter to quarter.</w:t>
      </w:r>
    </w:p>
    <w:p>
      <w:pPr>
        <w:spacing w:after="0" w:line="163" w:lineRule="exact"/>
        <w:rPr>
          <w:sz w:val="20"/>
          <w:szCs w:val="20"/>
          <w:color w:val="auto"/>
        </w:rPr>
      </w:pPr>
    </w:p>
    <w:p>
      <w:pPr>
        <w:ind w:right="40" w:firstLine="401"/>
        <w:spacing w:after="0" w:line="212"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us to apply modification accounting under ASC 718, Compensation-Stock Compensation. This ASU is effective for annual reporting periods beginning after December 15, 2017, and early adoption is permitted. We plan on adopting this standard on January 1, 2018 and the impact of its adoption on our financial statements is not expected to be material.</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401"/>
        <w:spacing w:after="0" w:line="184"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02, Leases,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This ASU is effective for fiscal years and interim periods within those years beginning after December 15, 2018. We are currently evaluating the impact that the adoption of ASU 2016</w:t>
      </w:r>
      <w:r>
        <w:rPr>
          <w:rFonts w:ascii="MS PGothic" w:cs="MS PGothic" w:eastAsia="MS PGothic" w:hAnsi="MS PGothic"/>
          <w:sz w:val="16"/>
          <w:szCs w:val="16"/>
          <w:color w:val="auto"/>
        </w:rPr>
        <w:t>‑</w:t>
      </w:r>
      <w:r>
        <w:rPr>
          <w:rFonts w:ascii="Arial" w:cs="Arial" w:eastAsia="Arial" w:hAnsi="Arial"/>
          <w:sz w:val="16"/>
          <w:szCs w:val="16"/>
          <w:color w:val="auto"/>
        </w:rPr>
        <w:t>02 will have on our financial statements and related disclosures.</w:t>
      </w:r>
    </w:p>
    <w:p>
      <w:pPr>
        <w:spacing w:after="0" w:line="166" w:lineRule="exact"/>
        <w:rPr>
          <w:sz w:val="20"/>
          <w:szCs w:val="20"/>
          <w:color w:val="auto"/>
        </w:rPr>
      </w:pPr>
    </w:p>
    <w:p>
      <w:pPr>
        <w:ind w:firstLine="401"/>
        <w:spacing w:after="0" w:line="184" w:lineRule="exact"/>
        <w:rPr>
          <w:sz w:val="20"/>
          <w:szCs w:val="20"/>
          <w:color w:val="auto"/>
        </w:rPr>
      </w:pPr>
      <w:r>
        <w:rPr>
          <w:rFonts w:ascii="Arial" w:cs="Arial" w:eastAsia="Arial" w:hAnsi="Arial"/>
          <w:sz w:val="16"/>
          <w:szCs w:val="16"/>
          <w:color w:val="auto"/>
        </w:rPr>
        <w:t>In June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13, Financial Instruments – Credit Losses (Topic 326), which is intended to provide financial statement users with more useful information about expected credit losses on financial assets held by a reporting entity at each reporting date. The new standard replaces the existing incurred loss impairment methodology with a methodology that requires consideration of a broader range of reasonable and supportable forward-looking information to estimate all expected credit losses. The amended guidance is effective for fiscal years and interim periods within those years beginning after December 15, 2019, and early adoption is permitted. We are currently evaluating the impact that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13 will have on our financial statements and related disclosures.</w:t>
      </w:r>
    </w:p>
    <w:p>
      <w:pPr>
        <w:spacing w:after="0" w:line="163" w:lineRule="exact"/>
        <w:rPr>
          <w:sz w:val="20"/>
          <w:szCs w:val="20"/>
          <w:color w:val="auto"/>
        </w:rPr>
      </w:pPr>
    </w:p>
    <w:p>
      <w:pPr>
        <w:ind w:right="40" w:firstLine="401"/>
        <w:spacing w:after="0" w:line="214"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is permitted, including adoption in an interim period. We plan on adopting this standard on January 1, 2018, and the impact of its adoption on our financial statements is not expected to be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189" w:lineRule="exact"/>
        <w:rPr>
          <w:sz w:val="20"/>
          <w:szCs w:val="20"/>
          <w:color w:val="auto"/>
        </w:rPr>
      </w:pPr>
    </w:p>
    <w:p>
      <w:pPr>
        <w:ind w:firstLine="401"/>
        <w:spacing w:after="0" w:line="187" w:lineRule="exact"/>
        <w:rPr>
          <w:sz w:val="20"/>
          <w:szCs w:val="20"/>
          <w:color w:val="auto"/>
        </w:rPr>
      </w:pPr>
      <w:r>
        <w:rPr>
          <w:rFonts w:ascii="Arial" w:cs="Arial" w:eastAsia="Arial" w:hAnsi="Arial"/>
          <w:sz w:val="16"/>
          <w:szCs w:val="16"/>
          <w:color w:val="auto"/>
        </w:rPr>
        <w:t>In July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11, Simplifying the Measurement of Inventory,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We adopted this standard as of January 1, 2017, and the impact of its adoption on our financial statements was not material.</w:t>
      </w:r>
    </w:p>
    <w:p>
      <w:pPr>
        <w:spacing w:after="0" w:line="162" w:lineRule="exact"/>
        <w:rPr>
          <w:sz w:val="20"/>
          <w:szCs w:val="20"/>
          <w:color w:val="auto"/>
        </w:rPr>
      </w:pPr>
    </w:p>
    <w:p>
      <w:pPr>
        <w:ind w:right="40" w:firstLine="401"/>
        <w:spacing w:after="0" w:line="184" w:lineRule="exact"/>
        <w:rPr>
          <w:sz w:val="20"/>
          <w:szCs w:val="20"/>
          <w:color w:val="auto"/>
        </w:rPr>
      </w:pPr>
      <w:r>
        <w:rPr>
          <w:rFonts w:ascii="Arial" w:cs="Arial" w:eastAsia="Arial" w:hAnsi="Arial"/>
          <w:sz w:val="16"/>
          <w:szCs w:val="16"/>
          <w:color w:val="auto"/>
        </w:rPr>
        <w:t>In November 2015, FASB issued ASU No. 2015</w:t>
      </w:r>
      <w:r>
        <w:rPr>
          <w:rFonts w:ascii="MS PGothic" w:cs="MS PGothic" w:eastAsia="MS PGothic" w:hAnsi="MS PGothic"/>
          <w:sz w:val="16"/>
          <w:szCs w:val="16"/>
          <w:color w:val="auto"/>
        </w:rPr>
        <w:t>‑</w:t>
      </w:r>
      <w:r>
        <w:rPr>
          <w:rFonts w:ascii="Arial" w:cs="Arial" w:eastAsia="Arial" w:hAnsi="Arial"/>
          <w:sz w:val="16"/>
          <w:szCs w:val="16"/>
          <w:color w:val="auto"/>
        </w:rPr>
        <w:t>17, Balance Sheet Classification of Deferred Taxes, which is intended to simplify and improve how deferred taxes are classified on the balance sheet. The guidance in this ASU 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 Early adoption is permitted. We adopted this standard as of January 1, 2017, and the impact of its adoption on our financial statements was not material.</w:t>
      </w:r>
    </w:p>
    <w:p>
      <w:pPr>
        <w:spacing w:after="0" w:line="166" w:lineRule="exact"/>
        <w:rPr>
          <w:sz w:val="20"/>
          <w:szCs w:val="20"/>
          <w:color w:val="auto"/>
        </w:rPr>
      </w:pPr>
    </w:p>
    <w:p>
      <w:pPr>
        <w:ind w:right="20" w:firstLine="401"/>
        <w:spacing w:after="0" w:line="180" w:lineRule="exact"/>
        <w:rPr>
          <w:sz w:val="20"/>
          <w:szCs w:val="20"/>
          <w:color w:val="auto"/>
        </w:rPr>
      </w:pPr>
      <w:r>
        <w:rPr>
          <w:rFonts w:ascii="Arial" w:cs="Arial" w:eastAsia="Arial" w:hAnsi="Arial"/>
          <w:sz w:val="16"/>
          <w:szCs w:val="16"/>
          <w:color w:val="auto"/>
        </w:rPr>
        <w:t>In March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fiscal years and interim periods within those years beginning after December 15, 2016, and early adoption is permitted. We adopted this standard as of January 1, 2017, and the impact of its adoption on our financial statements was not material.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60" w:firstLine="401"/>
        <w:spacing w:after="0" w:line="224"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Interest Rate Risk</w:t>
      </w:r>
    </w:p>
    <w:p>
      <w:pPr>
        <w:spacing w:after="0" w:line="185" w:lineRule="exact"/>
        <w:rPr>
          <w:sz w:val="20"/>
          <w:szCs w:val="20"/>
          <w:color w:val="auto"/>
        </w:rPr>
      </w:pPr>
    </w:p>
    <w:p>
      <w:pPr>
        <w:ind w:right="320" w:firstLine="401"/>
        <w:spacing w:after="0" w:line="289" w:lineRule="auto"/>
        <w:rPr>
          <w:sz w:val="20"/>
          <w:szCs w:val="20"/>
          <w:color w:val="auto"/>
        </w:rPr>
      </w:pPr>
      <w:r>
        <w:rPr>
          <w:rFonts w:ascii="Arial" w:cs="Arial" w:eastAsia="Arial" w:hAnsi="Arial"/>
          <w:sz w:val="16"/>
          <w:szCs w:val="16"/>
          <w:color w:val="auto"/>
        </w:rPr>
        <w:t>We are primarily exposed to interest rate risk from variable rate borrowings under our 2017 Credit Facility, and to a lesser extent, from our cash position. We do not enter into investments for trading or speculative purposes and have not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spacing w:after="0" w:line="259" w:lineRule="auto"/>
        <w:rPr>
          <w:sz w:val="20"/>
          <w:szCs w:val="20"/>
          <w:color w:val="auto"/>
        </w:rPr>
      </w:pPr>
      <w:r>
        <w:rPr>
          <w:rFonts w:ascii="Arial" w:cs="Arial" w:eastAsia="Arial" w:hAnsi="Arial"/>
          <w:sz w:val="16"/>
          <w:szCs w:val="16"/>
          <w:color w:val="auto"/>
        </w:rPr>
        <w:t>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December 31, 2017 and 2016.</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Foreign Currency Risk</w:t>
      </w:r>
    </w:p>
    <w:p>
      <w:pPr>
        <w:spacing w:after="0" w:line="185" w:lineRule="exact"/>
        <w:rPr>
          <w:sz w:val="20"/>
          <w:szCs w:val="20"/>
          <w:color w:val="auto"/>
        </w:rPr>
      </w:pPr>
    </w:p>
    <w:p>
      <w:pPr>
        <w:ind w:right="19" w:firstLine="401"/>
        <w:spacing w:after="0" w:line="225"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not hedged exposures denominated in foreign currencies or used any other derivative financial instruments.</w:t>
      </w:r>
    </w:p>
    <w:p>
      <w:pPr>
        <w:spacing w:after="0" w:line="224" w:lineRule="auto"/>
        <w:rPr>
          <w:sz w:val="20"/>
          <w:szCs w:val="20"/>
          <w:color w:val="auto"/>
        </w:rPr>
      </w:pPr>
      <w:r>
        <w:rPr>
          <w:rFonts w:ascii="Arial" w:cs="Arial" w:eastAsia="Arial" w:hAnsi="Arial"/>
          <w:sz w:val="17"/>
          <w:szCs w:val="17"/>
          <w:color w:val="auto"/>
        </w:rPr>
        <w:t>Although we transact the substantial majority of our business in U.S. dollars, future fluctuations in the value of the 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dollar may affect the competitiveness of our products and thus may impact our results of operations and cash flows.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EVERSPIN TECHNOLOGIES,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gridSpan w:val="8"/>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8660" w:type="dxa"/>
            <w:vAlign w:val="bottom"/>
            <w:gridSpan w:val="8"/>
            <w:vMerge w:val="continue"/>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6"/>
          </w:tcPr>
          <w:p>
            <w:pPr>
              <w:ind w:left="260"/>
              <w:spacing w:after="0" w:line="156" w:lineRule="exact"/>
              <w:rPr>
                <w:sz w:val="20"/>
                <w:szCs w:val="20"/>
                <w:color w:val="auto"/>
              </w:rPr>
            </w:pPr>
            <w:r>
              <w:rPr>
                <w:rFonts w:ascii="Arial" w:cs="Arial" w:eastAsia="Arial" w:hAnsi="Arial"/>
                <w:sz w:val="18"/>
                <w:szCs w:val="18"/>
                <w:color w:val="auto"/>
              </w:rPr>
              <w:t>Financial Statements:</w:t>
            </w:r>
          </w:p>
        </w:tc>
        <w:tc>
          <w:tcPr>
            <w:tcW w:w="28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8120" w:type="dxa"/>
            <w:vAlign w:val="bottom"/>
            <w:gridSpan w:val="7"/>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Balance Sheets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080" w:type="dxa"/>
            <w:vAlign w:val="bottom"/>
            <w:tcBorders>
              <w:top w:val="single" w:sz="8" w:color="0000EE"/>
            </w:tcBorders>
          </w:tcPr>
          <w:p>
            <w:pPr>
              <w:spacing w:after="0" w:line="15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Statements of</w:t>
              </w:r>
            </w:hyperlink>
          </w:p>
        </w:tc>
        <w:tc>
          <w:tcPr>
            <w:tcW w:w="7040" w:type="dxa"/>
            <w:vAlign w:val="bottom"/>
            <w:gridSpan w:val="6"/>
          </w:tcPr>
          <w:p>
            <w:pPr>
              <w:spacing w:after="0" w:line="156" w:lineRule="exact"/>
              <w:rPr>
                <w:rFonts w:ascii="Arial" w:cs="Arial" w:eastAsia="Arial" w:hAnsi="Arial"/>
                <w:sz w:val="18"/>
                <w:szCs w:val="18"/>
                <w:color w:val="0000EE"/>
              </w:rPr>
            </w:pPr>
            <w:hyperlink w:anchor="page58">
              <w:r>
                <w:rPr>
                  <w:rFonts w:ascii="Arial" w:cs="Arial" w:eastAsia="Arial" w:hAnsi="Arial"/>
                  <w:sz w:val="18"/>
                  <w:szCs w:val="18"/>
                  <w:color w:val="0000EE"/>
                </w:rPr>
                <w:t>Operations and Comprehensive Loss</w:t>
              </w:r>
            </w:hyperlink>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8120" w:type="dxa"/>
            <w:vAlign w:val="bottom"/>
            <w:gridSpan w:val="7"/>
          </w:tcPr>
          <w:p>
            <w:pPr>
              <w:spacing w:after="0" w:line="156" w:lineRule="exact"/>
              <w:rPr>
                <w:rFonts w:ascii="Arial" w:cs="Arial" w:eastAsia="Arial" w:hAnsi="Arial"/>
                <w:sz w:val="18"/>
                <w:szCs w:val="18"/>
                <w:color w:val="0000EE"/>
              </w:rPr>
            </w:pPr>
            <w:hyperlink w:anchor="page59">
              <w:r>
                <w:rPr>
                  <w:rFonts w:ascii="Arial" w:cs="Arial" w:eastAsia="Arial" w:hAnsi="Arial"/>
                  <w:sz w:val="18"/>
                  <w:szCs w:val="18"/>
                  <w:color w:val="0000EE"/>
                </w:rPr>
                <w:t>Statements of Redeemable Convertible Preferred Stock and Stockholders’ Equity (Deficit)</w:t>
              </w:r>
            </w:hyperlink>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Statements of Cash Flows</w:t>
              </w:r>
            </w:hyperlink>
          </w:p>
        </w:tc>
        <w:tc>
          <w:tcPr>
            <w:tcW w:w="4640" w:type="dxa"/>
            <w:vAlign w:val="bottom"/>
            <w:tcBorders>
              <w:top w:val="single" w:sz="8" w:color="0000EE"/>
            </w:tcBorders>
            <w:gridSpan w:val="4"/>
          </w:tcPr>
          <w:p>
            <w:pPr>
              <w:spacing w:after="0"/>
              <w:rPr>
                <w:sz w:val="13"/>
                <w:szCs w:val="13"/>
                <w:color w:val="auto"/>
              </w:rPr>
            </w:pPr>
          </w:p>
        </w:tc>
        <w:tc>
          <w:tcPr>
            <w:tcW w:w="1620" w:type="dxa"/>
            <w:vAlign w:val="bottom"/>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8120" w:type="dxa"/>
            <w:vAlign w:val="bottom"/>
            <w:gridSpan w:val="7"/>
          </w:tcPr>
          <w:p>
            <w:pPr>
              <w:spacing w:after="0" w:line="156" w:lineRule="exact"/>
              <w:rPr>
                <w:rFonts w:ascii="Arial" w:cs="Arial" w:eastAsia="Arial" w:hAnsi="Arial"/>
                <w:sz w:val="18"/>
                <w:szCs w:val="18"/>
                <w:color w:val="0000EE"/>
              </w:rPr>
            </w:pPr>
            <w:hyperlink w:anchor="page61">
              <w:r>
                <w:rPr>
                  <w:rFonts w:ascii="Arial" w:cs="Arial" w:eastAsia="Arial" w:hAnsi="Arial"/>
                  <w:sz w:val="18"/>
                  <w:szCs w:val="18"/>
                  <w:color w:val="0000EE"/>
                </w:rPr>
                <w:t>Notes to Financial Statements</w:t>
              </w:r>
            </w:hyperlink>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817"/>
        </w:trPr>
        <w:tc>
          <w:tcPr>
            <w:tcW w:w="540" w:type="dxa"/>
            <w:vAlign w:val="bottom"/>
          </w:tcPr>
          <w:p>
            <w:pPr>
              <w:spacing w:after="0"/>
              <w:rPr>
                <w:sz w:val="24"/>
                <w:szCs w:val="24"/>
                <w:color w:val="auto"/>
              </w:rPr>
            </w:pPr>
          </w:p>
        </w:tc>
        <w:tc>
          <w:tcPr>
            <w:tcW w:w="2140" w:type="dxa"/>
            <w:vAlign w:val="bottom"/>
            <w:tcBorders>
              <w:top w:val="single" w:sz="8" w:color="0000EE"/>
            </w:tcBorders>
            <w:gridSpan w:val="3"/>
          </w:tcPr>
          <w:p>
            <w:pPr>
              <w:spacing w:after="0"/>
              <w:rPr>
                <w:sz w:val="24"/>
                <w:szCs w:val="24"/>
                <w:color w:val="auto"/>
              </w:rPr>
            </w:pPr>
          </w:p>
        </w:tc>
        <w:tc>
          <w:tcPr>
            <w:tcW w:w="4360" w:type="dxa"/>
            <w:vAlign w:val="bottom"/>
            <w:gridSpan w:val="3"/>
          </w:tcPr>
          <w:p>
            <w:pPr>
              <w:jc w:val="right"/>
              <w:ind w:right="2420"/>
              <w:spacing w:after="0"/>
              <w:rPr>
                <w:sz w:val="20"/>
                <w:szCs w:val="20"/>
                <w:color w:val="auto"/>
              </w:rPr>
            </w:pPr>
            <w:r>
              <w:rPr>
                <w:rFonts w:ascii="Arial" w:cs="Arial" w:eastAsia="Arial" w:hAnsi="Arial"/>
                <w:sz w:val="18"/>
                <w:szCs w:val="18"/>
                <w:color w:val="auto"/>
              </w:rPr>
              <w:t>55</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Everspin Technologies,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99"/>
        <w:spacing w:after="0" w:line="225" w:lineRule="auto"/>
        <w:rPr>
          <w:sz w:val="20"/>
          <w:szCs w:val="20"/>
          <w:color w:val="auto"/>
        </w:rPr>
      </w:pPr>
      <w:r>
        <w:rPr>
          <w:rFonts w:ascii="Arial" w:cs="Arial" w:eastAsia="Arial" w:hAnsi="Arial"/>
          <w:sz w:val="17"/>
          <w:szCs w:val="17"/>
          <w:color w:val="auto"/>
        </w:rPr>
        <w:t>We have audited the accompanying balance sheets of Everspin Technologies, Inc. (the Company) as of December 31, 2017 and 2016, and the related statements of operations and comprehensive loss, redeemable convertible preferred stock and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39"/>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99"/>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right="159"/>
        <w:spacing w:after="0" w:line="24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rPr>
          <w:sz w:val="20"/>
          <w:szCs w:val="20"/>
          <w:color w:val="auto"/>
        </w:rPr>
      </w:pPr>
      <w:r>
        <w:rPr>
          <w:rFonts w:ascii="Arial" w:cs="Arial" w:eastAsia="Arial" w:hAnsi="Arial"/>
          <w:sz w:val="18"/>
          <w:szCs w:val="18"/>
          <w:color w:val="auto"/>
        </w:rPr>
        <w:t>March 15, 2018</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EVERSPIN TECHNOLOGIES, INC.</w:t>
      </w:r>
    </w:p>
    <w:p>
      <w:pPr>
        <w:jc w:val="center"/>
        <w:ind w:right="260"/>
        <w:spacing w:after="0" w:line="203" w:lineRule="auto"/>
        <w:rPr>
          <w:sz w:val="20"/>
          <w:szCs w:val="20"/>
          <w:color w:val="auto"/>
        </w:rPr>
      </w:pPr>
      <w:r>
        <w:rPr>
          <w:rFonts w:ascii="Arial" w:cs="Arial" w:eastAsia="Arial" w:hAnsi="Arial"/>
          <w:sz w:val="18"/>
          <w:szCs w:val="18"/>
          <w:b w:val="1"/>
          <w:bCs w:val="1"/>
          <w:color w:val="auto"/>
        </w:rPr>
        <w:t>Balance Sheets</w:t>
      </w:r>
    </w:p>
    <w:p>
      <w:pPr>
        <w:jc w:val="center"/>
        <w:ind w:right="2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12,950</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5"/>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ind w:left="100"/>
              <w:spacing w:after="0" w:line="176" w:lineRule="exact"/>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3,429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due from related parties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ind w:left="100"/>
              <w:spacing w:after="0" w:line="176" w:lineRule="exact"/>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9,837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tcPr>
          <w:p>
            <w:pPr>
              <w:ind w:left="200"/>
              <w:spacing w:after="0" w:line="170"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27,418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39,502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3,946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31,437</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2,720</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5"/>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ind w:left="100"/>
              <w:spacing w:after="0" w:line="176" w:lineRule="exact"/>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2,254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due to related parties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1,694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ind w:left="100"/>
              <w:spacing w:after="0" w:line="176" w:lineRule="exact"/>
              <w:rPr>
                <w:sz w:val="20"/>
                <w:szCs w:val="20"/>
                <w:color w:val="auto"/>
              </w:rPr>
            </w:pPr>
            <w:r>
              <w:rPr>
                <w:rFonts w:ascii="Arial" w:cs="Arial" w:eastAsia="Arial" w:hAnsi="Arial"/>
                <w:sz w:val="18"/>
                <w:szCs w:val="18"/>
                <w:color w:val="auto"/>
              </w:rPr>
              <w:t>Deferred income on shipments to distributors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1,720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3,987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tcPr>
          <w:p>
            <w:pPr>
              <w:ind w:left="200"/>
              <w:spacing w:after="0" w:line="170"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12,375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8,178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tcBorders>
              <w:bottom w:val="single" w:sz="8" w:color="CCEEFF"/>
            </w:tcBorders>
          </w:tcPr>
          <w:p>
            <w:pPr>
              <w:ind w:left="200"/>
              <w:spacing w:after="0" w:line="170"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20,553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spacing w:after="0" w:line="176"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rPr>
              <w:t>Preferred stock, $0.0001 par value per share; 5,000,000 shares authorized as of</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December 31, 2017 and 2016; no shares issued and outstanding as of December 31, 2017 and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100"/>
              <w:spacing w:after="0" w:line="149" w:lineRule="exact"/>
              <w:rPr>
                <w:sz w:val="20"/>
                <w:szCs w:val="20"/>
                <w:color w:val="auto"/>
              </w:rPr>
            </w:pPr>
            <w:r>
              <w:rPr>
                <w:rFonts w:ascii="Arial" w:cs="Arial" w:eastAsia="Arial" w:hAnsi="Arial"/>
                <w:sz w:val="17"/>
                <w:szCs w:val="17"/>
                <w:color w:val="auto"/>
              </w:rPr>
              <w:t>Common stock, $0.0001 par value per share; 100,000,000 shares authorized as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ind w:left="100"/>
              <w:spacing w:after="0" w:line="176" w:lineRule="exact"/>
              <w:rPr>
                <w:sz w:val="20"/>
                <w:szCs w:val="20"/>
                <w:color w:val="auto"/>
              </w:rPr>
            </w:pPr>
            <w:r>
              <w:rPr>
                <w:rFonts w:ascii="Arial" w:cs="Arial" w:eastAsia="Arial" w:hAnsi="Arial"/>
                <w:sz w:val="18"/>
                <w:szCs w:val="18"/>
                <w:color w:val="auto"/>
                <w:w w:val="90"/>
              </w:rPr>
              <w:t>December 31, 2017 and 2016; 12,817,201 and 12,498,128 shares issued and outstanding as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line="202" w:lineRule="exact"/>
              <w:rPr>
                <w:sz w:val="20"/>
                <w:szCs w:val="20"/>
                <w:color w:val="auto"/>
              </w:rPr>
            </w:pPr>
            <w:r>
              <w:rPr>
                <w:rFonts w:ascii="Arial" w:cs="Arial" w:eastAsia="Arial" w:hAnsi="Arial"/>
                <w:sz w:val="18"/>
                <w:szCs w:val="18"/>
                <w:color w:val="auto"/>
              </w:rPr>
              <w:t>December 31, 2017 and 2016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128,422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123,309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(117,539)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(96,439)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10,884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Pr>
          <w:p>
            <w:pPr>
              <w:ind w:left="200"/>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31,437</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20"/>
          </w:cols>
          <w:pgMar w:left="1420" w:top="112" w:right="115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EVERSPIN TECHNOLOGIES, INC.</w:t>
      </w:r>
    </w:p>
    <w:p>
      <w:pPr>
        <w:ind w:left="2580"/>
        <w:spacing w:after="0" w:line="203" w:lineRule="auto"/>
        <w:rPr>
          <w:sz w:val="20"/>
          <w:szCs w:val="20"/>
          <w:color w:val="auto"/>
        </w:rPr>
      </w:pPr>
      <w:r>
        <w:rPr>
          <w:rFonts w:ascii="Arial" w:cs="Arial" w:eastAsia="Arial" w:hAnsi="Arial"/>
          <w:sz w:val="18"/>
          <w:szCs w:val="18"/>
          <w:b w:val="1"/>
          <w:bCs w:val="1"/>
          <w:color w:val="auto"/>
        </w:rPr>
        <w:t>Statements of Operations and Comprehensive Loss</w:t>
      </w:r>
    </w:p>
    <w:p>
      <w:pPr>
        <w:ind w:left="25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Product sales</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31,361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24,233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22,403</w:t>
            </w:r>
          </w:p>
        </w:tc>
        <w:tc>
          <w:tcPr>
            <w:tcW w:w="0" w:type="dxa"/>
            <w:vAlign w:val="bottom"/>
          </w:tcPr>
          <w:p>
            <w:pPr>
              <w:spacing w:after="0"/>
              <w:rPr>
                <w:sz w:val="1"/>
                <w:szCs w:val="1"/>
                <w:color w:val="auto"/>
              </w:rPr>
            </w:pPr>
          </w:p>
        </w:tc>
      </w:tr>
      <w:tr>
        <w:trPr>
          <w:trHeight w:val="176"/>
        </w:trPr>
        <w:tc>
          <w:tcPr>
            <w:tcW w:w="5540" w:type="dxa"/>
            <w:vAlign w:val="bottom"/>
          </w:tcPr>
          <w:p>
            <w:pPr>
              <w:spacing w:after="0" w:line="176" w:lineRule="exact"/>
              <w:rPr>
                <w:sz w:val="20"/>
                <w:szCs w:val="20"/>
                <w:color w:val="auto"/>
              </w:rPr>
            </w:pPr>
            <w:r>
              <w:rPr>
                <w:rFonts w:ascii="Arial" w:cs="Arial" w:eastAsia="Arial" w:hAnsi="Arial"/>
                <w:sz w:val="18"/>
                <w:szCs w:val="18"/>
                <w:color w:val="auto"/>
              </w:rPr>
              <w:t>Product sales - related party</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2,316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2,378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Licensing and royalty revenue</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Licensing and royalty revenue - related party</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1,625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35,936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27,094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14,451</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12,395</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12,568</w:t>
            </w: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21,485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14,699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13,978</w:t>
            </w:r>
          </w:p>
        </w:tc>
        <w:tc>
          <w:tcPr>
            <w:tcW w:w="0" w:type="dxa"/>
            <w:vAlign w:val="bottom"/>
          </w:tcPr>
          <w:p>
            <w:pPr>
              <w:spacing w:after="0"/>
              <w:rPr>
                <w:sz w:val="1"/>
                <w:szCs w:val="1"/>
                <w:color w:val="auto"/>
              </w:rPr>
            </w:pPr>
          </w:p>
        </w:tc>
      </w:tr>
      <w:tr>
        <w:trPr>
          <w:trHeight w:val="176"/>
        </w:trPr>
        <w:tc>
          <w:tcPr>
            <w:tcW w:w="55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25,437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19,233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176"/>
        </w:trPr>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11,516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7,281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4,740</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3,706</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169"/>
        </w:trPr>
        <w:tc>
          <w:tcPr>
            <w:tcW w:w="554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41,693</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30,220</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31,514</w:t>
            </w: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(20,208)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(15,521)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176"/>
        </w:trPr>
        <w:tc>
          <w:tcPr>
            <w:tcW w:w="5540" w:type="dxa"/>
            <w:vAlign w:val="bottom"/>
          </w:tcPr>
          <w:p>
            <w:pPr>
              <w:spacing w:after="0" w:line="176"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(764)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(2,347)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 and comprehensive loss</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(21,100)</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(16,708)</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170"/>
        </w:trPr>
        <w:tc>
          <w:tcPr>
            <w:tcW w:w="554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gridSpan w:val="2"/>
          </w:tcPr>
          <w:p>
            <w:pPr>
              <w:jc w:val="right"/>
              <w:ind w:right="60"/>
              <w:spacing w:after="0" w:line="16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(3.53)</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5"/>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Weighted-average shares used to compute net loss per common share, basic</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12,484,984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4,738,496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2,552,205</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and diluted</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jc w:val="center"/>
        <w:ind w:right="-19"/>
        <w:spacing w:after="0" w:line="229" w:lineRule="auto"/>
        <w:rPr>
          <w:sz w:val="20"/>
          <w:szCs w:val="20"/>
          <w:color w:val="auto"/>
        </w:rPr>
      </w:pPr>
      <w:r>
        <w:rPr>
          <w:rFonts w:ascii="Arial" w:cs="Arial" w:eastAsia="Arial" w:hAnsi="Arial"/>
          <w:sz w:val="16"/>
          <w:szCs w:val="16"/>
          <w:b w:val="1"/>
          <w:bCs w:val="1"/>
          <w:color w:val="auto"/>
        </w:rPr>
        <w:t>Statements of Redeemable Convertible Preferred Stock and Stockholders’ Equity (Deficit)</w:t>
      </w: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9060"/>
          </w:cols>
          <w:pgMar w:left="1420" w:top="112" w:right="1419" w:bottom="1440" w:gutter="0" w:footer="0" w:header="0"/>
        </w:sectPr>
      </w:pPr>
    </w:p>
    <w:p>
      <w:pPr>
        <w:spacing w:after="0" w:line="164" w:lineRule="exact"/>
        <w:rPr>
          <w:sz w:val="20"/>
          <w:szCs w:val="20"/>
          <w:color w:val="auto"/>
        </w:rPr>
      </w:pPr>
    </w:p>
    <w:p>
      <w:pPr>
        <w:jc w:val="center"/>
        <w:ind w:left="2660"/>
        <w:spacing w:after="0"/>
        <w:rPr>
          <w:sz w:val="20"/>
          <w:szCs w:val="20"/>
          <w:color w:val="auto"/>
        </w:rPr>
      </w:pPr>
      <w:r>
        <w:rPr>
          <w:rFonts w:ascii="Arial" w:cs="Arial" w:eastAsia="Arial" w:hAnsi="Arial"/>
          <w:sz w:val="14"/>
          <w:szCs w:val="14"/>
          <w:b w:val="1"/>
          <w:bCs w:val="1"/>
          <w:color w:val="auto"/>
        </w:rPr>
        <w:t>Redeemable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5754370" cy="3567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3567430"/>
                    </a:xfrm>
                    <a:prstGeom prst="rect">
                      <a:avLst/>
                    </a:prstGeom>
                    <a:noFill/>
                  </pic:spPr>
                </pic:pic>
              </a:graphicData>
            </a:graphic>
          </wp:anchor>
        </w:drawing>
      </w:r>
    </w:p>
    <w:p>
      <w:pPr>
        <w:jc w:val="center"/>
        <w:ind w:left="2660"/>
        <w:spacing w:after="0"/>
        <w:rPr>
          <w:sz w:val="20"/>
          <w:szCs w:val="20"/>
          <w:color w:val="auto"/>
        </w:rPr>
      </w:pPr>
      <w:r>
        <w:rPr>
          <w:rFonts w:ascii="Arial" w:cs="Arial" w:eastAsia="Arial" w:hAnsi="Arial"/>
          <w:sz w:val="13"/>
          <w:szCs w:val="13"/>
          <w:b w:val="1"/>
          <w:bCs w:val="1"/>
          <w:color w:val="auto"/>
        </w:rPr>
        <w:t>Convertible Preferred Stock</w:t>
      </w:r>
    </w:p>
    <w:tbl>
      <w:tblPr>
        <w:tblLayout w:type="fixed"/>
        <w:tblInd w:w="0" w:type="dxa"/>
        <w:tblCellMar>
          <w:top w:w="0" w:type="dxa"/>
          <w:left w:w="0" w:type="dxa"/>
          <w:bottom w:w="0" w:type="dxa"/>
          <w:right w:w="0" w:type="dxa"/>
        </w:tblCellMar>
      </w:tblPr>
      <w:tr>
        <w:trPr>
          <w:trHeight w:val="134"/>
        </w:trPr>
        <w:tc>
          <w:tcPr>
            <w:tcW w:w="2660" w:type="dxa"/>
            <w:vAlign w:val="bottom"/>
            <w:vMerge w:val="restart"/>
          </w:tcPr>
          <w:p>
            <w:pPr>
              <w:spacing w:after="0"/>
              <w:rPr>
                <w:sz w:val="20"/>
                <w:szCs w:val="20"/>
                <w:color w:val="auto"/>
              </w:rPr>
            </w:pPr>
            <w:r>
              <w:rPr>
                <w:rFonts w:ascii="Arial" w:cs="Arial" w:eastAsia="Arial" w:hAnsi="Arial"/>
                <w:sz w:val="14"/>
                <w:szCs w:val="14"/>
                <w:color w:val="auto"/>
              </w:rPr>
              <w:t>Balance at December 31, 2014</w:t>
            </w:r>
          </w:p>
        </w:tc>
        <w:tc>
          <w:tcPr>
            <w:tcW w:w="980" w:type="dxa"/>
            <w:vAlign w:val="bottom"/>
            <w:tcBorders>
              <w:top w:val="single" w:sz="8" w:color="auto"/>
              <w:bottom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10"/>
              <w:spacing w:after="0" w:line="13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2"/>
        </w:trPr>
        <w:tc>
          <w:tcPr>
            <w:tcW w:w="2660" w:type="dxa"/>
            <w:vAlign w:val="bottom"/>
            <w:vMerge w:val="continue"/>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1"/>
                <w:szCs w:val="11"/>
                <w:color w:val="auto"/>
              </w:rPr>
              <w:t>2,486,199</w:t>
            </w:r>
          </w:p>
        </w:tc>
        <w:tc>
          <w:tcPr>
            <w:tcW w:w="200" w:type="dxa"/>
            <w:vAlign w:val="bottom"/>
          </w:tcPr>
          <w:p>
            <w:pPr>
              <w:spacing w:after="0"/>
              <w:rPr>
                <w:sz w:val="8"/>
                <w:szCs w:val="8"/>
                <w:color w:val="auto"/>
              </w:rPr>
            </w:pPr>
          </w:p>
        </w:tc>
        <w:tc>
          <w:tcPr>
            <w:tcW w:w="120" w:type="dxa"/>
            <w:vAlign w:val="bottom"/>
            <w:gridSpan w:val="2"/>
          </w:tcPr>
          <w:p>
            <w:pPr>
              <w:jc w:val="right"/>
              <w:ind w:right="34"/>
              <w:spacing w:after="0" w:line="102" w:lineRule="exact"/>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02" w:lineRule="exact"/>
              <w:rPr>
                <w:sz w:val="20"/>
                <w:szCs w:val="20"/>
                <w:color w:val="auto"/>
              </w:rPr>
            </w:pPr>
            <w:r>
              <w:rPr>
                <w:rFonts w:ascii="Arial" w:cs="Arial" w:eastAsia="Arial" w:hAnsi="Arial"/>
                <w:sz w:val="11"/>
                <w:szCs w:val="11"/>
                <w:color w:val="auto"/>
              </w:rPr>
              <w:t>64,642</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exercise of stock options</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Compensation expense related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vesting of common stock issued to</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GLOBALFOUNDRIES</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660" w:type="dxa"/>
            <w:vAlign w:val="bottom"/>
          </w:tcPr>
          <w:p>
            <w:pPr>
              <w:ind w:left="220"/>
              <w:spacing w:after="0" w:line="143" w:lineRule="exact"/>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660" w:type="dxa"/>
            <w:vAlign w:val="bottom"/>
          </w:tcPr>
          <w:p>
            <w:pPr>
              <w:spacing w:after="0" w:line="108" w:lineRule="exact"/>
              <w:rPr>
                <w:sz w:val="20"/>
                <w:szCs w:val="20"/>
                <w:color w:val="auto"/>
              </w:rPr>
            </w:pPr>
            <w:r>
              <w:rPr>
                <w:rFonts w:ascii="Arial" w:cs="Arial" w:eastAsia="Arial" w:hAnsi="Arial"/>
                <w:sz w:val="12"/>
                <w:szCs w:val="12"/>
                <w:color w:val="auto"/>
              </w:rPr>
              <w:t>Balance at December 31, 2015</w:t>
            </w:r>
          </w:p>
        </w:tc>
        <w:tc>
          <w:tcPr>
            <w:tcW w:w="7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2,486,199</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64,642</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Conversion of redeemable convertible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(2,486,199)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(64,642)</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preferred stock to common stock</w:t>
            </w: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Conversion of convertible promissory</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notes to common stock</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Reclassification of redeemable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convertible preferred stock warrant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liability to additional paid in capital</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in initial</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public offering</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in private</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placement</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exercise of stock options</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Compensation expense related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vesting of common stock issued to</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GLOBALFOUNDRIES</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660" w:type="dxa"/>
            <w:vAlign w:val="bottom"/>
          </w:tcPr>
          <w:p>
            <w:pPr>
              <w:ind w:left="220"/>
              <w:spacing w:after="0" w:line="143" w:lineRule="exact"/>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660" w:type="dxa"/>
            <w:vAlign w:val="bottom"/>
          </w:tcPr>
          <w:p>
            <w:pPr>
              <w:spacing w:after="0" w:line="108" w:lineRule="exact"/>
              <w:rPr>
                <w:sz w:val="20"/>
                <w:szCs w:val="20"/>
                <w:color w:val="auto"/>
              </w:rPr>
            </w:pPr>
            <w:r>
              <w:rPr>
                <w:rFonts w:ascii="Arial" w:cs="Arial" w:eastAsia="Arial" w:hAnsi="Arial"/>
                <w:sz w:val="12"/>
                <w:szCs w:val="12"/>
                <w:color w:val="auto"/>
              </w:rPr>
              <w:t>Balance at December 31, 2016</w:t>
            </w:r>
          </w:p>
        </w:tc>
        <w:tc>
          <w:tcPr>
            <w:tcW w:w="7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upon</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exercise of stock options</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Issuance of common stock under</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Employee Stock Purchase Plan</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Compensation expense related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vesting of common stock issued to</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GLOBALFOUNDRIES</w:t>
            </w: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660" w:type="dxa"/>
            <w:vAlign w:val="bottom"/>
          </w:tcPr>
          <w:p>
            <w:pPr>
              <w:spacing w:after="0" w:line="129" w:lineRule="exact"/>
              <w:rPr>
                <w:sz w:val="20"/>
                <w:szCs w:val="20"/>
                <w:color w:val="auto"/>
              </w:rPr>
            </w:pPr>
            <w:r>
              <w:rPr>
                <w:rFonts w:ascii="Arial" w:cs="Arial" w:eastAsia="Arial" w:hAnsi="Arial"/>
                <w:sz w:val="14"/>
                <w:szCs w:val="14"/>
                <w:color w:val="auto"/>
              </w:rPr>
              <w:t>Balance at December 31, 2017</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2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8"/>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line="20" w:lineRule="exact"/>
              <w:rPr>
                <w:sz w:val="1"/>
                <w:szCs w:val="1"/>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Equity (Deficit)</w:t>
            </w:r>
          </w:p>
        </w:tc>
        <w:tc>
          <w:tcPr>
            <w:tcW w:w="0" w:type="dxa"/>
            <w:vAlign w:val="bottom"/>
          </w:tcPr>
          <w:p>
            <w:pPr>
              <w:spacing w:after="0"/>
              <w:rPr>
                <w:sz w:val="1"/>
                <w:szCs w:val="1"/>
                <w:color w:val="auto"/>
              </w:rPr>
            </w:pPr>
          </w:p>
        </w:tc>
      </w:tr>
      <w:tr>
        <w:trPr>
          <w:trHeight w:val="129"/>
        </w:trPr>
        <w:tc>
          <w:tcPr>
            <w:tcW w:w="780" w:type="dxa"/>
            <w:vAlign w:val="bottom"/>
          </w:tcPr>
          <w:p>
            <w:pPr>
              <w:jc w:val="right"/>
              <w:ind w:right="108"/>
              <w:spacing w:after="0" w:line="129"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3,013,723</w:t>
            </w: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7,120</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(61,548)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(54,428)</w:t>
            </w:r>
          </w:p>
        </w:tc>
        <w:tc>
          <w:tcPr>
            <w:tcW w:w="0" w:type="dxa"/>
            <w:vAlign w:val="bottom"/>
          </w:tcPr>
          <w:p>
            <w:pPr>
              <w:spacing w:after="0"/>
              <w:rPr>
                <w:sz w:val="1"/>
                <w:szCs w:val="1"/>
                <w:color w:val="auto"/>
              </w:rPr>
            </w:pPr>
          </w:p>
        </w:tc>
      </w:tr>
      <w:tr>
        <w:trPr>
          <w:trHeight w:val="238"/>
        </w:trPr>
        <w:tc>
          <w:tcPr>
            <w:tcW w:w="780" w:type="dxa"/>
            <w:vAlign w:val="bottom"/>
          </w:tcPr>
          <w:p>
            <w:pPr>
              <w:jc w:val="right"/>
              <w:spacing w:after="0"/>
              <w:rPr>
                <w:sz w:val="20"/>
                <w:szCs w:val="20"/>
                <w:color w:val="auto"/>
              </w:rPr>
            </w:pPr>
            <w:r>
              <w:rPr>
                <w:rFonts w:ascii="Arial" w:cs="Arial" w:eastAsia="Arial" w:hAnsi="Arial"/>
                <w:sz w:val="14"/>
                <w:szCs w:val="14"/>
                <w:color w:val="auto"/>
              </w:rPr>
              <w:t>1,558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63"/>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1,761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35"/>
        </w:trPr>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416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(18,183)</w:t>
            </w:r>
          </w:p>
        </w:tc>
        <w:tc>
          <w:tcPr>
            <w:tcW w:w="0" w:type="dxa"/>
            <w:vAlign w:val="bottom"/>
          </w:tcPr>
          <w:p>
            <w:pPr>
              <w:spacing w:after="0"/>
              <w:rPr>
                <w:sz w:val="1"/>
                <w:szCs w:val="1"/>
                <w:color w:val="auto"/>
              </w:rPr>
            </w:pPr>
          </w:p>
        </w:tc>
      </w:tr>
      <w:tr>
        <w:trPr>
          <w:trHeight w:val="176"/>
        </w:trPr>
        <w:tc>
          <w:tcPr>
            <w:tcW w:w="780" w:type="dxa"/>
            <w:vAlign w:val="bottom"/>
          </w:tcPr>
          <w:p>
            <w:pPr>
              <w:jc w:val="right"/>
              <w:spacing w:after="0"/>
              <w:rPr>
                <w:sz w:val="20"/>
                <w:szCs w:val="20"/>
                <w:color w:val="auto"/>
              </w:rPr>
            </w:pPr>
            <w:r>
              <w:rPr>
                <w:rFonts w:ascii="Arial" w:cs="Arial" w:eastAsia="Arial" w:hAnsi="Arial"/>
                <w:sz w:val="14"/>
                <w:szCs w:val="14"/>
                <w:color w:val="auto"/>
              </w:rPr>
              <w:t>3,015,281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9,301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(79,731)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(70,430)</w:t>
            </w:r>
          </w:p>
        </w:tc>
        <w:tc>
          <w:tcPr>
            <w:tcW w:w="0" w:type="dxa"/>
            <w:vAlign w:val="bottom"/>
          </w:tcPr>
          <w:p>
            <w:pPr>
              <w:spacing w:after="0"/>
              <w:rPr>
                <w:sz w:val="1"/>
                <w:szCs w:val="1"/>
                <w:color w:val="auto"/>
              </w:rPr>
            </w:pPr>
          </w:p>
        </w:tc>
      </w:tr>
      <w:tr>
        <w:trPr>
          <w:trHeight w:val="238"/>
        </w:trPr>
        <w:tc>
          <w:tcPr>
            <w:tcW w:w="780" w:type="dxa"/>
            <w:vAlign w:val="bottom"/>
          </w:tcPr>
          <w:p>
            <w:pPr>
              <w:jc w:val="right"/>
              <w:spacing w:after="0"/>
              <w:rPr>
                <w:sz w:val="20"/>
                <w:szCs w:val="20"/>
                <w:color w:val="auto"/>
              </w:rPr>
            </w:pPr>
            <w:r>
              <w:rPr>
                <w:rFonts w:ascii="Arial" w:cs="Arial" w:eastAsia="Arial" w:hAnsi="Arial"/>
                <w:sz w:val="14"/>
                <w:szCs w:val="14"/>
                <w:color w:val="auto"/>
              </w:rPr>
              <w:t>2,486,199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64,642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64,642</w:t>
            </w:r>
          </w:p>
        </w:tc>
        <w:tc>
          <w:tcPr>
            <w:tcW w:w="0" w:type="dxa"/>
            <w:vAlign w:val="bottom"/>
          </w:tcPr>
          <w:p>
            <w:pPr>
              <w:spacing w:after="0"/>
              <w:rPr>
                <w:sz w:val="1"/>
                <w:szCs w:val="1"/>
                <w:color w:val="auto"/>
              </w:rPr>
            </w:pPr>
          </w:p>
        </w:tc>
      </w:tr>
      <w:tr>
        <w:trPr>
          <w:trHeight w:val="270"/>
        </w:trPr>
        <w:tc>
          <w:tcPr>
            <w:tcW w:w="780" w:type="dxa"/>
            <w:vAlign w:val="bottom"/>
          </w:tcPr>
          <w:p>
            <w:pPr>
              <w:jc w:val="right"/>
              <w:spacing w:after="0"/>
              <w:rPr>
                <w:sz w:val="20"/>
                <w:szCs w:val="20"/>
                <w:color w:val="auto"/>
              </w:rPr>
            </w:pPr>
            <w:r>
              <w:rPr>
                <w:rFonts w:ascii="Arial" w:cs="Arial" w:eastAsia="Arial" w:hAnsi="Arial"/>
                <w:sz w:val="14"/>
                <w:szCs w:val="14"/>
                <w:color w:val="auto"/>
              </w:rPr>
              <w:t>1,361,009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8,634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8,634</w:t>
            </w:r>
          </w:p>
        </w:tc>
        <w:tc>
          <w:tcPr>
            <w:tcW w:w="0" w:type="dxa"/>
            <w:vAlign w:val="bottom"/>
          </w:tcPr>
          <w:p>
            <w:pPr>
              <w:spacing w:after="0"/>
              <w:rPr>
                <w:sz w:val="1"/>
                <w:szCs w:val="1"/>
                <w:color w:val="auto"/>
              </w:rPr>
            </w:pPr>
          </w:p>
        </w:tc>
      </w:tr>
      <w:tr>
        <w:trPr>
          <w:trHeight w:val="405"/>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780" w:type="dxa"/>
            <w:vAlign w:val="bottom"/>
          </w:tcPr>
          <w:p>
            <w:pPr>
              <w:jc w:val="right"/>
              <w:spacing w:after="0"/>
              <w:rPr>
                <w:sz w:val="20"/>
                <w:szCs w:val="20"/>
                <w:color w:val="auto"/>
              </w:rPr>
            </w:pPr>
            <w:r>
              <w:rPr>
                <w:rFonts w:ascii="Arial" w:cs="Arial" w:eastAsia="Arial" w:hAnsi="Arial"/>
                <w:sz w:val="14"/>
                <w:szCs w:val="14"/>
                <w:color w:val="auto"/>
              </w:rPr>
              <w:t>5,000,000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33,863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33,864</w:t>
            </w:r>
          </w:p>
        </w:tc>
        <w:tc>
          <w:tcPr>
            <w:tcW w:w="0" w:type="dxa"/>
            <w:vAlign w:val="bottom"/>
          </w:tcPr>
          <w:p>
            <w:pPr>
              <w:spacing w:after="0"/>
              <w:rPr>
                <w:sz w:val="1"/>
                <w:szCs w:val="1"/>
                <w:color w:val="auto"/>
              </w:rPr>
            </w:pPr>
          </w:p>
        </w:tc>
      </w:tr>
      <w:tr>
        <w:trPr>
          <w:trHeight w:val="270"/>
        </w:trPr>
        <w:tc>
          <w:tcPr>
            <w:tcW w:w="780" w:type="dxa"/>
            <w:vAlign w:val="bottom"/>
          </w:tcPr>
          <w:p>
            <w:pPr>
              <w:jc w:val="right"/>
              <w:spacing w:after="0"/>
              <w:rPr>
                <w:sz w:val="20"/>
                <w:szCs w:val="20"/>
                <w:color w:val="auto"/>
              </w:rPr>
            </w:pPr>
            <w:r>
              <w:rPr>
                <w:rFonts w:ascii="Arial" w:cs="Arial" w:eastAsia="Arial" w:hAnsi="Arial"/>
                <w:sz w:val="14"/>
                <w:szCs w:val="14"/>
                <w:color w:val="auto"/>
              </w:rPr>
              <w:t>625,000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4,650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270"/>
        </w:trPr>
        <w:tc>
          <w:tcPr>
            <w:tcW w:w="780" w:type="dxa"/>
            <w:vAlign w:val="bottom"/>
          </w:tcPr>
          <w:p>
            <w:pPr>
              <w:jc w:val="right"/>
              <w:spacing w:after="0"/>
              <w:rPr>
                <w:sz w:val="20"/>
                <w:szCs w:val="20"/>
                <w:color w:val="auto"/>
              </w:rPr>
            </w:pPr>
            <w:r>
              <w:rPr>
                <w:rFonts w:ascii="Arial" w:cs="Arial" w:eastAsia="Arial" w:hAnsi="Arial"/>
                <w:sz w:val="14"/>
                <w:szCs w:val="14"/>
                <w:color w:val="auto"/>
              </w:rPr>
              <w:t>10,639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63"/>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35"/>
        </w:trPr>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1,141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(16,708)</w:t>
            </w:r>
          </w:p>
        </w:tc>
        <w:tc>
          <w:tcPr>
            <w:tcW w:w="0" w:type="dxa"/>
            <w:vAlign w:val="bottom"/>
          </w:tcPr>
          <w:p>
            <w:pPr>
              <w:spacing w:after="0"/>
              <w:rPr>
                <w:sz w:val="1"/>
                <w:szCs w:val="1"/>
                <w:color w:val="auto"/>
              </w:rPr>
            </w:pPr>
          </w:p>
        </w:tc>
      </w:tr>
      <w:tr>
        <w:trPr>
          <w:trHeight w:val="176"/>
        </w:trPr>
        <w:tc>
          <w:tcPr>
            <w:tcW w:w="780" w:type="dxa"/>
            <w:vAlign w:val="bottom"/>
          </w:tcPr>
          <w:p>
            <w:pPr>
              <w:jc w:val="right"/>
              <w:spacing w:after="0"/>
              <w:rPr>
                <w:sz w:val="20"/>
                <w:szCs w:val="20"/>
                <w:color w:val="auto"/>
              </w:rPr>
            </w:pPr>
            <w:r>
              <w:rPr>
                <w:rFonts w:ascii="Arial" w:cs="Arial" w:eastAsia="Arial" w:hAnsi="Arial"/>
                <w:sz w:val="14"/>
                <w:szCs w:val="14"/>
                <w:color w:val="auto"/>
              </w:rPr>
              <w:t>12,498,128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123,309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(96,439)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26,871</w:t>
            </w:r>
          </w:p>
        </w:tc>
        <w:tc>
          <w:tcPr>
            <w:tcW w:w="0" w:type="dxa"/>
            <w:vAlign w:val="bottom"/>
          </w:tcPr>
          <w:p>
            <w:pPr>
              <w:spacing w:after="0"/>
              <w:rPr>
                <w:sz w:val="1"/>
                <w:szCs w:val="1"/>
                <w:color w:val="auto"/>
              </w:rPr>
            </w:pPr>
          </w:p>
        </w:tc>
      </w:tr>
      <w:tr>
        <w:trPr>
          <w:trHeight w:val="238"/>
        </w:trPr>
        <w:tc>
          <w:tcPr>
            <w:tcW w:w="780" w:type="dxa"/>
            <w:vAlign w:val="bottom"/>
          </w:tcPr>
          <w:p>
            <w:pPr>
              <w:jc w:val="right"/>
              <w:spacing w:after="0"/>
              <w:rPr>
                <w:sz w:val="20"/>
                <w:szCs w:val="20"/>
                <w:color w:val="auto"/>
              </w:rPr>
            </w:pPr>
            <w:r>
              <w:rPr>
                <w:rFonts w:ascii="Arial" w:cs="Arial" w:eastAsia="Arial" w:hAnsi="Arial"/>
                <w:sz w:val="14"/>
                <w:szCs w:val="14"/>
                <w:color w:val="auto"/>
              </w:rPr>
              <w:t>281,483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270"/>
        </w:trPr>
        <w:tc>
          <w:tcPr>
            <w:tcW w:w="780" w:type="dxa"/>
            <w:vAlign w:val="bottom"/>
          </w:tcPr>
          <w:p>
            <w:pPr>
              <w:jc w:val="right"/>
              <w:spacing w:after="0"/>
              <w:rPr>
                <w:sz w:val="20"/>
                <w:szCs w:val="20"/>
                <w:color w:val="auto"/>
              </w:rPr>
            </w:pPr>
            <w:r>
              <w:rPr>
                <w:rFonts w:ascii="Arial" w:cs="Arial" w:eastAsia="Arial" w:hAnsi="Arial"/>
                <w:sz w:val="14"/>
                <w:szCs w:val="14"/>
                <w:color w:val="auto"/>
              </w:rPr>
              <w:t>37,590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363"/>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35"/>
        </w:trPr>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2,048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(21,100)</w:t>
            </w:r>
          </w:p>
        </w:tc>
        <w:tc>
          <w:tcPr>
            <w:tcW w:w="0" w:type="dxa"/>
            <w:vAlign w:val="bottom"/>
          </w:tcPr>
          <w:p>
            <w:pPr>
              <w:spacing w:after="0"/>
              <w:rPr>
                <w:sz w:val="1"/>
                <w:szCs w:val="1"/>
                <w:color w:val="auto"/>
              </w:rPr>
            </w:pPr>
          </w:p>
        </w:tc>
      </w:tr>
      <w:tr>
        <w:trPr>
          <w:trHeight w:val="136"/>
        </w:trPr>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12,817,201</w:t>
            </w: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128,422</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(117,539)</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2">
            <w:col w:w="4500" w:space="180"/>
            <w:col w:w="4380"/>
          </w:cols>
          <w:pgMar w:left="1420" w:top="112" w:right="1419" w:bottom="1440" w:gutter="0" w:footer="0" w:header="0"/>
          <w:type w:val="continuous"/>
        </w:sectPr>
      </w:pPr>
    </w:p>
    <w:p>
      <w:pPr>
        <w:ind w:left="220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jc w:val="center"/>
        <w:spacing w:after="0" w:line="203" w:lineRule="auto"/>
        <w:rPr>
          <w:sz w:val="20"/>
          <w:szCs w:val="20"/>
          <w:color w:val="auto"/>
        </w:rPr>
      </w:pPr>
      <w:r>
        <w:rPr>
          <w:rFonts w:ascii="Arial" w:cs="Arial" w:eastAsia="Arial" w:hAnsi="Arial"/>
          <w:sz w:val="18"/>
          <w:szCs w:val="18"/>
          <w:b w:val="1"/>
          <w:bCs w:val="1"/>
          <w:color w:val="auto"/>
        </w:rPr>
        <w:t>Statement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113"/>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6"/>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6"/>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6"/>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29"/>
        </w:trPr>
        <w:tc>
          <w:tcPr>
            <w:tcW w:w="5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line="135" w:lineRule="exact"/>
              <w:rPr>
                <w:sz w:val="20"/>
                <w:szCs w:val="20"/>
                <w:color w:val="auto"/>
              </w:rPr>
            </w:pPr>
            <w:r>
              <w:rPr>
                <w:rFonts w:ascii="Arial" w:cs="Arial" w:eastAsia="Arial" w:hAnsi="Arial"/>
                <w:sz w:val="15"/>
                <w:szCs w:val="15"/>
                <w:color w:val="auto"/>
              </w:rPr>
              <w:t>Net loss</w:t>
            </w:r>
          </w:p>
        </w:tc>
        <w:tc>
          <w:tcPr>
            <w:tcW w:w="340" w:type="dxa"/>
            <w:vAlign w:val="bottom"/>
            <w:gridSpan w:val="2"/>
          </w:tcPr>
          <w:p>
            <w:pPr>
              <w:jc w:val="right"/>
              <w:ind w:right="54"/>
              <w:spacing w:after="0" w:line="135"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(21,100)</w:t>
            </w:r>
          </w:p>
        </w:tc>
        <w:tc>
          <w:tcPr>
            <w:tcW w:w="440" w:type="dxa"/>
            <w:vAlign w:val="bottom"/>
            <w:gridSpan w:val="2"/>
          </w:tcPr>
          <w:p>
            <w:pPr>
              <w:jc w:val="right"/>
              <w:ind w:right="91"/>
              <w:spacing w:after="0" w:line="135"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(16,708)</w:t>
            </w:r>
          </w:p>
        </w:tc>
        <w:tc>
          <w:tcPr>
            <w:tcW w:w="240" w:type="dxa"/>
            <w:vAlign w:val="bottom"/>
          </w:tcPr>
          <w:p>
            <w:pPr>
              <w:spacing w:after="0"/>
              <w:rPr>
                <w:sz w:val="11"/>
                <w:szCs w:val="11"/>
                <w:color w:val="auto"/>
              </w:rPr>
            </w:pPr>
          </w:p>
        </w:tc>
        <w:tc>
          <w:tcPr>
            <w:tcW w:w="200" w:type="dxa"/>
            <w:vAlign w:val="bottom"/>
            <w:gridSpan w:val="2"/>
          </w:tcPr>
          <w:p>
            <w:pPr>
              <w:jc w:val="right"/>
              <w:ind w:right="113"/>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(18,183)</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1,191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826</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1,340</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Loss on disposal of property and equipment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80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Stock-based compensation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2,048</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1,141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416</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Change in fair value of redeemable convertible preferred stock warrant liability</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(372)</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Non-cash loss on extinguishment of debt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185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Change in fair value of derivative liability</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(798)</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Non-cash interest expense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297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1,183</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w w:val="97"/>
              </w:rPr>
              <w:t>Compensation expense related to vesting of common stock to GLOBALFOUNDRIES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1,472</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965</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1,761</w:t>
            </w:r>
          </w:p>
        </w:tc>
        <w:tc>
          <w:tcPr>
            <w:tcW w:w="0" w:type="dxa"/>
            <w:vAlign w:val="bottom"/>
          </w:tcPr>
          <w:p>
            <w:pPr>
              <w:spacing w:after="0"/>
              <w:rPr>
                <w:sz w:val="1"/>
                <w:szCs w:val="1"/>
                <w:color w:val="auto"/>
              </w:rPr>
            </w:pPr>
          </w:p>
        </w:tc>
      </w:tr>
      <w:tr>
        <w:trPr>
          <w:trHeight w:val="135"/>
        </w:trPr>
        <w:tc>
          <w:tcPr>
            <w:tcW w:w="5640" w:type="dxa"/>
            <w:vAlign w:val="bottom"/>
          </w:tcPr>
          <w:p>
            <w:pPr>
              <w:spacing w:after="0" w:line="135" w:lineRule="exact"/>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Accounts receivable</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(259)</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(1,261)</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Amounts due from related parties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(126)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78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Inventory</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(3,871)</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(893)</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(431)</w:t>
            </w: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Prepaid expenses and other current assets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460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(860)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Other assets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(23)</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5"/>
                <w:szCs w:val="15"/>
                <w:color w:val="auto"/>
              </w:rPr>
              <w:t>(21)</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Accounts payable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1,114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340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Accrued liabilities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(120)</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56</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135"/>
        </w:trPr>
        <w:tc>
          <w:tcPr>
            <w:tcW w:w="5640" w:type="dxa"/>
            <w:vAlign w:val="bottom"/>
          </w:tcPr>
          <w:p>
            <w:pPr>
              <w:ind w:left="120"/>
              <w:spacing w:after="0" w:line="135" w:lineRule="exact"/>
              <w:rPr>
                <w:sz w:val="20"/>
                <w:szCs w:val="20"/>
                <w:color w:val="auto"/>
              </w:rPr>
            </w:pPr>
            <w:r>
              <w:rPr>
                <w:rFonts w:ascii="Arial" w:cs="Arial" w:eastAsia="Arial" w:hAnsi="Arial"/>
                <w:sz w:val="15"/>
                <w:szCs w:val="15"/>
                <w:color w:val="auto"/>
              </w:rPr>
              <w:t>Amounts due to related parties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(49)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(2,453)</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3,328</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Deferred income on shipments to distributors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(107)</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387</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135"/>
        </w:trPr>
        <w:tc>
          <w:tcPr>
            <w:tcW w:w="564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5"/>
                <w:szCs w:val="15"/>
                <w:color w:val="auto"/>
              </w:rPr>
              <w:t>Deferred revenue</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(229)</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129"/>
        </w:trPr>
        <w:tc>
          <w:tcPr>
            <w:tcW w:w="564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rPr>
              <w:t>Net cash used in operating activities</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(18,888)</w:t>
            </w:r>
          </w:p>
        </w:tc>
        <w:tc>
          <w:tcPr>
            <w:tcW w:w="2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(18,539)</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(10,670)</w:t>
            </w:r>
          </w:p>
        </w:tc>
        <w:tc>
          <w:tcPr>
            <w:tcW w:w="0" w:type="dxa"/>
            <w:vAlign w:val="bottom"/>
          </w:tcPr>
          <w:p>
            <w:pPr>
              <w:spacing w:after="0"/>
              <w:rPr>
                <w:sz w:val="1"/>
                <w:szCs w:val="1"/>
                <w:color w:val="auto"/>
              </w:rPr>
            </w:pPr>
          </w:p>
        </w:tc>
      </w:tr>
      <w:tr>
        <w:trPr>
          <w:trHeight w:val="129"/>
        </w:trPr>
        <w:tc>
          <w:tcPr>
            <w:tcW w:w="5640" w:type="dxa"/>
            <w:vAlign w:val="bottom"/>
          </w:tcPr>
          <w:p>
            <w:pPr>
              <w:spacing w:after="0" w:line="129" w:lineRule="exact"/>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Purchases of property and equipment</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(3,070)</w:t>
            </w:r>
          </w:p>
        </w:tc>
        <w:tc>
          <w:tcPr>
            <w:tcW w:w="2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(1,040)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(1,295)</w:t>
            </w:r>
          </w:p>
        </w:tc>
        <w:tc>
          <w:tcPr>
            <w:tcW w:w="0" w:type="dxa"/>
            <w:vAlign w:val="bottom"/>
          </w:tcPr>
          <w:p>
            <w:pPr>
              <w:spacing w:after="0"/>
              <w:rPr>
                <w:sz w:val="1"/>
                <w:szCs w:val="1"/>
                <w:color w:val="auto"/>
              </w:rPr>
            </w:pPr>
          </w:p>
        </w:tc>
      </w:tr>
      <w:tr>
        <w:trPr>
          <w:trHeight w:val="129"/>
        </w:trPr>
        <w:tc>
          <w:tcPr>
            <w:tcW w:w="564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(3,070)</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(1,040)</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29"/>
        </w:trPr>
        <w:tc>
          <w:tcPr>
            <w:tcW w:w="5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line="135" w:lineRule="exact"/>
              <w:rPr>
                <w:sz w:val="20"/>
                <w:szCs w:val="20"/>
                <w:color w:val="auto"/>
              </w:rPr>
            </w:pPr>
            <w:r>
              <w:rPr>
                <w:rFonts w:ascii="Arial" w:cs="Arial" w:eastAsia="Arial" w:hAnsi="Arial"/>
                <w:sz w:val="15"/>
                <w:szCs w:val="15"/>
                <w:color w:val="auto"/>
              </w:rPr>
              <w:t>Proceeds from convertible promissory notes-related party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8,500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Proceeds from debt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12,000</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1,500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8,000</w:t>
            </w:r>
          </w:p>
        </w:tc>
        <w:tc>
          <w:tcPr>
            <w:tcW w:w="0" w:type="dxa"/>
            <w:vAlign w:val="bottom"/>
          </w:tcPr>
          <w:p>
            <w:pPr>
              <w:spacing w:after="0"/>
              <w:rPr>
                <w:sz w:val="1"/>
                <w:szCs w:val="1"/>
                <w:color w:val="auto"/>
              </w:rPr>
            </w:pPr>
          </w:p>
        </w:tc>
      </w:tr>
      <w:tr>
        <w:trPr>
          <w:trHeight w:val="135"/>
        </w:trPr>
        <w:tc>
          <w:tcPr>
            <w:tcW w:w="5640" w:type="dxa"/>
            <w:vAlign w:val="bottom"/>
          </w:tcPr>
          <w:p>
            <w:pPr>
              <w:spacing w:after="0" w:line="135" w:lineRule="exact"/>
              <w:rPr>
                <w:sz w:val="20"/>
                <w:szCs w:val="20"/>
                <w:color w:val="auto"/>
              </w:rPr>
            </w:pPr>
            <w:r>
              <w:rPr>
                <w:rFonts w:ascii="Arial" w:cs="Arial" w:eastAsia="Arial" w:hAnsi="Arial"/>
                <w:sz w:val="15"/>
                <w:szCs w:val="15"/>
                <w:color w:val="auto"/>
              </w:rPr>
              <w:t>Payments on debt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(8,356)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(1,325)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Payments of debt issuance costs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(49)</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5"/>
                <w:szCs w:val="15"/>
                <w:color w:val="auto"/>
              </w:rPr>
              <w:t>(40)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35"/>
        </w:trPr>
        <w:tc>
          <w:tcPr>
            <w:tcW w:w="5640" w:type="dxa"/>
            <w:vAlign w:val="bottom"/>
          </w:tcPr>
          <w:p>
            <w:pPr>
              <w:spacing w:after="0" w:line="135" w:lineRule="exact"/>
              <w:rPr>
                <w:sz w:val="20"/>
                <w:szCs w:val="20"/>
                <w:color w:val="auto"/>
              </w:rPr>
            </w:pPr>
            <w:r>
              <w:rPr>
                <w:rFonts w:ascii="Arial" w:cs="Arial" w:eastAsia="Arial" w:hAnsi="Arial"/>
                <w:sz w:val="15"/>
                <w:szCs w:val="15"/>
                <w:color w:val="auto"/>
              </w:rPr>
              <w:t>Payments on capital lease obligation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5"/>
                <w:szCs w:val="15"/>
                <w:color w:val="auto"/>
              </w:rPr>
              <w:t>(7)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(198)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22"/>
        </w:trPr>
        <w:tc>
          <w:tcPr>
            <w:tcW w:w="56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Proceeds from exercise of stock options and purchase of shares in employee stock</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1,593</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49"/>
        </w:trPr>
        <w:tc>
          <w:tcPr>
            <w:tcW w:w="56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purchase plan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640" w:type="dxa"/>
            <w:vAlign w:val="bottom"/>
          </w:tcPr>
          <w:p>
            <w:pPr>
              <w:spacing w:after="0" w:line="122" w:lineRule="exact"/>
              <w:rPr>
                <w:sz w:val="20"/>
                <w:szCs w:val="20"/>
                <w:color w:val="auto"/>
              </w:rPr>
            </w:pPr>
            <w:r>
              <w:rPr>
                <w:rFonts w:ascii="Arial" w:cs="Arial" w:eastAsia="Arial" w:hAnsi="Arial"/>
                <w:sz w:val="14"/>
                <w:szCs w:val="14"/>
                <w:color w:val="auto"/>
              </w:rPr>
              <w:t>Proceeds from issuance of common stock in connection with initial public offering, net of</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33,864</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Arial" w:cs="Arial" w:eastAsia="Arial" w:hAnsi="Arial"/>
                <w:sz w:val="15"/>
                <w:szCs w:val="15"/>
                <w:color w:val="auto"/>
              </w:rPr>
              <w:t>offering costs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w w:val="99"/>
              </w:rPr>
              <w:t>Proceeds from issuance of common stock in private placement, net of issuance costs</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4,650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564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5,181</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46,999</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4,648</w:t>
            </w:r>
          </w:p>
        </w:tc>
        <w:tc>
          <w:tcPr>
            <w:tcW w:w="0" w:type="dxa"/>
            <w:vAlign w:val="bottom"/>
          </w:tcPr>
          <w:p>
            <w:pPr>
              <w:spacing w:after="0"/>
              <w:rPr>
                <w:sz w:val="1"/>
                <w:szCs w:val="1"/>
                <w:color w:val="auto"/>
              </w:rPr>
            </w:pPr>
          </w:p>
        </w:tc>
      </w:tr>
      <w:tr>
        <w:trPr>
          <w:trHeight w:val="129"/>
        </w:trPr>
        <w:tc>
          <w:tcPr>
            <w:tcW w:w="56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(decrease) increase in cash and cash equivalents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(16,777)</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27,420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(7,317)</w:t>
            </w:r>
          </w:p>
        </w:tc>
        <w:tc>
          <w:tcPr>
            <w:tcW w:w="0" w:type="dxa"/>
            <w:vAlign w:val="bottom"/>
          </w:tcPr>
          <w:p>
            <w:pPr>
              <w:spacing w:after="0"/>
              <w:rPr>
                <w:sz w:val="1"/>
                <w:szCs w:val="1"/>
                <w:color w:val="auto"/>
              </w:rPr>
            </w:pPr>
          </w:p>
        </w:tc>
      </w:tr>
      <w:tr>
        <w:trPr>
          <w:trHeight w:val="135"/>
        </w:trPr>
        <w:tc>
          <w:tcPr>
            <w:tcW w:w="5640" w:type="dxa"/>
            <w:vAlign w:val="bottom"/>
            <w:tcBorders>
              <w:bottom w:val="single" w:sz="8" w:color="CCEEFF"/>
            </w:tcBorders>
          </w:tcPr>
          <w:p>
            <w:pPr>
              <w:spacing w:after="0" w:line="135" w:lineRule="exact"/>
              <w:rPr>
                <w:sz w:val="20"/>
                <w:szCs w:val="20"/>
                <w:color w:val="auto"/>
              </w:rPr>
            </w:pPr>
            <w:r>
              <w:rPr>
                <w:rFonts w:ascii="Arial" w:cs="Arial" w:eastAsia="Arial" w:hAnsi="Arial"/>
                <w:sz w:val="15"/>
                <w:szCs w:val="15"/>
                <w:color w:val="auto"/>
              </w:rPr>
              <w:t>Cash and cash equivalents at beginning of period</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29,727</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2,307</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9,624</w:t>
            </w:r>
          </w:p>
        </w:tc>
        <w:tc>
          <w:tcPr>
            <w:tcW w:w="0" w:type="dxa"/>
            <w:vAlign w:val="bottom"/>
          </w:tcPr>
          <w:p>
            <w:pPr>
              <w:spacing w:after="0"/>
              <w:rPr>
                <w:sz w:val="1"/>
                <w:szCs w:val="1"/>
                <w:color w:val="auto"/>
              </w:rPr>
            </w:pPr>
          </w:p>
        </w:tc>
      </w:tr>
      <w:tr>
        <w:trPr>
          <w:trHeight w:val="149"/>
        </w:trPr>
        <w:tc>
          <w:tcPr>
            <w:tcW w:w="5640" w:type="dxa"/>
            <w:vAlign w:val="bottom"/>
            <w:tcBorders>
              <w:bottom w:val="single" w:sz="8" w:color="CCEEFF"/>
            </w:tcBorders>
            <w:shd w:val="clear" w:color="auto" w:fill="CCEEFF"/>
          </w:tcPr>
          <w:p>
            <w:pPr>
              <w:spacing w:after="0" w:line="109" w:lineRule="exact"/>
              <w:rPr>
                <w:sz w:val="20"/>
                <w:szCs w:val="20"/>
                <w:color w:val="auto"/>
              </w:rPr>
            </w:pPr>
            <w:r>
              <w:rPr>
                <w:rFonts w:ascii="Arial" w:cs="Arial" w:eastAsia="Arial" w:hAnsi="Arial"/>
                <w:sz w:val="12"/>
                <w:szCs w:val="12"/>
                <w:color w:val="auto"/>
              </w:rPr>
              <w:t>Cash and cash equivalents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12,950</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29,727</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2,307</w:t>
            </w:r>
          </w:p>
        </w:tc>
        <w:tc>
          <w:tcPr>
            <w:tcW w:w="0" w:type="dxa"/>
            <w:vAlign w:val="bottom"/>
          </w:tcPr>
          <w:p>
            <w:pPr>
              <w:spacing w:after="0"/>
              <w:rPr>
                <w:sz w:val="1"/>
                <w:szCs w:val="1"/>
                <w:color w:val="auto"/>
              </w:rPr>
            </w:pPr>
          </w:p>
        </w:tc>
      </w:tr>
      <w:tr>
        <w:trPr>
          <w:trHeight w:val="122"/>
        </w:trPr>
        <w:tc>
          <w:tcPr>
            <w:tcW w:w="5640" w:type="dxa"/>
            <w:vAlign w:val="bottom"/>
          </w:tcPr>
          <w:p>
            <w:pPr>
              <w:spacing w:after="0" w:line="122" w:lineRule="exact"/>
              <w:rPr>
                <w:sz w:val="20"/>
                <w:szCs w:val="20"/>
                <w:color w:val="auto"/>
              </w:rPr>
            </w:pPr>
            <w:r>
              <w:rPr>
                <w:rFonts w:ascii="Arial" w:cs="Arial" w:eastAsia="Arial" w:hAnsi="Arial"/>
                <w:sz w:val="14"/>
                <w:szCs w:val="14"/>
                <w:b w:val="1"/>
                <w:bCs w:val="1"/>
                <w:color w:val="auto"/>
              </w:rPr>
              <w:t>Supplementary cash flow information: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64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Interest paid</w:t>
            </w:r>
          </w:p>
        </w:tc>
        <w:tc>
          <w:tcPr>
            <w:tcW w:w="340" w:type="dxa"/>
            <w:vAlign w:val="bottom"/>
            <w:gridSpan w:val="2"/>
            <w:shd w:val="clear" w:color="auto" w:fill="CCEEFF"/>
          </w:tcPr>
          <w:p>
            <w:pPr>
              <w:jc w:val="right"/>
              <w:ind w:right="54"/>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467</w:t>
            </w:r>
          </w:p>
        </w:tc>
        <w:tc>
          <w:tcPr>
            <w:tcW w:w="440" w:type="dxa"/>
            <w:vAlign w:val="bottom"/>
            <w:gridSpan w:val="2"/>
            <w:shd w:val="clear" w:color="auto" w:fill="CCEEFF"/>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806</w:t>
            </w:r>
          </w:p>
        </w:tc>
        <w:tc>
          <w:tcPr>
            <w:tcW w:w="2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13"/>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29"/>
        </w:trPr>
        <w:tc>
          <w:tcPr>
            <w:tcW w:w="5640" w:type="dxa"/>
            <w:vAlign w:val="bottom"/>
            <w:tcBorders>
              <w:top w:val="single" w:sz="8" w:color="CCEEFF"/>
              <w:bottom w:val="single" w:sz="8" w:color="CCEEFF"/>
            </w:tcBorders>
          </w:tcPr>
          <w:p>
            <w:pPr>
              <w:spacing w:after="0" w:line="109" w:lineRule="exact"/>
              <w:rPr>
                <w:sz w:val="20"/>
                <w:szCs w:val="20"/>
                <w:color w:val="auto"/>
              </w:rPr>
            </w:pPr>
            <w:r>
              <w:rPr>
                <w:rFonts w:ascii="Arial" w:cs="Arial" w:eastAsia="Arial" w:hAnsi="Arial"/>
                <w:sz w:val="12"/>
                <w:szCs w:val="12"/>
                <w:color w:val="auto"/>
              </w:rPr>
              <w:t>Interest paid to related party</w:t>
            </w:r>
          </w:p>
        </w:tc>
        <w:tc>
          <w:tcPr>
            <w:tcW w:w="140" w:type="dxa"/>
            <w:vAlign w:val="bottom"/>
            <w:tcBorders>
              <w:top w:val="single" w:sz="8" w:color="CCEEFF"/>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359</w:t>
            </w:r>
          </w:p>
        </w:tc>
        <w:tc>
          <w:tcPr>
            <w:tcW w:w="240" w:type="dxa"/>
            <w:vAlign w:val="bottom"/>
            <w:tcBorders>
              <w:top w:val="single" w:sz="8" w:color="CCEEFF"/>
              <w:bottom w:val="single" w:sz="8" w:color="CCEEFF"/>
            </w:tcBorders>
          </w:tcPr>
          <w:p>
            <w:pPr>
              <w:spacing w:after="0"/>
              <w:rPr>
                <w:sz w:val="11"/>
                <w:szCs w:val="11"/>
                <w:color w:val="auto"/>
              </w:rPr>
            </w:pPr>
          </w:p>
        </w:tc>
        <w:tc>
          <w:tcPr>
            <w:tcW w:w="20" w:type="dxa"/>
            <w:vAlign w:val="bottom"/>
            <w:tcBorders>
              <w:top w:val="single" w:sz="8" w:color="CCEEFF"/>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64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Non-cash investing and financing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640" w:type="dxa"/>
            <w:vAlign w:val="bottom"/>
          </w:tcPr>
          <w:p>
            <w:pPr>
              <w:spacing w:after="0" w:line="122" w:lineRule="exact"/>
              <w:rPr>
                <w:sz w:val="20"/>
                <w:szCs w:val="20"/>
                <w:color w:val="auto"/>
              </w:rPr>
            </w:pPr>
            <w:r>
              <w:rPr>
                <w:rFonts w:ascii="Arial" w:cs="Arial" w:eastAsia="Arial" w:hAnsi="Arial"/>
                <w:sz w:val="14"/>
                <w:szCs w:val="14"/>
                <w:color w:val="auto"/>
              </w:rPr>
              <w:t>Purchase of property and equipment in accounts payable and amounts due to related</w:t>
            </w:r>
          </w:p>
        </w:tc>
        <w:tc>
          <w:tcPr>
            <w:tcW w:w="340" w:type="dxa"/>
            <w:vAlign w:val="bottom"/>
            <w:gridSpan w:val="2"/>
            <w:vMerge w:val="restart"/>
          </w:tcPr>
          <w:p>
            <w:pPr>
              <w:jc w:val="right"/>
              <w:ind w:right="54"/>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116</w:t>
            </w:r>
          </w:p>
        </w:tc>
        <w:tc>
          <w:tcPr>
            <w:tcW w:w="440" w:type="dxa"/>
            <w:vAlign w:val="bottom"/>
            <w:gridSpan w:val="2"/>
            <w:vMerge w:val="restart"/>
          </w:tcPr>
          <w:p>
            <w:pPr>
              <w:jc w:val="right"/>
              <w:ind w:right="91"/>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gridSpan w:val="2"/>
            <w:vMerge w:val="restart"/>
          </w:tcPr>
          <w:p>
            <w:pPr>
              <w:jc w:val="right"/>
              <w:ind w:right="113"/>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5640" w:type="dxa"/>
            <w:vAlign w:val="bottom"/>
          </w:tcPr>
          <w:p>
            <w:pPr>
              <w:spacing w:after="0" w:line="115" w:lineRule="exact"/>
              <w:rPr>
                <w:sz w:val="20"/>
                <w:szCs w:val="20"/>
                <w:color w:val="auto"/>
              </w:rPr>
            </w:pPr>
            <w:r>
              <w:rPr>
                <w:rFonts w:ascii="Arial" w:cs="Arial" w:eastAsia="Arial" w:hAnsi="Arial"/>
                <w:sz w:val="13"/>
                <w:szCs w:val="13"/>
                <w:color w:val="auto"/>
              </w:rPr>
              <w:t>parties</w:t>
            </w:r>
          </w:p>
        </w:tc>
        <w:tc>
          <w:tcPr>
            <w:tcW w:w="3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Purchase of inventory in accrued liabilities and amounts due to related parties</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897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5640" w:type="dxa"/>
            <w:vAlign w:val="bottom"/>
            <w:tcBorders>
              <w:bottom w:val="single" w:sz="8" w:color="CCEEFF"/>
            </w:tcBorders>
          </w:tcPr>
          <w:p>
            <w:pPr>
              <w:spacing w:after="0" w:line="109" w:lineRule="exact"/>
              <w:rPr>
                <w:sz w:val="20"/>
                <w:szCs w:val="20"/>
                <w:color w:val="auto"/>
              </w:rPr>
            </w:pPr>
            <w:r>
              <w:rPr>
                <w:rFonts w:ascii="Arial" w:cs="Arial" w:eastAsia="Arial" w:hAnsi="Arial"/>
                <w:sz w:val="12"/>
                <w:szCs w:val="12"/>
                <w:color w:val="auto"/>
              </w:rPr>
              <w:t>Purchase of property and equipment under capital lease obligations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31</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55"/>
        </w:trPr>
        <w:tc>
          <w:tcPr>
            <w:tcW w:w="564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Conversion of convertible promissory notes into common stock</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8,634</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5640" w:type="dxa"/>
            <w:vAlign w:val="bottom"/>
            <w:tcBorders>
              <w:bottom w:val="single" w:sz="8" w:color="CCEEFF"/>
            </w:tcBorders>
          </w:tcPr>
          <w:p>
            <w:pPr>
              <w:spacing w:after="0" w:line="109" w:lineRule="exact"/>
              <w:rPr>
                <w:sz w:val="20"/>
                <w:szCs w:val="20"/>
                <w:color w:val="auto"/>
              </w:rPr>
            </w:pPr>
            <w:r>
              <w:rPr>
                <w:rFonts w:ascii="Arial" w:cs="Arial" w:eastAsia="Arial" w:hAnsi="Arial"/>
                <w:sz w:val="12"/>
                <w:szCs w:val="12"/>
                <w:color w:val="auto"/>
              </w:rPr>
              <w:t>Issuance of warrants with debt</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55"/>
        </w:trPr>
        <w:tc>
          <w:tcPr>
            <w:tcW w:w="564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Conversion of redeemable convertible preferred stock into common stock</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64,642</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5640" w:type="dxa"/>
            <w:vAlign w:val="bottom"/>
          </w:tcPr>
          <w:p>
            <w:pPr>
              <w:spacing w:after="0" w:line="109" w:lineRule="exact"/>
              <w:rPr>
                <w:sz w:val="20"/>
                <w:szCs w:val="20"/>
                <w:color w:val="auto"/>
              </w:rPr>
            </w:pPr>
            <w:r>
              <w:rPr>
                <w:rFonts w:ascii="Arial" w:cs="Arial" w:eastAsia="Arial" w:hAnsi="Arial"/>
                <w:sz w:val="12"/>
                <w:szCs w:val="12"/>
                <w:color w:val="auto"/>
              </w:rPr>
              <w:t>Reclassification of warrant liability to additional paid-in capital</w:t>
            </w:r>
          </w:p>
        </w:tc>
        <w:tc>
          <w:tcPr>
            <w:tcW w:w="140" w:type="dxa"/>
            <w:vAlign w:val="bottom"/>
          </w:tcPr>
          <w:p>
            <w:pPr>
              <w:spacing w:after="0"/>
              <w:rPr>
                <w:sz w:val="11"/>
                <w:szCs w:val="11"/>
                <w:color w:val="auto"/>
              </w:rPr>
            </w:pPr>
          </w:p>
        </w:tc>
        <w:tc>
          <w:tcPr>
            <w:tcW w:w="200" w:type="dxa"/>
            <w:vAlign w:val="bottom"/>
            <w:tcBorders>
              <w:bottom w:val="single" w:sz="8" w:color="auto"/>
            </w:tcBorders>
          </w:tcPr>
          <w:p>
            <w:pPr>
              <w:jc w:val="right"/>
              <w:ind w:right="54"/>
              <w:spacing w:after="0" w:line="115"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65</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89"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products allow its customers in the industrial, automotive and transportation, and enterprise storage markets to design high performance, power efficient and reliable systems without the need for bulky batteries or capacitors.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5" w:lineRule="exact"/>
        <w:rPr>
          <w:sz w:val="20"/>
          <w:szCs w:val="20"/>
          <w:color w:val="auto"/>
        </w:rPr>
      </w:pPr>
    </w:p>
    <w:p>
      <w:pPr>
        <w:ind w:right="40" w:firstLine="401"/>
        <w:spacing w:after="0" w:line="216" w:lineRule="auto"/>
        <w:rPr>
          <w:sz w:val="20"/>
          <w:szCs w:val="20"/>
          <w:color w:val="auto"/>
        </w:rPr>
      </w:pPr>
      <w:r>
        <w:rPr>
          <w:rFonts w:ascii="Arial" w:cs="Arial" w:eastAsia="Arial" w:hAnsi="Arial"/>
          <w:sz w:val="18"/>
          <w:szCs w:val="18"/>
          <w:color w:val="auto"/>
        </w:rPr>
        <w:t>In September 2016, the Company effected a 1-for-26 reverse stock split of all outstanding shares of the Company’s capital stock, including common stock and redeemable convertible preferred stock. All share, option, convertible promissory notes, warrant, and per share information presented in the financial statements has been adjusted to reflect the stock split on a retroactive basis for all periods presented and all share information is rounded down to the nearest whole share after reflecting the stock split.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Concurrent Private Placement</w:t>
      </w:r>
    </w:p>
    <w:p>
      <w:pPr>
        <w:spacing w:after="0" w:line="185" w:lineRule="exact"/>
        <w:rPr>
          <w:sz w:val="20"/>
          <w:szCs w:val="20"/>
          <w:color w:val="auto"/>
        </w:rPr>
      </w:pPr>
    </w:p>
    <w:p>
      <w:pPr>
        <w:ind w:right="60" w:firstLine="401"/>
        <w:spacing w:after="0" w:line="185" w:lineRule="exact"/>
        <w:rPr>
          <w:sz w:val="20"/>
          <w:szCs w:val="20"/>
          <w:color w:val="auto"/>
        </w:rPr>
      </w:pPr>
      <w:r>
        <w:rPr>
          <w:rFonts w:ascii="Arial" w:cs="Arial" w:eastAsia="Arial" w:hAnsi="Arial"/>
          <w:sz w:val="17"/>
          <w:szCs w:val="17"/>
          <w:color w:val="auto"/>
        </w:rPr>
        <w:t>On October 7, 2016, the Company’s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(File No. 333</w:t>
      </w:r>
      <w:r>
        <w:rPr>
          <w:rFonts w:ascii="MS PGothic" w:cs="MS PGothic" w:eastAsia="MS PGothic" w:hAnsi="MS PGothic"/>
          <w:sz w:val="17"/>
          <w:szCs w:val="17"/>
          <w:color w:val="auto"/>
        </w:rPr>
        <w:t>‑</w:t>
      </w:r>
      <w:r>
        <w:rPr>
          <w:rFonts w:ascii="Arial" w:cs="Arial" w:eastAsia="Arial" w:hAnsi="Arial"/>
          <w:sz w:val="17"/>
          <w:szCs w:val="17"/>
          <w:color w:val="auto"/>
        </w:rPr>
        <w:t>213569) relating to the initial public offering, (IPO), of its common stock was declared effective by the Securities and Exchange Commission (SEC). Pursuant to such Registration Statement, the Company sold 5,000,000 shares at an initial public offering price of $8.00 per share for net proceeds of $33.9 million to the Company, net of underwriting discounts and commissions, and offering costs. Concurrent with the IPO, the Company issued 625,000 shares of its common stock in a private placement for net proceeds of $4.7 million, after deducting the placement agent fee.</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connection with the IPO, the following events occurred:</w:t>
      </w:r>
    </w:p>
    <w:p>
      <w:pPr>
        <w:spacing w:after="0" w:line="77" w:lineRule="exact"/>
        <w:rPr>
          <w:sz w:val="20"/>
          <w:szCs w:val="20"/>
          <w:color w:val="auto"/>
        </w:rPr>
      </w:pPr>
    </w:p>
    <w:p>
      <w:pPr>
        <w:ind w:left="800" w:right="160" w:hanging="392"/>
        <w:spacing w:after="0" w:line="224"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aggregate of 2,486,199 shares of the Company’s common stock were issued to the holders of the redeemable convertible preferred stock upon the conversion of all shares of redeemable convertible preferred stock into common stock immediately prior to the closing of the IPO.</w:t>
      </w:r>
    </w:p>
    <w:p>
      <w:pPr>
        <w:spacing w:after="0" w:line="55" w:lineRule="exact"/>
        <w:rPr>
          <w:rFonts w:ascii="Arial" w:cs="Arial" w:eastAsia="Arial" w:hAnsi="Arial"/>
          <w:sz w:val="18"/>
          <w:szCs w:val="18"/>
          <w:color w:val="auto"/>
        </w:rPr>
      </w:pPr>
    </w:p>
    <w:p>
      <w:pPr>
        <w:ind w:left="800" w:right="320" w:hanging="392"/>
        <w:spacing w:after="0" w:line="235"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outstanding balance of the convertible promissory notes payable including accrued interest was converted into 1,361,009 shares of common stock.</w:t>
      </w:r>
    </w:p>
    <w:p>
      <w:pPr>
        <w:spacing w:after="0" w:line="53" w:lineRule="exact"/>
        <w:rPr>
          <w:rFonts w:ascii="Arial" w:cs="Arial" w:eastAsia="Arial" w:hAnsi="Arial"/>
          <w:sz w:val="18"/>
          <w:szCs w:val="18"/>
          <w:color w:val="auto"/>
        </w:rPr>
      </w:pPr>
    </w:p>
    <w:p>
      <w:pPr>
        <w:ind w:left="800" w:hanging="392"/>
        <w:spacing w:after="0" w:line="235"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the outstanding redeemable convertible preferred stock warrants converted to warrants to purchase shares of common stock upon the closing of the IPO.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185" w:lineRule="exact"/>
        <w:rPr>
          <w:sz w:val="20"/>
          <w:szCs w:val="20"/>
          <w:color w:val="auto"/>
        </w:rPr>
      </w:pPr>
    </w:p>
    <w:p>
      <w:pPr>
        <w:ind w:right="20" w:firstLine="401"/>
        <w:spacing w:after="0" w:line="221" w:lineRule="auto"/>
        <w:rPr>
          <w:sz w:val="20"/>
          <w:szCs w:val="20"/>
          <w:color w:val="auto"/>
        </w:rPr>
      </w:pPr>
      <w:r>
        <w:rPr>
          <w:rFonts w:ascii="Arial" w:cs="Arial" w:eastAsia="Arial" w:hAnsi="Arial"/>
          <w:sz w:val="17"/>
          <w:szCs w:val="17"/>
          <w:color w:val="auto"/>
        </w:rPr>
        <w:t>The Company believes that its existing cash and cash equivalents as of December 31, 2017, coupled with its anticipated growth and sales levels, and proceeds of $24.8 million to the Company, net of underwriting discounts and commissions, but before offering costs from the follow-on underwritten public offering in February 2018, will be sufficient to meet its anticipated cash requirements for at least the next 12 months from March 15, 2018.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80" w:firstLine="401"/>
        <w:spacing w:after="0" w:line="239"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(U.S. GAAP). The preparation of the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product warranty reserves, income taxes, and stock-based compensation. Actual results could differ from those estimates and assumptions.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right="60" w:firstLine="401"/>
        <w:spacing w:after="0" w:line="219" w:lineRule="auto"/>
        <w:rPr>
          <w:sz w:val="20"/>
          <w:szCs w:val="20"/>
          <w:color w:val="auto"/>
        </w:rPr>
      </w:pPr>
      <w:r>
        <w:rPr>
          <w:rFonts w:ascii="Arial" w:cs="Arial" w:eastAsia="Arial" w:hAnsi="Arial"/>
          <w:sz w:val="18"/>
          <w:szCs w:val="18"/>
          <w:color w:val="auto"/>
        </w:rPr>
        <w:t>The Company’s chief operating decision maker is its Chief Executive Officer. The Company operates its business as one operating segment for purposes of assessing performance and making operating decisions. All of the Company’s assets are maintained in the United States. The Company derives its revenue from domestic and international markets, based on the billing address of the customer.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The Company considers all highly liquid, short-term investments with maturity dates of three months or less at the date of purchase to be cash equivalents. The Company’s cash equivalents consist of money market funds.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 At December 31, 2017 and 2016, there was no allowance for doubtful accounts.</w:t>
      </w:r>
    </w:p>
    <w:p>
      <w:pPr>
        <w:spacing w:after="0" w:line="168" w:lineRule="exact"/>
        <w:rPr>
          <w:sz w:val="20"/>
          <w:szCs w:val="20"/>
          <w:color w:val="auto"/>
        </w:rPr>
      </w:pPr>
    </w:p>
    <w:p>
      <w:pPr>
        <w:ind w:right="40" w:firstLine="401"/>
        <w:spacing w:after="0" w:line="232" w:lineRule="auto"/>
        <w:rPr>
          <w:sz w:val="20"/>
          <w:szCs w:val="20"/>
          <w:color w:val="auto"/>
        </w:rPr>
      </w:pPr>
      <w:r>
        <w:rPr>
          <w:rFonts w:ascii="Arial" w:cs="Arial" w:eastAsia="Arial" w:hAnsi="Arial"/>
          <w:sz w:val="17"/>
          <w:szCs w:val="17"/>
          <w:color w:val="auto"/>
        </w:rPr>
        <w:t>The Company also establishes an allowance for product returns. The Company analyzes historical returns, current economic trends and changes in customer demand and acceptance of products when evaluating the adequacy of sales returns. As the returns are processed as credits on future purchases, the allowance is recorded against the balance of trade accounts receivable. The allowance was $147,000 and $188,000 at December 31, 2017 and 2016,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ind w:right="60" w:firstLine="401"/>
        <w:spacing w:after="0" w:line="249"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5" w:lineRule="exact"/>
        <w:rPr>
          <w:sz w:val="20"/>
          <w:szCs w:val="20"/>
          <w:color w:val="auto"/>
        </w:rPr>
      </w:pPr>
    </w:p>
    <w:p>
      <w:pPr>
        <w:ind w:firstLine="401"/>
        <w:spacing w:after="0" w:line="232" w:lineRule="auto"/>
        <w:rPr>
          <w:sz w:val="20"/>
          <w:szCs w:val="20"/>
          <w:color w:val="auto"/>
        </w:rPr>
      </w:pPr>
      <w:r>
        <w:rPr>
          <w:rFonts w:ascii="Arial" w:cs="Arial" w:eastAsia="Arial" w:hAnsi="Arial"/>
          <w:sz w:val="17"/>
          <w:szCs w:val="17"/>
          <w:color w:val="auto"/>
        </w:rPr>
        <w:t>Significant customers are those which represent more than 10% of the Company’s total revenue or gross accounts receivable balance at each respective balance sheet date. For the purposes of this disclosure, the Company defines “customer” as the entity that is purchasing the products directly from the Company, which includes the distributors of the Company’s products in addition to end customers that the Company sells to directly. For each significant customer,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revenue as a percentage of total revenue and accounts receivable as a percentage of total accounts receivable, net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w w:val="92"/>
              </w:rPr>
              <w:t>Revenue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0"/>
              </w:rPr>
              <w:t>Accounts Receivable</w:t>
            </w:r>
          </w:p>
        </w:tc>
        <w:tc>
          <w:tcPr>
            <w:tcW w:w="0" w:type="dxa"/>
            <w:vAlign w:val="bottom"/>
          </w:tcPr>
          <w:p>
            <w:pPr>
              <w:spacing w:after="0"/>
              <w:rPr>
                <w:sz w:val="1"/>
                <w:szCs w:val="1"/>
                <w:color w:val="auto"/>
              </w:rPr>
            </w:pPr>
          </w:p>
        </w:tc>
      </w:tr>
      <w:tr>
        <w:trPr>
          <w:trHeight w:val="12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1920" w:type="dxa"/>
            <w:vAlign w:val="bottom"/>
            <w:tcBorders>
              <w:top w:val="single" w:sz="8" w:color="auto"/>
              <w:bottom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Pr>
          <w:p>
            <w:pPr>
              <w:spacing w:after="0"/>
              <w:rPr>
                <w:sz w:val="11"/>
                <w:szCs w:val="11"/>
                <w:color w:val="auto"/>
              </w:rPr>
            </w:pPr>
          </w:p>
        </w:tc>
        <w:tc>
          <w:tcPr>
            <w:tcW w:w="152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gridSpan w:val="2"/>
            <w:vMerge w:val="continue"/>
          </w:tcPr>
          <w:p>
            <w:pPr>
              <w:spacing w:after="0"/>
              <w:rPr>
                <w:sz w:val="11"/>
                <w:szCs w:val="11"/>
                <w:color w:val="auto"/>
              </w:rPr>
            </w:pPr>
          </w:p>
        </w:tc>
        <w:tc>
          <w:tcPr>
            <w:tcW w:w="4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1"/>
                <w:szCs w:val="11"/>
                <w:color w:val="auto"/>
              </w:rPr>
            </w:pPr>
          </w:p>
        </w:tc>
        <w:tc>
          <w:tcPr>
            <w:tcW w:w="540" w:type="dxa"/>
            <w:vAlign w:val="bottom"/>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4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1"/>
                <w:szCs w:val="11"/>
                <w:color w:val="auto"/>
              </w:rPr>
            </w:pPr>
          </w:p>
        </w:tc>
        <w:tc>
          <w:tcPr>
            <w:tcW w:w="70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66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Customer A</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3400" w:type="dxa"/>
            <w:vAlign w:val="bottom"/>
            <w:gridSpan w:val="2"/>
          </w:tcPr>
          <w:p>
            <w:pPr>
              <w:spacing w:after="0" w:line="176" w:lineRule="exact"/>
              <w:rPr>
                <w:sz w:val="20"/>
                <w:szCs w:val="20"/>
                <w:color w:val="auto"/>
              </w:rPr>
            </w:pPr>
            <w:r>
              <w:rPr>
                <w:rFonts w:ascii="Arial" w:cs="Arial" w:eastAsia="Arial" w:hAnsi="Arial"/>
                <w:sz w:val="18"/>
                <w:szCs w:val="18"/>
                <w:color w:val="auto"/>
              </w:rPr>
              <w:t>Customer B</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Customer C</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5"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right="80" w:firstLine="401"/>
        <w:spacing w:after="0" w:line="216" w:lineRule="auto"/>
        <w:rPr>
          <w:sz w:val="20"/>
          <w:szCs w:val="20"/>
          <w:color w:val="auto"/>
        </w:rPr>
      </w:pPr>
      <w:r>
        <w:rPr>
          <w:rFonts w:ascii="Arial" w:cs="Arial" w:eastAsia="Arial" w:hAnsi="Arial"/>
          <w:sz w:val="18"/>
          <w:szCs w:val="18"/>
          <w:color w:val="auto"/>
        </w:rPr>
        <w:t>Inventory is valued at the lower of cost, using the first-in, first-out or specific identification method, or market. The carrying value of inventory is adjusted for excess and obsolete inventory based on inventory age, shipment history and the forecast of demand over a specific future period. At the point of loss recognition, a new lower cost basis for that inventory is established and subsequent changes in facts and circumstances do not result in the restoration or increase in that new cost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160" w:firstLine="401"/>
        <w:spacing w:after="0" w:line="212"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—Inputs are unadjusted quoted prices in active markets for identical assets or liabilities at the measurement date.</w:t>
      </w:r>
    </w:p>
    <w:p>
      <w:pPr>
        <w:spacing w:after="0" w:line="100" w:lineRule="exact"/>
        <w:rPr>
          <w:sz w:val="20"/>
          <w:szCs w:val="20"/>
          <w:color w:val="auto"/>
        </w:rPr>
      </w:pPr>
    </w:p>
    <w:p>
      <w:pPr>
        <w:ind w:left="400" w:right="40"/>
        <w:spacing w:after="0" w:line="22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market prices included in Level 1) are either directly or indirectly observable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through correlation with market data at the measurement date and for the duration of the instrument’s anticipated life.</w:t>
      </w:r>
    </w:p>
    <w:p>
      <w:pPr>
        <w:spacing w:after="0" w:line="55" w:lineRule="exact"/>
        <w:rPr>
          <w:sz w:val="20"/>
          <w:szCs w:val="20"/>
          <w:color w:val="auto"/>
        </w:rPr>
      </w:pPr>
    </w:p>
    <w:p>
      <w:pPr>
        <w:ind w:left="400" w:right="400"/>
        <w:spacing w:after="0" w:line="224"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reflect management’s best estimate of what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at the measurement date. Consideration is given to the risk inherent in the valuation technique and the risk inherent in the inputs to the model.</w:t>
      </w:r>
    </w:p>
    <w:p>
      <w:pPr>
        <w:spacing w:after="0" w:line="163" w:lineRule="exact"/>
        <w:rPr>
          <w:sz w:val="20"/>
          <w:szCs w:val="20"/>
          <w:color w:val="auto"/>
        </w:rPr>
      </w:pPr>
    </w:p>
    <w:p>
      <w:pPr>
        <w:ind w:right="120" w:firstLine="401"/>
        <w:spacing w:after="0" w:line="244" w:lineRule="auto"/>
        <w:rPr>
          <w:sz w:val="20"/>
          <w:szCs w:val="20"/>
          <w:color w:val="auto"/>
        </w:rPr>
      </w:pPr>
      <w:r>
        <w:rPr>
          <w:rFonts w:ascii="Arial" w:cs="Arial" w:eastAsia="Arial" w:hAnsi="Arial"/>
          <w:sz w:val="16"/>
          <w:szCs w:val="16"/>
          <w:color w:val="auto"/>
        </w:rPr>
        <w:t>The carrying value of accounts receivable, accounts payable, and other accruals readily convertible into cash approximate fair value because of the short-term nature of the instruments.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primarily of highly liquid money market funds that are included in cash equivalents.</w:t>
      </w:r>
    </w:p>
    <w:p>
      <w:pPr>
        <w:spacing w:after="0" w:line="159"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5"/>
              </w:rPr>
              <w:t>December 31, 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Total</w:t>
            </w:r>
          </w:p>
        </w:tc>
        <w:tc>
          <w:tcPr>
            <w:tcW w:w="1820" w:type="dxa"/>
            <w:vAlign w:val="bottom"/>
          </w:tcPr>
          <w:p>
            <w:pPr>
              <w:spacing w:after="0"/>
              <w:rPr>
                <w:sz w:val="11"/>
                <w:szCs w:val="11"/>
                <w:color w:val="auto"/>
              </w:rPr>
            </w:pPr>
          </w:p>
        </w:tc>
      </w:tr>
      <w:tr>
        <w:trPr>
          <w:trHeight w:val="169"/>
        </w:trPr>
        <w:tc>
          <w:tcPr>
            <w:tcW w:w="34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9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20" w:type="dxa"/>
            <w:vAlign w:val="bottom"/>
          </w:tcPr>
          <w:p>
            <w:pPr>
              <w:spacing w:after="0"/>
              <w:rPr>
                <w:sz w:val="14"/>
                <w:szCs w:val="14"/>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13,369</w:t>
            </w:r>
          </w:p>
        </w:tc>
        <w:tc>
          <w:tcPr>
            <w:tcW w:w="3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line="176"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13,369</w:t>
            </w:r>
          </w:p>
        </w:tc>
        <w:tc>
          <w:tcPr>
            <w:tcW w:w="1820" w:type="dxa"/>
            <w:vAlign w:val="bottom"/>
          </w:tcPr>
          <w:p>
            <w:pPr>
              <w:spacing w:after="0"/>
              <w:rPr>
                <w:sz w:val="15"/>
                <w:szCs w:val="15"/>
                <w:color w:val="auto"/>
              </w:rPr>
            </w:pPr>
          </w:p>
        </w:tc>
      </w:tr>
      <w:tr>
        <w:trPr>
          <w:trHeight w:val="176"/>
        </w:trPr>
        <w:tc>
          <w:tcPr>
            <w:tcW w:w="34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assets measured at fair value</w:t>
            </w: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13,369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60"/>
              <w:spacing w:after="0" w:line="170"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13,369</w:t>
            </w:r>
          </w:p>
        </w:tc>
        <w:tc>
          <w:tcPr>
            <w:tcW w:w="1820" w:type="dxa"/>
            <w:vAlign w:val="bottom"/>
          </w:tcPr>
          <w:p>
            <w:pPr>
              <w:spacing w:after="0"/>
              <w:rPr>
                <w:sz w:val="15"/>
                <w:szCs w:val="15"/>
                <w:color w:val="auto"/>
              </w:rPr>
            </w:pPr>
          </w:p>
        </w:tc>
      </w:tr>
      <w:tr>
        <w:trPr>
          <w:trHeight w:val="810"/>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74"/>
              <w:spacing w:after="0"/>
              <w:rPr>
                <w:sz w:val="20"/>
                <w:szCs w:val="20"/>
                <w:color w:val="auto"/>
              </w:rPr>
            </w:pPr>
            <w:r>
              <w:rPr>
                <w:rFonts w:ascii="Arial" w:cs="Arial" w:eastAsia="Arial" w:hAnsi="Arial"/>
                <w:sz w:val="18"/>
                <w:szCs w:val="18"/>
                <w:color w:val="auto"/>
                <w:w w:val="89"/>
              </w:rPr>
              <w:t>63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2"/>
        </w:trPr>
        <w:tc>
          <w:tcPr>
            <w:tcW w:w="34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5"/>
              </w:rPr>
              <w:t>December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Level 1</w:t>
            </w:r>
          </w:p>
        </w:tc>
        <w:tc>
          <w:tcPr>
            <w:tcW w:w="14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1"/>
                <w:szCs w:val="11"/>
                <w:color w:val="auto"/>
              </w:rPr>
            </w:pPr>
          </w:p>
        </w:tc>
        <w:tc>
          <w:tcPr>
            <w:tcW w:w="5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r>
      <w:tr>
        <w:trPr>
          <w:trHeight w:val="169"/>
        </w:trPr>
        <w:tc>
          <w:tcPr>
            <w:tcW w:w="34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9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Money market funds</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29,869</w:t>
            </w:r>
          </w:p>
        </w:tc>
        <w:tc>
          <w:tcPr>
            <w:tcW w:w="3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0"/>
              </w:rPr>
              <w:t>29,869</w:t>
            </w:r>
          </w:p>
        </w:tc>
      </w:tr>
      <w:tr>
        <w:trPr>
          <w:trHeight w:val="176"/>
        </w:trPr>
        <w:tc>
          <w:tcPr>
            <w:tcW w:w="34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assets measured at fair value</w:t>
            </w: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29,869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29,869</w:t>
            </w:r>
          </w:p>
        </w:tc>
      </w:tr>
    </w:tbl>
    <w:p>
      <w:pPr>
        <w:spacing w:after="0" w:line="323" w:lineRule="exact"/>
        <w:rPr>
          <w:sz w:val="20"/>
          <w:szCs w:val="20"/>
          <w:color w:val="auto"/>
        </w:rPr>
      </w:pPr>
    </w:p>
    <w:p>
      <w:pPr>
        <w:ind w:right="79" w:firstLine="401"/>
        <w:spacing w:after="0" w:line="258" w:lineRule="auto"/>
        <w:rPr>
          <w:sz w:val="20"/>
          <w:szCs w:val="20"/>
          <w:color w:val="auto"/>
        </w:rPr>
      </w:pPr>
      <w:r>
        <w:rPr>
          <w:rFonts w:ascii="Arial" w:cs="Arial" w:eastAsia="Arial" w:hAnsi="Arial"/>
          <w:sz w:val="17"/>
          <w:szCs w:val="17"/>
          <w:color w:val="auto"/>
        </w:rPr>
        <w:t>The following table sets forth a summary of the changes in the fair value of the redeemable convertible preferred stock warrant liability, a Level 3 financial liability, which is measured on a recurring basis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56"/>
        </w:trPr>
        <w:tc>
          <w:tcPr>
            <w:tcW w:w="50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6"/>
              </w:rPr>
              <w:t>2015</w:t>
            </w:r>
          </w:p>
        </w:tc>
      </w:tr>
      <w:tr>
        <w:trPr>
          <w:trHeight w:val="169"/>
        </w:trPr>
        <w:tc>
          <w:tcPr>
            <w:tcW w:w="5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7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145</w:t>
            </w: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rPr>
              <w:t>Issuance of redeemable convertible preferred stock warrants</w:t>
            </w:r>
          </w:p>
        </w:tc>
        <w:tc>
          <w:tcPr>
            <w:tcW w:w="120" w:type="dxa"/>
            <w:vAlign w:val="bottom"/>
          </w:tcPr>
          <w:p>
            <w:pPr>
              <w:spacing w:after="0"/>
              <w:rPr>
                <w:sz w:val="15"/>
                <w:szCs w:val="15"/>
                <w:color w:val="auto"/>
              </w:rPr>
            </w:pPr>
          </w:p>
        </w:tc>
        <w:tc>
          <w:tcPr>
            <w:tcW w:w="480" w:type="dxa"/>
            <w:vAlign w:val="bottom"/>
          </w:tcPr>
          <w:p>
            <w:pPr>
              <w:ind w:left="240"/>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307</w:t>
            </w:r>
          </w:p>
        </w:tc>
      </w:tr>
      <w:tr>
        <w:trPr>
          <w:trHeight w:val="176"/>
        </w:trPr>
        <w:tc>
          <w:tcPr>
            <w:tcW w:w="5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recorded in other income, net</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r>
      <w:tr>
        <w:trPr>
          <w:trHeight w:val="176"/>
        </w:trPr>
        <w:tc>
          <w:tcPr>
            <w:tcW w:w="50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Reclassification to additional paid-in capital</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40"/>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0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240"/>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437</w:t>
            </w:r>
          </w:p>
        </w:tc>
      </w:tr>
    </w:tbl>
    <w:p>
      <w:pPr>
        <w:spacing w:after="0" w:line="148" w:lineRule="exact"/>
        <w:rPr>
          <w:sz w:val="20"/>
          <w:szCs w:val="20"/>
          <w:color w:val="auto"/>
        </w:rPr>
      </w:pPr>
    </w:p>
    <w:p>
      <w:pPr>
        <w:ind w:right="219" w:firstLine="401"/>
        <w:spacing w:after="0" w:line="235" w:lineRule="auto"/>
        <w:rPr>
          <w:sz w:val="20"/>
          <w:szCs w:val="20"/>
          <w:color w:val="auto"/>
        </w:rPr>
      </w:pPr>
      <w:r>
        <w:rPr>
          <w:rFonts w:ascii="Arial" w:cs="Arial" w:eastAsia="Arial" w:hAnsi="Arial"/>
          <w:sz w:val="18"/>
          <w:szCs w:val="18"/>
          <w:color w:val="auto"/>
        </w:rPr>
        <w:t>The key assumptions used in the Black-Scholes option-pricing model for the valuation of the redeemable convertible preferred stock warrants were: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56"/>
        </w:trPr>
        <w:tc>
          <w:tcPr>
            <w:tcW w:w="276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30"/>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r>
      <w:tr>
        <w:trPr>
          <w:trHeight w:val="169"/>
        </w:trPr>
        <w:tc>
          <w:tcPr>
            <w:tcW w:w="2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ind w:left="60"/>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42.4 – 52.0</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43.6 –</w:t>
            </w:r>
          </w:p>
        </w:tc>
        <w:tc>
          <w:tcPr>
            <w:tcW w:w="4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52.9</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276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 %</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0"/>
              </w:rPr>
              <w:t>1.22 – 1.86</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1"/>
              </w:rPr>
              <w:t>1.76 –</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w w:val="91"/>
              </w:rPr>
              <w:t>2.27</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r>
      <w:tr>
        <w:trPr>
          <w:trHeight w:val="176"/>
        </w:trPr>
        <w:tc>
          <w:tcPr>
            <w:tcW w:w="2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 – 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1"/>
              </w:rPr>
              <w:t>– 10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26.00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2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 %</w:t>
            </w:r>
          </w:p>
        </w:tc>
        <w:tc>
          <w:tcPr>
            <w:tcW w:w="11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jc w:val="both"/>
        <w:ind w:right="139" w:firstLine="401"/>
        <w:spacing w:after="0" w:line="238"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Useful Lives</w:t>
            </w:r>
          </w:p>
        </w:tc>
      </w:tr>
      <w:tr>
        <w:trPr>
          <w:trHeight w:val="169"/>
        </w:trPr>
        <w:tc>
          <w:tcPr>
            <w:tcW w:w="5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Computer and network equipment</w:t>
            </w:r>
          </w:p>
        </w:tc>
        <w:tc>
          <w:tcPr>
            <w:tcW w:w="13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 years</w:t>
            </w:r>
          </w:p>
        </w:tc>
      </w:tr>
      <w:tr>
        <w:trPr>
          <w:trHeight w:val="176"/>
        </w:trPr>
        <w:tc>
          <w:tcPr>
            <w:tcW w:w="5900" w:type="dxa"/>
            <w:vAlign w:val="bottom"/>
          </w:tcPr>
          <w:p>
            <w:pPr>
              <w:spacing w:after="0" w:line="176" w:lineRule="exact"/>
              <w:rPr>
                <w:sz w:val="20"/>
                <w:szCs w:val="20"/>
                <w:color w:val="auto"/>
              </w:rPr>
            </w:pPr>
            <w:r>
              <w:rPr>
                <w:rFonts w:ascii="Arial" w:cs="Arial" w:eastAsia="Arial" w:hAnsi="Arial"/>
                <w:sz w:val="18"/>
                <w:szCs w:val="18"/>
                <w:color w:val="auto"/>
              </w:rPr>
              <w:t>Manufacturing equipment</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2 – 7 years</w:t>
            </w:r>
          </w:p>
        </w:tc>
      </w:tr>
      <w:tr>
        <w:trPr>
          <w:trHeight w:val="176"/>
        </w:trPr>
        <w:tc>
          <w:tcPr>
            <w:tcW w:w="5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fixtures</w:t>
            </w: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 years</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Software</w:t>
            </w:r>
          </w:p>
        </w:tc>
        <w:tc>
          <w:tcPr>
            <w:tcW w:w="1340" w:type="dxa"/>
            <w:vAlign w:val="bottom"/>
          </w:tcPr>
          <w:p>
            <w:pPr>
              <w:jc w:val="right"/>
              <w:spacing w:after="0"/>
              <w:rPr>
                <w:sz w:val="20"/>
                <w:szCs w:val="20"/>
                <w:color w:val="auto"/>
              </w:rPr>
            </w:pPr>
            <w:r>
              <w:rPr>
                <w:rFonts w:ascii="Arial" w:cs="Arial" w:eastAsia="Arial" w:hAnsi="Arial"/>
                <w:sz w:val="18"/>
                <w:szCs w:val="18"/>
                <w:color w:val="auto"/>
              </w:rPr>
              <w:t>3 years</w:t>
            </w:r>
          </w:p>
        </w:tc>
      </w:tr>
    </w:tbl>
    <w:p>
      <w:pPr>
        <w:spacing w:after="0" w:line="93" w:lineRule="exact"/>
        <w:rPr>
          <w:sz w:val="20"/>
          <w:szCs w:val="20"/>
          <w:color w:val="auto"/>
        </w:rPr>
      </w:pPr>
    </w:p>
    <w:p>
      <w:pPr>
        <w:ind w:right="359" w:firstLine="401"/>
        <w:spacing w:after="0" w:line="219" w:lineRule="auto"/>
        <w:rPr>
          <w:sz w:val="20"/>
          <w:szCs w:val="20"/>
          <w:color w:val="auto"/>
        </w:rPr>
      </w:pPr>
      <w:r>
        <w:rPr>
          <w:rFonts w:ascii="Arial" w:cs="Arial" w:eastAsia="Arial" w:hAnsi="Arial"/>
          <w:sz w:val="18"/>
          <w:szCs w:val="18"/>
          <w:color w:val="auto"/>
        </w:rPr>
        <w:t>Leasehold improvements are amortized over the shorter of the lease term or useful life. Upon sale or retirement of assets, the cost and related accumulated depreciation are removed from the balance sheet and the resulting gain or loss is reflected in operations. Amortization expense of assets acquired through capital leases is included in the statements of operations and comprehensive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279" w:firstLine="401"/>
        <w:spacing w:after="0" w:line="241" w:lineRule="auto"/>
        <w:rPr>
          <w:sz w:val="20"/>
          <w:szCs w:val="20"/>
          <w:color w:val="auto"/>
        </w:rPr>
      </w:pPr>
      <w:r>
        <w:rPr>
          <w:rFonts w:ascii="Arial" w:cs="Arial" w:eastAsia="Arial" w:hAnsi="Arial"/>
          <w:sz w:val="16"/>
          <w:szCs w:val="16"/>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the asset is expected to generate over its remaining life. If the asset is considered to be impaired, the amount of any impairment is measured as the difference between the carrying value and the fair value of the impaired asset. There have been no impairments of the Company’s long-lived assets during any of the periods presented.</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ind w:right="120" w:firstLine="401"/>
        <w:spacing w:after="0" w:line="224" w:lineRule="auto"/>
        <w:rPr>
          <w:sz w:val="20"/>
          <w:szCs w:val="20"/>
          <w:color w:val="auto"/>
        </w:rPr>
      </w:pPr>
      <w:r>
        <w:rPr>
          <w:rFonts w:ascii="Arial" w:cs="Arial" w:eastAsia="Arial" w:hAnsi="Arial"/>
          <w:sz w:val="18"/>
          <w:szCs w:val="18"/>
          <w:color w:val="auto"/>
        </w:rPr>
        <w:t>Intangible assets consist of the cost of acquired technology for use in research and development activities. Costs associated with patent applications, patent prosecution, patent defense and maintenance of patents are charged to expense as incurred. Intangible assets were fully amortized as of December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85" w:lineRule="exact"/>
        <w:rPr>
          <w:sz w:val="20"/>
          <w:szCs w:val="20"/>
          <w:color w:val="auto"/>
        </w:rPr>
      </w:pPr>
    </w:p>
    <w:p>
      <w:pPr>
        <w:ind w:right="240" w:firstLine="401"/>
        <w:spacing w:after="0" w:line="239" w:lineRule="auto"/>
        <w:rPr>
          <w:sz w:val="20"/>
          <w:szCs w:val="20"/>
          <w:color w:val="auto"/>
        </w:rPr>
      </w:pPr>
      <w:r>
        <w:rPr>
          <w:rFonts w:ascii="Arial" w:cs="Arial" w:eastAsia="Arial" w:hAnsi="Arial"/>
          <w:sz w:val="16"/>
          <w:szCs w:val="16"/>
          <w:color w:val="auto"/>
        </w:rPr>
        <w:t>Warrants for shares that were contingently redeemable were classified as liabilities on the balance sheet at their estimated fair value because the shares underlying the warrants may have obligated the Company to transfer assets to the holders at a future date under certain circumstances such as a deemed liquidation event. The warrants were subject to re-measurement at each balance sheet date and the change in fair value, if any, was recognized as other income, net in the statements of operations. The Company adjusted the liability for changes in fair value until the completion of the IPO in October 2016, at which time all redeemable convertible preferred stock warrants were converted into warrants to purchase common stock and the liability was reclassified to additional paid-in capital and no longer subject to remeasurement.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firstLine="401"/>
        <w:spacing w:after="0" w:line="225" w:lineRule="auto"/>
        <w:rPr>
          <w:sz w:val="20"/>
          <w:szCs w:val="20"/>
          <w:color w:val="auto"/>
        </w:rPr>
      </w:pPr>
      <w:r>
        <w:rPr>
          <w:rFonts w:ascii="Arial" w:cs="Arial" w:eastAsia="Arial" w:hAnsi="Arial"/>
          <w:sz w:val="17"/>
          <w:szCs w:val="17"/>
          <w:color w:val="auto"/>
        </w:rPr>
        <w:t>The Company recognizes revenue when the following criteria are met: persuasive evidence of an arrangement exists; the price is fixed or determinable; delivery has occurred and title passed; and collectibility is reasonably assured. For sales to original equipment manufacturers (OEMs) and contract manufacturers, this occurs generally upon shipment. Provisions for product returns and allowances are recorded in the same period as related revenues. The Company analyzes historical returns, current economic trends and changes in customer demand and acceptance of product when evaluating the adequacy of sales returns and other allowances, which are netted against accounts receivable, as these are processed as credits against future purchases or balances outstanding.</w:t>
      </w:r>
    </w:p>
    <w:p>
      <w:pPr>
        <w:spacing w:after="0" w:line="162" w:lineRule="exact"/>
        <w:rPr>
          <w:sz w:val="20"/>
          <w:szCs w:val="20"/>
          <w:color w:val="auto"/>
        </w:rPr>
      </w:pPr>
    </w:p>
    <w:p>
      <w:pPr>
        <w:ind w:right="20" w:firstLine="401"/>
        <w:spacing w:after="0" w:line="236"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resell the Company’s products to end customers at a very broad range of individually negotiated price points. Distributors are provided with price concessions subsequent to delivery of product to them depending on their end customer and sales price. These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Revenue on shipments to distributors is deferred as the price is not fixed or determinable until delivery has been made by the distributor to its customer and the final sales price has been established.</w:t>
      </w:r>
    </w:p>
    <w:p>
      <w:pPr>
        <w:spacing w:after="0" w:line="163" w:lineRule="exact"/>
        <w:rPr>
          <w:sz w:val="20"/>
          <w:szCs w:val="20"/>
          <w:color w:val="auto"/>
        </w:rPr>
      </w:pPr>
    </w:p>
    <w:p>
      <w:pPr>
        <w:ind w:right="60" w:firstLine="401"/>
        <w:spacing w:after="0" w:line="212" w:lineRule="auto"/>
        <w:rPr>
          <w:sz w:val="20"/>
          <w:szCs w:val="20"/>
          <w:color w:val="auto"/>
        </w:rPr>
      </w:pPr>
      <w:r>
        <w:rPr>
          <w:rFonts w:ascii="Arial" w:cs="Arial" w:eastAsia="Arial" w:hAnsi="Arial"/>
          <w:sz w:val="18"/>
          <w:szCs w:val="18"/>
          <w:color w:val="auto"/>
        </w:rPr>
        <w:t>At the time of shipment to distributors, the Company records a trade receivable for the selling price as there is a legally enforceable obligation of the distributor to pay for the product delivered, inventory is reduced by the carrying value of goods shipped, and the net of these amounts, the gross profit, is recorded as deferred income on shipments to distributors on the balance sheet. The amount of gross profit that will be ultimately recognized in the statements of operations on such sales could be lower than the deferred income recorded on the balance sheets as a result of credits granted to distributors from the price protection rights. The Company is unable to estimate the credits to the distributors due to the wide variability of negotiated price concessions granted to them.</w:t>
      </w:r>
    </w:p>
    <w:p>
      <w:pPr>
        <w:spacing w:after="0" w:line="165" w:lineRule="exact"/>
        <w:rPr>
          <w:sz w:val="20"/>
          <w:szCs w:val="20"/>
          <w:color w:val="auto"/>
        </w:rPr>
      </w:pPr>
    </w:p>
    <w:p>
      <w:pPr>
        <w:ind w:right="40" w:firstLine="401"/>
        <w:spacing w:after="0" w:line="225" w:lineRule="auto"/>
        <w:rPr>
          <w:sz w:val="20"/>
          <w:szCs w:val="20"/>
          <w:color w:val="auto"/>
        </w:rPr>
      </w:pPr>
      <w:r>
        <w:rPr>
          <w:rFonts w:ascii="Arial" w:cs="Arial" w:eastAsia="Arial" w:hAnsi="Arial"/>
          <w:sz w:val="17"/>
          <w:szCs w:val="17"/>
          <w:color w:val="auto"/>
        </w:rPr>
        <w:t>Thus, a portion of the “deferred income on shipments to distributors” balance represents the amount of distributors’ original purchase price that will be credited back to the distributor in the future. The wide range and variability of negotiated price concessions granted to distributors does not allow the Company to accurately estimate the portion of the balance in the deferred income on shipments to distributor accounts that will be credited back to the distributor. Therefore, the Company does not reduce deferred income on shipments to distributors or accounts receivable by anticipated future price concessions rather, price concessions are recorded against deferred income on shipments to distributors when incurred, which is generally at the time the distributor sells the product.</w:t>
      </w:r>
    </w:p>
    <w:p>
      <w:pPr>
        <w:spacing w:after="0" w:line="162" w:lineRule="exact"/>
        <w:rPr>
          <w:sz w:val="20"/>
          <w:szCs w:val="20"/>
          <w:color w:val="auto"/>
        </w:rPr>
      </w:pPr>
    </w:p>
    <w:p>
      <w:pPr>
        <w:ind w:right="280" w:firstLine="401"/>
        <w:spacing w:after="0" w:line="289" w:lineRule="auto"/>
        <w:rPr>
          <w:sz w:val="20"/>
          <w:szCs w:val="20"/>
          <w:color w:val="auto"/>
        </w:rPr>
      </w:pPr>
      <w:r>
        <w:rPr>
          <w:rFonts w:ascii="Arial" w:cs="Arial" w:eastAsia="Arial" w:hAnsi="Arial"/>
          <w:sz w:val="16"/>
          <w:szCs w:val="16"/>
          <w:color w:val="auto"/>
        </w:rPr>
        <w:t>At December 31, 2017, the Company had $2.6 million of deferred revenue and $0.9 million of deferred cost of sales recognized as $1.7 million of deferred income on shipments to distributors. At December 31, 2016, the Company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had $2.9 million of deferred revenue and $1.1 million of deferred cost of sales recognized as $1.8 million of deferred income on shipments to distributors.</w:t>
      </w:r>
    </w:p>
    <w:p>
      <w:pPr>
        <w:spacing w:after="0" w:line="162" w:lineRule="exact"/>
        <w:rPr>
          <w:sz w:val="20"/>
          <w:szCs w:val="20"/>
          <w:color w:val="auto"/>
        </w:rPr>
      </w:pPr>
    </w:p>
    <w:p>
      <w:pPr>
        <w:ind w:right="20" w:firstLine="401"/>
        <w:spacing w:after="0" w:line="229" w:lineRule="auto"/>
        <w:rPr>
          <w:sz w:val="20"/>
          <w:szCs w:val="20"/>
          <w:color w:val="auto"/>
        </w:rPr>
      </w:pPr>
      <w:r>
        <w:rPr>
          <w:rFonts w:ascii="Arial" w:cs="Arial" w:eastAsia="Arial" w:hAnsi="Arial"/>
          <w:sz w:val="17"/>
          <w:szCs w:val="17"/>
          <w:color w:val="auto"/>
        </w:rPr>
        <w:t>Products returned by distributors and subsequently scrapped have historically been immaterial to the Company’s results of operations. The Company routinely evaluates the risk of impairment of the deferred cost of sales component of the deferred income on shipments to distributors account. Because of the historically immaterial amounts of inventory that have been scrapped, and historically rare instances where discounts given to a distributor result in a price less than our cost, the Company believes the deferred costs are recorded at their approximate carrying values.</w:t>
      </w:r>
    </w:p>
    <w:p>
      <w:pPr>
        <w:spacing w:after="0" w:line="161" w:lineRule="exact"/>
        <w:rPr>
          <w:sz w:val="20"/>
          <w:szCs w:val="20"/>
          <w:color w:val="auto"/>
        </w:rPr>
      </w:pPr>
    </w:p>
    <w:p>
      <w:pPr>
        <w:ind w:right="100" w:firstLine="401"/>
        <w:spacing w:after="0" w:line="241" w:lineRule="auto"/>
        <w:rPr>
          <w:sz w:val="20"/>
          <w:szCs w:val="20"/>
          <w:color w:val="auto"/>
        </w:rPr>
      </w:pPr>
      <w:r>
        <w:rPr>
          <w:rFonts w:ascii="Arial" w:cs="Arial" w:eastAsia="Arial" w:hAnsi="Arial"/>
          <w:sz w:val="16"/>
          <w:szCs w:val="16"/>
          <w:color w:val="auto"/>
        </w:rPr>
        <w:t>For licenses of technology, recognition of revenue is dependent upon whether the Company delivered rights to the technology, and whether there are future performance obligations. In some instances, the license agreements call for future milestones to be met for amounts to be due from the customer. In such scenarios, revenue is recognized using the milestone method, whereby revenue is recognized upon the completion of substantive milestones once the customers acknowledge the milestones have been met and the collection of the amounts are reasonably assured. Royalties received are recognized when reported to the Company, which generally coincides with the receipt of payment.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85" w:lineRule="exact"/>
        <w:rPr>
          <w:sz w:val="20"/>
          <w:szCs w:val="20"/>
          <w:color w:val="auto"/>
        </w:rPr>
      </w:pPr>
    </w:p>
    <w:p>
      <w:pPr>
        <w:ind w:right="80" w:firstLine="401"/>
        <w:spacing w:after="0" w:line="244" w:lineRule="auto"/>
        <w:rPr>
          <w:sz w:val="20"/>
          <w:szCs w:val="20"/>
          <w:color w:val="auto"/>
        </w:rPr>
      </w:pPr>
      <w:r>
        <w:rPr>
          <w:rFonts w:ascii="Arial" w:cs="Arial" w:eastAsia="Arial" w:hAnsi="Arial"/>
          <w:sz w:val="16"/>
          <w:szCs w:val="16"/>
          <w:color w:val="auto"/>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 December 31, 2017 and 2016, as the estimated future warranty costs were insignificant based on the Company’s historical experience.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140" w:firstLine="401"/>
        <w:spacing w:after="0" w:line="229" w:lineRule="auto"/>
        <w:rPr>
          <w:sz w:val="20"/>
          <w:szCs w:val="20"/>
          <w:color w:val="auto"/>
        </w:rPr>
      </w:pPr>
      <w:r>
        <w:rPr>
          <w:rFonts w:ascii="Arial" w:cs="Arial" w:eastAsia="Arial" w:hAnsi="Arial"/>
          <w:sz w:val="17"/>
          <w:szCs w:val="17"/>
          <w:color w:val="auto"/>
        </w:rPr>
        <w:t>Research and development expenses are incurred in support of internal development programs or as part of our joint development agreement with GLOBALFOUNDRIES (see Note 9).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right="120" w:firstLine="401"/>
        <w:spacing w:after="0" w:line="224" w:lineRule="auto"/>
        <w:rPr>
          <w:sz w:val="20"/>
          <w:szCs w:val="20"/>
          <w:color w:val="auto"/>
        </w:rPr>
      </w:pPr>
      <w:r>
        <w:rPr>
          <w:rFonts w:ascii="Arial" w:cs="Arial" w:eastAsia="Arial" w:hAnsi="Arial"/>
          <w:sz w:val="18"/>
          <w:szCs w:val="18"/>
          <w:color w:val="auto"/>
        </w:rPr>
        <w:t>Stock-based compensation arrangements include stock option grants and restricted stock unit (RSU) awards under our equity incentive plans, as well as shares issued under our Employee Stock Purchase Plan (ESPP), through which employees may purchase our common stock at a discount to the market price.</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measures its stock-based awards made to employees based on the estimated fair value of the awards as of the grant date using the Black-Scholes option-pricing model. Stock-based compensation expense is recognized over the requisite service period using the straight-line method. The Company has made an accounting policy election to account for forfeitures as they occur, rather than estimating expected forfeitures at the time of the grant.</w:t>
      </w:r>
    </w:p>
    <w:p>
      <w:pPr>
        <w:spacing w:after="0" w:line="122" w:lineRule="exact"/>
        <w:rPr>
          <w:sz w:val="20"/>
          <w:szCs w:val="20"/>
          <w:color w:val="auto"/>
        </w:rPr>
      </w:pPr>
    </w:p>
    <w:p>
      <w:pPr>
        <w:ind w:right="40" w:firstLine="401"/>
        <w:spacing w:after="0" w:line="249" w:lineRule="auto"/>
        <w:rPr>
          <w:sz w:val="20"/>
          <w:szCs w:val="20"/>
          <w:color w:val="auto"/>
        </w:rPr>
      </w:pPr>
      <w:r>
        <w:rPr>
          <w:rFonts w:ascii="Arial" w:cs="Arial" w:eastAsia="Arial" w:hAnsi="Arial"/>
          <w:sz w:val="16"/>
          <w:szCs w:val="16"/>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Compensation expense for options granted to non-employees is periodically remeasured as the underlying options vest.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firstLine="401"/>
        <w:spacing w:after="0" w:line="244"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realized. Due to the Company’s lack of earnings history, the net deferred tax assets have been fully offset by a valuation allowance.</w:t>
      </w:r>
    </w:p>
    <w:p>
      <w:pPr>
        <w:spacing w:after="0" w:line="162"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62" w:lineRule="exact"/>
        <w:rPr>
          <w:sz w:val="20"/>
          <w:szCs w:val="20"/>
          <w:color w:val="auto"/>
        </w:rPr>
      </w:pPr>
    </w:p>
    <w:p>
      <w:pPr>
        <w:ind w:right="100" w:firstLine="401"/>
        <w:spacing w:after="0" w:line="221" w:lineRule="auto"/>
        <w:rPr>
          <w:sz w:val="20"/>
          <w:szCs w:val="20"/>
          <w:color w:val="auto"/>
        </w:rPr>
      </w:pPr>
      <w:r>
        <w:rPr>
          <w:rFonts w:ascii="Arial" w:cs="Arial" w:eastAsia="Arial" w:hAnsi="Arial"/>
          <w:sz w:val="17"/>
          <w:szCs w:val="17"/>
          <w:color w:val="auto"/>
        </w:rPr>
        <w:t>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(2017 Tax Act). SAB 118 provides a measurement period that should not extend beyond one year from the 2017 Tax Act enactment date for companies to complete the accounting for the income tax effects of certain elements of the 2017 Tax Act. In accordance with SAB 118, the Company has recognized the provisional tax impacts related to the remeasurement of deferred tax assets and liabilities and included these amounts in its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 See Note 11 for additional discussion on the provisional effects of the 2017 Tax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firstLine="401"/>
        <w:spacing w:after="0" w:line="258" w:lineRule="auto"/>
        <w:rPr>
          <w:sz w:val="20"/>
          <w:szCs w:val="20"/>
          <w:color w:val="auto"/>
        </w:rPr>
      </w:pPr>
      <w:r>
        <w:rPr>
          <w:rFonts w:ascii="Arial" w:cs="Arial" w:eastAsia="Arial" w:hAnsi="Arial"/>
          <w:sz w:val="17"/>
          <w:szCs w:val="17"/>
          <w:color w:val="auto"/>
        </w:rPr>
        <w:t>Comprehensive loss represents all changes in stockholders’ equity (deficit) except those resulting from and distributions to stockholders. The Company’s comprehensive loss was equal to its net loss for all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ind w:right="220" w:firstLine="401"/>
        <w:spacing w:after="0" w:line="21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net loss per common share is the same as basic net loss per common share since the effect of potentially dilutive securities is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May 2014, the Financial Accounting Standards Board (FASB) issued Accounting Standards Update (ASU)</w:t>
      </w:r>
    </w:p>
    <w:p>
      <w:pPr>
        <w:ind w:right="20"/>
        <w:spacing w:after="0" w:line="180" w:lineRule="exact"/>
        <w:rPr>
          <w:sz w:val="20"/>
          <w:szCs w:val="20"/>
          <w:color w:val="auto"/>
        </w:rPr>
      </w:pPr>
      <w:r>
        <w:rPr>
          <w:rFonts w:ascii="Arial" w:cs="Arial" w:eastAsia="Arial" w:hAnsi="Arial"/>
          <w:sz w:val="18"/>
          <w:szCs w:val="18"/>
          <w:color w:val="auto"/>
        </w:rPr>
        <w:t>No. 2014</w:t>
      </w:r>
      <w:r>
        <w:rPr>
          <w:rFonts w:ascii="MS PGothic" w:cs="MS PGothic" w:eastAsia="MS PGothic" w:hAnsi="MS PGothic"/>
          <w:sz w:val="18"/>
          <w:szCs w:val="18"/>
          <w:color w:val="auto"/>
        </w:rPr>
        <w:t>‑</w:t>
      </w:r>
      <w:r>
        <w:rPr>
          <w:rFonts w:ascii="Arial" w:cs="Arial" w:eastAsia="Arial" w:hAnsi="Arial"/>
          <w:sz w:val="18"/>
          <w:szCs w:val="18"/>
          <w:color w:val="auto"/>
        </w:rPr>
        <w:t>09, Revenue from Contracts with Customers.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As described in the Company's significant accounting policies, the Company currently defers the revenue and cost of sales on shipments to distributors until the distributor sells the product to their end customer.</w:t>
      </w:r>
    </w:p>
    <w:p>
      <w:pPr>
        <w:spacing w:after="0" w:line="166" w:lineRule="exact"/>
        <w:rPr>
          <w:sz w:val="20"/>
          <w:szCs w:val="20"/>
          <w:color w:val="auto"/>
        </w:rPr>
      </w:pPr>
    </w:p>
    <w:p>
      <w:pPr>
        <w:ind w:right="240" w:firstLine="401"/>
        <w:spacing w:after="0" w:line="235" w:lineRule="auto"/>
        <w:rPr>
          <w:sz w:val="20"/>
          <w:szCs w:val="20"/>
          <w:color w:val="auto"/>
        </w:rPr>
      </w:pPr>
      <w:r>
        <w:rPr>
          <w:rFonts w:ascii="Arial" w:cs="Arial" w:eastAsia="Arial" w:hAnsi="Arial"/>
          <w:sz w:val="18"/>
          <w:szCs w:val="18"/>
          <w:color w:val="auto"/>
        </w:rPr>
        <w:t>The Company plans to adopt ASU 2014-09 and its amendments on January 1, 2018 under the modified retrospective approach, applying the amendments to prospective reporting periods.</w:t>
      </w:r>
    </w:p>
    <w:p>
      <w:pPr>
        <w:spacing w:after="0" w:line="162" w:lineRule="exact"/>
        <w:rPr>
          <w:sz w:val="20"/>
          <w:szCs w:val="20"/>
          <w:color w:val="auto"/>
        </w:rPr>
      </w:pPr>
    </w:p>
    <w:p>
      <w:pPr>
        <w:ind w:right="20" w:firstLine="401"/>
        <w:spacing w:after="0" w:line="219" w:lineRule="auto"/>
        <w:rPr>
          <w:sz w:val="20"/>
          <w:szCs w:val="20"/>
          <w:color w:val="auto"/>
        </w:rPr>
      </w:pPr>
      <w:r>
        <w:rPr>
          <w:rFonts w:ascii="Arial" w:cs="Arial" w:eastAsia="Arial" w:hAnsi="Arial"/>
          <w:sz w:val="18"/>
          <w:szCs w:val="18"/>
          <w:color w:val="auto"/>
        </w:rPr>
        <w:t>Upon adoption, the Company expects a material impact to the opening balance sheet as of January 1, 2018, related to the cumulative effect of adopting the standard, primarily as a result of the items discussed below. The Company will continue to assess and complete the review of all potential impacts of the standard including the tax related impact. The most significantly impacted areas are the following: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60" w:hanging="328"/>
        <w:spacing w:after="0" w:line="236"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Distributor sales: Under ASU 2014-09, the Company will recognize revenue from sales to distributors upon delivery of the product to the distributor, rather than upon delivery of the product to the end customer. At December 31, 2017, the deferred income on shipments to distributors under Topic 605 related to shipments to distributors that had not sold through to end-users is $1.7 million. Concessions and price protection credits offered to distributors, which are earned when sales to end customers are completed, will be estimated at the point of revenue recognition and impact is estimated to be $200,000 to $400,000 as of December 31, 2017 and will be a direct offset to the deferred income mentioned above. Since the Company will recognize revenue when control of the products transfer to the distributor under ASU 2014-09, the majority of this amount will be eliminated as a cumulative effect adjustment of implementing ASU 2014-09 as of January 1, 2018, net of the Company’s estimate of such concessions and price protection.</w:t>
      </w:r>
    </w:p>
    <w:p>
      <w:pPr>
        <w:spacing w:after="0" w:line="162" w:lineRule="exact"/>
        <w:rPr>
          <w:rFonts w:ascii="Arial" w:cs="Arial" w:eastAsia="Arial" w:hAnsi="Arial"/>
          <w:sz w:val="16"/>
          <w:szCs w:val="16"/>
          <w:color w:val="auto"/>
        </w:rPr>
      </w:pPr>
    </w:p>
    <w:p>
      <w:pPr>
        <w:jc w:val="both"/>
        <w:ind w:left="1060" w:right="20" w:hanging="328"/>
        <w:spacing w:after="0" w:line="259"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delivered over time: Under ASU 2014-09, Topic 605 permitted straight-line recognition of revenue for performance obligations that are delivered over time. The new standard requires an entity to recognize revenue based on the pattern of transfer of the services. The Company is expecting a minimal impact upon adoption.</w:t>
      </w:r>
    </w:p>
    <w:p>
      <w:pPr>
        <w:spacing w:after="0" w:line="147" w:lineRule="exact"/>
        <w:rPr>
          <w:sz w:val="20"/>
          <w:szCs w:val="20"/>
          <w:color w:val="auto"/>
        </w:rPr>
      </w:pPr>
    </w:p>
    <w:p>
      <w:pPr>
        <w:ind w:right="140" w:firstLine="401"/>
        <w:spacing w:after="0" w:line="224" w:lineRule="auto"/>
        <w:rPr>
          <w:sz w:val="20"/>
          <w:szCs w:val="20"/>
          <w:color w:val="auto"/>
        </w:rPr>
      </w:pPr>
      <w:r>
        <w:rPr>
          <w:rFonts w:ascii="Arial" w:cs="Arial" w:eastAsia="Arial" w:hAnsi="Arial"/>
          <w:sz w:val="18"/>
          <w:szCs w:val="18"/>
          <w:color w:val="auto"/>
        </w:rPr>
        <w:t>The Company does not expect the changes described above to have a material impact on its quarterly and/or annual statement of operations, however the exact impact of ASU 2014-09 will be dependent on facts and circumstances that could vary from quarter to quarter.</w:t>
      </w:r>
    </w:p>
    <w:p>
      <w:pPr>
        <w:spacing w:after="0" w:line="163" w:lineRule="exact"/>
        <w:rPr>
          <w:sz w:val="20"/>
          <w:szCs w:val="20"/>
          <w:color w:val="auto"/>
        </w:rPr>
      </w:pPr>
    </w:p>
    <w:p>
      <w:pPr>
        <w:ind w:right="60" w:firstLine="401"/>
        <w:spacing w:after="0" w:line="225"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the Company to apply modification accounting under ASC 718, Compensation-Stock Compensation. This ASU is effective for annual reporting periods beginning after December 15, 2017, and early adoption is permitted. The Company plans on adopting this standard on January 1, 2018, and the impact of its adoption on the Company’s financial statements is not expected to be material.</w:t>
      </w:r>
    </w:p>
    <w:p>
      <w:pPr>
        <w:spacing w:after="0" w:line="162" w:lineRule="exact"/>
        <w:rPr>
          <w:sz w:val="20"/>
          <w:szCs w:val="20"/>
          <w:color w:val="auto"/>
        </w:rPr>
      </w:pPr>
    </w:p>
    <w:p>
      <w:pPr>
        <w:ind w:right="60" w:firstLine="401"/>
        <w:spacing w:after="0" w:line="184"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02, Leases,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This ASU is effective for fiscal years and interim periods within those years beginning after December 15, 2018. The Company is currently evaluating the impact that the adoption of ASU 2016</w:t>
      </w:r>
      <w:r>
        <w:rPr>
          <w:rFonts w:ascii="MS PGothic" w:cs="MS PGothic" w:eastAsia="MS PGothic" w:hAnsi="MS PGothic"/>
          <w:sz w:val="16"/>
          <w:szCs w:val="16"/>
          <w:color w:val="auto"/>
        </w:rPr>
        <w:t>‑</w:t>
      </w:r>
      <w:r>
        <w:rPr>
          <w:rFonts w:ascii="Arial" w:cs="Arial" w:eastAsia="Arial" w:hAnsi="Arial"/>
          <w:sz w:val="16"/>
          <w:szCs w:val="16"/>
          <w:color w:val="auto"/>
        </w:rPr>
        <w:t>02 will have on its financial statements and related disclosures.</w:t>
      </w:r>
    </w:p>
    <w:p>
      <w:pPr>
        <w:spacing w:after="0" w:line="166" w:lineRule="exact"/>
        <w:rPr>
          <w:sz w:val="20"/>
          <w:szCs w:val="20"/>
          <w:color w:val="auto"/>
        </w:rPr>
      </w:pPr>
    </w:p>
    <w:p>
      <w:pPr>
        <w:ind w:right="20" w:firstLine="401"/>
        <w:spacing w:after="0" w:line="184" w:lineRule="exact"/>
        <w:rPr>
          <w:sz w:val="20"/>
          <w:szCs w:val="20"/>
          <w:color w:val="auto"/>
        </w:rPr>
      </w:pPr>
      <w:r>
        <w:rPr>
          <w:rFonts w:ascii="Arial" w:cs="Arial" w:eastAsia="Arial" w:hAnsi="Arial"/>
          <w:sz w:val="16"/>
          <w:szCs w:val="16"/>
          <w:color w:val="auto"/>
        </w:rPr>
        <w:t>In June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13, Financial Instruments – Credit Losses (Topic 326), which is intended to provide financial statement users with more useful information about expected credit losses on financial assets held by a reporting entity at each reporting date. The new standard replaces the existing incurred loss impairment methodology with a methodology that requires consideration of a broader range of reasonable and supportable forward-looking information to estimate all expected credit losses. The amended guidance is effective for fiscal years and interim periods within those years beginning after December 15, 2019, and early adoption is permitted. The Company is currently evaluating the impact that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13 will have on its financial statements and related disclosures.</w:t>
      </w:r>
    </w:p>
    <w:p>
      <w:pPr>
        <w:spacing w:after="0" w:line="163" w:lineRule="exact"/>
        <w:rPr>
          <w:sz w:val="20"/>
          <w:szCs w:val="20"/>
          <w:color w:val="auto"/>
        </w:rPr>
      </w:pPr>
    </w:p>
    <w:p>
      <w:pPr>
        <w:ind w:right="60" w:firstLine="401"/>
        <w:spacing w:after="0" w:line="226"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is permitted, including adoption in an interim period. The Company plans on adopting this standard on January 1, 2018, and the impact of its adoption on the Company’s financial statements is not expected to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85" w:lineRule="exact"/>
        <w:rPr>
          <w:sz w:val="20"/>
          <w:szCs w:val="20"/>
          <w:color w:val="auto"/>
        </w:rPr>
      </w:pPr>
    </w:p>
    <w:p>
      <w:pPr>
        <w:ind w:right="120" w:firstLine="401"/>
        <w:spacing w:after="0" w:line="203" w:lineRule="exact"/>
        <w:rPr>
          <w:sz w:val="20"/>
          <w:szCs w:val="20"/>
          <w:color w:val="auto"/>
        </w:rPr>
      </w:pPr>
      <w:r>
        <w:rPr>
          <w:rFonts w:ascii="Arial" w:cs="Arial" w:eastAsia="Arial" w:hAnsi="Arial"/>
          <w:sz w:val="17"/>
          <w:szCs w:val="17"/>
          <w:color w:val="auto"/>
        </w:rPr>
        <w:t>In July 2015, the FASB issued ASU No. 2015</w:t>
      </w:r>
      <w:r>
        <w:rPr>
          <w:rFonts w:ascii="MS PGothic" w:cs="MS PGothic" w:eastAsia="MS PGothic" w:hAnsi="MS PGothic"/>
          <w:sz w:val="17"/>
          <w:szCs w:val="17"/>
          <w:color w:val="auto"/>
        </w:rPr>
        <w:t>‑</w:t>
      </w:r>
      <w:r>
        <w:rPr>
          <w:rFonts w:ascii="Arial" w:cs="Arial" w:eastAsia="Arial" w:hAnsi="Arial"/>
          <w:sz w:val="17"/>
          <w:szCs w:val="17"/>
          <w:color w:val="auto"/>
        </w:rPr>
        <w:t>11, Simplifying the Measurement of Inventory, which requires an entity to measure in scope inventory at the lower of cost and net realizable value. Net realizable value is the estimated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19"/>
        <w:spacing w:after="0" w:line="219" w:lineRule="auto"/>
        <w:rPr>
          <w:sz w:val="20"/>
          <w:szCs w:val="20"/>
          <w:color w:val="auto"/>
        </w:rPr>
      </w:pPr>
      <w:r>
        <w:rPr>
          <w:rFonts w:ascii="Arial" w:cs="Arial" w:eastAsia="Arial" w:hAnsi="Arial"/>
          <w:sz w:val="18"/>
          <w:szCs w:val="18"/>
          <w:color w:val="auto"/>
        </w:rPr>
        <w:t>selling price in the ordinary course of business, less reasonably predictable costs of completion, disposal and transportation. This ASU is effective for fiscal years and interim periods within those years beginning after December 15, 2016. The Company adopted this standard as of January 1, 2017, and the impact of its adoption on the Company’s financial statements was not material.</w:t>
      </w:r>
    </w:p>
    <w:p>
      <w:pPr>
        <w:spacing w:after="0" w:line="163" w:lineRule="exact"/>
        <w:rPr>
          <w:sz w:val="20"/>
          <w:szCs w:val="20"/>
          <w:color w:val="auto"/>
        </w:rPr>
      </w:pPr>
    </w:p>
    <w:p>
      <w:pPr>
        <w:ind w:right="39" w:firstLine="401"/>
        <w:spacing w:after="0" w:line="183" w:lineRule="exact"/>
        <w:rPr>
          <w:sz w:val="20"/>
          <w:szCs w:val="20"/>
          <w:color w:val="auto"/>
        </w:rPr>
      </w:pPr>
      <w:r>
        <w:rPr>
          <w:rFonts w:ascii="Arial" w:cs="Arial" w:eastAsia="Arial" w:hAnsi="Arial"/>
          <w:sz w:val="18"/>
          <w:szCs w:val="18"/>
          <w:color w:val="auto"/>
        </w:rPr>
        <w:t>In November 2015, FASB issued ASU No. 2015</w:t>
      </w:r>
      <w:r>
        <w:rPr>
          <w:rFonts w:ascii="MS PGothic" w:cs="MS PGothic" w:eastAsia="MS PGothic" w:hAnsi="MS PGothic"/>
          <w:sz w:val="18"/>
          <w:szCs w:val="18"/>
          <w:color w:val="auto"/>
        </w:rPr>
        <w:t>‑</w:t>
      </w:r>
      <w:r>
        <w:rPr>
          <w:rFonts w:ascii="Arial" w:cs="Arial" w:eastAsia="Arial" w:hAnsi="Arial"/>
          <w:sz w:val="18"/>
          <w:szCs w:val="18"/>
          <w:color w:val="auto"/>
        </w:rPr>
        <w:t>17, Balance Sheet Classification of Deferred Taxes, which is intended to simplify and improve how deferred taxes are classified on the balance sheet. The guidance in this ASU 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 Early adoption is permitted. The Company adopted this standard as of January 1, 2017, and the impact of its adoption on the Company’s financial statements was not material.</w:t>
      </w:r>
    </w:p>
    <w:p>
      <w:pPr>
        <w:spacing w:after="0" w:line="165" w:lineRule="exact"/>
        <w:rPr>
          <w:sz w:val="20"/>
          <w:szCs w:val="20"/>
          <w:color w:val="auto"/>
        </w:rPr>
      </w:pPr>
    </w:p>
    <w:p>
      <w:pPr>
        <w:ind w:right="19" w:firstLine="401"/>
        <w:spacing w:after="0" w:line="180" w:lineRule="exact"/>
        <w:rPr>
          <w:sz w:val="20"/>
          <w:szCs w:val="20"/>
          <w:color w:val="auto"/>
        </w:rPr>
      </w:pPr>
      <w:r>
        <w:rPr>
          <w:rFonts w:ascii="Arial" w:cs="Arial" w:eastAsia="Arial" w:hAnsi="Arial"/>
          <w:sz w:val="16"/>
          <w:szCs w:val="16"/>
          <w:color w:val="auto"/>
        </w:rPr>
        <w:t>In March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w:t>
      </w:r>
    </w:p>
    <w:p>
      <w:pPr>
        <w:spacing w:after="0" w:line="1" w:lineRule="exact"/>
        <w:rPr>
          <w:sz w:val="20"/>
          <w:szCs w:val="20"/>
          <w:color w:val="auto"/>
        </w:rPr>
      </w:pPr>
    </w:p>
    <w:p>
      <w:pPr>
        <w:jc w:val="both"/>
        <w:ind w:right="119"/>
        <w:spacing w:after="0" w:line="218" w:lineRule="auto"/>
        <w:rPr>
          <w:sz w:val="20"/>
          <w:szCs w:val="20"/>
          <w:color w:val="auto"/>
        </w:rPr>
      </w:pPr>
      <w:r>
        <w:rPr>
          <w:rFonts w:ascii="Arial" w:cs="Arial" w:eastAsia="Arial" w:hAnsi="Arial"/>
          <w:sz w:val="18"/>
          <w:szCs w:val="18"/>
          <w:color w:val="auto"/>
        </w:rPr>
        <w:t>fiscal years and interim periods within those years beginning after December 15, 2016, and early adoption is permitted. The Company adopted this standard as of January 1, 2017, and the impact of its adoption on the Company’s financial statements was not material.</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Inventory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94"/>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29"/>
        </w:trPr>
        <w:tc>
          <w:tcPr>
            <w:tcW w:w="37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1"/>
                <w:szCs w:val="11"/>
                <w:color w:val="auto"/>
              </w:rPr>
            </w:pPr>
          </w:p>
        </w:tc>
      </w:tr>
      <w:tr>
        <w:trPr>
          <w:trHeight w:val="169"/>
        </w:trPr>
        <w:tc>
          <w:tcPr>
            <w:tcW w:w="3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Raw materials</w:t>
            </w:r>
          </w:p>
        </w:tc>
        <w:tc>
          <w:tcPr>
            <w:tcW w:w="9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682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853</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color w:val="auto"/>
              </w:rPr>
              <w:t>Work-in-process</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4,517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3,152</w:t>
            </w: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4,638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1,064</w:t>
            </w:r>
          </w:p>
        </w:tc>
      </w:tr>
      <w:tr>
        <w:trPr>
          <w:trHeight w:val="176"/>
        </w:trPr>
        <w:tc>
          <w:tcPr>
            <w:tcW w:w="3760" w:type="dxa"/>
            <w:vAlign w:val="bottom"/>
          </w:tcPr>
          <w:p>
            <w:pPr>
              <w:spacing w:after="0" w:line="170" w:lineRule="exact"/>
              <w:rPr>
                <w:sz w:val="20"/>
                <w:szCs w:val="20"/>
                <w:color w:val="auto"/>
              </w:rPr>
            </w:pPr>
            <w:r>
              <w:rPr>
                <w:rFonts w:ascii="Arial" w:cs="Arial" w:eastAsia="Arial" w:hAnsi="Arial"/>
                <w:sz w:val="18"/>
                <w:szCs w:val="18"/>
                <w:color w:val="auto"/>
              </w:rPr>
              <w:t>Total inventory</w:t>
            </w:r>
          </w:p>
        </w:tc>
        <w:tc>
          <w:tcPr>
            <w:tcW w:w="960" w:type="dxa"/>
            <w:vAlign w:val="bottom"/>
          </w:tcPr>
          <w:p>
            <w:pPr>
              <w:spacing w:after="0"/>
              <w:rPr>
                <w:sz w:val="15"/>
                <w:szCs w:val="15"/>
                <w:color w:val="auto"/>
              </w:rPr>
            </w:pPr>
          </w:p>
        </w:tc>
        <w:tc>
          <w:tcPr>
            <w:tcW w:w="280" w:type="dxa"/>
            <w:vAlign w:val="bottom"/>
            <w:tcBorders>
              <w:bottom w:val="single" w:sz="8" w:color="auto"/>
            </w:tcBorders>
            <w:gridSpan w:val="2"/>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9,837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8"/>
                <w:szCs w:val="18"/>
                <w:color w:val="auto"/>
              </w:rPr>
              <w:t>5,069</w:t>
            </w:r>
          </w:p>
        </w:tc>
      </w:tr>
      <w:tr>
        <w:trPr>
          <w:trHeight w:val="378"/>
        </w:trPr>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920" w:type="dxa"/>
            <w:vAlign w:val="bottom"/>
            <w:gridSpan w:val="6"/>
          </w:tcPr>
          <w:p>
            <w:pPr>
              <w:jc w:val="right"/>
              <w:ind w:right="440"/>
              <w:spacing w:after="0"/>
              <w:rPr>
                <w:sz w:val="20"/>
                <w:szCs w:val="20"/>
                <w:color w:val="auto"/>
              </w:rPr>
            </w:pPr>
            <w:r>
              <w:rPr>
                <w:rFonts w:ascii="Arial" w:cs="Arial" w:eastAsia="Arial" w:hAnsi="Arial"/>
                <w:sz w:val="18"/>
                <w:szCs w:val="18"/>
                <w:color w:val="auto"/>
                <w:w w:val="97"/>
              </w:rPr>
              <w:t>Property and equipment, net consisted of the following (in thousands):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8"/>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7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3"/>
              <w:spacing w:after="0" w:line="129"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1"/>
                <w:szCs w:val="11"/>
                <w:color w:val="auto"/>
              </w:rPr>
            </w:pPr>
          </w:p>
        </w:tc>
      </w:tr>
      <w:tr>
        <w:trPr>
          <w:trHeight w:val="169"/>
        </w:trPr>
        <w:tc>
          <w:tcPr>
            <w:tcW w:w="3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Manufacturing equipment</w:t>
            </w:r>
          </w:p>
        </w:tc>
        <w:tc>
          <w:tcPr>
            <w:tcW w:w="1000" w:type="dxa"/>
            <w:vAlign w:val="bottom"/>
            <w:gridSpan w:val="2"/>
            <w:shd w:val="clear" w:color="auto" w:fill="CCEEFF"/>
          </w:tcPr>
          <w:p>
            <w:pPr>
              <w:spacing w:after="0"/>
              <w:rPr>
                <w:sz w:val="14"/>
                <w:szCs w:val="14"/>
                <w:color w:val="auto"/>
              </w:rPr>
            </w:pPr>
          </w:p>
        </w:tc>
        <w:tc>
          <w:tcPr>
            <w:tcW w:w="240" w:type="dxa"/>
            <w:vAlign w:val="bottom"/>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10,465</w:t>
            </w:r>
          </w:p>
        </w:tc>
        <w:tc>
          <w:tcPr>
            <w:tcW w:w="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8,983</w:t>
            </w:r>
          </w:p>
        </w:tc>
        <w:tc>
          <w:tcPr>
            <w:tcW w:w="100" w:type="dxa"/>
            <w:vAlign w:val="bottom"/>
          </w:tcPr>
          <w:p>
            <w:pPr>
              <w:spacing w:after="0"/>
              <w:rPr>
                <w:sz w:val="14"/>
                <w:szCs w:val="14"/>
                <w:color w:val="auto"/>
              </w:rPr>
            </w:pP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color w:val="auto"/>
              </w:rPr>
              <w:t>Computer and network equipment</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588</w:t>
            </w:r>
          </w:p>
        </w:tc>
        <w:tc>
          <w:tcPr>
            <w:tcW w:w="100" w:type="dxa"/>
            <w:vAlign w:val="bottom"/>
          </w:tcPr>
          <w:p>
            <w:pPr>
              <w:spacing w:after="0"/>
              <w:rPr>
                <w:sz w:val="15"/>
                <w:szCs w:val="15"/>
                <w:color w:val="auto"/>
              </w:rPr>
            </w:pP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fixtures</w:t>
            </w: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188</w:t>
            </w:r>
          </w:p>
        </w:tc>
        <w:tc>
          <w:tcPr>
            <w:tcW w:w="100" w:type="dxa"/>
            <w:vAlign w:val="bottom"/>
          </w:tcPr>
          <w:p>
            <w:pPr>
              <w:spacing w:after="0"/>
              <w:rPr>
                <w:sz w:val="15"/>
                <w:szCs w:val="15"/>
                <w:color w:val="auto"/>
              </w:rPr>
            </w:pP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color w:val="auto"/>
              </w:rPr>
              <w:t>Software</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455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5"/>
                <w:szCs w:val="15"/>
                <w:color w:val="auto"/>
              </w:rPr>
            </w:pP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Leasehold improvements</w:t>
            </w: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1,474</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r>
      <w:tr>
        <w:trPr>
          <w:trHeight w:val="169"/>
        </w:trPr>
        <w:tc>
          <w:tcPr>
            <w:tcW w:w="3760" w:type="dxa"/>
            <w:vAlign w:val="bottom"/>
          </w:tcPr>
          <w:p>
            <w:pPr>
              <w:ind w:left="220"/>
              <w:spacing w:after="0" w:line="170" w:lineRule="exact"/>
              <w:rPr>
                <w:sz w:val="20"/>
                <w:szCs w:val="20"/>
                <w:color w:val="auto"/>
              </w:rPr>
            </w:pPr>
            <w:r>
              <w:rPr>
                <w:rFonts w:ascii="Arial" w:cs="Arial" w:eastAsia="Arial" w:hAnsi="Arial"/>
                <w:sz w:val="18"/>
                <w:szCs w:val="18"/>
                <w:color w:val="auto"/>
              </w:rPr>
              <w:t>Total property and equipment, gross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13,322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10,105</w:t>
            </w:r>
          </w:p>
        </w:tc>
        <w:tc>
          <w:tcPr>
            <w:tcW w:w="100" w:type="dxa"/>
            <w:vAlign w:val="bottom"/>
          </w:tcPr>
          <w:p>
            <w:pPr>
              <w:spacing w:after="0"/>
              <w:rPr>
                <w:sz w:val="14"/>
                <w:szCs w:val="14"/>
                <w:color w:val="auto"/>
              </w:rPr>
            </w:pP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(9,376)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(8,185)</w:t>
            </w:r>
          </w:p>
        </w:tc>
        <w:tc>
          <w:tcPr>
            <w:tcW w:w="100" w:type="dxa"/>
            <w:vAlign w:val="bottom"/>
          </w:tcPr>
          <w:p>
            <w:pPr>
              <w:spacing w:after="0"/>
              <w:rPr>
                <w:sz w:val="15"/>
                <w:szCs w:val="15"/>
                <w:color w:val="auto"/>
              </w:rPr>
            </w:pPr>
          </w:p>
        </w:tc>
      </w:tr>
      <w:tr>
        <w:trPr>
          <w:trHeight w:val="176"/>
        </w:trPr>
        <w:tc>
          <w:tcPr>
            <w:tcW w:w="3760" w:type="dxa"/>
            <w:vAlign w:val="bottom"/>
          </w:tcPr>
          <w:p>
            <w:pPr>
              <w:ind w:left="220"/>
              <w:spacing w:after="0" w:line="170" w:lineRule="exact"/>
              <w:rPr>
                <w:sz w:val="20"/>
                <w:szCs w:val="20"/>
                <w:color w:val="auto"/>
              </w:rPr>
            </w:pPr>
            <w:r>
              <w:rPr>
                <w:rFonts w:ascii="Arial" w:cs="Arial" w:eastAsia="Arial" w:hAnsi="Arial"/>
                <w:sz w:val="18"/>
                <w:szCs w:val="18"/>
                <w:color w:val="auto"/>
              </w:rPr>
              <w:t>Total property and equipment, net</w:t>
            </w:r>
          </w:p>
        </w:tc>
        <w:tc>
          <w:tcPr>
            <w:tcW w:w="1000" w:type="dxa"/>
            <w:vAlign w:val="bottom"/>
            <w:gridSpan w:val="2"/>
          </w:tcPr>
          <w:p>
            <w:pPr>
              <w:spacing w:after="0"/>
              <w:rPr>
                <w:sz w:val="15"/>
                <w:szCs w:val="15"/>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3,946</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1,920</w:t>
            </w:r>
          </w:p>
        </w:tc>
        <w:tc>
          <w:tcPr>
            <w:tcW w:w="100" w:type="dxa"/>
            <w:vAlign w:val="bottom"/>
          </w:tcPr>
          <w:p>
            <w:pPr>
              <w:spacing w:after="0"/>
              <w:rPr>
                <w:sz w:val="15"/>
                <w:szCs w:val="15"/>
                <w:color w:val="auto"/>
              </w:rPr>
            </w:pPr>
          </w:p>
        </w:tc>
      </w:tr>
    </w:tbl>
    <w:p>
      <w:pPr>
        <w:spacing w:after="0" w:line="148" w:lineRule="exact"/>
        <w:rPr>
          <w:sz w:val="20"/>
          <w:szCs w:val="20"/>
          <w:color w:val="auto"/>
        </w:rPr>
      </w:pPr>
    </w:p>
    <w:p>
      <w:pPr>
        <w:ind w:right="219" w:firstLine="401"/>
        <w:spacing w:after="0" w:line="235" w:lineRule="auto"/>
        <w:rPr>
          <w:sz w:val="20"/>
          <w:szCs w:val="20"/>
          <w:color w:val="auto"/>
        </w:rPr>
      </w:pPr>
      <w:r>
        <w:rPr>
          <w:rFonts w:ascii="Arial" w:cs="Arial" w:eastAsia="Arial" w:hAnsi="Arial"/>
          <w:sz w:val="18"/>
          <w:szCs w:val="18"/>
          <w:color w:val="auto"/>
        </w:rPr>
        <w:t>Depreciation and amortization expense during the years ended December 31, 2017, 2016 and 2015 was $1.2 million, $0.7 million and $1.2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85" w:lineRule="exact"/>
        <w:rPr>
          <w:sz w:val="20"/>
          <w:szCs w:val="20"/>
          <w:color w:val="auto"/>
        </w:rPr>
      </w:pPr>
    </w:p>
    <w:p>
      <w:pPr>
        <w:ind w:right="419" w:firstLine="401"/>
        <w:spacing w:after="0" w:line="289" w:lineRule="auto"/>
        <w:rPr>
          <w:sz w:val="20"/>
          <w:szCs w:val="20"/>
          <w:color w:val="auto"/>
        </w:rPr>
      </w:pPr>
      <w:r>
        <w:rPr>
          <w:rFonts w:ascii="Arial" w:cs="Arial" w:eastAsia="Arial" w:hAnsi="Arial"/>
          <w:sz w:val="16"/>
          <w:szCs w:val="16"/>
          <w:color w:val="auto"/>
        </w:rPr>
        <w:t>In 2008, the Company spun-out of Freescale Semiconductor, Inc. (Freescale, a wholly-owned subsidiary of NXP Semiconductors N.V.) and acquired certain intellectual property assets and related licenses used in the MRAM business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19"/>
        <w:spacing w:after="0" w:line="235" w:lineRule="auto"/>
        <w:rPr>
          <w:sz w:val="20"/>
          <w:szCs w:val="20"/>
          <w:color w:val="auto"/>
        </w:rPr>
      </w:pPr>
      <w:r>
        <w:rPr>
          <w:rFonts w:ascii="Arial" w:cs="Arial" w:eastAsia="Arial" w:hAnsi="Arial"/>
          <w:sz w:val="18"/>
          <w:szCs w:val="18"/>
          <w:color w:val="auto"/>
        </w:rPr>
        <w:t>of Freescale. The value assigned to these acquired intangible assets was $910,000. Intangible assets were fully amortized as of December 31, 2016.</w:t>
      </w:r>
    </w:p>
    <w:p>
      <w:pPr>
        <w:spacing w:after="0" w:line="162" w:lineRule="exact"/>
        <w:rPr>
          <w:sz w:val="20"/>
          <w:szCs w:val="20"/>
          <w:color w:val="auto"/>
        </w:rPr>
      </w:pPr>
    </w:p>
    <w:p>
      <w:pPr>
        <w:ind w:right="619" w:firstLine="401"/>
        <w:spacing w:after="0" w:line="235" w:lineRule="auto"/>
        <w:rPr>
          <w:sz w:val="20"/>
          <w:szCs w:val="20"/>
          <w:color w:val="auto"/>
        </w:rPr>
      </w:pPr>
      <w:r>
        <w:rPr>
          <w:rFonts w:ascii="Arial" w:cs="Arial" w:eastAsia="Arial" w:hAnsi="Arial"/>
          <w:sz w:val="18"/>
          <w:szCs w:val="18"/>
          <w:color w:val="auto"/>
        </w:rPr>
        <w:t>Amortization expense was $0, $132,000 and $150,000 for the years ended December 31, 2017, 2016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54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2016</w:t>
            </w:r>
          </w:p>
        </w:tc>
      </w:tr>
      <w:tr>
        <w:trPr>
          <w:trHeight w:val="169"/>
        </w:trPr>
        <w:tc>
          <w:tcPr>
            <w:tcW w:w="5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Accrued payroll-related expenses</w:t>
            </w: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1,331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1,045</w:t>
            </w:r>
          </w:p>
        </w:tc>
      </w:tr>
      <w:tr>
        <w:trPr>
          <w:trHeight w:val="176"/>
        </w:trPr>
        <w:tc>
          <w:tcPr>
            <w:tcW w:w="5480" w:type="dxa"/>
            <w:vAlign w:val="bottom"/>
          </w:tcPr>
          <w:p>
            <w:pPr>
              <w:spacing w:after="0" w:line="176" w:lineRule="exact"/>
              <w:rPr>
                <w:sz w:val="20"/>
                <w:szCs w:val="20"/>
                <w:color w:val="auto"/>
              </w:rPr>
            </w:pPr>
            <w:r>
              <w:rPr>
                <w:rFonts w:ascii="Arial" w:cs="Arial" w:eastAsia="Arial" w:hAnsi="Arial"/>
                <w:sz w:val="18"/>
                <w:szCs w:val="18"/>
                <w:color w:val="auto"/>
              </w:rPr>
              <w:t>Deferred licensing revenue</w:t>
            </w:r>
          </w:p>
        </w:tc>
        <w:tc>
          <w:tcPr>
            <w:tcW w:w="160" w:type="dxa"/>
            <w:vAlign w:val="bottom"/>
          </w:tcPr>
          <w:p>
            <w:pPr>
              <w:spacing w:after="0"/>
              <w:rPr>
                <w:sz w:val="15"/>
                <w:szCs w:val="15"/>
                <w:color w:val="auto"/>
              </w:rPr>
            </w:pPr>
          </w:p>
        </w:tc>
        <w:tc>
          <w:tcPr>
            <w:tcW w:w="7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229</w:t>
            </w: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248</w:t>
            </w:r>
          </w:p>
        </w:tc>
      </w:tr>
      <w:tr>
        <w:trPr>
          <w:trHeight w:val="176"/>
        </w:trPr>
        <w:tc>
          <w:tcPr>
            <w:tcW w:w="5480" w:type="dxa"/>
            <w:vAlign w:val="bottom"/>
          </w:tcPr>
          <w:p>
            <w:pPr>
              <w:spacing w:after="0" w:line="176" w:lineRule="exact"/>
              <w:rPr>
                <w:sz w:val="20"/>
                <w:szCs w:val="20"/>
                <w:color w:val="auto"/>
              </w:rPr>
            </w:pPr>
            <w:r>
              <w:rPr>
                <w:rFonts w:ascii="Arial" w:cs="Arial" w:eastAsia="Arial" w:hAnsi="Arial"/>
                <w:sz w:val="18"/>
                <w:szCs w:val="18"/>
                <w:color w:val="auto"/>
              </w:rPr>
              <w:t>Accrued sales commissions payable to sales representatives</w:t>
            </w: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75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193</w:t>
            </w: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r>
      <w:tr>
        <w:trPr>
          <w:trHeight w:val="176"/>
        </w:trPr>
        <w:tc>
          <w:tcPr>
            <w:tcW w:w="5480" w:type="dxa"/>
            <w:vAlign w:val="bottom"/>
          </w:tcPr>
          <w:p>
            <w:pPr>
              <w:ind w:left="220"/>
              <w:spacing w:after="0" w:line="170" w:lineRule="exact"/>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2,254</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1,811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ind w:right="19" w:firstLine="401"/>
        <w:spacing w:after="0" w:line="219" w:lineRule="auto"/>
        <w:rPr>
          <w:sz w:val="20"/>
          <w:szCs w:val="20"/>
          <w:color w:val="auto"/>
        </w:rPr>
      </w:pPr>
      <w:r>
        <w:rPr>
          <w:rFonts w:ascii="Arial" w:cs="Arial" w:eastAsia="Arial" w:hAnsi="Arial"/>
          <w:sz w:val="18"/>
          <w:szCs w:val="18"/>
          <w:color w:val="auto"/>
        </w:rPr>
        <w:t>The Company leases office space for its corporate headquarters located in Chandler, Arizona and for its design facility located in Austin, Texas. The leases expire January 2022. Rent expense is recognized on a straight-line basis over the term of the leases and accordingly, the Company records the difference between cash rent payments and the recognition of rent expense as a deferred rent liability.</w:t>
      </w:r>
    </w:p>
    <w:p>
      <w:pPr>
        <w:spacing w:after="0" w:line="163" w:lineRule="exact"/>
        <w:rPr>
          <w:sz w:val="20"/>
          <w:szCs w:val="20"/>
          <w:color w:val="auto"/>
        </w:rPr>
      </w:pPr>
    </w:p>
    <w:p>
      <w:pPr>
        <w:ind w:right="19" w:firstLine="401"/>
        <w:spacing w:after="0" w:line="225" w:lineRule="auto"/>
        <w:rPr>
          <w:sz w:val="20"/>
          <w:szCs w:val="20"/>
          <w:color w:val="auto"/>
        </w:rPr>
      </w:pPr>
      <w:r>
        <w:rPr>
          <w:rFonts w:ascii="Arial" w:cs="Arial" w:eastAsia="Arial" w:hAnsi="Arial"/>
          <w:sz w:val="17"/>
          <w:szCs w:val="17"/>
          <w:color w:val="auto"/>
        </w:rPr>
        <w:t>In January 2017, the Company entered into a five-year sublease agreement with Freescale, a related party, to rent 6,560 square feet of office and laboratory space in Chandler, Arizona, and in March 2017, the Company amended the sublease to increase the space to 10,023 square feet. In October 2017, the Company entered into an amendment to its lease with Freescale in Chandler, Arizona to add 17,951 square feet of office space. The initial term of this amendment to the lease ends on January 31, 2022, with an option to renew the lease through August 31, 2024. The amendment provides the Company with 11 months free rent for the additional space of 17,951 square feet. The Company subsequently moved its headquarters into this new office space in December 2017.</w:t>
      </w:r>
    </w:p>
    <w:p>
      <w:pPr>
        <w:spacing w:after="0" w:line="162" w:lineRule="exact"/>
        <w:rPr>
          <w:sz w:val="20"/>
          <w:szCs w:val="20"/>
          <w:color w:val="auto"/>
        </w:rPr>
      </w:pPr>
    </w:p>
    <w:p>
      <w:pPr>
        <w:ind w:right="139" w:firstLine="401"/>
        <w:spacing w:after="0" w:line="244" w:lineRule="auto"/>
        <w:rPr>
          <w:sz w:val="20"/>
          <w:szCs w:val="20"/>
          <w:color w:val="auto"/>
        </w:rPr>
      </w:pPr>
      <w:r>
        <w:rPr>
          <w:rFonts w:ascii="Arial" w:cs="Arial" w:eastAsia="Arial" w:hAnsi="Arial"/>
          <w:sz w:val="16"/>
          <w:szCs w:val="16"/>
          <w:color w:val="auto"/>
        </w:rPr>
        <w:t>The Company has another operating lease for its Arizona manufacturing facility lease, as amended, for certain of the fabrication, laboratory and office premises of Freescale, a related party. This lease is cancellable upon 24 months’ notice by either of the parties. In March 2017, the Company amended the premises covered to remove laboratory space, decrease fabrication space and expand office space. In October 2017, the Company extended the lease through January 31, 2020, which can be further extended through January 31, 2021 if an option to extend is initiated by Freescale.</w:t>
      </w:r>
    </w:p>
    <w:p>
      <w:pPr>
        <w:spacing w:after="0" w:line="118" w:lineRule="exact"/>
        <w:rPr>
          <w:sz w:val="20"/>
          <w:szCs w:val="20"/>
          <w:color w:val="auto"/>
        </w:rPr>
      </w:pPr>
    </w:p>
    <w:p>
      <w:pPr>
        <w:ind w:right="219" w:firstLine="401"/>
        <w:spacing w:after="0" w:line="235" w:lineRule="auto"/>
        <w:rPr>
          <w:sz w:val="20"/>
          <w:szCs w:val="20"/>
          <w:color w:val="auto"/>
        </w:rPr>
      </w:pPr>
      <w:r>
        <w:rPr>
          <w:rFonts w:ascii="Arial" w:cs="Arial" w:eastAsia="Arial" w:hAnsi="Arial"/>
          <w:sz w:val="18"/>
          <w:szCs w:val="18"/>
          <w:color w:val="auto"/>
        </w:rPr>
        <w:t>The following is a schedule of minimum rental commitments under the Company’s operating leases at December 31, 2017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Amount</w:t>
            </w:r>
          </w:p>
        </w:tc>
      </w:tr>
      <w:tr>
        <w:trPr>
          <w:trHeight w:val="169"/>
        </w:trPr>
        <w:tc>
          <w:tcPr>
            <w:tcW w:w="5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1,536</w:t>
            </w:r>
          </w:p>
        </w:tc>
      </w:tr>
      <w:tr>
        <w:trPr>
          <w:trHeight w:val="176"/>
        </w:trPr>
        <w:tc>
          <w:tcPr>
            <w:tcW w:w="598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1,645</w:t>
            </w:r>
          </w:p>
        </w:tc>
      </w:tr>
      <w:tr>
        <w:trPr>
          <w:trHeight w:val="176"/>
        </w:trPr>
        <w:tc>
          <w:tcPr>
            <w:tcW w:w="5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833</w:t>
            </w:r>
          </w:p>
        </w:tc>
      </w:tr>
      <w:tr>
        <w:trPr>
          <w:trHeight w:val="176"/>
        </w:trPr>
        <w:tc>
          <w:tcPr>
            <w:tcW w:w="598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766</w:t>
            </w:r>
          </w:p>
        </w:tc>
      </w:tr>
      <w:tr>
        <w:trPr>
          <w:trHeight w:val="176"/>
        </w:trPr>
        <w:tc>
          <w:tcPr>
            <w:tcW w:w="5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r>
      <w:tr>
        <w:trPr>
          <w:trHeight w:val="176"/>
        </w:trPr>
        <w:tc>
          <w:tcPr>
            <w:tcW w:w="5980" w:type="dxa"/>
            <w:vAlign w:val="bottom"/>
          </w:tcPr>
          <w:p>
            <w:pPr>
              <w:ind w:left="220"/>
              <w:spacing w:after="0" w:line="170"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4,826</w:t>
            </w:r>
          </w:p>
        </w:tc>
      </w:tr>
    </w:tbl>
    <w:p>
      <w:pPr>
        <w:spacing w:after="0" w:line="148" w:lineRule="exact"/>
        <w:rPr>
          <w:sz w:val="20"/>
          <w:szCs w:val="20"/>
          <w:color w:val="auto"/>
        </w:rPr>
      </w:pPr>
    </w:p>
    <w:p>
      <w:pPr>
        <w:ind w:right="239" w:firstLine="401"/>
        <w:spacing w:after="0" w:line="235" w:lineRule="auto"/>
        <w:rPr>
          <w:sz w:val="20"/>
          <w:szCs w:val="20"/>
          <w:color w:val="auto"/>
        </w:rPr>
      </w:pPr>
      <w:r>
        <w:rPr>
          <w:rFonts w:ascii="Arial" w:cs="Arial" w:eastAsia="Arial" w:hAnsi="Arial"/>
          <w:sz w:val="18"/>
          <w:szCs w:val="18"/>
          <w:color w:val="auto"/>
        </w:rPr>
        <w:t>Total rent expense was $1.4 million, $1.5 million and $1.4 million for the years ended December 31, 2017, 2016 and 2015, respectively.</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ind w:right="39" w:firstLine="401"/>
        <w:spacing w:after="0" w:line="224"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Management is currently not aware of any matters that will have a material adverse effect on the financial position, results of operations or cash flows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5" w:lineRule="exact"/>
        <w:rPr>
          <w:sz w:val="20"/>
          <w:szCs w:val="20"/>
          <w:color w:val="auto"/>
        </w:rPr>
      </w:pPr>
    </w:p>
    <w:p>
      <w:pPr>
        <w:ind w:right="59" w:firstLine="401"/>
        <w:spacing w:after="0" w:line="20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Related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Facilities</w:t>
      </w:r>
    </w:p>
    <w:p>
      <w:pPr>
        <w:spacing w:after="0" w:line="185" w:lineRule="exact"/>
        <w:rPr>
          <w:sz w:val="20"/>
          <w:szCs w:val="20"/>
          <w:color w:val="auto"/>
        </w:rPr>
      </w:pPr>
    </w:p>
    <w:p>
      <w:pPr>
        <w:jc w:val="both"/>
        <w:ind w:right="39" w:firstLine="401"/>
        <w:spacing w:after="0" w:line="235" w:lineRule="auto"/>
        <w:rPr>
          <w:sz w:val="20"/>
          <w:szCs w:val="20"/>
          <w:color w:val="auto"/>
        </w:rPr>
      </w:pPr>
      <w:r>
        <w:rPr>
          <w:rFonts w:ascii="Arial" w:cs="Arial" w:eastAsia="Arial" w:hAnsi="Arial"/>
          <w:sz w:val="16"/>
          <w:szCs w:val="16"/>
          <w:color w:val="auto"/>
        </w:rPr>
        <w:t>In June 2015, the Company executed a Loan and Security Agreement with Ares Venture Finance (2015 Credit Facility) comprising an $8.0 million term loan and a $4.0 million revolving loan. The term loan provides for interest at a floating rate equal to the greater of (a) 8.75% or (b) LIBOR plus 7.75% and has a term of four years. The term loan is payable in</w:t>
      </w:r>
    </w:p>
    <w:p>
      <w:pPr>
        <w:spacing w:after="0" w:line="2" w:lineRule="exact"/>
        <w:rPr>
          <w:sz w:val="20"/>
          <w:szCs w:val="20"/>
          <w:color w:val="auto"/>
        </w:rPr>
      </w:pPr>
    </w:p>
    <w:p>
      <w:pPr>
        <w:ind w:right="59"/>
        <w:spacing w:after="0" w:line="212" w:lineRule="auto"/>
        <w:rPr>
          <w:sz w:val="20"/>
          <w:szCs w:val="20"/>
          <w:color w:val="auto"/>
        </w:rPr>
      </w:pPr>
      <w:r>
        <w:rPr>
          <w:rFonts w:ascii="Arial" w:cs="Arial" w:eastAsia="Arial" w:hAnsi="Arial"/>
          <w:sz w:val="18"/>
          <w:szCs w:val="18"/>
          <w:color w:val="auto"/>
        </w:rPr>
        <w:t>15 monthly installments of interest only and 33 payments of principal and interest with an end-of-term fee of $180,000 due upon maturity. The revolving loan provides for interest at a floating rate equal to the prime rate plus 3.75% and has a term of two years. The Company may draw upon the loan facility for working capital purposes as required depending upon accounts receivable balances and other required conditions. In January 2016, the Company borrowed $1.5 million from the revolving loan.</w:t>
      </w:r>
    </w:p>
    <w:p>
      <w:pPr>
        <w:spacing w:after="0" w:line="164" w:lineRule="exact"/>
        <w:rPr>
          <w:sz w:val="20"/>
          <w:szCs w:val="20"/>
          <w:color w:val="auto"/>
        </w:rPr>
      </w:pPr>
    </w:p>
    <w:p>
      <w:pPr>
        <w:ind w:right="19" w:firstLine="401"/>
        <w:spacing w:after="0" w:line="214" w:lineRule="auto"/>
        <w:rPr>
          <w:sz w:val="20"/>
          <w:szCs w:val="20"/>
          <w:color w:val="auto"/>
        </w:rPr>
      </w:pPr>
      <w:r>
        <w:rPr>
          <w:rFonts w:ascii="Arial" w:cs="Arial" w:eastAsia="Arial" w:hAnsi="Arial"/>
          <w:sz w:val="18"/>
          <w:szCs w:val="18"/>
          <w:color w:val="auto"/>
        </w:rPr>
        <w:t>Security for the 2015 Credit Facility includes all of the Company’s assets except for leased equipment. The 2015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dividends with respect to its capital stock. The Company was in compliance with all covenants at December 31, 2016.</w:t>
      </w:r>
    </w:p>
    <w:p>
      <w:pPr>
        <w:spacing w:after="0" w:line="162" w:lineRule="exact"/>
        <w:rPr>
          <w:sz w:val="20"/>
          <w:szCs w:val="20"/>
          <w:color w:val="auto"/>
        </w:rPr>
      </w:pPr>
    </w:p>
    <w:p>
      <w:pPr>
        <w:ind w:right="39" w:firstLine="401"/>
        <w:spacing w:after="0" w:line="214" w:lineRule="auto"/>
        <w:rPr>
          <w:sz w:val="20"/>
          <w:szCs w:val="20"/>
          <w:color w:val="auto"/>
        </w:rPr>
      </w:pPr>
      <w:r>
        <w:rPr>
          <w:rFonts w:ascii="Arial" w:cs="Arial" w:eastAsia="Arial" w:hAnsi="Arial"/>
          <w:sz w:val="18"/>
          <w:szCs w:val="18"/>
          <w:color w:val="auto"/>
        </w:rPr>
        <w:t>In April 2017, the Company repaid the outstanding balance of $1.1 million on the revolving loan at which time the unamortized balance of the debt discount of $10,000 was recognized as a loss on extinguishment of debt. In May 2017, the Company repaid the outstanding principal balance of $6.2 million on the term loan at which time the unamortized balance of the debt discount was $175,000, and paid a prepayment penalty of $61,000. The unamortized debt discount balance and the prepayment penalty were recognized as a loss on extinguishment of debt in the statements of operations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85" w:lineRule="exact"/>
        <w:rPr>
          <w:sz w:val="20"/>
          <w:szCs w:val="20"/>
          <w:color w:val="auto"/>
        </w:rPr>
      </w:pPr>
    </w:p>
    <w:p>
      <w:pPr>
        <w:ind w:right="339" w:firstLine="324"/>
        <w:spacing w:after="0" w:line="239"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provides for interest at a floating rate equal to the prime rate minus</w:t>
      </w:r>
    </w:p>
    <w:p>
      <w:pPr>
        <w:spacing w:after="0" w:line="1" w:lineRule="exact"/>
        <w:rPr>
          <w:sz w:val="20"/>
          <w:szCs w:val="20"/>
          <w:color w:val="auto"/>
        </w:rPr>
      </w:pPr>
    </w:p>
    <w:p>
      <w:pPr>
        <w:ind w:right="19"/>
        <w:spacing w:after="0" w:line="222" w:lineRule="auto"/>
        <w:rPr>
          <w:sz w:val="20"/>
          <w:szCs w:val="20"/>
          <w:color w:val="auto"/>
        </w:rPr>
      </w:pPr>
      <w:r>
        <w:rPr>
          <w:rFonts w:ascii="Arial" w:cs="Arial" w:eastAsia="Arial" w:hAnsi="Arial"/>
          <w:sz w:val="17"/>
          <w:szCs w:val="17"/>
          <w:color w:val="auto"/>
        </w:rPr>
        <w:t>0.75%. As of December 31, 2017, the interest rate was 3.75%. The term loan provides for a period of interest-only payments through April 30, 2018, followed by fixed principal and interest payments based on either a 24-month amortization schedule or a 36-month amortization schedule if the Company meets certain sales milestones. As of December 31, 2017, the Company determined it would not meet the sales milestones and as such the term loan will be based on a 24-month amortization schedule. Borrowings under the 2017 Credit Facility mature in May 2020. The Company is required to comply with certain covenants under the 2017 Credit Facility, including requirements to maintain a minimum liquidity ratio, meet certain revenue targets, and restrictions on certain actions without the consent</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of the lender, such as the disposal and acquisition of its business or property, changes in business, and mergers or acquisitions. An end of term fee of 6% of the amount borrowed must be made when the loan is prepaid or repaid, whether at maturity or as a result of a prepayment or acceleration or otherwise. The additional payment is being accreted using the effective interest method.</w:t>
      </w:r>
    </w:p>
    <w:p>
      <w:pPr>
        <w:spacing w:after="0" w:line="122" w:lineRule="exact"/>
        <w:rPr>
          <w:sz w:val="20"/>
          <w:szCs w:val="20"/>
          <w:color w:val="auto"/>
        </w:rPr>
      </w:pPr>
    </w:p>
    <w:p>
      <w:pPr>
        <w:ind w:right="60" w:firstLine="324"/>
        <w:spacing w:after="0" w:line="222" w:lineRule="auto"/>
        <w:rPr>
          <w:sz w:val="20"/>
          <w:szCs w:val="20"/>
          <w:color w:val="auto"/>
        </w:rPr>
      </w:pPr>
      <w:r>
        <w:rPr>
          <w:rFonts w:ascii="Arial" w:cs="Arial" w:eastAsia="Arial" w:hAnsi="Arial"/>
          <w:sz w:val="17"/>
          <w:szCs w:val="17"/>
          <w:color w:val="auto"/>
        </w:rPr>
        <w:t>Security for the 2017 Credit Facility includes all of the Company’s assets except for intellectual property. The 2017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dividends with respect to its capital stock. The Company was in compliance with all covenants at December 31, 2017. The 2017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December 31, 2017, management does not believe that it is probable that the clause will be triggered within the next twelve months, and therefore the term loan is classified as long-term.</w:t>
      </w:r>
    </w:p>
    <w:p>
      <w:pPr>
        <w:spacing w:after="0" w:line="29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carrying value of the Company’s 2017 Credit Facility at December 31, 2017,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Portion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Debt, including end of term fee</w:t>
            </w: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4,000</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8,720</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12,720</w:t>
            </w:r>
          </w:p>
        </w:tc>
        <w:tc>
          <w:tcPr>
            <w:tcW w:w="0" w:type="dxa"/>
            <w:vAlign w:val="bottom"/>
          </w:tcPr>
          <w:p>
            <w:pPr>
              <w:spacing w:after="0"/>
              <w:rPr>
                <w:sz w:val="1"/>
                <w:szCs w:val="1"/>
                <w:color w:val="auto"/>
              </w:rPr>
            </w:pPr>
          </w:p>
        </w:tc>
      </w:tr>
      <w:tr>
        <w:trPr>
          <w:trHeight w:val="176"/>
        </w:trPr>
        <w:tc>
          <w:tcPr>
            <w:tcW w:w="5940" w:type="dxa"/>
            <w:vAlign w:val="bottom"/>
          </w:tcPr>
          <w:p>
            <w:pPr>
              <w:spacing w:after="0" w:line="176" w:lineRule="exact"/>
              <w:rPr>
                <w:sz w:val="20"/>
                <w:szCs w:val="20"/>
                <w:color w:val="auto"/>
              </w:rPr>
            </w:pPr>
            <w:r>
              <w:rPr>
                <w:rFonts w:ascii="Arial" w:cs="Arial" w:eastAsia="Arial" w:hAnsi="Arial"/>
                <w:sz w:val="18"/>
                <w:szCs w:val="18"/>
                <w:color w:val="auto"/>
              </w:rPr>
              <w:t>Less: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Discount attributable to end of term fee and debt issuance costs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76"/>
        </w:trPr>
        <w:tc>
          <w:tcPr>
            <w:tcW w:w="5940" w:type="dxa"/>
            <w:vAlign w:val="bottom"/>
          </w:tcPr>
          <w:p>
            <w:pPr>
              <w:ind w:left="120"/>
              <w:spacing w:after="0" w:line="170" w:lineRule="exact"/>
              <w:rPr>
                <w:sz w:val="20"/>
                <w:szCs w:val="20"/>
                <w:color w:val="auto"/>
              </w:rPr>
            </w:pPr>
            <w:r>
              <w:rPr>
                <w:rFonts w:ascii="Arial" w:cs="Arial" w:eastAsia="Arial" w:hAnsi="Arial"/>
                <w:sz w:val="18"/>
                <w:szCs w:val="18"/>
                <w:color w:val="auto"/>
              </w:rPr>
              <w:t>Net carrying value of debt</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3,977</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8,157</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 of the Company’s Prior Facilities at December 31, 2016, was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Portion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Debt, including end of term fee</w:t>
            </w: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4,054</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4,301</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176"/>
        </w:trPr>
        <w:tc>
          <w:tcPr>
            <w:tcW w:w="5940" w:type="dxa"/>
            <w:vAlign w:val="bottom"/>
          </w:tcPr>
          <w:p>
            <w:pPr>
              <w:spacing w:after="0" w:line="176" w:lineRule="exact"/>
              <w:rPr>
                <w:sz w:val="20"/>
                <w:szCs w:val="20"/>
                <w:color w:val="auto"/>
              </w:rPr>
            </w:pPr>
            <w:r>
              <w:rPr>
                <w:rFonts w:ascii="Arial" w:cs="Arial" w:eastAsia="Arial" w:hAnsi="Arial"/>
                <w:sz w:val="18"/>
                <w:szCs w:val="18"/>
                <w:color w:val="auto"/>
              </w:rPr>
              <w:t>Less: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Discount attributable to warrants, end of term fee and debt issuance cost</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76"/>
        </w:trPr>
        <w:tc>
          <w:tcPr>
            <w:tcW w:w="5940" w:type="dxa"/>
            <w:vAlign w:val="bottom"/>
          </w:tcPr>
          <w:p>
            <w:pPr>
              <w:ind w:left="120"/>
              <w:spacing w:after="0" w:line="170" w:lineRule="exact"/>
              <w:rPr>
                <w:sz w:val="20"/>
                <w:szCs w:val="20"/>
                <w:color w:val="auto"/>
              </w:rPr>
            </w:pPr>
            <w:r>
              <w:rPr>
                <w:rFonts w:ascii="Arial" w:cs="Arial" w:eastAsia="Arial" w:hAnsi="Arial"/>
                <w:sz w:val="18"/>
                <w:szCs w:val="18"/>
                <w:color w:val="auto"/>
              </w:rPr>
              <w:t>Net carrying value of debt</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3,877</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4,218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560" w:firstLine="401"/>
        <w:spacing w:after="0" w:line="235" w:lineRule="auto"/>
        <w:rPr>
          <w:sz w:val="20"/>
          <w:szCs w:val="20"/>
          <w:color w:val="auto"/>
        </w:rPr>
      </w:pPr>
      <w:r>
        <w:rPr>
          <w:rFonts w:ascii="Arial" w:cs="Arial" w:eastAsia="Arial" w:hAnsi="Arial"/>
          <w:sz w:val="18"/>
          <w:szCs w:val="18"/>
          <w:color w:val="auto"/>
        </w:rPr>
        <w:t>The table below shows the principal repayments due under the 2017 Credit Facility as of December 31, 2017 (in thousands):</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66864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8645" cy="12001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2019</w:t>
      </w:r>
    </w:p>
    <w:p>
      <w:pPr>
        <w:spacing w:after="0" w:line="235" w:lineRule="auto"/>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5668645"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8645" cy="1117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principal repayments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Lease Obligations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30"/>
        <w:spacing w:after="0"/>
        <w:rPr>
          <w:sz w:val="20"/>
          <w:szCs w:val="20"/>
          <w:color w:val="auto"/>
        </w:rPr>
      </w:pPr>
      <w:r>
        <w:rPr>
          <w:rFonts w:ascii="Arial" w:cs="Arial" w:eastAsia="Arial" w:hAnsi="Arial"/>
          <w:sz w:val="13"/>
          <w:szCs w:val="13"/>
          <w:b w:val="1"/>
          <w:bCs w:val="1"/>
          <w:color w:val="auto"/>
        </w:rPr>
        <w:t>Principal Repayment</w:t>
      </w:r>
    </w:p>
    <w:p>
      <w:pPr>
        <w:ind w:left="190"/>
        <w:spacing w:after="0" w:line="236" w:lineRule="auto"/>
        <w:rPr>
          <w:sz w:val="20"/>
          <w:szCs w:val="20"/>
          <w:color w:val="auto"/>
        </w:rPr>
      </w:pPr>
      <w:r>
        <w:rPr>
          <w:rFonts w:ascii="Arial" w:cs="Arial" w:eastAsia="Arial" w:hAnsi="Arial"/>
          <w:sz w:val="14"/>
          <w:szCs w:val="14"/>
          <w:b w:val="1"/>
          <w:bCs w:val="1"/>
          <w:color w:val="auto"/>
        </w:rPr>
        <w:t>as of December 31,</w:t>
      </w:r>
    </w:p>
    <w:p>
      <w:pPr>
        <w:ind w:left="1110" w:hanging="1110"/>
        <w:spacing w:after="0"/>
        <w:tabs>
          <w:tab w:leader="none" w:pos="11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4,000</w:t>
      </w:r>
    </w:p>
    <w:p>
      <w:pPr>
        <w:spacing w:after="0" w:line="3" w:lineRule="exact"/>
        <w:rPr>
          <w:rFonts w:ascii="Arial" w:cs="Arial" w:eastAsia="Arial" w:hAnsi="Arial"/>
          <w:sz w:val="15"/>
          <w:szCs w:val="15"/>
          <w:color w:val="auto"/>
        </w:rPr>
      </w:pPr>
    </w:p>
    <w:p>
      <w:pPr>
        <w:ind w:left="1110"/>
        <w:spacing w:after="0"/>
        <w:rPr>
          <w:rFonts w:ascii="Arial" w:cs="Arial" w:eastAsia="Arial" w:hAnsi="Arial"/>
          <w:sz w:val="15"/>
          <w:szCs w:val="15"/>
          <w:color w:val="auto"/>
        </w:rPr>
      </w:pPr>
      <w:r>
        <w:rPr>
          <w:rFonts w:ascii="Arial" w:cs="Arial" w:eastAsia="Arial" w:hAnsi="Arial"/>
          <w:sz w:val="15"/>
          <w:szCs w:val="15"/>
          <w:color w:val="auto"/>
        </w:rPr>
        <w:t>6,000</w:t>
      </w:r>
    </w:p>
    <w:p>
      <w:pPr>
        <w:spacing w:after="0" w:line="3" w:lineRule="exact"/>
        <w:rPr>
          <w:rFonts w:ascii="Arial" w:cs="Arial" w:eastAsia="Arial" w:hAnsi="Arial"/>
          <w:sz w:val="15"/>
          <w:szCs w:val="15"/>
          <w:color w:val="auto"/>
        </w:rPr>
      </w:pPr>
    </w:p>
    <w:p>
      <w:pPr>
        <w:ind w:left="1110"/>
        <w:spacing w:after="0"/>
        <w:rPr>
          <w:rFonts w:ascii="Arial" w:cs="Arial" w:eastAsia="Arial" w:hAnsi="Arial"/>
          <w:sz w:val="15"/>
          <w:szCs w:val="15"/>
          <w:color w:val="auto"/>
        </w:rPr>
      </w:pPr>
      <w:r>
        <w:rPr>
          <w:rFonts w:ascii="Arial" w:cs="Arial" w:eastAsia="Arial" w:hAnsi="Arial"/>
          <w:sz w:val="15"/>
          <w:szCs w:val="15"/>
          <w:color w:val="auto"/>
        </w:rPr>
        <w:t>2,720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0033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1030" w:hanging="1030"/>
        <w:spacing w:after="0"/>
        <w:tabs>
          <w:tab w:leader="none" w:pos="103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12,720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00330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03300" cy="17145"/>
                    </a:xfrm>
                    <a:prstGeom prst="rect">
                      <a:avLst/>
                    </a:prstGeom>
                    <a:noFill/>
                  </pic:spPr>
                </pic:pic>
              </a:graphicData>
            </a:graphic>
          </wp:anchor>
        </w:drawing>
      </w:r>
    </w:p>
    <w:p>
      <w:pPr>
        <w:spacing w:after="0" w:line="562" w:lineRule="exact"/>
        <w:rPr>
          <w:sz w:val="20"/>
          <w:szCs w:val="20"/>
          <w:color w:val="auto"/>
        </w:rPr>
      </w:pPr>
    </w:p>
    <w:p>
      <w:pPr>
        <w:sectPr>
          <w:pgSz w:w="11900" w:h="16838" w:orient="portrait"/>
          <w:cols w:equalWidth="0" w:num="2">
            <w:col w:w="6630" w:space="720"/>
            <w:col w:w="1710"/>
          </w:cols>
          <w:pgMar w:left="1420" w:top="112" w:right="1419" w:bottom="1440" w:gutter="0" w:footer="0" w:header="0"/>
          <w:type w:val="continuous"/>
        </w:sectPr>
      </w:pPr>
    </w:p>
    <w:p>
      <w:pPr>
        <w:spacing w:after="0" w:line="19" w:lineRule="exact"/>
        <w:rPr>
          <w:sz w:val="20"/>
          <w:szCs w:val="20"/>
          <w:color w:val="auto"/>
        </w:rPr>
      </w:pPr>
    </w:p>
    <w:p>
      <w:pPr>
        <w:ind w:right="300" w:firstLine="401"/>
        <w:spacing w:after="0" w:line="258" w:lineRule="auto"/>
        <w:rPr>
          <w:sz w:val="20"/>
          <w:szCs w:val="20"/>
          <w:color w:val="auto"/>
        </w:rPr>
      </w:pPr>
      <w:r>
        <w:rPr>
          <w:rFonts w:ascii="Arial" w:cs="Arial" w:eastAsia="Arial" w:hAnsi="Arial"/>
          <w:sz w:val="17"/>
          <w:szCs w:val="17"/>
          <w:color w:val="auto"/>
        </w:rPr>
        <w:t>The Company leases certain equipment under capital lease obligations expiring in October 2020. The balance of the capital lease obligations was $31,000 and $7,000 at December 31, 2017 and 2016, respectively.</w:t>
      </w:r>
    </w:p>
    <w:p>
      <w:pPr>
        <w:spacing w:after="0" w:line="144" w:lineRule="exact"/>
        <w:rPr>
          <w:sz w:val="20"/>
          <w:szCs w:val="20"/>
          <w:color w:val="auto"/>
        </w:rPr>
      </w:pPr>
    </w:p>
    <w:p>
      <w:pPr>
        <w:ind w:right="160" w:firstLine="401"/>
        <w:spacing w:after="0" w:line="218" w:lineRule="auto"/>
        <w:rPr>
          <w:sz w:val="20"/>
          <w:szCs w:val="20"/>
          <w:color w:val="auto"/>
        </w:rPr>
      </w:pPr>
      <w:r>
        <w:rPr>
          <w:rFonts w:ascii="Arial" w:cs="Arial" w:eastAsia="Arial" w:hAnsi="Arial"/>
          <w:sz w:val="20"/>
          <w:szCs w:val="20"/>
          <w:color w:val="auto"/>
        </w:rPr>
        <w:t>Property and equipment under capital leases amounted to $31,000 and $440,000 at December 31, 2017 and 2016, respectively. Accumulated depreciation and amortization on these assets was $2,000 and $433,000 at December 31, 2017 and 2016, respectively.</w:t>
      </w:r>
    </w:p>
    <w:p>
      <w:pPr>
        <w:spacing w:after="0" w:line="159"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Future minimum rental commitments under the Company’s capital lease obligations are $11,000, $10,000, and $10,000 for the years ended December 31, 2018, 2019, and 2020, respectively.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319" w:firstLine="401"/>
        <w:spacing w:after="0" w:line="235" w:lineRule="auto"/>
        <w:rPr>
          <w:sz w:val="20"/>
          <w:szCs w:val="20"/>
          <w:color w:val="auto"/>
        </w:rPr>
      </w:pPr>
      <w:r>
        <w:rPr>
          <w:rFonts w:ascii="Arial" w:cs="Arial" w:eastAsia="Arial" w:hAnsi="Arial"/>
          <w:sz w:val="18"/>
          <w:szCs w:val="18"/>
          <w:color w:val="auto"/>
        </w:rPr>
        <w:t>Common stockholders are entitled to dividends if and when declared by the board of directors. As of December 31, 2017, no dividends on common stock had been declared by the board of directors.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66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276"/>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2016</w:t>
            </w:r>
          </w:p>
        </w:tc>
      </w:tr>
      <w:tr>
        <w:trPr>
          <w:trHeight w:val="169"/>
        </w:trPr>
        <w:tc>
          <w:tcPr>
            <w:tcW w:w="6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Options issued and outstanding</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1,593,195</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1,414,730</w:t>
            </w:r>
          </w:p>
        </w:tc>
      </w:tr>
      <w:tr>
        <w:trPr>
          <w:trHeight w:val="176"/>
        </w:trPr>
        <w:tc>
          <w:tcPr>
            <w:tcW w:w="6680" w:type="dxa"/>
            <w:vAlign w:val="bottom"/>
          </w:tcPr>
          <w:p>
            <w:pPr>
              <w:spacing w:after="0" w:line="176" w:lineRule="exact"/>
              <w:rPr>
                <w:sz w:val="20"/>
                <w:szCs w:val="20"/>
                <w:color w:val="auto"/>
              </w:rPr>
            </w:pPr>
            <w:r>
              <w:rPr>
                <w:rFonts w:ascii="Arial" w:cs="Arial" w:eastAsia="Arial" w:hAnsi="Arial"/>
                <w:sz w:val="18"/>
                <w:szCs w:val="18"/>
                <w:color w:val="auto"/>
              </w:rPr>
              <w:t>Shares available for future option grants</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83,929</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342,500</w:t>
            </w:r>
          </w:p>
        </w:tc>
      </w:tr>
      <w:tr>
        <w:trPr>
          <w:trHeight w:val="176"/>
        </w:trPr>
        <w:tc>
          <w:tcPr>
            <w:tcW w:w="6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warrants</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27,690</w:t>
            </w:r>
          </w:p>
        </w:tc>
        <w:tc>
          <w:tcPr>
            <w:tcW w:w="2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27,690</w:t>
            </w:r>
          </w:p>
        </w:tc>
      </w:tr>
      <w:tr>
        <w:trPr>
          <w:trHeight w:val="176"/>
        </w:trPr>
        <w:tc>
          <w:tcPr>
            <w:tcW w:w="6680" w:type="dxa"/>
            <w:vAlign w:val="bottom"/>
          </w:tcPr>
          <w:p>
            <w:pPr>
              <w:ind w:left="220"/>
              <w:spacing w:after="0" w:line="170"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1,704,814</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1,784,920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ind w:right="159" w:firstLine="401"/>
        <w:spacing w:after="0" w:line="239" w:lineRule="auto"/>
        <w:rPr>
          <w:sz w:val="20"/>
          <w:szCs w:val="20"/>
          <w:color w:val="auto"/>
        </w:rPr>
      </w:pPr>
      <w:r>
        <w:rPr>
          <w:rFonts w:ascii="Arial" w:cs="Arial" w:eastAsia="Arial" w:hAnsi="Arial"/>
          <w:sz w:val="16"/>
          <w:szCs w:val="16"/>
          <w:color w:val="auto"/>
        </w:rPr>
        <w:t>In connection with a credit facility, the Company issued to Silicon Valley Bank a warrant to purchase 3,076 shares of the Company’s Series A redeemable convertible preferred stock at an exercise price of $26.00 per share. The warrant could be exercised at any time and would expire, if not exercised, on December 14, 2019. At the date of issuance, the Company recorded the warrant as a debt discount of $63,000 and as a liability on the balance sheet at its fair value. At the date of the IPO of the Company’s common stock, the warrant was converted into a warrant to purchase 3,076 shares of the Company’s common stock. The warrant was remeasured to its fair value of $1,600 and the carrying value of the warrant of $1,600 was reclassified to additional paid in capital during the year ended December 31, 2016.</w:t>
      </w:r>
    </w:p>
    <w:p>
      <w:pPr>
        <w:spacing w:after="0" w:line="163" w:lineRule="exact"/>
        <w:rPr>
          <w:sz w:val="20"/>
          <w:szCs w:val="20"/>
          <w:color w:val="auto"/>
        </w:rPr>
      </w:pPr>
    </w:p>
    <w:p>
      <w:pPr>
        <w:ind w:right="19" w:firstLine="401"/>
        <w:spacing w:after="0" w:line="239" w:lineRule="auto"/>
        <w:rPr>
          <w:sz w:val="20"/>
          <w:szCs w:val="20"/>
          <w:color w:val="auto"/>
        </w:rPr>
      </w:pPr>
      <w:r>
        <w:rPr>
          <w:rFonts w:ascii="Arial" w:cs="Arial" w:eastAsia="Arial" w:hAnsi="Arial"/>
          <w:sz w:val="16"/>
          <w:szCs w:val="16"/>
          <w:color w:val="auto"/>
        </w:rPr>
        <w:t>In connection with a credit facility, the Company issued to Silicon Valley Bank a warrant to purchase 6,153 shares of the Company’s Series B redeemable convertible preferred stock at an exercise price of $26.00 per share. The warrant can be exercised at any time and expires 10 years after the date of issuance. The Company recorded the warrant as a debt discount and as a liability on the balance sheet at its fair value of $106,000 on the date of issuance using the Black-Scholes option-pricing model. At the date of the IPO of the Company’s common stock, the warrant was converted into a warrant to purchase 6,153 shares of the Company’s common stock. The warrant was remeasured to its fair value of $14,900 and carrying value of the warrant of $14,900 was reclassified to additional paid in capital during the year ended December 31, 2016.</w:t>
      </w:r>
    </w:p>
    <w:p>
      <w:pPr>
        <w:spacing w:after="0" w:line="163" w:lineRule="exact"/>
        <w:rPr>
          <w:sz w:val="20"/>
          <w:szCs w:val="20"/>
          <w:color w:val="auto"/>
        </w:rPr>
      </w:pPr>
    </w:p>
    <w:p>
      <w:pPr>
        <w:ind w:right="39" w:firstLine="401"/>
        <w:spacing w:after="0" w:line="211" w:lineRule="auto"/>
        <w:rPr>
          <w:sz w:val="20"/>
          <w:szCs w:val="20"/>
          <w:color w:val="auto"/>
        </w:rPr>
      </w:pPr>
      <w:r>
        <w:rPr>
          <w:rFonts w:ascii="Arial" w:cs="Arial" w:eastAsia="Arial" w:hAnsi="Arial"/>
          <w:sz w:val="18"/>
          <w:szCs w:val="18"/>
          <w:color w:val="auto"/>
        </w:rPr>
        <w:t>In connection with the 2015 Credit Facility, the Company issued to Ares Venture Finance a warrant to purchase 18,461 shares of the Company’s Series B redeemable convertible preferred stock at an exercise price of $26.00 per share. The warrant can be exercised at any time and expires 10 years after the date of issuance. The Company recorded the warrant as a debt discount and as a liability on the balance sheet at its fair value of $307,000 on the date of issuance using the Black-Scholes option-pricing model. At the date of the IPO of the Company’s common stock, the warrant was converted into a warrant to purchase 18,461 shares of the Company’s common stock. The warrant was remeasured to its fair value of $48,900 and the carrying value of the warrant of $48,900 was reclassified to additional paid-in capital during the year ended December 31,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185" w:lineRule="exact"/>
        <w:rPr>
          <w:sz w:val="20"/>
          <w:szCs w:val="20"/>
          <w:color w:val="auto"/>
        </w:rPr>
      </w:pPr>
    </w:p>
    <w:p>
      <w:pPr>
        <w:ind w:right="259" w:firstLine="401"/>
        <w:spacing w:after="0" w:line="238" w:lineRule="auto"/>
        <w:rPr>
          <w:sz w:val="20"/>
          <w:szCs w:val="20"/>
          <w:color w:val="auto"/>
        </w:rPr>
      </w:pPr>
      <w:r>
        <w:rPr>
          <w:rFonts w:ascii="Arial" w:cs="Arial" w:eastAsia="Arial" w:hAnsi="Arial"/>
          <w:sz w:val="17"/>
          <w:szCs w:val="17"/>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w:t>
      </w:r>
    </w:p>
    <w:p>
      <w:pPr>
        <w:spacing w:after="0" w:line="161" w:lineRule="exact"/>
        <w:rPr>
          <w:sz w:val="20"/>
          <w:szCs w:val="20"/>
          <w:color w:val="auto"/>
        </w:rPr>
      </w:pPr>
    </w:p>
    <w:p>
      <w:pPr>
        <w:ind w:right="19" w:firstLine="401"/>
        <w:spacing w:after="0" w:line="232" w:lineRule="auto"/>
        <w:rPr>
          <w:sz w:val="20"/>
          <w:szCs w:val="20"/>
          <w:color w:val="auto"/>
        </w:rPr>
      </w:pPr>
      <w:r>
        <w:rPr>
          <w:rFonts w:ascii="Arial" w:cs="Arial" w:eastAsia="Arial" w:hAnsi="Arial"/>
          <w:sz w:val="17"/>
          <w:szCs w:val="17"/>
          <w:color w:val="auto"/>
        </w:rPr>
        <w:t>The Company’s 2016 Plan provides for the grant of incentive stock options (ISOs),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401"/>
        <w:spacing w:after="0" w:line="232" w:lineRule="auto"/>
        <w:rPr>
          <w:sz w:val="20"/>
          <w:szCs w:val="20"/>
          <w:color w:val="auto"/>
        </w:rPr>
      </w:pPr>
      <w:r>
        <w:rPr>
          <w:rFonts w:ascii="Arial" w:cs="Arial" w:eastAsia="Arial" w:hAnsi="Arial"/>
          <w:sz w:val="17"/>
          <w:szCs w:val="17"/>
          <w:color w:val="auto"/>
        </w:rPr>
        <w:t>The maximum number of shares of common stock that may be issued under the Company’s 2016 Plan is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Employee Incentive Plan</w:t>
      </w:r>
    </w:p>
    <w:p>
      <w:pPr>
        <w:spacing w:after="0" w:line="185" w:lineRule="exact"/>
        <w:rPr>
          <w:sz w:val="20"/>
          <w:szCs w:val="20"/>
          <w:color w:val="auto"/>
        </w:rPr>
      </w:pPr>
    </w:p>
    <w:p>
      <w:pPr>
        <w:ind w:firstLine="401"/>
        <w:spacing w:after="0" w:line="219" w:lineRule="auto"/>
        <w:rPr>
          <w:sz w:val="20"/>
          <w:szCs w:val="20"/>
          <w:color w:val="auto"/>
        </w:rPr>
      </w:pPr>
      <w:r>
        <w:rPr>
          <w:rFonts w:ascii="Arial" w:cs="Arial" w:eastAsia="Arial" w:hAnsi="Arial"/>
          <w:sz w:val="18"/>
          <w:szCs w:val="18"/>
          <w:color w:val="auto"/>
        </w:rPr>
        <w:t>The 2008 Equity Incentive Plan (the 2008 Plan) provided for the issuance of incentive stock options (ISO), nonqualified stock options, and other stock compensation awards. Under the terms of the 2008 Plan, the exercise price of an ISO shall be not less than 100% of the fair value of the stock at the date of grant, as determined by the board of directors, or in the case of certain ISOs, at 110% of the fair market value at the date of grant.</w:t>
      </w:r>
    </w:p>
    <w:p>
      <w:pPr>
        <w:spacing w:after="0" w:line="163" w:lineRule="exact"/>
        <w:rPr>
          <w:sz w:val="20"/>
          <w:szCs w:val="20"/>
          <w:color w:val="auto"/>
        </w:rPr>
      </w:pPr>
    </w:p>
    <w:p>
      <w:pPr>
        <w:ind w:right="200" w:firstLine="401"/>
        <w:spacing w:after="0" w:line="194" w:lineRule="exact"/>
        <w:rPr>
          <w:sz w:val="20"/>
          <w:szCs w:val="20"/>
          <w:color w:val="auto"/>
        </w:rPr>
      </w:pPr>
      <w:r>
        <w:rPr>
          <w:rFonts w:ascii="Arial" w:cs="Arial" w:eastAsia="Arial" w:hAnsi="Arial"/>
          <w:sz w:val="18"/>
          <w:szCs w:val="18"/>
          <w:color w:val="auto"/>
        </w:rPr>
        <w:t>The term and vesting periods for options granted under the 2008 Plan were determined by the Company’s board of directors. Options granted generally vest over four years. Options must be exercised within a 10</w:t>
      </w:r>
      <w:r>
        <w:rPr>
          <w:rFonts w:ascii="MS PGothic" w:cs="MS PGothic" w:eastAsia="MS PGothic" w:hAnsi="MS PGothic"/>
          <w:sz w:val="18"/>
          <w:szCs w:val="18"/>
          <w:color w:val="auto"/>
        </w:rPr>
        <w:t>‑</w:t>
      </w:r>
      <w:r>
        <w:rPr>
          <w:rFonts w:ascii="Arial" w:cs="Arial" w:eastAsia="Arial" w:hAnsi="Arial"/>
          <w:sz w:val="18"/>
          <w:szCs w:val="18"/>
          <w:color w:val="auto"/>
        </w:rPr>
        <w:t>year period or sooner if so specified within the option agreement.</w:t>
      </w:r>
    </w:p>
    <w:p>
      <w:pPr>
        <w:spacing w:after="0" w:line="163" w:lineRule="exact"/>
        <w:rPr>
          <w:sz w:val="20"/>
          <w:szCs w:val="20"/>
          <w:color w:val="auto"/>
        </w:rPr>
      </w:pPr>
    </w:p>
    <w:p>
      <w:pPr>
        <w:ind w:right="60" w:firstLine="401"/>
        <w:spacing w:after="0" w:line="216" w:lineRule="auto"/>
        <w:rPr>
          <w:sz w:val="20"/>
          <w:szCs w:val="20"/>
          <w:color w:val="auto"/>
        </w:rPr>
      </w:pPr>
      <w:r>
        <w:rPr>
          <w:rFonts w:ascii="Arial" w:cs="Arial" w:eastAsia="Arial" w:hAnsi="Arial"/>
          <w:sz w:val="18"/>
          <w:szCs w:val="18"/>
          <w:color w:val="auto"/>
        </w:rPr>
        <w:t>No further grants will be made under the Company’s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2017, 826,258 options under the 2008 Plan remained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stock option activity for all grants under the 2008 Plan and 2016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rPr>
              <w:t>Weighted-</w:t>
            </w:r>
          </w:p>
        </w:tc>
        <w:tc>
          <w:tcPr>
            <w:tcW w:w="7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Weighted-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7"/>
              </w:rPr>
              <w:t>Remaining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Available for</w:t>
            </w: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Price Per</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Balance—December 31, 2015</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55,330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927,175</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Options authorized</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785,364</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Options granted</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(563,523)</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563,523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Options exercised</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(10,639)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4.43</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Options cancelled/forfeited</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65,329</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(65,329)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line="170" w:lineRule="exact"/>
              <w:rPr>
                <w:sz w:val="20"/>
                <w:szCs w:val="20"/>
                <w:color w:val="auto"/>
              </w:rPr>
            </w:pPr>
            <w:r>
              <w:rPr>
                <w:rFonts w:ascii="Arial" w:cs="Arial" w:eastAsia="Arial" w:hAnsi="Arial"/>
                <w:sz w:val="18"/>
                <w:szCs w:val="18"/>
                <w:color w:val="auto"/>
              </w:rPr>
              <w:t>Balance—December 31, 2016</w:t>
            </w:r>
          </w:p>
        </w:tc>
        <w:tc>
          <w:tcPr>
            <w:tcW w:w="8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342,500</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1,414,730</w:t>
            </w:r>
          </w:p>
        </w:tc>
        <w:tc>
          <w:tcPr>
            <w:tcW w:w="80" w:type="dxa"/>
            <w:vAlign w:val="bottom"/>
          </w:tcPr>
          <w:p>
            <w:pPr>
              <w:spacing w:after="0"/>
              <w:rPr>
                <w:sz w:val="14"/>
                <w:szCs w:val="14"/>
                <w:color w:val="auto"/>
              </w:rPr>
            </w:pPr>
          </w:p>
        </w:tc>
        <w:tc>
          <w:tcPr>
            <w:tcW w:w="18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5.28</w:t>
            </w: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7.6</w:t>
            </w:r>
          </w:p>
        </w:tc>
        <w:tc>
          <w:tcPr>
            <w:tcW w:w="280" w:type="dxa"/>
            <w:vAlign w:val="bottom"/>
            <w:gridSpan w:val="2"/>
          </w:tcPr>
          <w:p>
            <w:pPr>
              <w:ind w:left="160"/>
              <w:spacing w:after="0" w:line="17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Options authorized</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374,944</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RSUs granted</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(30,680)</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Options granted</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(757,900)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757,900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13.02</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Options exercised</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(281,483)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4.75</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Options cancelled/forfeited</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155,065</w:t>
            </w:r>
          </w:p>
        </w:tc>
        <w:tc>
          <w:tcPr>
            <w:tcW w:w="1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(297,952)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Balance—December 31, 2017</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83,929</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1,593,195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8"/>
                <w:szCs w:val="18"/>
                <w:color w:val="auto"/>
              </w:rPr>
              <w:t>8.88</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gridSpan w:val="2"/>
          </w:tcPr>
          <w:p>
            <w:pPr>
              <w:ind w:left="160"/>
              <w:spacing w:after="0" w:line="170"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Options exercisable—December 31, 2017</w:t>
            </w: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766,233</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5.43</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122"/>
        </w:trPr>
        <w:tc>
          <w:tcPr>
            <w:tcW w:w="3720" w:type="dxa"/>
            <w:vAlign w:val="bottom"/>
          </w:tcPr>
          <w:p>
            <w:pPr>
              <w:spacing w:after="0" w:line="122" w:lineRule="exact"/>
              <w:rPr>
                <w:sz w:val="20"/>
                <w:szCs w:val="20"/>
                <w:color w:val="auto"/>
              </w:rPr>
            </w:pPr>
            <w:r>
              <w:rPr>
                <w:rFonts w:ascii="Arial" w:cs="Arial" w:eastAsia="Arial" w:hAnsi="Arial"/>
                <w:sz w:val="14"/>
                <w:szCs w:val="14"/>
                <w:color w:val="auto"/>
              </w:rPr>
              <w:t>Options vested and expected to vest—</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1,593,195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1"/>
        </w:trPr>
        <w:tc>
          <w:tcPr>
            <w:tcW w:w="3720" w:type="dxa"/>
            <w:vAlign w:val="bottom"/>
          </w:tcPr>
          <w:p>
            <w:pPr>
              <w:spacing w:after="0" w:line="189" w:lineRule="exact"/>
              <w:rPr>
                <w:sz w:val="20"/>
                <w:szCs w:val="20"/>
                <w:color w:val="auto"/>
              </w:rPr>
            </w:pPr>
            <w:r>
              <w:rPr>
                <w:rFonts w:ascii="Arial" w:cs="Arial" w:eastAsia="Arial" w:hAnsi="Arial"/>
                <w:sz w:val="18"/>
                <w:szCs w:val="18"/>
                <w:color w:val="auto"/>
              </w:rPr>
              <w:t>December 31, 2017</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firstLine="401"/>
        <w:spacing w:after="0" w:line="235" w:lineRule="auto"/>
        <w:rPr>
          <w:sz w:val="20"/>
          <w:szCs w:val="20"/>
          <w:color w:val="auto"/>
        </w:rPr>
      </w:pPr>
      <w:r>
        <w:rPr>
          <w:rFonts w:ascii="Arial" w:cs="Arial" w:eastAsia="Arial" w:hAnsi="Arial"/>
          <w:sz w:val="18"/>
          <w:szCs w:val="18"/>
          <w:color w:val="auto"/>
        </w:rPr>
        <w:t>During the years ended December 31, 2017, 2016, and, 2015, the Company granted options with a weighted-average grant date fair value of $6.48, $4.52 and $4.42 per share, respectively.</w:t>
      </w:r>
    </w:p>
    <w:p>
      <w:pPr>
        <w:spacing w:after="0" w:line="162" w:lineRule="exact"/>
        <w:rPr>
          <w:sz w:val="20"/>
          <w:szCs w:val="20"/>
          <w:color w:val="auto"/>
        </w:rPr>
      </w:pPr>
    </w:p>
    <w:p>
      <w:pPr>
        <w:ind w:right="360" w:firstLine="401"/>
        <w:spacing w:after="0" w:line="235" w:lineRule="auto"/>
        <w:rPr>
          <w:sz w:val="20"/>
          <w:szCs w:val="20"/>
          <w:color w:val="auto"/>
        </w:rPr>
      </w:pPr>
      <w:r>
        <w:rPr>
          <w:rFonts w:ascii="Arial" w:cs="Arial" w:eastAsia="Arial" w:hAnsi="Arial"/>
          <w:sz w:val="18"/>
          <w:szCs w:val="18"/>
          <w:color w:val="auto"/>
        </w:rPr>
        <w:t>The total fair value of options vested during the year was $1.5 million, $622,000, and $353,000 for the years ended December 31, 2017, 2016, and, 2015, respectively.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85" w:lineRule="exact"/>
        <w:rPr>
          <w:sz w:val="20"/>
          <w:szCs w:val="20"/>
          <w:color w:val="auto"/>
        </w:rPr>
      </w:pPr>
    </w:p>
    <w:p>
      <w:pPr>
        <w:ind w:right="299" w:firstLine="401"/>
        <w:spacing w:after="0" w:line="226" w:lineRule="auto"/>
        <w:rPr>
          <w:sz w:val="20"/>
          <w:szCs w:val="20"/>
          <w:color w:val="auto"/>
        </w:rPr>
      </w:pPr>
      <w:r>
        <w:rPr>
          <w:rFonts w:ascii="Arial" w:cs="Arial" w:eastAsia="Arial" w:hAnsi="Arial"/>
          <w:sz w:val="17"/>
          <w:szCs w:val="17"/>
          <w:color w:val="auto"/>
        </w:rPr>
        <w:t>The Company’s board of directors adopted the 2016 Employee Stock Purchase Plan (the ESPP) on April 25, 2016, which was subsequently approved on September 20, 2016 by the Company’s stockholders. The purpose of the ESPP is to secure the services of new employees, to retain the services of existing employees and to provide incentives for such individuals to exert maximum efforts toward the Company’s success and that of the Company’s affiliates. The ESPP is intended to qualify as an “employee stock purchase plan” within the meaning of Section 423 of the Code. The board of directors, or a duly authorized committee thereof, will administer the Company’s ESPP.</w:t>
      </w:r>
    </w:p>
    <w:p>
      <w:pPr>
        <w:spacing w:after="0" w:line="165" w:lineRule="exact"/>
        <w:rPr>
          <w:sz w:val="20"/>
          <w:szCs w:val="20"/>
          <w:color w:val="auto"/>
        </w:rPr>
      </w:pPr>
    </w:p>
    <w:p>
      <w:pPr>
        <w:ind w:right="19" w:firstLine="401"/>
        <w:spacing w:after="0" w:line="233" w:lineRule="auto"/>
        <w:rPr>
          <w:sz w:val="20"/>
          <w:szCs w:val="20"/>
          <w:color w:val="auto"/>
        </w:rPr>
      </w:pPr>
      <w:r>
        <w:rPr>
          <w:rFonts w:ascii="Arial" w:cs="Arial" w:eastAsia="Arial" w:hAnsi="Arial"/>
          <w:sz w:val="16"/>
          <w:szCs w:val="16"/>
          <w:color w:val="auto"/>
        </w:rPr>
        <w:t>The maximum aggregate number of shares of common stock that may be issued pursuant to the exercise of purchase rights under the Company’s ESPP that are granted to employees or to employees of any of the Company’s designated affiliates is 96,153 shares, subject to annual increases. The number of shares of common stock reserved for issuance under the Company’s ESPP will increase automatically each year, beginning on January 1, 2017, and continuing through and including January 1, 2026, by 1% of the total number of shares of common stock outstanding on December 31 of the preceding calendar year, or a lesser number as determined by the board of directors. In 2017, there was an increase of 124,981 shares reserved for issuance under the Company’s ESPP due to this provision. Shares subject to purchase rights granted under the Company’s ESPP that terminate without having been exercised in full will not reduce the number of shares available for issuance under the Company’s ESPP. The initial offering period (Initial Offering) under the ESPP began on October 7, 2016 and ended on October 12, 2017. The first purchase period under the 2016 ESPP commenced on October 12, 2016 and ended on April 12, 2017. The second purchase period under the Initial Offering began on April 13, 2017 and ended on October 12, 2017. The second offering period (Second Offering) under the ESPP began on October 13, 2017 and will end on October 12, 2018. The first purchase of the Second Offering period began on October 13, 2017 and will end on April 12, 2018. After the Second Offering, a new offering will begin every six months. Each offering under the ESPP will consist of two purchase periods of approximately six months in duration and will run concurrently. The Company had 183,544 shares available for issuance under the Company’s ESPP as of December 31, 2017. Employees purchased 37,590 shares for $256,000 during the year ended December 31, 2017.</w:t>
      </w:r>
    </w:p>
    <w:p>
      <w:pPr>
        <w:spacing w:after="0" w:line="164" w:lineRule="exact"/>
        <w:rPr>
          <w:sz w:val="20"/>
          <w:szCs w:val="20"/>
          <w:color w:val="auto"/>
        </w:rPr>
      </w:pPr>
    </w:p>
    <w:p>
      <w:pPr>
        <w:ind w:right="379" w:firstLine="401"/>
        <w:spacing w:after="0" w:line="235"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issued under the ESPP: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3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6"/>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29"/>
        </w:trPr>
        <w:tc>
          <w:tcPr>
            <w:tcW w:w="46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1"/>
                <w:szCs w:val="1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49.3 – 72.7</w:t>
            </w: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820" w:type="dxa"/>
            <w:vAlign w:val="bottom"/>
            <w:shd w:val="clear" w:color="auto" w:fill="CCEEFF"/>
          </w:tcPr>
          <w:p>
            <w:pPr>
              <w:ind w:left="580"/>
              <w:spacing w:after="0" w:line="17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ind w:left="360"/>
              <w:spacing w:after="0" w:line="17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11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1"/>
              </w:rPr>
              <w:t>0.49 – 1.02 %</w:t>
            </w:r>
          </w:p>
        </w:tc>
        <w:tc>
          <w:tcPr>
            <w:tcW w:w="1200" w:type="dxa"/>
            <w:vAlign w:val="bottom"/>
            <w:gridSpan w:val="3"/>
          </w:tcPr>
          <w:p>
            <w:pPr>
              <w:ind w:left="580"/>
              <w:spacing w:after="0" w:line="176" w:lineRule="exact"/>
              <w:rPr>
                <w:sz w:val="20"/>
                <w:szCs w:val="20"/>
                <w:color w:val="auto"/>
              </w:rPr>
            </w:pPr>
            <w:r>
              <w:rPr>
                <w:rFonts w:ascii="Arial" w:cs="Arial" w:eastAsia="Arial" w:hAnsi="Arial"/>
                <w:sz w:val="18"/>
                <w:szCs w:val="18"/>
                <w:color w:val="auto"/>
              </w:rPr>
              <w:t>— %</w:t>
            </w:r>
          </w:p>
        </w:tc>
        <w:tc>
          <w:tcPr>
            <w:tcW w:w="8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 %</w:t>
            </w:r>
          </w:p>
        </w:tc>
      </w:tr>
      <w:tr>
        <w:trPr>
          <w:trHeight w:val="176"/>
        </w:trPr>
        <w:tc>
          <w:tcPr>
            <w:tcW w:w="4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140" w:type="dxa"/>
            <w:vAlign w:val="bottom"/>
            <w:gridSpan w:val="2"/>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0.5 – 1.0</w:t>
            </w:r>
          </w:p>
        </w:tc>
        <w:tc>
          <w:tcPr>
            <w:tcW w:w="120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20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 %</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Awards</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In August 2017, the Company entered into a Separation Agreement with its former Chief Executive Officer which resulted in the acceleration in the vesting of certain unvested stock options as well as the extension of the exercise period for all vested options. As a result of the modification, the Company recorded stock-based compensation expense of $310,000 during the year ended December 31, 2017 to reflect the revised service period for the stock options and related vesting of shares that would otherwise not have vested.</w:t>
      </w:r>
    </w:p>
    <w:p>
      <w:pPr>
        <w:spacing w:after="0" w:line="122" w:lineRule="exact"/>
        <w:rPr>
          <w:sz w:val="20"/>
          <w:szCs w:val="20"/>
          <w:color w:val="auto"/>
        </w:rPr>
      </w:pPr>
    </w:p>
    <w:p>
      <w:pPr>
        <w:ind w:right="79" w:firstLine="401"/>
        <w:spacing w:after="0" w:line="214" w:lineRule="auto"/>
        <w:rPr>
          <w:sz w:val="20"/>
          <w:szCs w:val="20"/>
          <w:color w:val="auto"/>
        </w:rPr>
      </w:pPr>
      <w:r>
        <w:rPr>
          <w:rFonts w:ascii="Arial" w:cs="Arial" w:eastAsia="Arial" w:hAnsi="Arial"/>
          <w:sz w:val="18"/>
          <w:szCs w:val="18"/>
          <w:color w:val="auto"/>
        </w:rPr>
        <w:t>In December 2016, the Company modified the terms of 396,028 vested and unvested stock option awards, affecting 77 employees, by reducing their exercise price from $15.86 per share to $6.63 per share. There was no change to any of the other terms of the option awards. The modification resulted in an incremental value of $629,000 being allocated to the options, of which $140,000 was recognized to expense immediately based on options that were vested at the time of the modification. The remaining incremental value of $489,000 attributable to unvested options is being recognized over their remaining vesting 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of Stock Units</w:t>
      </w:r>
    </w:p>
    <w:p>
      <w:pPr>
        <w:spacing w:after="0" w:line="185" w:lineRule="exact"/>
        <w:rPr>
          <w:sz w:val="20"/>
          <w:szCs w:val="20"/>
          <w:color w:val="auto"/>
        </w:rPr>
      </w:pPr>
    </w:p>
    <w:p>
      <w:pPr>
        <w:jc w:val="both"/>
        <w:ind w:right="99" w:firstLine="401"/>
        <w:spacing w:after="0" w:line="238" w:lineRule="auto"/>
        <w:rPr>
          <w:sz w:val="20"/>
          <w:szCs w:val="20"/>
          <w:color w:val="auto"/>
        </w:rPr>
      </w:pPr>
      <w:r>
        <w:rPr>
          <w:rFonts w:ascii="Arial" w:cs="Arial" w:eastAsia="Arial" w:hAnsi="Arial"/>
          <w:sz w:val="17"/>
          <w:szCs w:val="17"/>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59"/>
        <w:spacing w:after="0" w:line="235" w:lineRule="auto"/>
        <w:rPr>
          <w:sz w:val="20"/>
          <w:szCs w:val="20"/>
          <w:color w:val="auto"/>
        </w:rPr>
      </w:pPr>
      <w:r>
        <w:rPr>
          <w:rFonts w:ascii="Arial" w:cs="Arial" w:eastAsia="Arial" w:hAnsi="Arial"/>
          <w:sz w:val="18"/>
          <w:szCs w:val="18"/>
          <w:color w:val="auto"/>
        </w:rPr>
        <w:t>value of the RSUs is recognized as expense ratably over the vesting period, as determined by the board of directors on the date of grant.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RSU activity for the year ended December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26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63"/>
              <w:spacing w:after="0" w:line="102"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83"/>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Restricted Stock</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62"/>
        </w:trPr>
        <w:tc>
          <w:tcPr>
            <w:tcW w:w="53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69"/>
        </w:trPr>
        <w:tc>
          <w:tcPr>
            <w:tcW w:w="5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Balance—December 31, 2016</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38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Granted</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30,680</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176"/>
        </w:trPr>
        <w:tc>
          <w:tcPr>
            <w:tcW w:w="53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Balance—December 31, 2017</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30,680</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79" w:firstLine="401"/>
        <w:spacing w:after="0" w:line="22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December 31, 2017, there was $260,000 of unrecognized stock-based compensation expense related to RSUs to be recognized over a weighted-average period of 2.5 years.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recognized stock-based compensation expense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r>
      <w:tr>
        <w:trPr>
          <w:trHeight w:val="129"/>
        </w:trPr>
        <w:tc>
          <w:tcPr>
            <w:tcW w:w="43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2015</w:t>
            </w:r>
          </w:p>
        </w:tc>
      </w:tr>
      <w:tr>
        <w:trPr>
          <w:trHeight w:val="169"/>
        </w:trPr>
        <w:tc>
          <w:tcPr>
            <w:tcW w:w="43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169</w:t>
            </w: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1,297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637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190</w:t>
            </w:r>
          </w:p>
        </w:tc>
      </w:tr>
      <w:tr>
        <w:trPr>
          <w:trHeight w:val="176"/>
        </w:trPr>
        <w:tc>
          <w:tcPr>
            <w:tcW w:w="4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r>
      <w:tr>
        <w:trPr>
          <w:trHeight w:val="176"/>
        </w:trPr>
        <w:tc>
          <w:tcPr>
            <w:tcW w:w="4300" w:type="dxa"/>
            <w:vAlign w:val="bottom"/>
          </w:tcPr>
          <w:p>
            <w:pPr>
              <w:ind w:left="220"/>
              <w:spacing w:after="0" w:line="170"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2,048</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1,141</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416</w:t>
            </w:r>
          </w:p>
        </w:tc>
      </w:tr>
    </w:tbl>
    <w:p>
      <w:pPr>
        <w:spacing w:after="0" w:line="148" w:lineRule="exact"/>
        <w:rPr>
          <w:sz w:val="20"/>
          <w:szCs w:val="20"/>
          <w:color w:val="auto"/>
        </w:rPr>
      </w:pPr>
    </w:p>
    <w:p>
      <w:pPr>
        <w:ind w:right="439" w:firstLine="401"/>
        <w:spacing w:after="0" w:line="235" w:lineRule="auto"/>
        <w:rPr>
          <w:sz w:val="20"/>
          <w:szCs w:val="20"/>
          <w:color w:val="auto"/>
        </w:rPr>
      </w:pPr>
      <w:r>
        <w:rPr>
          <w:rFonts w:ascii="Arial" w:cs="Arial" w:eastAsia="Arial" w:hAnsi="Arial"/>
          <w:sz w:val="18"/>
          <w:szCs w:val="18"/>
          <w:color w:val="auto"/>
        </w:rPr>
        <w:t>As of December 31, 2017, there was $5.1 million of total unrecognized compensation expense related to unvested options which the Company expects recognize over a weighted-average period of 3.3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185" w:lineRule="exact"/>
        <w:rPr>
          <w:sz w:val="20"/>
          <w:szCs w:val="20"/>
          <w:color w:val="auto"/>
        </w:rPr>
      </w:pPr>
    </w:p>
    <w:p>
      <w:pPr>
        <w:ind w:right="299" w:firstLine="401"/>
        <w:spacing w:after="0" w:line="235" w:lineRule="auto"/>
        <w:rPr>
          <w:sz w:val="20"/>
          <w:szCs w:val="20"/>
          <w:color w:val="auto"/>
        </w:rPr>
      </w:pPr>
      <w:r>
        <w:rPr>
          <w:rFonts w:ascii="Arial" w:cs="Arial" w:eastAsia="Arial" w:hAnsi="Arial"/>
          <w:sz w:val="18"/>
          <w:szCs w:val="18"/>
          <w:color w:val="auto"/>
        </w:rPr>
        <w:t>Stock-based compensation expense for employees was $2.0 million, $1.1 million, and $407,000 for the years ended December 31, 2017, 2016, and 2015, respectively.</w:t>
      </w:r>
    </w:p>
    <w:p>
      <w:pPr>
        <w:spacing w:after="0" w:line="162" w:lineRule="exact"/>
        <w:rPr>
          <w:sz w:val="20"/>
          <w:szCs w:val="20"/>
          <w:color w:val="auto"/>
        </w:rPr>
      </w:pPr>
    </w:p>
    <w:p>
      <w:pPr>
        <w:ind w:right="139" w:firstLine="401"/>
        <w:spacing w:after="0" w:line="219" w:lineRule="auto"/>
        <w:rPr>
          <w:sz w:val="20"/>
          <w:szCs w:val="20"/>
          <w:color w:val="auto"/>
        </w:rPr>
      </w:pPr>
      <w:r>
        <w:rPr>
          <w:rFonts w:ascii="Arial" w:cs="Arial" w:eastAsia="Arial" w:hAnsi="Arial"/>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3160" w:type="dxa"/>
            <w:vAlign w:val="bottom"/>
            <w:tcBorders>
              <w:bottom w:val="single" w:sz="8" w:color="auto"/>
            </w:tcBorders>
            <w:gridSpan w:val="7"/>
          </w:tcPr>
          <w:p>
            <w:pPr>
              <w:jc w:val="right"/>
              <w:ind w:right="694"/>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9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r>
      <w:tr>
        <w:trPr>
          <w:trHeight w:val="169"/>
        </w:trPr>
        <w:tc>
          <w:tcPr>
            <w:tcW w:w="3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46.7 – 52.0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42.6 – 45.3</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44.1 – 48.9</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390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5"/>
              </w:rPr>
              <w:t>1.85 - 2.14</w:t>
            </w:r>
          </w:p>
        </w:tc>
        <w:tc>
          <w:tcPr>
            <w:tcW w:w="28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0"/>
              </w:rPr>
              <w:t>1.12 – 2.26</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3"/>
              </w:rPr>
              <w:t>1.51 – 1.79</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r>
      <w:tr>
        <w:trPr>
          <w:trHeight w:val="176"/>
        </w:trPr>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 – 6.1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 – 6.1</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 – 6.1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w:t>
            </w:r>
          </w:p>
        </w:tc>
      </w:tr>
    </w:tbl>
    <w:p>
      <w:pPr>
        <w:spacing w:after="0" w:line="93" w:lineRule="exact"/>
        <w:rPr>
          <w:sz w:val="20"/>
          <w:szCs w:val="20"/>
          <w:color w:val="auto"/>
        </w:rPr>
      </w:pPr>
    </w:p>
    <w:p>
      <w:pPr>
        <w:ind w:right="159" w:firstLine="401"/>
        <w:spacing w:after="0" w:line="21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 Company does not have a long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derived from the average historical volatilities of publicly traded companies within a similar industry that are considered to be comparable to the Company’s business over a period approximately equal to the expected term for employees’ options.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0" w:firstLine="401"/>
        <w:spacing w:after="0" w:line="235"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162"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simplified method to determine the expected term, which is calculated as the average of the time to vesting and the contractual life of the options.</w:t>
      </w:r>
    </w:p>
    <w:p>
      <w:pPr>
        <w:spacing w:after="0" w:line="163" w:lineRule="exact"/>
        <w:rPr>
          <w:sz w:val="20"/>
          <w:szCs w:val="20"/>
          <w:color w:val="auto"/>
        </w:rPr>
      </w:pPr>
    </w:p>
    <w:p>
      <w:pPr>
        <w:ind w:right="180" w:firstLine="401"/>
        <w:spacing w:after="0" w:line="235"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never paid dividends on its common stock and is prohibited from paying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the Company used an expected dividend yield of zero.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185"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vest. During the year ended December 31, 2017, the Company granted options to purchase 16,800 shares of common stock to non-employees with a weighted-average exercise price of $13.74 per share. During the year ended December 31, 2016, the Company granted options to purchase 8,073 shares of common stock to non-employees with a weighted-average exercise price of $7.51 per share. During the year ended December 31, 2015, the Company did not grant any options to non-employees.</w:t>
      </w:r>
    </w:p>
    <w:p>
      <w:pPr>
        <w:spacing w:after="0" w:line="162" w:lineRule="exact"/>
        <w:rPr>
          <w:sz w:val="20"/>
          <w:szCs w:val="20"/>
          <w:color w:val="auto"/>
        </w:rPr>
      </w:pPr>
    </w:p>
    <w:p>
      <w:pPr>
        <w:ind w:right="120" w:firstLine="401"/>
        <w:spacing w:after="0" w:line="219" w:lineRule="auto"/>
        <w:rPr>
          <w:sz w:val="20"/>
          <w:szCs w:val="20"/>
          <w:color w:val="auto"/>
        </w:rPr>
      </w:pPr>
      <w:r>
        <w:rPr>
          <w:rFonts w:ascii="Arial" w:cs="Arial" w:eastAsia="Arial" w:hAnsi="Arial"/>
          <w:sz w:val="18"/>
          <w:szCs w:val="18"/>
          <w:color w:val="auto"/>
        </w:rPr>
        <w:t>Options to purchase 37,872 shares, 31,990 shares and 15,498 shares of common stock were outstanding with a weighted-average exercise price of $9.16, $5.26 and $4.42 per share as of December 31, 2017, 2016 and 2015, respectively. Stock-based compensation expense for non-employees was $69,000, $23,000, and $9,000 for the years ended December 31, 2017, 2016, and 2015, respectively.</w:t>
      </w:r>
    </w:p>
    <w:p>
      <w:pPr>
        <w:spacing w:after="0" w:line="163"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color w:val="auto"/>
        </w:rPr>
        <w:t>The Company believes that the fair value of the stock options is more reliably measurable than the fair value of services received. The fair value of the stock options granted is calculated at each reporting date using the Black-Scholes option pricing model with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4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2"/>
          </w:tcPr>
          <w:p>
            <w:pPr>
              <w:jc w:val="right"/>
              <w:ind w:right="234"/>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gridSpan w:val="2"/>
          </w:tcPr>
          <w:p>
            <w:pPr>
              <w:jc w:val="right"/>
              <w:ind w:right="170"/>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r>
      <w:tr>
        <w:trPr>
          <w:trHeight w:val="169"/>
        </w:trPr>
        <w:tc>
          <w:tcPr>
            <w:tcW w:w="4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3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6"/>
              </w:rPr>
              <w:t>46.7</w:t>
            </w:r>
          </w:p>
        </w:tc>
        <w:tc>
          <w:tcPr>
            <w:tcW w:w="54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w w:val="95"/>
              </w:rPr>
              <w:t>– 60.5</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52.3</w:t>
            </w:r>
          </w:p>
        </w:tc>
        <w:tc>
          <w:tcPr>
            <w:tcW w:w="50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w w:val="87"/>
              </w:rPr>
              <w:t>– 52.7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5"/>
              </w:rPr>
              <w:t>51.6</w:t>
            </w:r>
          </w:p>
        </w:tc>
        <w:tc>
          <w:tcPr>
            <w:tcW w:w="660" w:type="dxa"/>
            <w:vAlign w:val="bottom"/>
            <w:gridSpan w:val="3"/>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w w:val="93"/>
              </w:rPr>
              <w:t>– 52.9%</w:t>
            </w: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w w:val="96"/>
              </w:rPr>
              <w:t>2.09</w:t>
            </w:r>
          </w:p>
        </w:tc>
        <w:tc>
          <w:tcPr>
            <w:tcW w:w="540" w:type="dxa"/>
            <w:vAlign w:val="bottom"/>
          </w:tcPr>
          <w:p>
            <w:pPr>
              <w:ind w:left="40"/>
              <w:spacing w:after="0" w:line="176" w:lineRule="exact"/>
              <w:rPr>
                <w:sz w:val="20"/>
                <w:szCs w:val="20"/>
                <w:color w:val="auto"/>
              </w:rPr>
            </w:pPr>
            <w:r>
              <w:rPr>
                <w:rFonts w:ascii="Arial" w:cs="Arial" w:eastAsia="Arial" w:hAnsi="Arial"/>
                <w:sz w:val="18"/>
                <w:szCs w:val="18"/>
                <w:color w:val="auto"/>
                <w:w w:val="95"/>
              </w:rPr>
              <w:t>– 2.44</w:t>
            </w:r>
          </w:p>
        </w:tc>
        <w:tc>
          <w:tcPr>
            <w:tcW w:w="24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w w:val="91"/>
              </w:rPr>
              <w:t>1.94</w:t>
            </w:r>
          </w:p>
        </w:tc>
        <w:tc>
          <w:tcPr>
            <w:tcW w:w="7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 2.41</w:t>
            </w: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w w:val="85"/>
              </w:rPr>
              <w:t>1.72</w:t>
            </w:r>
          </w:p>
        </w:tc>
        <w:tc>
          <w:tcPr>
            <w:tcW w:w="66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w w:val="93"/>
              </w:rPr>
              <w:t>– 2.02%</w:t>
            </w:r>
          </w:p>
        </w:tc>
      </w:tr>
      <w:tr>
        <w:trPr>
          <w:trHeight w:val="176"/>
        </w:trPr>
        <w:tc>
          <w:tcPr>
            <w:tcW w:w="4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5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 9.6</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7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 9.8</w:t>
            </w:r>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4"/>
              </w:rPr>
              <w:t>– 9.1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20"/>
                <w:szCs w:val="20"/>
                <w:color w:val="auto"/>
              </w:rPr>
            </w:pPr>
          </w:p>
        </w:tc>
        <w:tc>
          <w:tcPr>
            <w:tcW w:w="540" w:type="dxa"/>
            <w:vAlign w:val="bottom"/>
          </w:tcPr>
          <w:p>
            <w:pPr>
              <w:jc w:val="center"/>
              <w:ind w:right="234"/>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40" w:type="dxa"/>
            <w:vAlign w:val="bottom"/>
          </w:tcPr>
          <w:p>
            <w:pPr>
              <w:spacing w:after="0"/>
              <w:rPr>
                <w:sz w:val="20"/>
                <w:szCs w:val="20"/>
                <w:color w:val="auto"/>
              </w:rPr>
            </w:pPr>
          </w:p>
        </w:tc>
        <w:tc>
          <w:tcPr>
            <w:tcW w:w="7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401(k) Plan</w:t>
      </w:r>
    </w:p>
    <w:p>
      <w:pPr>
        <w:spacing w:after="0" w:line="189" w:lineRule="exact"/>
        <w:rPr>
          <w:sz w:val="20"/>
          <w:szCs w:val="20"/>
          <w:color w:val="auto"/>
        </w:rPr>
      </w:pPr>
    </w:p>
    <w:p>
      <w:pPr>
        <w:ind w:firstLine="401"/>
        <w:spacing w:after="0" w:line="259" w:lineRule="auto"/>
        <w:rPr>
          <w:sz w:val="20"/>
          <w:szCs w:val="20"/>
          <w:color w:val="auto"/>
        </w:rPr>
      </w:pPr>
      <w:r>
        <w:rPr>
          <w:rFonts w:ascii="Arial" w:cs="Arial" w:eastAsia="Arial" w:hAnsi="Arial"/>
          <w:sz w:val="16"/>
          <w:szCs w:val="16"/>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85" w:lineRule="exact"/>
        <w:rPr>
          <w:sz w:val="20"/>
          <w:szCs w:val="20"/>
          <w:color w:val="auto"/>
        </w:rPr>
      </w:pPr>
    </w:p>
    <w:p>
      <w:pPr>
        <w:ind w:right="20" w:firstLine="401"/>
        <w:spacing w:after="0" w:line="239" w:lineRule="auto"/>
        <w:rPr>
          <w:sz w:val="20"/>
          <w:szCs w:val="20"/>
          <w:color w:val="auto"/>
        </w:rPr>
      </w:pPr>
      <w:r>
        <w:rPr>
          <w:rFonts w:ascii="Arial" w:cs="Arial" w:eastAsia="Arial" w:hAnsi="Arial"/>
          <w:sz w:val="16"/>
          <w:szCs w:val="16"/>
          <w:color w:val="auto"/>
        </w:rPr>
        <w:t>In January 2016, the Company entered into a Note Purchase Agreement with several of its stockholders for the issuance of convertible promissory notes (the 2016 Notes) for an aggregate amount of $5.0 million. The 2016 Notes bear interest at</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5.0% per annum and have a maturity date of December 15, 2016, extended from the original maturity date of September 30, 2016. The outstanding principal amount and accrued interest on the 2016 Notes were convertible into shares of Series B redeemable convertible preferred stock, at any time, upon written election of the holders of at least a majority of the outstanding principal balance of the 2016 Notes. In the event of an equity financing with proceeds in excess of $5.0 million (Qualified Financing) prior to the maturity of the 2016 Notes, the outstanding principal and accrued interest convert into shares of stock issued in the equity financing based on a price per share equal to the price per share paid by investors in said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2016 Notes will be repaid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in cash in an amount equal to three times the outstanding principal amount. The redemption of the 2016 Notes upon a deemed liquidation event and in the event of an IPO were contingent redemption features that are not clearly and closely related to the debt instrument and thus were bifurcated and recognized as a derivative liability on the balance sheet at the date of issuance. The compound derivative was recorded as a debt discount at fair value of $653,000 on the issuance date of the 2016 Notes and was being amortized over the term of the 2016 Notes using the effective interest method. Upon the completion of the IPO, the outstanding principal balance of the 2016 Notes, including accrued interest of $176,000, was converted into 808,747 shares of common stock. Accordingly, the outstanding balance of the 2016 Notes of $5.2 million, the unamortized debt discount of $74,000 and the derivative liability of $70,000 were reclassified to additional paid-in capital. No gain or loss from the extinguishment of the debt was recognized in the statement of the operations as the holders of the 2016 Notes are related parties.</w:t>
      </w:r>
    </w:p>
    <w:p>
      <w:pPr>
        <w:spacing w:after="0" w:line="164" w:lineRule="exact"/>
        <w:rPr>
          <w:sz w:val="20"/>
          <w:szCs w:val="20"/>
          <w:color w:val="auto"/>
        </w:rPr>
      </w:pPr>
    </w:p>
    <w:p>
      <w:pPr>
        <w:ind w:right="20" w:firstLine="401"/>
        <w:spacing w:after="0" w:line="232" w:lineRule="auto"/>
        <w:rPr>
          <w:sz w:val="20"/>
          <w:szCs w:val="20"/>
          <w:color w:val="auto"/>
        </w:rPr>
      </w:pPr>
      <w:r>
        <w:rPr>
          <w:rFonts w:ascii="Arial" w:cs="Arial" w:eastAsia="Arial" w:hAnsi="Arial"/>
          <w:sz w:val="16"/>
          <w:szCs w:val="16"/>
          <w:color w:val="auto"/>
        </w:rPr>
        <w:t>In August 2016, the Company entered into a Note Purchase Agreement with existing stockholders for the issuance of subordinated convertible promissory notes (the 2016 Bridge Notes) for an aggregate principal amount of $3.5 million. The 2016 Bridge Notes bear interest at 5.0% per annum and have a maturity date of December 15, 2016, extended from the original maturity date of September 30, 2016. In the event of an equity financing with proceeds in excess of $5.0 million (Qualified Financing) prior to the maturity of the 2016 Bridge Notes, the outstanding principal and accrued interest convert into shares of stock issued in the Qualified Financing based on a price per share equal to the price per share paid by investors in such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2016 Bridge Notes will be repaid in cash in an amount equal to three times the outstanding principal amount. The Company may not prepay the 2016 Bridge Notes without the consent of the Company and the majority holders of the outstanding balance of the promissory notes. The redemption of the 2016 Bridge Notes upon a deemed liquidation event and in the event of an IPO are contingent redemption features that are not clearly and closely related to the debt instrument and thus were bifurcated and recognized as a derivative liability on the balance sheet at the date of issuance. The compound derivative was recorded as a debt discount at fair value of $264,000 on the issuance date of the 2016 Bridge Notes and was being amortized over the term of the 2016 Bridge Notes using the effective interest method. Upon completion of the IPO, the outstanding principal balance of the 2016 Bridge Notes, including accrued interest of $35,000, was converted into 552,262 shares of common stock. Accordingly, the carrying value of the 2016 Bridge Notes of $3.5 million, the unamortized debt discount of $122,000 and the derivative liability of $50,000 were reclassified to additional paid-in capital. No gain or loss from the extinguishment of the debt was recognized in the statement of the operations as the holders of the 2016 Bridge Notes are related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Agreement—GLOBALFOUNDRIES</w:t>
      </w:r>
    </w:p>
    <w:p>
      <w:pPr>
        <w:spacing w:after="0" w:line="185"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On October 17, 2014, the Company entered into a Joint Development Agreement (JDA) with GLOBALFOUNDRIES, Inc. (GF), a related party due to its equity ownership in the Company, for the joint development of the Company’s Spin Transfer Torque MRAM (STT-MRAM)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STT-MRAM technology would be pursuant to a separate manufacturing agreement entered into between the parties.</w:t>
      </w:r>
    </w:p>
    <w:p>
      <w:pPr>
        <w:spacing w:after="0" w:line="161" w:lineRule="exact"/>
        <w:rPr>
          <w:sz w:val="20"/>
          <w:szCs w:val="20"/>
          <w:color w:val="auto"/>
        </w:rPr>
      </w:pPr>
    </w:p>
    <w:p>
      <w:pPr>
        <w:ind w:right="40" w:firstLine="401"/>
        <w:spacing w:after="0" w:line="212"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65" w:lineRule="exact"/>
        <w:rPr>
          <w:sz w:val="20"/>
          <w:szCs w:val="20"/>
          <w:color w:val="auto"/>
        </w:rPr>
      </w:pPr>
    </w:p>
    <w:p>
      <w:pPr>
        <w:ind w:right="20" w:firstLine="401"/>
        <w:spacing w:after="0" w:line="216"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STT-MRAM devices that utilize certain design information, GF will be required to pay the Company a royalty. The term of the agreement is four years and is extended until the completion of any development work, if later.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firstLine="401"/>
        <w:spacing w:after="0" w:line="219" w:lineRule="auto"/>
        <w:rPr>
          <w:sz w:val="20"/>
          <w:szCs w:val="20"/>
          <w:color w:val="auto"/>
        </w:rPr>
      </w:pPr>
      <w:r>
        <w:rPr>
          <w:rFonts w:ascii="Arial" w:cs="Arial" w:eastAsia="Arial" w:hAnsi="Arial"/>
          <w:sz w:val="18"/>
          <w:szCs w:val="18"/>
          <w:color w:val="auto"/>
        </w:rPr>
        <w:t>In May 2016, the Company entered into an amendment to the JDA to modify the payment schedule and clarify its payment obligations for certain past project costs. Under the amendment, GF had the right to terminate the JDA if the Company did not pay the past project costs, with interest, by December 15, 2016. Such project costs were paid in December 2016.</w:t>
      </w:r>
    </w:p>
    <w:p>
      <w:pPr>
        <w:spacing w:after="0" w:line="163" w:lineRule="exact"/>
        <w:rPr>
          <w:sz w:val="20"/>
          <w:szCs w:val="20"/>
          <w:color w:val="auto"/>
        </w:rPr>
      </w:pPr>
    </w:p>
    <w:p>
      <w:pPr>
        <w:ind w:right="20" w:firstLine="401"/>
        <w:spacing w:after="0" w:line="234" w:lineRule="auto"/>
        <w:rPr>
          <w:sz w:val="20"/>
          <w:szCs w:val="20"/>
          <w:color w:val="auto"/>
        </w:rPr>
      </w:pPr>
      <w:r>
        <w:rPr>
          <w:rFonts w:ascii="Arial" w:cs="Arial" w:eastAsia="Arial" w:hAnsi="Arial"/>
          <w:sz w:val="16"/>
          <w:szCs w:val="16"/>
          <w:color w:val="auto"/>
        </w:rPr>
        <w:t>As of December 31, 2017, $25,000 was receivable from GF. There were no amounts receivable from GF as of December 31, 2016. As of December 31, 2017 and 2016, $749,000 and $979,000, respectively, were payable to GF for the Company’s share of the project costs under the JDA. During the year ended December 31, 2017, the Company purchased research and development equipment from GF for $747,000, which were included in property and equipment, net as of December 31, 2017. There were no such purchases from GF during the year ended December 31, 2016. The Company incurred project costs, recognized as research and development expense, of $5.2 million, $2.9 million, and $3.6 million during the years ended December 31, 2017, 2016, and 2015, respectively. The Company entered into a Statement of Work #4B (the SOW 4B) under the JDA with GF effective August 31, 2016. Under SOW 4B, the Company will collaborate with GF in planning, designing and supporting evaluation of 22nm embedded MRAM arrays. The Company is eligible to receive three substantive milestone payments from this collaboration: (a) $569,000 was due upon the delivery of the Company’s database of bias system schematics; (b) $650,000 was due upon the delivery of a Graphic Design Database System package; and (c) $406,000 is due upon demonstration that the embedded MRAM array meets the specifications agreed upon by the two parties. All the milestones were achieved in 2017 for which the Company recognized revenue of $1.6 million from GF in the year ended December 31, 2017. There was no revenue from GF for the years ended December 31, 2016 and 2015.</w:t>
      </w:r>
    </w:p>
    <w:p>
      <w:pPr>
        <w:spacing w:after="0" w:line="163" w:lineRule="exact"/>
        <w:rPr>
          <w:sz w:val="20"/>
          <w:szCs w:val="20"/>
          <w:color w:val="auto"/>
        </w:rPr>
      </w:pPr>
    </w:p>
    <w:p>
      <w:pPr>
        <w:ind w:firstLine="401"/>
        <w:spacing w:after="0" w:line="232"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 of each month thereafter. The fair value of vesting shares is effectively fixed at each measurement date while the fair value of the remaining unvested shares will be remeasured each subsequent measurement date until the shares are fully vested. During the year ended December 31, 2016, GF achieved the product qualification as set forth under the SOW. As such, a total of 211,538 shares of common stock became vested on August 21, 2016, the designated Initial Measurement Date. Subsequent to the Initial Measurement Date through December 31, 2017, an additional 153,846 shares of common stock became vested. As of December 31, 2017, there were 96,153 shares unvested that were subject to repurchase.</w:t>
      </w:r>
    </w:p>
    <w:p>
      <w:pPr>
        <w:spacing w:after="0" w:line="173" w:lineRule="exact"/>
        <w:rPr>
          <w:sz w:val="20"/>
          <w:szCs w:val="20"/>
          <w:color w:val="auto"/>
        </w:rPr>
      </w:pPr>
    </w:p>
    <w:p>
      <w:pPr>
        <w:ind w:right="60" w:firstLine="401"/>
        <w:spacing w:after="0" w:line="226" w:lineRule="auto"/>
        <w:rPr>
          <w:sz w:val="20"/>
          <w:szCs w:val="20"/>
          <w:color w:val="auto"/>
        </w:rPr>
      </w:pPr>
      <w:r>
        <w:rPr>
          <w:rFonts w:ascii="Arial" w:cs="Arial" w:eastAsia="Arial" w:hAnsi="Arial"/>
          <w:sz w:val="17"/>
          <w:szCs w:val="17"/>
          <w:color w:val="auto"/>
        </w:rPr>
        <w:t>During the years ended December 31, 2017, 2016, and 2015, the Company recognized non-cash compensation expense of $1.5 million, $965,000, and $1.8 million, respectively, in research and development expense, related to the vesting of the shares of common stock. The Company recognizes compensation expense based on the fair value of the common stock at each reporting period, which was $7.50, $8.29, and $13.52 per share as of December 31, 2017, 2016, and 2015, respectively. The decrease in the fair value of the common stock during the year ended December 31, 2017 and 2016 resulted in a reversal of compensation expense previously recognized on the unvested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Freescale</w:t>
      </w:r>
    </w:p>
    <w:p>
      <w:pPr>
        <w:spacing w:after="0" w:line="185" w:lineRule="exact"/>
        <w:rPr>
          <w:sz w:val="20"/>
          <w:szCs w:val="20"/>
          <w:color w:val="auto"/>
        </w:rPr>
      </w:pPr>
    </w:p>
    <w:p>
      <w:pPr>
        <w:ind w:right="40" w:firstLine="401"/>
        <w:spacing w:after="0" w:line="225" w:lineRule="auto"/>
        <w:rPr>
          <w:sz w:val="20"/>
          <w:szCs w:val="20"/>
          <w:color w:val="auto"/>
        </w:rPr>
      </w:pPr>
      <w:r>
        <w:rPr>
          <w:rFonts w:ascii="Arial" w:cs="Arial" w:eastAsia="Arial" w:hAnsi="Arial"/>
          <w:sz w:val="17"/>
          <w:szCs w:val="17"/>
          <w:color w:val="auto"/>
        </w:rPr>
        <w:t>The Company has entered into various transactions with Freescale (a wholly-owned subsidiary of NXP), a related party due to its equity ownership in the Company. The Company leases its manufacturing facility in Chandler, Arizona, from Freescale and total rent expense during the years ended December 31, 2017, 2016, and 2015 were $1.0 million, $1.1 million, and $1.0 million, respectively. Freescale also performs processing of the Company’s products in its facility which are capitalized as part of the cost of inventory. The total processing costs incurred by the Company were $3.1 million, $2.5 million, and $3.9 million, for the years ended December 31, 2017, 2016, and 2015, respectively. In addition, Freescale is one of the Company’s largest customers for the sale of embedded wafers, and total revenue from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Freescale was $2.3 million, $2.4 million, and $3.5 million for the years ended December 31, 2017, 2016, and 2015, respectively. In the year ended December 31, 2017 and 2016, the Company purchased wafers for its Condor product from Freescale for $1.4 million and $904,000, respectively, of which $638,000 and $505,000 was included in inventory as of December 31, 2017 and 2016, respectively. Amounts due from Freescale were $587,000 and $486,000 at December 31, 2017 and 2016, respectively. Amounts due to Freescale were $945,000 and $380,000 at December 31, 2017 and 2016,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189" w:lineRule="exact"/>
        <w:rPr>
          <w:sz w:val="20"/>
          <w:szCs w:val="20"/>
          <w:color w:val="auto"/>
        </w:rPr>
      </w:pPr>
    </w:p>
    <w:p>
      <w:pPr>
        <w:ind w:right="180" w:firstLine="401"/>
        <w:spacing w:after="0" w:line="235" w:lineRule="auto"/>
        <w:rPr>
          <w:sz w:val="20"/>
          <w:szCs w:val="20"/>
          <w:color w:val="auto"/>
        </w:rPr>
      </w:pPr>
      <w:r>
        <w:rPr>
          <w:rFonts w:ascii="Arial" w:cs="Arial" w:eastAsia="Arial" w:hAnsi="Arial"/>
          <w:sz w:val="18"/>
          <w:szCs w:val="18"/>
          <w:color w:val="auto"/>
        </w:rPr>
        <w:t>Revenue from customers is designated based on the geographic region or country to which the product is delivered or licensee is located. Revenue by country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46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2015</w:t>
            </w:r>
          </w:p>
        </w:tc>
      </w:tr>
      <w:tr>
        <w:trPr>
          <w:trHeight w:val="169"/>
        </w:trPr>
        <w:tc>
          <w:tcPr>
            <w:tcW w:w="4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4,759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4,321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5,362</w:t>
            </w:r>
          </w:p>
        </w:tc>
      </w:tr>
      <w:tr>
        <w:trPr>
          <w:trHeight w:val="176"/>
        </w:trPr>
        <w:tc>
          <w:tcPr>
            <w:tcW w:w="4640" w:type="dxa"/>
            <w:vAlign w:val="bottom"/>
          </w:tcPr>
          <w:p>
            <w:pPr>
              <w:spacing w:after="0" w:line="176" w:lineRule="exact"/>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8,067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5,467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4,614</w:t>
            </w:r>
          </w:p>
        </w:tc>
      </w:tr>
      <w:tr>
        <w:trPr>
          <w:trHeight w:val="176"/>
        </w:trPr>
        <w:tc>
          <w:tcPr>
            <w:tcW w:w="4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Japan</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4,128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2,280</w:t>
            </w:r>
          </w:p>
        </w:tc>
      </w:tr>
      <w:tr>
        <w:trPr>
          <w:trHeight w:val="176"/>
        </w:trPr>
        <w:tc>
          <w:tcPr>
            <w:tcW w:w="4640" w:type="dxa"/>
            <w:vAlign w:val="bottom"/>
          </w:tcPr>
          <w:p>
            <w:pPr>
              <w:spacing w:after="0" w:line="176" w:lineRule="exact"/>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2,964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3,013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3,546</w:t>
            </w:r>
          </w:p>
        </w:tc>
      </w:tr>
      <w:tr>
        <w:trPr>
          <w:trHeight w:val="176"/>
        </w:trPr>
        <w:tc>
          <w:tcPr>
            <w:tcW w:w="4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2,161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3,759</w:t>
            </w:r>
          </w:p>
        </w:tc>
      </w:tr>
      <w:tr>
        <w:trPr>
          <w:trHeight w:val="176"/>
        </w:trPr>
        <w:tc>
          <w:tcPr>
            <w:tcW w:w="4640" w:type="dxa"/>
            <w:vAlign w:val="bottom"/>
          </w:tcPr>
          <w:p>
            <w:pPr>
              <w:spacing w:after="0" w:line="176" w:lineRule="exact"/>
              <w:rPr>
                <w:sz w:val="20"/>
                <w:szCs w:val="20"/>
                <w:color w:val="auto"/>
              </w:rPr>
            </w:pPr>
            <w:r>
              <w:rPr>
                <w:rFonts w:ascii="Arial" w:cs="Arial" w:eastAsia="Arial" w:hAnsi="Arial"/>
                <w:sz w:val="18"/>
                <w:szCs w:val="18"/>
                <w:color w:val="auto"/>
              </w:rPr>
              <w:t>Hong Kong</w:t>
            </w: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2,179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2,122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2,744</w:t>
            </w:r>
          </w:p>
        </w:tc>
      </w:tr>
      <w:tr>
        <w:trPr>
          <w:trHeight w:val="176"/>
        </w:trPr>
        <w:tc>
          <w:tcPr>
            <w:tcW w:w="4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11,763</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6,725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4,241</w:t>
            </w:r>
          </w:p>
        </w:tc>
      </w:tr>
      <w:tr>
        <w:trPr>
          <w:trHeight w:val="176"/>
        </w:trPr>
        <w:tc>
          <w:tcPr>
            <w:tcW w:w="4640" w:type="dxa"/>
            <w:vAlign w:val="bottom"/>
          </w:tcPr>
          <w:p>
            <w:pPr>
              <w:ind w:left="220"/>
              <w:spacing w:after="0" w:line="170" w:lineRule="exact"/>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35,936</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27,094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26,546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ind w:right="60" w:firstLine="401"/>
        <w:spacing w:after="0" w:line="216" w:lineRule="auto"/>
        <w:rPr>
          <w:sz w:val="20"/>
          <w:szCs w:val="20"/>
          <w:color w:val="auto"/>
        </w:rPr>
      </w:pPr>
      <w:r>
        <w:rPr>
          <w:rFonts w:ascii="Arial" w:cs="Arial" w:eastAsia="Arial" w:hAnsi="Arial"/>
          <w:sz w:val="18"/>
          <w:szCs w:val="18"/>
          <w:color w:val="auto"/>
        </w:rPr>
        <w:t>For the years ended December 31, 2017, 2016 and 2015, the Company recorded no provision for income taxes primarily due to losses incurred. The Company has incurred net operating losses for all the periods presented. The Company has not reflected any benefit of the net operating loss carryforwards in the accompanying financial statements. The Company has established a full valuation allowance against its deferred tax assets due to the uncertainty surrounding the realization of such assets.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tcPr>
          <w:p>
            <w:pPr>
              <w:spacing w:after="0"/>
              <w:rPr>
                <w:sz w:val="14"/>
                <w:szCs w:val="14"/>
                <w:color w:val="auto"/>
              </w:rPr>
            </w:pPr>
          </w:p>
        </w:tc>
      </w:tr>
      <w:tr>
        <w:trPr>
          <w:trHeight w:val="129"/>
        </w:trPr>
        <w:tc>
          <w:tcPr>
            <w:tcW w:w="354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1820" w:type="dxa"/>
            <w:vAlign w:val="bottom"/>
          </w:tcPr>
          <w:p>
            <w:pPr>
              <w:spacing w:after="0"/>
              <w:rPr>
                <w:sz w:val="11"/>
                <w:szCs w:val="11"/>
                <w:color w:val="auto"/>
              </w:rPr>
            </w:pPr>
          </w:p>
        </w:tc>
      </w:tr>
      <w:tr>
        <w:trPr>
          <w:trHeight w:val="169"/>
        </w:trPr>
        <w:tc>
          <w:tcPr>
            <w:tcW w:w="35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Tax at statutory federal rate</w:t>
            </w:r>
          </w:p>
        </w:tc>
        <w:tc>
          <w:tcPr>
            <w:tcW w:w="1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(34.0)%</w:t>
            </w:r>
          </w:p>
        </w:tc>
        <w:tc>
          <w:tcPr>
            <w:tcW w:w="78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8"/>
                <w:szCs w:val="18"/>
                <w:color w:val="auto"/>
              </w:rPr>
              <w:t>(34.0)%</w:t>
            </w:r>
          </w:p>
        </w:tc>
        <w:tc>
          <w:tcPr>
            <w:tcW w:w="70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(34.0)%</w:t>
            </w:r>
          </w:p>
        </w:tc>
        <w:tc>
          <w:tcPr>
            <w:tcW w:w="1820" w:type="dxa"/>
            <w:vAlign w:val="bottom"/>
          </w:tcPr>
          <w:p>
            <w:pPr>
              <w:spacing w:after="0"/>
              <w:rPr>
                <w:sz w:val="14"/>
                <w:szCs w:val="14"/>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State taxes, net of federal benefit</w:t>
            </w:r>
          </w:p>
        </w:tc>
        <w:tc>
          <w:tcPr>
            <w:tcW w:w="1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Stock-based compensation</w:t>
            </w:r>
          </w:p>
        </w:tc>
        <w:tc>
          <w:tcPr>
            <w:tcW w:w="19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Nondeductible fair value adjustment</w:t>
            </w:r>
          </w:p>
        </w:tc>
        <w:tc>
          <w:tcPr>
            <w:tcW w:w="1400" w:type="dxa"/>
            <w:vAlign w:val="bottom"/>
          </w:tcPr>
          <w:p>
            <w:pPr>
              <w:spacing w:after="0"/>
              <w:rPr>
                <w:sz w:val="15"/>
                <w:szCs w:val="15"/>
                <w:color w:val="auto"/>
              </w:rPr>
            </w:pPr>
          </w:p>
        </w:tc>
        <w:tc>
          <w:tcPr>
            <w:tcW w:w="820" w:type="dxa"/>
            <w:vAlign w:val="bottom"/>
            <w:gridSpan w:val="2"/>
          </w:tcPr>
          <w:p>
            <w:pPr>
              <w:jc w:val="right"/>
              <w:ind w:right="210"/>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5"/>
                <w:szCs w:val="15"/>
                <w:color w:val="auto"/>
              </w:rPr>
            </w:pPr>
          </w:p>
        </w:tc>
        <w:tc>
          <w:tcPr>
            <w:tcW w:w="7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820" w:type="dxa"/>
            <w:vAlign w:val="bottom"/>
          </w:tcPr>
          <w:p>
            <w:pPr>
              <w:spacing w:after="0"/>
              <w:rPr>
                <w:sz w:val="15"/>
                <w:szCs w:val="15"/>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Nondeductible interest</w:t>
            </w:r>
          </w:p>
        </w:tc>
        <w:tc>
          <w:tcPr>
            <w:tcW w:w="1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820" w:type="dxa"/>
            <w:vAlign w:val="bottom"/>
          </w:tcPr>
          <w:p>
            <w:pPr>
              <w:spacing w:after="0"/>
              <w:rPr>
                <w:sz w:val="15"/>
                <w:szCs w:val="15"/>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2220" w:type="dxa"/>
            <w:vAlign w:val="bottom"/>
            <w:gridSpan w:val="3"/>
          </w:tcPr>
          <w:p>
            <w:pPr>
              <w:jc w:val="right"/>
              <w:ind w:right="150"/>
              <w:spacing w:after="0" w:line="176" w:lineRule="exact"/>
              <w:rPr>
                <w:sz w:val="20"/>
                <w:szCs w:val="20"/>
                <w:color w:val="auto"/>
              </w:rPr>
            </w:pPr>
            <w:r>
              <w:rPr>
                <w:rFonts w:ascii="Arial" w:cs="Arial" w:eastAsia="Arial" w:hAnsi="Arial"/>
                <w:sz w:val="18"/>
                <w:szCs w:val="18"/>
                <w:color w:val="auto"/>
              </w:rPr>
              <w:t>(34.2)</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33.3</w:t>
            </w:r>
          </w:p>
        </w:tc>
        <w:tc>
          <w:tcPr>
            <w:tcW w:w="2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34.3</w:t>
            </w: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Federal tax rate change</w:t>
            </w:r>
          </w:p>
        </w:tc>
        <w:tc>
          <w:tcPr>
            <w:tcW w:w="19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820" w:type="dxa"/>
            <w:vAlign w:val="bottom"/>
          </w:tcPr>
          <w:p>
            <w:pPr>
              <w:spacing w:after="0"/>
              <w:rPr>
                <w:sz w:val="15"/>
                <w:szCs w:val="15"/>
                <w:color w:val="auto"/>
              </w:rPr>
            </w:pPr>
          </w:p>
        </w:tc>
      </w:tr>
      <w:tr>
        <w:trPr>
          <w:trHeight w:val="176"/>
        </w:trPr>
        <w:tc>
          <w:tcPr>
            <w:tcW w:w="35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5"/>
                <w:szCs w:val="15"/>
                <w:color w:val="auto"/>
              </w:rPr>
            </w:pPr>
          </w:p>
        </w:tc>
        <w:tc>
          <w:tcPr>
            <w:tcW w:w="1820" w:type="dxa"/>
            <w:vAlign w:val="bottom"/>
          </w:tcPr>
          <w:p>
            <w:pPr>
              <w:spacing w:after="0"/>
              <w:rPr>
                <w:sz w:val="15"/>
                <w:szCs w:val="15"/>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1820" w:type="dxa"/>
            <w:vAlign w:val="bottom"/>
          </w:tcPr>
          <w:p>
            <w:pPr>
              <w:spacing w:after="0"/>
              <w:rPr>
                <w:sz w:val="19"/>
                <w:szCs w:val="19"/>
                <w:color w:val="auto"/>
              </w:rPr>
            </w:pPr>
          </w:p>
        </w:tc>
      </w:tr>
      <w:tr>
        <w:trPr>
          <w:trHeight w:val="797"/>
        </w:trPr>
        <w:tc>
          <w:tcPr>
            <w:tcW w:w="354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80</w:t>
            </w: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20" w:type="dxa"/>
            <w:vAlign w:val="bottom"/>
          </w:tcPr>
          <w:p>
            <w:pPr>
              <w:spacing w:after="0"/>
              <w:rPr>
                <w:sz w:val="24"/>
                <w:szCs w:val="24"/>
                <w:color w:val="auto"/>
              </w:rPr>
            </w:pPr>
          </w:p>
        </w:tc>
      </w:tr>
      <w:tr>
        <w:trPr>
          <w:trHeight w:val="102"/>
        </w:trPr>
        <w:tc>
          <w:tcPr>
            <w:tcW w:w="35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firstLine="401"/>
        <w:spacing w:after="0" w:line="235"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r>
      <w:tr>
        <w:trPr>
          <w:trHeight w:val="129"/>
        </w:trPr>
        <w:tc>
          <w:tcPr>
            <w:tcW w:w="362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31"/>
              <w:spacing w:after="0" w:line="129" w:lineRule="exact"/>
              <w:rPr>
                <w:sz w:val="20"/>
                <w:szCs w:val="20"/>
                <w:color w:val="auto"/>
              </w:rPr>
            </w:pPr>
            <w:r>
              <w:rPr>
                <w:rFonts w:ascii="Arial" w:cs="Arial" w:eastAsia="Arial" w:hAnsi="Arial"/>
                <w:sz w:val="14"/>
                <w:szCs w:val="14"/>
                <w:b w:val="1"/>
                <w:bCs w:val="1"/>
                <w:color w:val="auto"/>
              </w:rPr>
              <w:t>2016</w:t>
            </w:r>
          </w:p>
        </w:tc>
      </w:tr>
      <w:tr>
        <w:trPr>
          <w:trHeight w:val="169"/>
        </w:trPr>
        <w:tc>
          <w:tcPr>
            <w:tcW w:w="3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6"/>
        </w:trPr>
        <w:tc>
          <w:tcPr>
            <w:tcW w:w="3620" w:type="dxa"/>
            <w:vAlign w:val="bottom"/>
          </w:tcPr>
          <w:p>
            <w:pPr>
              <w:ind w:left="120"/>
              <w:spacing w:after="0" w:line="176" w:lineRule="exact"/>
              <w:rPr>
                <w:sz w:val="20"/>
                <w:szCs w:val="20"/>
                <w:color w:val="auto"/>
              </w:rPr>
            </w:pPr>
            <w:r>
              <w:rPr>
                <w:rFonts w:ascii="Arial" w:cs="Arial" w:eastAsia="Arial" w:hAnsi="Arial"/>
                <w:sz w:val="18"/>
                <w:szCs w:val="18"/>
                <w:color w:val="auto"/>
              </w:rPr>
              <w:t>Net operating loss carryforwards</w:t>
            </w:r>
          </w:p>
        </w:tc>
        <w:tc>
          <w:tcPr>
            <w:tcW w:w="1420" w:type="dxa"/>
            <w:vAlign w:val="bottom"/>
            <w:gridSpan w:val="2"/>
          </w:tcPr>
          <w:p>
            <w:pPr>
              <w:jc w:val="right"/>
              <w:ind w:right="105"/>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22,586</w:t>
            </w:r>
          </w:p>
        </w:tc>
        <w:tc>
          <w:tcPr>
            <w:tcW w:w="520" w:type="dxa"/>
            <w:vAlign w:val="bottom"/>
            <w:gridSpan w:val="2"/>
          </w:tcPr>
          <w:p>
            <w:pPr>
              <w:jc w:val="right"/>
              <w:ind w:right="170"/>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29,469</w:t>
            </w:r>
          </w:p>
        </w:tc>
      </w:tr>
      <w:tr>
        <w:trPr>
          <w:trHeight w:val="176"/>
        </w:trPr>
        <w:tc>
          <w:tcPr>
            <w:tcW w:w="3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Inventory</w:t>
            </w: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1,520</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1,187</w:t>
            </w:r>
          </w:p>
        </w:tc>
      </w:tr>
      <w:tr>
        <w:trPr>
          <w:trHeight w:val="176"/>
        </w:trPr>
        <w:tc>
          <w:tcPr>
            <w:tcW w:w="3620" w:type="dxa"/>
            <w:vAlign w:val="bottom"/>
          </w:tcPr>
          <w:p>
            <w:pPr>
              <w:ind w:left="120"/>
              <w:spacing w:after="0" w:line="176" w:lineRule="exact"/>
              <w:rPr>
                <w:sz w:val="20"/>
                <w:szCs w:val="20"/>
                <w:color w:val="auto"/>
              </w:rPr>
            </w:pPr>
            <w:r>
              <w:rPr>
                <w:rFonts w:ascii="Arial" w:cs="Arial" w:eastAsia="Arial" w:hAnsi="Arial"/>
                <w:sz w:val="18"/>
                <w:szCs w:val="18"/>
                <w:color w:val="auto"/>
              </w:rPr>
              <w:t>Accruals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401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902</w:t>
            </w:r>
          </w:p>
        </w:tc>
      </w:tr>
      <w:tr>
        <w:trPr>
          <w:trHeight w:val="176"/>
        </w:trPr>
        <w:tc>
          <w:tcPr>
            <w:tcW w:w="3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176"/>
        </w:trPr>
        <w:tc>
          <w:tcPr>
            <w:tcW w:w="362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1,228</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1,312</w:t>
            </w:r>
          </w:p>
        </w:tc>
      </w:tr>
      <w:tr>
        <w:trPr>
          <w:trHeight w:val="169"/>
        </w:trPr>
        <w:tc>
          <w:tcPr>
            <w:tcW w:w="362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Gross deferred tax assets</w:t>
            </w: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25,795</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32,975</w:t>
            </w:r>
          </w:p>
        </w:tc>
      </w:tr>
      <w:tr>
        <w:trPr>
          <w:trHeight w:val="176"/>
        </w:trPr>
        <w:tc>
          <w:tcPr>
            <w:tcW w:w="36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Valuation allowance</w:t>
            </w:r>
          </w:p>
        </w:tc>
        <w:tc>
          <w:tcPr>
            <w:tcW w:w="1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(25,721)</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(32,850)</w:t>
            </w:r>
          </w:p>
        </w:tc>
      </w:tr>
      <w:tr>
        <w:trPr>
          <w:trHeight w:val="169"/>
        </w:trPr>
        <w:tc>
          <w:tcPr>
            <w:tcW w:w="362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125</w:t>
            </w: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Prepaid expenses</w:t>
            </w:r>
          </w:p>
        </w:tc>
        <w:tc>
          <w:tcPr>
            <w:tcW w:w="11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r>
      <w:tr>
        <w:trPr>
          <w:trHeight w:val="169"/>
        </w:trPr>
        <w:tc>
          <w:tcPr>
            <w:tcW w:w="362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Deferred tax liabilities</w:t>
            </w:r>
          </w:p>
        </w:tc>
        <w:tc>
          <w:tcPr>
            <w:tcW w:w="1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(125)</w:t>
            </w:r>
          </w:p>
        </w:tc>
      </w:tr>
      <w:tr>
        <w:trPr>
          <w:trHeight w:val="176"/>
        </w:trPr>
        <w:tc>
          <w:tcPr>
            <w:tcW w:w="3620" w:type="dxa"/>
            <w:vAlign w:val="bottom"/>
            <w:tcBorders>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Net deferred tax assets</w:t>
            </w:r>
          </w:p>
        </w:tc>
        <w:tc>
          <w:tcPr>
            <w:tcW w:w="1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2017 and 2016. The net valuation allowance decreased by $7.1 million in 2017 and increased $5.3 million in 2016.</w:t>
      </w:r>
    </w:p>
    <w:p>
      <w:pPr>
        <w:spacing w:after="0" w:line="163" w:lineRule="exact"/>
        <w:rPr>
          <w:sz w:val="20"/>
          <w:szCs w:val="20"/>
          <w:color w:val="auto"/>
        </w:rPr>
      </w:pPr>
    </w:p>
    <w:p>
      <w:pPr>
        <w:ind w:right="140" w:firstLine="401"/>
        <w:spacing w:after="0" w:line="224" w:lineRule="auto"/>
        <w:rPr>
          <w:sz w:val="20"/>
          <w:szCs w:val="20"/>
          <w:color w:val="auto"/>
        </w:rPr>
      </w:pPr>
      <w:r>
        <w:rPr>
          <w:rFonts w:ascii="Arial" w:cs="Arial" w:eastAsia="Arial" w:hAnsi="Arial"/>
          <w:sz w:val="18"/>
          <w:szCs w:val="18"/>
          <w:color w:val="auto"/>
        </w:rPr>
        <w:t>As of December 31, 2017, the Company had federal net operating loss carryforwards of approximately $100.1 million which will begin to expire in the year of 2028 if not utilized. In addition, the Company had state net operating loss carryforwards of approximately $39.3 million, which will begin to expire in 2023 if not utilized.</w:t>
      </w:r>
    </w:p>
    <w:p>
      <w:pPr>
        <w:spacing w:after="0" w:line="163"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color w:val="auto"/>
        </w:rPr>
        <w:t>The Tax Reform Act of 1986 (the Act) provides for a limitation on the annual use of net operating loss and research and development tax credit carryforwards following certain ownership changes (as defined by the Act) that could limit the Company’s ability to utilize these carryforwards.</w:t>
      </w:r>
    </w:p>
    <w:p>
      <w:pPr>
        <w:spacing w:after="0" w:line="163"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files income tax returns in the U.S. federal and various state jurisdictions. The Company is subject to U.S. federal and state income tax examinations by authorities for all tax years due to the accumulated net operating losses that are being carried forward for tax purposes.</w:t>
      </w:r>
    </w:p>
    <w:p>
      <w:pPr>
        <w:spacing w:after="0" w:line="123" w:lineRule="exact"/>
        <w:rPr>
          <w:sz w:val="20"/>
          <w:szCs w:val="20"/>
          <w:color w:val="auto"/>
        </w:rPr>
      </w:pPr>
    </w:p>
    <w:p>
      <w:pPr>
        <w:jc w:val="both"/>
        <w:ind w:right="180" w:firstLine="401"/>
        <w:spacing w:after="0" w:line="219" w:lineRule="auto"/>
        <w:rPr>
          <w:sz w:val="20"/>
          <w:szCs w:val="20"/>
          <w:color w:val="auto"/>
        </w:rPr>
      </w:pPr>
      <w:r>
        <w:rPr>
          <w:rFonts w:ascii="Arial" w:cs="Arial" w:eastAsia="Arial" w:hAnsi="Arial"/>
          <w:sz w:val="18"/>
          <w:szCs w:val="18"/>
          <w:color w:val="auto"/>
        </w:rPr>
        <w:t>The Company has not identified any unrecognized tax benefits as of December 31, 2017 and 2016. As the Company has a full valuation allowance on its deferred tax assets, any unrecognized tax benefits would reduce the deferred tax assets and the valuation allowance in the same amount. The Company does not expect the amount of unrecognized tax benefits to materially change in the next twelve months.</w:t>
      </w:r>
    </w:p>
    <w:p>
      <w:pPr>
        <w:spacing w:after="0" w:line="163" w:lineRule="exact"/>
        <w:rPr>
          <w:sz w:val="20"/>
          <w:szCs w:val="20"/>
          <w:color w:val="auto"/>
        </w:rPr>
      </w:pPr>
    </w:p>
    <w:p>
      <w:pPr>
        <w:ind w:right="140" w:firstLine="401"/>
        <w:spacing w:after="0" w:line="236" w:lineRule="auto"/>
        <w:rPr>
          <w:sz w:val="20"/>
          <w:szCs w:val="20"/>
          <w:color w:val="auto"/>
        </w:rPr>
      </w:pPr>
      <w:r>
        <w:rPr>
          <w:rFonts w:ascii="Arial" w:cs="Arial" w:eastAsia="Arial" w:hAnsi="Arial"/>
          <w:sz w:val="16"/>
          <w:szCs w:val="16"/>
          <w:color w:val="auto"/>
        </w:rPr>
        <w:t>On December 22, 2017, President Trump signed into law the 2017 Tax Act, which significantly amends the Internal Revenue Code of 1986. The 2017 Tax Act, among other things, reduces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will take effect on January 1, 2018. The Company reviewed and incorporated the impact of the 2017 Tax Act in its tax calculations and disclosures. The primary impact on the Company stems from the re-measurement of its deferred taxes at the new corporate tax rate of 21%, which reduced the Company's net deferred tax assets, before valuation allowance, by $14.8 million. Due to the full valuation allowance, the change in deferred taxes was fully offset by the change in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The net effect of the tax reform enactment on the financial statements is $0 as of December 31, 2017.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examine the impact these changes may have on the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89" w:lineRule="exact"/>
        <w:rPr>
          <w:sz w:val="20"/>
          <w:szCs w:val="20"/>
          <w:color w:val="auto"/>
        </w:rPr>
      </w:pPr>
    </w:p>
    <w:p>
      <w:pPr>
        <w:ind w:right="260" w:firstLine="401"/>
        <w:spacing w:after="0" w:line="235"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5"/>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73"/>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80" w:type="dxa"/>
            <w:vAlign w:val="bottom"/>
          </w:tcPr>
          <w:p>
            <w:pPr>
              <w:ind w:left="120"/>
              <w:spacing w:after="0" w:line="176" w:lineRule="exact"/>
              <w:rPr>
                <w:sz w:val="20"/>
                <w:szCs w:val="20"/>
                <w:color w:val="auto"/>
              </w:rPr>
            </w:pPr>
            <w:r>
              <w:rPr>
                <w:rFonts w:ascii="Arial" w:cs="Arial" w:eastAsia="Arial" w:hAnsi="Arial"/>
                <w:sz w:val="18"/>
                <w:szCs w:val="18"/>
                <w:color w:val="auto"/>
              </w:rPr>
              <w:t>Net loss</w:t>
            </w:r>
          </w:p>
        </w:tc>
        <w:tc>
          <w:tcPr>
            <w:tcW w:w="2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(21,100)</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(16,708)</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(18,183)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Denominator:</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120"/>
              <w:spacing w:after="0" w:line="176" w:lineRule="exact"/>
              <w:rPr>
                <w:sz w:val="20"/>
                <w:szCs w:val="20"/>
                <w:color w:val="auto"/>
              </w:rPr>
            </w:pPr>
            <w:r>
              <w:rPr>
                <w:rFonts w:ascii="Arial" w:cs="Arial" w:eastAsia="Arial" w:hAnsi="Arial"/>
                <w:sz w:val="18"/>
                <w:szCs w:val="18"/>
                <w:color w:val="auto"/>
              </w:rPr>
              <w:t>Weighted-average common shares outstanding</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12,640,094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5,117,226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w w:val="92"/>
              </w:rPr>
              <w:t>3,013,743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89"/>
              </w:rPr>
              <w:t>Less: weighted-average unvested common shares subjected to repurchase</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(155,110)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(378,730)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(461,538)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80" w:type="dxa"/>
            <w:vAlign w:val="bottom"/>
          </w:tcPr>
          <w:p>
            <w:pPr>
              <w:ind w:left="120"/>
              <w:spacing w:after="0" w:line="129" w:lineRule="exact"/>
              <w:rPr>
                <w:sz w:val="20"/>
                <w:szCs w:val="20"/>
                <w:color w:val="auto"/>
              </w:rPr>
            </w:pPr>
            <w:r>
              <w:rPr>
                <w:rFonts w:ascii="Arial" w:cs="Arial" w:eastAsia="Arial" w:hAnsi="Arial"/>
                <w:sz w:val="14"/>
                <w:szCs w:val="14"/>
                <w:color w:val="auto"/>
              </w:rPr>
              <w:t>Weighted-average common shares outstanding used to calculate net loss</w:t>
            </w: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12,484,984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4,738,496</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2,552,205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per common share, basic and diluted</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loss per common share, basic and diluted</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(3.53)</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60" w:firstLine="401"/>
        <w:spacing w:after="0" w:line="235"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0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r>
      <w:tr>
        <w:trPr>
          <w:trHeight w:val="169"/>
        </w:trPr>
        <w:tc>
          <w:tcPr>
            <w:tcW w:w="60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Redeemable convertible preferred stock on an as-converted basis</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2,486,199</w:t>
            </w:r>
          </w:p>
        </w:tc>
      </w:tr>
      <w:tr>
        <w:trPr>
          <w:trHeight w:val="176"/>
        </w:trPr>
        <w:tc>
          <w:tcPr>
            <w:tcW w:w="6040" w:type="dxa"/>
            <w:vAlign w:val="bottom"/>
          </w:tcPr>
          <w:p>
            <w:pPr>
              <w:spacing w:after="0" w:line="176" w:lineRule="exact"/>
              <w:rPr>
                <w:sz w:val="20"/>
                <w:szCs w:val="20"/>
                <w:color w:val="auto"/>
              </w:rPr>
            </w:pPr>
            <w:r>
              <w:rPr>
                <w:rFonts w:ascii="Arial" w:cs="Arial" w:eastAsia="Arial" w:hAnsi="Arial"/>
                <w:sz w:val="18"/>
                <w:szCs w:val="18"/>
                <w:color w:val="auto"/>
              </w:rPr>
              <w:t>Options to purchase common stock</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1,593,195</w:t>
            </w: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1,414,730</w:t>
            </w: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927,175</w:t>
            </w:r>
          </w:p>
        </w:tc>
      </w:tr>
      <w:tr>
        <w:trPr>
          <w:trHeight w:val="176"/>
        </w:trPr>
        <w:tc>
          <w:tcPr>
            <w:tcW w:w="6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Restricted stock units</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30,680</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040" w:type="dxa"/>
            <w:vAlign w:val="bottom"/>
          </w:tcPr>
          <w:p>
            <w:pPr>
              <w:spacing w:after="0" w:line="176" w:lineRule="exact"/>
              <w:rPr>
                <w:sz w:val="20"/>
                <w:szCs w:val="20"/>
                <w:color w:val="auto"/>
              </w:rPr>
            </w:pPr>
            <w:r>
              <w:rPr>
                <w:rFonts w:ascii="Arial" w:cs="Arial" w:eastAsia="Arial" w:hAnsi="Arial"/>
                <w:sz w:val="18"/>
                <w:szCs w:val="18"/>
                <w:color w:val="auto"/>
              </w:rPr>
              <w:t>Common stock subject to repurchase</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96,153</w:t>
            </w: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211,538</w:t>
            </w: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461,538</w:t>
            </w:r>
          </w:p>
        </w:tc>
      </w:tr>
      <w:tr>
        <w:trPr>
          <w:trHeight w:val="176"/>
        </w:trPr>
        <w:tc>
          <w:tcPr>
            <w:tcW w:w="6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Redeemable convertible preferred stock warrants on an as-converted basis</w:t>
            </w: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27,690</w:t>
            </w:r>
          </w:p>
        </w:tc>
      </w:tr>
      <w:tr>
        <w:trPr>
          <w:trHeight w:val="176"/>
        </w:trPr>
        <w:tc>
          <w:tcPr>
            <w:tcW w:w="60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Common stock warrants</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27,690</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27,690</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04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1,747,718</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1,653,958</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3,902,602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189" w:lineRule="exact"/>
        <w:rPr>
          <w:sz w:val="20"/>
          <w:szCs w:val="20"/>
          <w:color w:val="auto"/>
        </w:rPr>
      </w:pPr>
    </w:p>
    <w:p>
      <w:pPr>
        <w:ind w:right="200" w:firstLine="401"/>
        <w:spacing w:after="0" w:line="235" w:lineRule="auto"/>
        <w:rPr>
          <w:sz w:val="20"/>
          <w:szCs w:val="20"/>
          <w:color w:val="auto"/>
        </w:rPr>
      </w:pPr>
      <w:r>
        <w:rPr>
          <w:rFonts w:ascii="Arial" w:cs="Arial" w:eastAsia="Arial" w:hAnsi="Arial"/>
          <w:sz w:val="18"/>
          <w:szCs w:val="18"/>
          <w:color w:val="auto"/>
        </w:rPr>
        <w:t>Selected quarterly financial results from operations for the years ended December 31, 2017 and 2016 were as follows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Quarter Ended</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02"/>
        </w:trPr>
        <w:tc>
          <w:tcPr>
            <w:tcW w:w="3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June 30,</w:t>
            </w:r>
          </w:p>
        </w:tc>
        <w:tc>
          <w:tcPr>
            <w:tcW w:w="60" w:type="dxa"/>
            <w:vAlign w:val="bottom"/>
          </w:tcPr>
          <w:p>
            <w:pPr>
              <w:spacing w:after="0"/>
              <w:rPr>
                <w:sz w:val="8"/>
                <w:szCs w:val="8"/>
                <w:color w:val="auto"/>
              </w:rPr>
            </w:pPr>
          </w:p>
        </w:tc>
        <w:tc>
          <w:tcPr>
            <w:tcW w:w="102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60" w:type="dxa"/>
            <w:vAlign w:val="bottom"/>
          </w:tcPr>
          <w:p>
            <w:pPr>
              <w:spacing w:after="0"/>
              <w:rPr>
                <w:sz w:val="8"/>
                <w:szCs w:val="8"/>
                <w:color w:val="auto"/>
              </w:rPr>
            </w:pPr>
          </w:p>
        </w:tc>
        <w:tc>
          <w:tcPr>
            <w:tcW w:w="88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8"/>
                <w:szCs w:val="8"/>
                <w:color w:val="auto"/>
              </w:rPr>
            </w:pPr>
          </w:p>
        </w:tc>
      </w:tr>
      <w:tr>
        <w:trPr>
          <w:trHeight w:val="162"/>
        </w:trPr>
        <w:tc>
          <w:tcPr>
            <w:tcW w:w="38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69"/>
        </w:trPr>
        <w:tc>
          <w:tcPr>
            <w:tcW w:w="3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revenue</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7,880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8,925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9,008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10,123</w:t>
            </w:r>
          </w:p>
        </w:tc>
        <w:tc>
          <w:tcPr>
            <w:tcW w:w="160" w:type="dxa"/>
            <w:vAlign w:val="bottom"/>
          </w:tcPr>
          <w:p>
            <w:pPr>
              <w:spacing w:after="0"/>
              <w:rPr>
                <w:sz w:val="14"/>
                <w:szCs w:val="14"/>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4,217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5,792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5,255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6,221</w:t>
            </w:r>
          </w:p>
        </w:tc>
        <w:tc>
          <w:tcPr>
            <w:tcW w:w="160" w:type="dxa"/>
            <w:vAlign w:val="bottom"/>
          </w:tcPr>
          <w:p>
            <w:pPr>
              <w:spacing w:after="0"/>
              <w:rPr>
                <w:sz w:val="15"/>
                <w:szCs w:val="15"/>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(5,187)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(5,446)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(4,381)</w:t>
            </w:r>
          </w:p>
        </w:tc>
        <w:tc>
          <w:tcPr>
            <w:tcW w:w="160" w:type="dxa"/>
            <w:vAlign w:val="bottom"/>
          </w:tcPr>
          <w:p>
            <w:pPr>
              <w:spacing w:after="0"/>
              <w:rPr>
                <w:sz w:val="15"/>
                <w:szCs w:val="15"/>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0"/>
                <w:szCs w:val="20"/>
                <w:color w:val="auto"/>
              </w:rPr>
            </w:pPr>
          </w:p>
        </w:tc>
      </w:tr>
      <w:tr>
        <w:trPr>
          <w:trHeight w:val="256"/>
        </w:trPr>
        <w:tc>
          <w:tcPr>
            <w:tcW w:w="3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Quarter Ended</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102"/>
        </w:trPr>
        <w:tc>
          <w:tcPr>
            <w:tcW w:w="3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June 30,</w:t>
            </w:r>
          </w:p>
        </w:tc>
        <w:tc>
          <w:tcPr>
            <w:tcW w:w="60" w:type="dxa"/>
            <w:vAlign w:val="bottom"/>
          </w:tcPr>
          <w:p>
            <w:pPr>
              <w:spacing w:after="0"/>
              <w:rPr>
                <w:sz w:val="8"/>
                <w:szCs w:val="8"/>
                <w:color w:val="auto"/>
              </w:rPr>
            </w:pPr>
          </w:p>
        </w:tc>
        <w:tc>
          <w:tcPr>
            <w:tcW w:w="102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60" w:type="dxa"/>
            <w:vAlign w:val="bottom"/>
          </w:tcPr>
          <w:p>
            <w:pPr>
              <w:spacing w:after="0"/>
              <w:rPr>
                <w:sz w:val="8"/>
                <w:szCs w:val="8"/>
                <w:color w:val="auto"/>
              </w:rPr>
            </w:pPr>
          </w:p>
        </w:tc>
        <w:tc>
          <w:tcPr>
            <w:tcW w:w="88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8"/>
                <w:szCs w:val="8"/>
                <w:color w:val="auto"/>
              </w:rPr>
            </w:pPr>
          </w:p>
        </w:tc>
      </w:tr>
      <w:tr>
        <w:trPr>
          <w:trHeight w:val="162"/>
        </w:trPr>
        <w:tc>
          <w:tcPr>
            <w:tcW w:w="38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169"/>
        </w:trPr>
        <w:tc>
          <w:tcPr>
            <w:tcW w:w="3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revenue</w:t>
            </w: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6,659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7,064</w:t>
            </w:r>
          </w:p>
        </w:tc>
        <w:tc>
          <w:tcPr>
            <w:tcW w:w="160" w:type="dxa"/>
            <w:vAlign w:val="bottom"/>
          </w:tcPr>
          <w:p>
            <w:pPr>
              <w:spacing w:after="0"/>
              <w:rPr>
                <w:sz w:val="14"/>
                <w:szCs w:val="14"/>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3,662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3,500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4,305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3,232</w:t>
            </w:r>
          </w:p>
        </w:tc>
        <w:tc>
          <w:tcPr>
            <w:tcW w:w="160" w:type="dxa"/>
            <w:vAlign w:val="bottom"/>
          </w:tcPr>
          <w:p>
            <w:pPr>
              <w:spacing w:after="0"/>
              <w:rPr>
                <w:sz w:val="15"/>
                <w:szCs w:val="15"/>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(4,540)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(5,416)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(5,308)</w:t>
            </w:r>
          </w:p>
        </w:tc>
        <w:tc>
          <w:tcPr>
            <w:tcW w:w="160" w:type="dxa"/>
            <w:vAlign w:val="bottom"/>
          </w:tcPr>
          <w:p>
            <w:pPr>
              <w:spacing w:after="0"/>
              <w:rPr>
                <w:sz w:val="15"/>
                <w:szCs w:val="15"/>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20"/>
                <w:szCs w:val="20"/>
                <w:color w:val="auto"/>
              </w:rPr>
            </w:pPr>
          </w:p>
        </w:tc>
      </w:tr>
      <w:tr>
        <w:trPr>
          <w:trHeight w:val="607"/>
        </w:trPr>
        <w:tc>
          <w:tcPr>
            <w:tcW w:w="386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8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89" w:lineRule="exact"/>
        <w:rPr>
          <w:sz w:val="20"/>
          <w:szCs w:val="20"/>
          <w:color w:val="auto"/>
        </w:rPr>
      </w:pPr>
    </w:p>
    <w:p>
      <w:pPr>
        <w:ind w:right="219" w:firstLine="405"/>
        <w:spacing w:after="0" w:line="219" w:lineRule="auto"/>
        <w:rPr>
          <w:sz w:val="20"/>
          <w:szCs w:val="20"/>
          <w:color w:val="auto"/>
        </w:rPr>
      </w:pPr>
      <w:r>
        <w:rPr>
          <w:rFonts w:ascii="Arial" w:cs="Arial" w:eastAsia="Arial" w:hAnsi="Arial"/>
          <w:sz w:val="18"/>
          <w:szCs w:val="18"/>
          <w:color w:val="auto"/>
        </w:rPr>
        <w:t>In February 2018 the Company completed a follow-on underwritten public offering of its common stock under its Registration Statement filed in November 2017 (File No. 333-221331), selling 3,772,447 shares of its common stock at an offering price of $7.00 per share for proceeds of $24.8 million, net of underwriting discounts and commissions, but before offering costs.</w:t>
      </w:r>
    </w:p>
    <w:p>
      <w:pPr>
        <w:spacing w:after="0" w:line="122" w:lineRule="exact"/>
        <w:rPr>
          <w:sz w:val="20"/>
          <w:szCs w:val="20"/>
          <w:color w:val="auto"/>
        </w:rPr>
      </w:pPr>
    </w:p>
    <w:p>
      <w:pPr>
        <w:ind w:right="19" w:firstLine="405"/>
        <w:spacing w:after="0" w:line="214" w:lineRule="auto"/>
        <w:rPr>
          <w:sz w:val="20"/>
          <w:szCs w:val="20"/>
          <w:color w:val="auto"/>
        </w:rPr>
      </w:pPr>
      <w:r>
        <w:rPr>
          <w:rFonts w:ascii="Arial" w:cs="Arial" w:eastAsia="Arial" w:hAnsi="Arial"/>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ind w:right="60" w:firstLine="401"/>
        <w:spacing w:after="0" w:line="183" w:lineRule="exact"/>
        <w:rPr>
          <w:sz w:val="20"/>
          <w:szCs w:val="20"/>
          <w:color w:val="auto"/>
        </w:rPr>
      </w:pPr>
      <w:r>
        <w:rPr>
          <w:rFonts w:ascii="Arial" w:cs="Arial" w:eastAsia="Arial" w:hAnsi="Arial"/>
          <w:sz w:val="18"/>
          <w:szCs w:val="18"/>
          <w:color w:val="auto"/>
        </w:rPr>
        <w:t>Our management, with the participation of our Chief Executive Officer and our Chief Financial Officer, have evaluated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as of December 31, 2017. Based on that evaluation, our Chief Executive Officer and our Chief Financial Officer have concluded that, as of December 31, 2017, our disclosure controls and procedures were effective at the reasonable assurance level. Additionally, our management has concluded that the financial statements included elsewhere in this report present fairly, in all material respects, our financial position, results of operations and cash flows in conformity with GAAP.</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44" w:lineRule="exact"/>
        <w:rPr>
          <w:sz w:val="20"/>
          <w:szCs w:val="20"/>
          <w:color w:val="auto"/>
        </w:rPr>
      </w:pPr>
    </w:p>
    <w:p>
      <w:pPr>
        <w:ind w:right="220" w:firstLine="401"/>
        <w:spacing w:after="0" w:line="219"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This Annual Report on Form 10-K does not include an attestation report of our independent registered public accounting firm because, as an “emerging growth company” under the JOBS Act, our independent registered public accounting firm is not required to issue such an attestation report.</w:t>
      </w:r>
    </w:p>
    <w:p>
      <w:pPr>
        <w:spacing w:after="0" w:line="122" w:lineRule="exact"/>
        <w:rPr>
          <w:sz w:val="20"/>
          <w:szCs w:val="20"/>
          <w:color w:val="auto"/>
        </w:rPr>
      </w:pPr>
    </w:p>
    <w:p>
      <w:pPr>
        <w:ind w:right="160" w:firstLine="401"/>
        <w:spacing w:after="0" w:line="235" w:lineRule="auto"/>
        <w:rPr>
          <w:sz w:val="20"/>
          <w:szCs w:val="20"/>
          <w:color w:val="auto"/>
        </w:rPr>
      </w:pPr>
      <w:r>
        <w:rPr>
          <w:rFonts w:ascii="Arial" w:cs="Arial" w:eastAsia="Arial" w:hAnsi="Arial"/>
          <w:sz w:val="18"/>
          <w:szCs w:val="18"/>
          <w:color w:val="auto"/>
        </w:rPr>
        <w:t>The following report is provided by management in respect of our internal control over financial reporting (as defined in Rule 13a-15(f) of the Exchange Act):</w:t>
      </w:r>
    </w:p>
    <w:p>
      <w:pPr>
        <w:spacing w:after="0" w:line="121" w:lineRule="exact"/>
        <w:rPr>
          <w:sz w:val="20"/>
          <w:szCs w:val="20"/>
          <w:color w:val="auto"/>
        </w:rPr>
      </w:pPr>
    </w:p>
    <w:p>
      <w:pPr>
        <w:ind w:right="60" w:firstLine="401"/>
        <w:spacing w:after="0" w:line="23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2017 and has concluded that such internal control over financial reporting was effective.</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prior years, we identified material weaknesses in our internal control over financial reporting as of December 31, 2016, relating to the design, operation, and resourcing of our financial reporting processes along with information technology general and application controls. We remediated these material weaknesses by formalizing our internal controls, including the information technology general controls, and hiring additional personnel within our accounting and information technology functions. After implementing new internal controls and procedures, we concluded that we have remediated the previously identified material weaknesses as of December 31, 2016. Except as otherwise described herein, there were no changes in our internal control over financial reporting identified in management’s evaluation pursuant to Rules 13a-15(d) or 15d-15(d) of the Exchange Act during the period covered by this Annual Report on Form 10-K that materially affected, or are reasonably likely to materially affect, our internal control over financial reporting.</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85" w:lineRule="exact"/>
        <w:rPr>
          <w:sz w:val="20"/>
          <w:szCs w:val="20"/>
          <w:color w:val="auto"/>
        </w:rPr>
      </w:pPr>
    </w:p>
    <w:p>
      <w:pPr>
        <w:ind w:firstLine="401"/>
        <w:spacing w:after="0" w:line="226"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spacing w:after="0" w:line="224" w:lineRule="auto"/>
        <w:rPr>
          <w:sz w:val="20"/>
          <w:szCs w:val="20"/>
          <w:color w:val="auto"/>
        </w:rPr>
      </w:pPr>
      <w:r>
        <w:rPr>
          <w:rFonts w:ascii="Arial" w:cs="Arial" w:eastAsia="Arial" w:hAnsi="Arial"/>
          <w:sz w:val="18"/>
          <w:szCs w:val="18"/>
          <w:color w:val="auto"/>
        </w:rPr>
        <w:t>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right="159" w:firstLine="405"/>
        <w:spacing w:after="0" w:line="214" w:lineRule="auto"/>
        <w:rPr>
          <w:sz w:val="20"/>
          <w:szCs w:val="20"/>
          <w:color w:val="auto"/>
        </w:rPr>
      </w:pPr>
      <w:r>
        <w:rPr>
          <w:rFonts w:ascii="Arial" w:cs="Arial" w:eastAsia="Arial" w:hAnsi="Arial"/>
          <w:sz w:val="18"/>
          <w:szCs w:val="18"/>
          <w:color w:val="auto"/>
        </w:rPr>
        <w:t>In February 2018, we modified the terms of 400,000 vested and unvested stock option awards granted to our Chief Executive Officer, Kevin Conley,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100" w:firstLine="401"/>
        <w:spacing w:after="0" w:line="229" w:lineRule="auto"/>
        <w:rPr>
          <w:sz w:val="20"/>
          <w:szCs w:val="20"/>
          <w:color w:val="auto"/>
        </w:rPr>
      </w:pPr>
      <w:r>
        <w:rPr>
          <w:rFonts w:ascii="Arial" w:cs="Arial" w:eastAsia="Arial" w:hAnsi="Arial"/>
          <w:sz w:val="17"/>
          <w:szCs w:val="17"/>
          <w:color w:val="auto"/>
        </w:rPr>
        <w:t>Information required by this item will be contained in our definitive proxy statement to be filed with the Securities and Exchange Commission on Schedule 14A in connection with our 2018 Annual Meeting of Stockholders, or the Proxy Statement, which will be filed not later than 120 days after the end of our fiscal year ended December 31, 2017, under the headings “Management,” “Proposal 1 - Election of Directors,” “Board Committees and Meetings,” and “Section 16(a) Beneficial Ownership Reporting Compliance,” and is incorporated herein by reference.</w:t>
      </w:r>
    </w:p>
    <w:p>
      <w:pPr>
        <w:spacing w:after="0" w:line="161" w:lineRule="exact"/>
        <w:rPr>
          <w:sz w:val="20"/>
          <w:szCs w:val="20"/>
          <w:color w:val="auto"/>
        </w:rPr>
      </w:pPr>
    </w:p>
    <w:p>
      <w:pPr>
        <w:ind w:right="20" w:firstLine="401"/>
        <w:spacing w:after="0" w:line="223"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 -Oxley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540" w:firstLine="401"/>
        <w:spacing w:after="0" w:line="224"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and “Compensation of Non-Employee Board Members” in our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ind w:right="160" w:firstLine="401"/>
        <w:spacing w:after="0" w:line="21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0" w:firstLine="401"/>
        <w:spacing w:after="0" w:line="238" w:lineRule="auto"/>
        <w:rPr>
          <w:sz w:val="20"/>
          <w:szCs w:val="20"/>
          <w:color w:val="auto"/>
        </w:rPr>
      </w:pPr>
      <w:r>
        <w:rPr>
          <w:rFonts w:ascii="Arial" w:cs="Arial" w:eastAsia="Arial" w:hAnsi="Arial"/>
          <w:sz w:val="17"/>
          <w:szCs w:val="17"/>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“Proposal 1 - Election of Directors”, respectively, in our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firstLine="401"/>
        <w:spacing w:after="0" w:line="289" w:lineRule="auto"/>
        <w:rPr>
          <w:sz w:val="20"/>
          <w:szCs w:val="20"/>
          <w:color w:val="auto"/>
        </w:rPr>
      </w:pPr>
      <w:r>
        <w:rPr>
          <w:rFonts w:ascii="Arial" w:cs="Arial" w:eastAsia="Arial" w:hAnsi="Arial"/>
          <w:sz w:val="16"/>
          <w:szCs w:val="16"/>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240" w:hanging="237"/>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84" w:lineRule="exact"/>
        <w:rPr>
          <w:rFonts w:ascii="Arial" w:cs="Arial" w:eastAsia="Arial" w:hAnsi="Arial"/>
          <w:sz w:val="18"/>
          <w:szCs w:val="18"/>
          <w:color w:val="auto"/>
        </w:rPr>
      </w:pPr>
    </w:p>
    <w:p>
      <w:pPr>
        <w:ind w:left="360" w:hanging="179"/>
        <w:spacing w:after="0"/>
        <w:tabs>
          <w:tab w:leader="none" w:pos="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5" w:lineRule="exact"/>
        <w:rPr>
          <w:sz w:val="20"/>
          <w:szCs w:val="20"/>
          <w:color w:val="auto"/>
        </w:rPr>
      </w:pPr>
    </w:p>
    <w:p>
      <w:pPr>
        <w:ind w:left="920"/>
        <w:spacing w:after="0" w:line="196" w:lineRule="exact"/>
        <w:rPr>
          <w:sz w:val="20"/>
          <w:szCs w:val="20"/>
          <w:color w:val="auto"/>
        </w:rPr>
      </w:pPr>
      <w:r>
        <w:rPr>
          <w:rFonts w:ascii="Arial" w:cs="Arial" w:eastAsia="Arial" w:hAnsi="Arial"/>
          <w:sz w:val="17"/>
          <w:szCs w:val="17"/>
          <w:color w:val="auto"/>
        </w:rPr>
        <w:t>Information in response to this Item is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 Financial Statement Schedules</w:t>
      </w:r>
    </w:p>
    <w:p>
      <w:pPr>
        <w:spacing w:after="0" w:line="185" w:lineRule="exact"/>
        <w:rPr>
          <w:sz w:val="20"/>
          <w:szCs w:val="20"/>
          <w:color w:val="auto"/>
        </w:rPr>
      </w:pPr>
    </w:p>
    <w:p>
      <w:pPr>
        <w:ind w:left="260" w:right="199" w:firstLine="648"/>
        <w:spacing w:after="0" w:line="235"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2"/>
          </w:tcPr>
          <w:p>
            <w:pPr>
              <w:jc w:val="center"/>
              <w:ind w:right="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6"/>
        </w:trPr>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40" w:type="dxa"/>
            <w:vAlign w:val="bottom"/>
            <w:gridSpan w:val="25"/>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Certificate of Incorporation.</w:t>
              </w:r>
            </w:hyperlink>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Bylaws.</w:t>
              </w:r>
            </w:hyperlink>
          </w:p>
        </w:tc>
        <w:tc>
          <w:tcPr>
            <w:tcW w:w="3140" w:type="dxa"/>
            <w:vAlign w:val="bottom"/>
            <w:tcBorders>
              <w:top w:val="single" w:sz="8" w:color="0000EE"/>
            </w:tcBorders>
            <w:gridSpan w:val="8"/>
          </w:tcPr>
          <w:p>
            <w:pPr>
              <w:spacing w:after="0"/>
              <w:rPr>
                <w:sz w:val="24"/>
                <w:szCs w:val="24"/>
                <w:color w:val="auto"/>
              </w:rPr>
            </w:pPr>
          </w:p>
        </w:tc>
        <w:tc>
          <w:tcPr>
            <w:tcW w:w="10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09">
              <w:r>
                <w:rPr>
                  <w:rFonts w:ascii="Arial" w:cs="Arial" w:eastAsia="Arial" w:hAnsi="Arial"/>
                  <w:sz w:val="18"/>
                  <w:szCs w:val="18"/>
                  <w:color w:val="0000EE"/>
                </w:rPr>
                <w:t>Form of Common Stock Certificate of the Company.</w:t>
              </w:r>
            </w:hyperlink>
          </w:p>
        </w:tc>
        <w:tc>
          <w:tcPr>
            <w:tcW w:w="0" w:type="dxa"/>
            <w:vAlign w:val="bottom"/>
          </w:tcPr>
          <w:p>
            <w:pPr>
              <w:spacing w:after="0"/>
              <w:rPr>
                <w:sz w:val="1"/>
                <w:szCs w:val="1"/>
                <w:color w:val="auto"/>
              </w:rPr>
            </w:pP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38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Reference is made to Exhibits 3.1 and 3.2.</w:t>
            </w:r>
          </w:p>
        </w:tc>
        <w:tc>
          <w:tcPr>
            <w:tcW w:w="10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10">
              <w:r>
                <w:rPr>
                  <w:rFonts w:ascii="Arial" w:cs="Arial" w:eastAsia="Arial" w:hAnsi="Arial"/>
                  <w:sz w:val="18"/>
                  <w:szCs w:val="18"/>
                  <w:color w:val="0000EE"/>
                </w:rPr>
                <w:t>Form of Indemnity Agreement between the registrant and its</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directors and officers.</w:t>
              </w:r>
            </w:hyperlink>
          </w:p>
        </w:tc>
        <w:tc>
          <w:tcPr>
            <w:tcW w:w="2800" w:type="dxa"/>
            <w:vAlign w:val="bottom"/>
            <w:tcBorders>
              <w:top w:val="single" w:sz="8" w:color="0000EE"/>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11">
              <w:r>
                <w:rPr>
                  <w:rFonts w:ascii="Arial" w:cs="Arial" w:eastAsia="Arial" w:hAnsi="Arial"/>
                  <w:sz w:val="18"/>
                  <w:szCs w:val="18"/>
                  <w:color w:val="0000EE"/>
                </w:rPr>
                <w:t>2008 Equity Incentive Plan, as amended, and Form of Stock</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40" w:type="dxa"/>
            <w:vAlign w:val="bottom"/>
            <w:tcBorders>
              <w:top w:val="single" w:sz="8" w:color="0000EE"/>
            </w:tcBorders>
            <w:gridSpan w:val="16"/>
          </w:tcPr>
          <w:p>
            <w:pPr>
              <w:spacing w:after="0" w:line="15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Option Grant Notice, Option Agreement and Form of Notice</w:t>
              </w:r>
            </w:hyperlink>
          </w:p>
        </w:tc>
        <w:tc>
          <w:tcPr>
            <w:tcW w:w="20" w:type="dxa"/>
            <w:vAlign w:val="bottom"/>
          </w:tcPr>
          <w:p>
            <w:pPr>
              <w:spacing w:after="0"/>
              <w:rPr>
                <w:sz w:val="13"/>
                <w:szCs w:val="13"/>
                <w:color w:val="auto"/>
              </w:rPr>
            </w:pPr>
          </w:p>
        </w:tc>
        <w:tc>
          <w:tcPr>
            <w:tcW w:w="460" w:type="dxa"/>
            <w:vAlign w:val="bottom"/>
            <w:gridSpan w:val="12"/>
          </w:tcPr>
          <w:p>
            <w:pPr>
              <w:ind w:left="60"/>
              <w:spacing w:after="0" w:line="156" w:lineRule="exact"/>
              <w:rPr>
                <w:rFonts w:ascii="Arial" w:cs="Arial" w:eastAsia="Arial" w:hAnsi="Arial"/>
                <w:sz w:val="18"/>
                <w:szCs w:val="18"/>
                <w:color w:val="0000EE"/>
              </w:rPr>
            </w:pPr>
            <w:hyperlink r:id="rId111">
              <w:r>
                <w:rPr>
                  <w:rFonts w:ascii="Arial" w:cs="Arial" w:eastAsia="Arial" w:hAnsi="Arial"/>
                  <w:sz w:val="18"/>
                  <w:szCs w:val="18"/>
                  <w:color w:val="0000EE"/>
                </w:rPr>
                <w:t>of</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Exercise.</w:t>
              </w:r>
            </w:hyperlink>
          </w:p>
        </w:tc>
        <w:tc>
          <w:tcPr>
            <w:tcW w:w="3900" w:type="dxa"/>
            <w:vAlign w:val="bottom"/>
            <w:tcBorders>
              <w:top w:val="single" w:sz="8" w:color="0000EE"/>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12">
              <w:r>
                <w:rPr>
                  <w:rFonts w:ascii="Arial" w:cs="Arial" w:eastAsia="Arial" w:hAnsi="Arial"/>
                  <w:sz w:val="18"/>
                  <w:szCs w:val="18"/>
                  <w:color w:val="0000EE"/>
                </w:rPr>
                <w:t>2016 Equity Incentive Plan and Form of Stock Option Grant</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tcBorders>
              <w:top w:val="single" w:sz="8" w:color="0000EE"/>
            </w:tcBorders>
            <w:gridSpan w:val="17"/>
          </w:tcPr>
          <w:p>
            <w:pPr>
              <w:spacing w:after="0" w:line="15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Notice, Option Agreement and Form of Notice of Exercise.</w:t>
              </w:r>
            </w:hyperlink>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4280" w:type="dxa"/>
            <w:vAlign w:val="bottom"/>
            <w:tcBorders>
              <w:top w:val="single" w:sz="8" w:color="0000EE"/>
            </w:tcBorders>
            <w:gridSpan w:val="15"/>
          </w:tcPr>
          <w:p>
            <w:pPr>
              <w:spacing w:after="0"/>
              <w:rPr>
                <w:rFonts w:ascii="Arial" w:cs="Arial" w:eastAsia="Arial" w:hAnsi="Arial"/>
                <w:sz w:val="18"/>
                <w:szCs w:val="18"/>
                <w:color w:val="0000EE"/>
              </w:rPr>
            </w:pPr>
            <w:hyperlink r:id="rId113">
              <w:r>
                <w:rPr>
                  <w:rFonts w:ascii="Arial" w:cs="Arial" w:eastAsia="Arial" w:hAnsi="Arial"/>
                  <w:sz w:val="18"/>
                  <w:szCs w:val="18"/>
                  <w:color w:val="0000EE"/>
                </w:rPr>
                <w:t>2016 Employee Stock Purchase Plan.</w:t>
              </w:r>
            </w:hyperlink>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88"/>
              </w:rPr>
            </w:pPr>
            <w:hyperlink r:id="rId114">
              <w:r>
                <w:rPr>
                  <w:rFonts w:ascii="Arial" w:cs="Arial" w:eastAsia="Arial" w:hAnsi="Arial"/>
                  <w:sz w:val="18"/>
                  <w:szCs w:val="18"/>
                  <w:color w:val="0000EE"/>
                  <w:w w:val="88"/>
                </w:rPr>
                <w:t>Lease, dated as of June 5, 2008, by and between the registrant and</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Freescale Semiconductor, Inc.</w:t>
              </w:r>
            </w:hyperlink>
          </w:p>
        </w:tc>
        <w:tc>
          <w:tcPr>
            <w:tcW w:w="2600" w:type="dxa"/>
            <w:vAlign w:val="bottom"/>
            <w:tcBorders>
              <w:top w:val="single" w:sz="8" w:color="0000EE"/>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Amendment No. 1 to Lease, dated as of February 2, 2009, by and</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2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between the registrant and Freescale Semiconductor, Inc.</w:t>
              </w:r>
            </w:hyperlink>
          </w:p>
        </w:tc>
        <w:tc>
          <w:tcPr>
            <w:tcW w:w="600" w:type="dxa"/>
            <w:vAlign w:val="bottom"/>
            <w:tcBorders>
              <w:top w:val="single" w:sz="8" w:color="0000EE"/>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5"/>
              </w:rPr>
            </w:pPr>
            <w:hyperlink r:id="rId116">
              <w:r>
                <w:rPr>
                  <w:rFonts w:ascii="Arial" w:cs="Arial" w:eastAsia="Arial" w:hAnsi="Arial"/>
                  <w:sz w:val="18"/>
                  <w:szCs w:val="18"/>
                  <w:color w:val="0000EE"/>
                  <w:w w:val="95"/>
                </w:rPr>
                <w:t>Amendment No. 2 to Lease, dated as of March 1, 2010, by and</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2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between the registrant and Freescale Semiconductor, Inc.</w:t>
              </w:r>
            </w:hyperlink>
          </w:p>
        </w:tc>
        <w:tc>
          <w:tcPr>
            <w:tcW w:w="440" w:type="dxa"/>
            <w:vAlign w:val="bottom"/>
            <w:tcBorders>
              <w:top w:val="single" w:sz="8" w:color="0000EE"/>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7"/>
              </w:rPr>
            </w:pPr>
            <w:hyperlink r:id="rId117">
              <w:r>
                <w:rPr>
                  <w:rFonts w:ascii="Arial" w:cs="Arial" w:eastAsia="Arial" w:hAnsi="Arial"/>
                  <w:sz w:val="18"/>
                  <w:szCs w:val="18"/>
                  <w:color w:val="0000EE"/>
                  <w:w w:val="97"/>
                </w:rPr>
                <w:t>Amendment No. 3 to Lease, dated as of July 20, 2011, by and</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2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between the registrant and Freescale Semiconductor, Inc.</w:t>
              </w:r>
            </w:hyperlink>
          </w:p>
        </w:tc>
        <w:tc>
          <w:tcPr>
            <w:tcW w:w="320" w:type="dxa"/>
            <w:vAlign w:val="bottom"/>
            <w:tcBorders>
              <w:top w:val="single" w:sz="8" w:color="0000EE"/>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rPr>
            </w:pPr>
            <w:hyperlink r:id="rId118">
              <w:r>
                <w:rPr>
                  <w:rFonts w:ascii="Arial" w:cs="Arial" w:eastAsia="Arial" w:hAnsi="Arial"/>
                  <w:sz w:val="18"/>
                  <w:szCs w:val="18"/>
                  <w:color w:val="0000EE"/>
                </w:rPr>
                <w:t>Amendment No. 4 to Lease, dated as of June, 2014 by and</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2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between the registrant and Freescale Semiconductor, Inc.</w:t>
              </w:r>
            </w:hyperlink>
          </w:p>
        </w:tc>
        <w:tc>
          <w:tcPr>
            <w:tcW w:w="100" w:type="dxa"/>
            <w:vAlign w:val="bottom"/>
            <w:tcBorders>
              <w:top w:val="single" w:sz="8" w:color="0000EE"/>
            </w:tcBorders>
            <w:gridSpan w:val="2"/>
          </w:tcPr>
          <w:p>
            <w:pPr>
              <w:spacing w:after="0"/>
              <w:rPr>
                <w:sz w:val="13"/>
                <w:szCs w:val="13"/>
                <w:color w:val="auto"/>
              </w:rPr>
            </w:pPr>
          </w:p>
        </w:tc>
        <w:tc>
          <w:tcPr>
            <w:tcW w:w="32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4"/>
              </w:rPr>
            </w:pPr>
            <w:hyperlink r:id="rId119">
              <w:r>
                <w:rPr>
                  <w:rFonts w:ascii="Arial" w:cs="Arial" w:eastAsia="Arial" w:hAnsi="Arial"/>
                  <w:sz w:val="18"/>
                  <w:szCs w:val="18"/>
                  <w:color w:val="0000EE"/>
                  <w:w w:val="94"/>
                </w:rPr>
                <w:t>Loan and Security Agreement, dated as of June 6, 2015 by and</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8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between the registrant and Ares Venture Finance, L.P.</w:t>
              </w:r>
            </w:hyperlink>
          </w:p>
        </w:tc>
        <w:tc>
          <w:tcPr>
            <w:tcW w:w="660" w:type="dxa"/>
            <w:vAlign w:val="bottom"/>
            <w:tcBorders>
              <w:top w:val="single" w:sz="8" w:color="0000EE"/>
            </w:tcBorders>
            <w:gridSpan w:val="9"/>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Amendment to Loan and Security Agreement, dated as of January</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6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120">
              <w:r>
                <w:rPr>
                  <w:rFonts w:ascii="Arial" w:cs="Arial" w:eastAsia="Arial" w:hAnsi="Arial"/>
                  <w:sz w:val="18"/>
                  <w:szCs w:val="18"/>
                  <w:color w:val="0000EE"/>
                </w:rPr>
                <w:t>29, 2016, by and between the registrant and Ares Venture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40" w:type="dxa"/>
            <w:vAlign w:val="bottom"/>
            <w:tcBorders>
              <w:top w:val="single" w:sz="8" w:color="0000EE"/>
            </w:tcBorders>
            <w:gridSpan w:val="13"/>
          </w:tcPr>
          <w:p>
            <w:pPr>
              <w:spacing w:after="0" w:line="156" w:lineRule="exact"/>
              <w:rPr>
                <w:rFonts w:ascii="Arial" w:cs="Arial" w:eastAsia="Arial" w:hAnsi="Arial"/>
                <w:sz w:val="18"/>
                <w:szCs w:val="18"/>
                <w:color w:val="0000EE"/>
              </w:rPr>
            </w:pPr>
            <w:hyperlink r:id="rId120">
              <w:r>
                <w:rPr>
                  <w:rFonts w:ascii="Arial" w:cs="Arial" w:eastAsia="Arial" w:hAnsi="Arial"/>
                  <w:sz w:val="18"/>
                  <w:szCs w:val="18"/>
                  <w:color w:val="0000EE"/>
                </w:rPr>
                <w:t>Finance, L.P.</w:t>
              </w:r>
            </w:hyperlink>
          </w:p>
        </w:tc>
        <w:tc>
          <w:tcPr>
            <w:tcW w:w="480" w:type="dxa"/>
            <w:vAlign w:val="bottom"/>
            <w:gridSpan w:val="10"/>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1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Second Amendment to Loan and Security Agreement, dated as of</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40" w:type="dxa"/>
            <w:vAlign w:val="bottom"/>
            <w:tcBorders>
              <w:top w:val="single" w:sz="8" w:color="0000EE"/>
            </w:tcBorders>
            <w:gridSpan w:val="25"/>
          </w:tcPr>
          <w:p>
            <w:pPr>
              <w:spacing w:after="0" w:line="15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August 1, 2016, by and between the registrant and Ares Venture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20" w:type="dxa"/>
            <w:vAlign w:val="bottom"/>
            <w:tcBorders>
              <w:top w:val="single" w:sz="8" w:color="0000EE"/>
            </w:tcBorders>
            <w:gridSpan w:val="23"/>
          </w:tcPr>
          <w:p>
            <w:pPr>
              <w:spacing w:after="0" w:line="156" w:lineRule="exact"/>
              <w:rPr>
                <w:rFonts w:ascii="Arial" w:cs="Arial" w:eastAsia="Arial" w:hAnsi="Arial"/>
                <w:sz w:val="18"/>
                <w:szCs w:val="18"/>
                <w:color w:val="0000EE"/>
              </w:rPr>
            </w:pPr>
            <w:hyperlink r:id="rId121">
              <w:r>
                <w:rPr>
                  <w:rFonts w:ascii="Arial" w:cs="Arial" w:eastAsia="Arial" w:hAnsi="Arial"/>
                  <w:sz w:val="18"/>
                  <w:szCs w:val="18"/>
                  <w:color w:val="0000EE"/>
                </w:rPr>
                <w:t>Finance, L.P.</w:t>
              </w:r>
            </w:hyperlink>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Executive Employment Agreement, dated as of April 25, 2016, by</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and between registrant and Terry Hulett.</w:t>
              </w:r>
            </w:hyperlink>
          </w:p>
        </w:tc>
        <w:tc>
          <w:tcPr>
            <w:tcW w:w="1880" w:type="dxa"/>
            <w:vAlign w:val="bottom"/>
            <w:tcBorders>
              <w:top w:val="single" w:sz="8" w:color="0000EE"/>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4820" w:type="dxa"/>
            <w:vAlign w:val="bottom"/>
            <w:gridSpan w:val="29"/>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Executive Employment Agreement, dated as of April 25, 2016, by</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Borders>
              <w:top w:val="single" w:sz="8" w:color="0000EE"/>
            </w:tcBorders>
            <w:gridSpan w:val="28"/>
          </w:tcPr>
          <w:p>
            <w:pPr>
              <w:spacing w:after="0" w:line="156" w:lineRule="exact"/>
              <w:rPr>
                <w:rFonts w:ascii="Arial" w:cs="Arial" w:eastAsia="Arial" w:hAnsi="Arial"/>
                <w:sz w:val="18"/>
                <w:szCs w:val="18"/>
                <w:color w:val="0000EE"/>
              </w:rPr>
            </w:pPr>
            <w:hyperlink r:id="rId123">
              <w:r>
                <w:rPr>
                  <w:rFonts w:ascii="Arial" w:cs="Arial" w:eastAsia="Arial" w:hAnsi="Arial"/>
                  <w:sz w:val="18"/>
                  <w:szCs w:val="18"/>
                  <w:color w:val="0000EE"/>
                </w:rPr>
                <w:t>and between registrant and Phillip LoPresti.</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4"/>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Borders>
              <w:top w:val="single" w:sz="8" w:color="0000EE"/>
            </w:tcBorders>
            <w:gridSpan w:val="8"/>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50"/>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21"/>
                <w:szCs w:val="21"/>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SEC File No.</w:t>
            </w: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21"/>
                <w:szCs w:val="21"/>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Filing Date</w:t>
            </w:r>
          </w:p>
        </w:tc>
      </w:tr>
      <w:tr>
        <w:trPr>
          <w:trHeight w:val="372"/>
        </w:trPr>
        <w:tc>
          <w:tcPr>
            <w:tcW w:w="7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10/13/2016</w:t>
            </w:r>
          </w:p>
        </w:tc>
      </w:tr>
      <w:tr>
        <w:trPr>
          <w:trHeight w:val="351"/>
        </w:trPr>
        <w:tc>
          <w:tcPr>
            <w:tcW w:w="72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351"/>
        </w:trPr>
        <w:tc>
          <w:tcPr>
            <w:tcW w:w="72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702"/>
        </w:trPr>
        <w:tc>
          <w:tcPr>
            <w:tcW w:w="72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9/26/2016</w:t>
            </w:r>
          </w:p>
        </w:tc>
      </w:tr>
      <w:tr>
        <w:trPr>
          <w:trHeight w:val="702"/>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9/26/2016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9/26/2016</w:t>
            </w:r>
          </w:p>
        </w:tc>
      </w:tr>
      <w:tr>
        <w:trPr>
          <w:trHeight w:val="351"/>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702"/>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702"/>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527"/>
        </w:trPr>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06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9/09/2016</w:t>
            </w:r>
          </w:p>
        </w:tc>
      </w:tr>
    </w:tbl>
    <w:p>
      <w:pPr>
        <w:sectPr>
          <w:pgSz w:w="11900" w:h="16838" w:orient="portrait"/>
          <w:cols w:equalWidth="0" w:num="2">
            <w:col w:w="5640" w:space="180"/>
            <w:col w:w="3240"/>
          </w:cols>
          <w:pgMar w:left="1420" w:top="112" w:right="14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563C1"/>
            </w:tcBorders>
            <w:gridSpan w:val="5"/>
          </w:tcPr>
          <w:p>
            <w:pPr>
              <w:spacing w:after="0"/>
              <w:rPr>
                <w:rFonts w:ascii="Arial" w:cs="Arial" w:eastAsia="Arial" w:hAnsi="Arial"/>
                <w:sz w:val="18"/>
                <w:szCs w:val="18"/>
                <w:color w:val="0563C1"/>
                <w:w w:val="90"/>
              </w:rPr>
            </w:pPr>
            <w:hyperlink w:anchor="page2">
              <w:r>
                <w:rPr>
                  <w:rFonts w:ascii="Arial" w:cs="Arial" w:eastAsia="Arial" w:hAnsi="Arial"/>
                  <w:sz w:val="18"/>
                  <w:szCs w:val="18"/>
                  <w:color w:val="0563C1"/>
                  <w:w w:val="90"/>
                </w:rPr>
                <w:t>Table of Contents</w:t>
              </w:r>
            </w:hyperlink>
          </w:p>
        </w:tc>
        <w:tc>
          <w:tcPr>
            <w:tcW w:w="4460" w:type="dxa"/>
            <w:vAlign w:val="bottom"/>
            <w:gridSpan w:val="35"/>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696"/>
        </w:trPr>
        <w:tc>
          <w:tcPr>
            <w:tcW w:w="860" w:type="dxa"/>
            <w:vAlign w:val="bottom"/>
          </w:tcPr>
          <w:p>
            <w:pPr>
              <w:spacing w:after="0"/>
              <w:rPr>
                <w:sz w:val="20"/>
                <w:szCs w:val="20"/>
                <w:color w:val="auto"/>
              </w:rPr>
            </w:pPr>
            <w:r>
              <w:rPr>
                <w:rFonts w:ascii="Arial" w:cs="Arial" w:eastAsia="Arial" w:hAnsi="Arial"/>
                <w:sz w:val="18"/>
                <w:szCs w:val="18"/>
                <w:color w:val="auto"/>
              </w:rPr>
              <w:t>10.15†</w:t>
            </w:r>
          </w:p>
        </w:tc>
        <w:tc>
          <w:tcPr>
            <w:tcW w:w="4900" w:type="dxa"/>
            <w:vAlign w:val="bottom"/>
            <w:gridSpan w:val="39"/>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Executive Employment Agreement, dated as of April 25, 2016, by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156"/>
        </w:trPr>
        <w:tc>
          <w:tcPr>
            <w:tcW w:w="860" w:type="dxa"/>
            <w:vAlign w:val="bottom"/>
          </w:tcPr>
          <w:p>
            <w:pPr>
              <w:spacing w:after="0"/>
              <w:rPr>
                <w:sz w:val="13"/>
                <w:szCs w:val="13"/>
                <w:color w:val="auto"/>
              </w:rPr>
            </w:pPr>
          </w:p>
        </w:tc>
        <w:tc>
          <w:tcPr>
            <w:tcW w:w="294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and between registrant and Scott Sewell.</w:t>
              </w:r>
            </w:hyperlink>
          </w:p>
        </w:tc>
        <w:tc>
          <w:tcPr>
            <w:tcW w:w="1900" w:type="dxa"/>
            <w:vAlign w:val="bottom"/>
            <w:tcBorders>
              <w:top w:val="single" w:sz="8" w:color="0000EE"/>
            </w:tcBorders>
            <w:gridSpan w:val="26"/>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4900" w:type="dxa"/>
            <w:vAlign w:val="bottom"/>
            <w:gridSpan w:val="39"/>
          </w:tcPr>
          <w:p>
            <w:pPr>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Office Lease Agreement, dated as of January 7, 2011, by and</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156"/>
        </w:trPr>
        <w:tc>
          <w:tcPr>
            <w:tcW w:w="860" w:type="dxa"/>
            <w:vAlign w:val="bottom"/>
          </w:tcPr>
          <w:p>
            <w:pPr>
              <w:spacing w:after="0"/>
              <w:rPr>
                <w:sz w:val="13"/>
                <w:szCs w:val="13"/>
                <w:color w:val="auto"/>
              </w:rPr>
            </w:pPr>
          </w:p>
        </w:tc>
        <w:tc>
          <w:tcPr>
            <w:tcW w:w="4420" w:type="dxa"/>
            <w:vAlign w:val="bottom"/>
            <w:tcBorders>
              <w:top w:val="single" w:sz="8" w:color="0000EE"/>
              <w:bottom w:val="single" w:sz="8" w:color="0000EE"/>
            </w:tcBorders>
            <w:gridSpan w:val="23"/>
          </w:tcPr>
          <w:p>
            <w:pPr>
              <w:spacing w:after="0" w:line="15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between the registrant and Jutland 4141 Investments, Ltd dba</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440" w:type="dxa"/>
            <w:vAlign w:val="bottom"/>
            <w:gridSpan w:val="24"/>
          </w:tcPr>
          <w:p>
            <w:pPr>
              <w:spacing w:after="0" w:line="156" w:lineRule="exact"/>
              <w:rPr>
                <w:rFonts w:ascii="Arial" w:cs="Arial" w:eastAsia="Arial" w:hAnsi="Arial"/>
                <w:sz w:val="18"/>
                <w:szCs w:val="18"/>
                <w:color w:val="0000EE"/>
              </w:rPr>
            </w:pPr>
            <w:hyperlink r:id="rId126">
              <w:r>
                <w:rPr>
                  <w:rFonts w:ascii="Arial" w:cs="Arial" w:eastAsia="Arial" w:hAnsi="Arial"/>
                  <w:sz w:val="18"/>
                  <w:szCs w:val="18"/>
                  <w:color w:val="0000EE"/>
                </w:rPr>
                <w:t>Chandler Office Center.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10.17</w:t>
            </w:r>
          </w:p>
        </w:tc>
        <w:tc>
          <w:tcPr>
            <w:tcW w:w="4460" w:type="dxa"/>
            <w:vAlign w:val="bottom"/>
            <w:tcBorders>
              <w:bottom w:val="single" w:sz="8" w:color="0000EE"/>
            </w:tcBorders>
            <w:gridSpan w:val="25"/>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Commercial Industrial Lease Agreement, dated as of May 18,</w:t>
              </w:r>
            </w:hyperlink>
          </w:p>
        </w:tc>
        <w:tc>
          <w:tcPr>
            <w:tcW w:w="44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156"/>
        </w:trPr>
        <w:tc>
          <w:tcPr>
            <w:tcW w:w="860" w:type="dxa"/>
            <w:vAlign w:val="bottom"/>
          </w:tcPr>
          <w:p>
            <w:pPr>
              <w:spacing w:after="0"/>
              <w:rPr>
                <w:sz w:val="13"/>
                <w:szCs w:val="13"/>
                <w:color w:val="auto"/>
              </w:rPr>
            </w:pPr>
          </w:p>
        </w:tc>
        <w:tc>
          <w:tcPr>
            <w:tcW w:w="4900" w:type="dxa"/>
            <w:vAlign w:val="bottom"/>
            <w:gridSpan w:val="39"/>
          </w:tcPr>
          <w:p>
            <w:pPr>
              <w:spacing w:after="0" w:line="15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2012, by and between the registrant and Principal Life Insurance</w:t>
              </w:r>
            </w:hyperlink>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660" w:type="dxa"/>
            <w:vAlign w:val="bottom"/>
            <w:tcBorders>
              <w:top w:val="single" w:sz="8" w:color="0000EE"/>
            </w:tcBorders>
            <w:gridSpan w:val="29"/>
          </w:tcPr>
          <w:p>
            <w:pPr>
              <w:spacing w:after="0" w:line="156" w:lineRule="exact"/>
              <w:rPr>
                <w:rFonts w:ascii="Arial" w:cs="Arial" w:eastAsia="Arial" w:hAnsi="Arial"/>
                <w:sz w:val="18"/>
                <w:szCs w:val="18"/>
                <w:color w:val="0000EE"/>
              </w:rPr>
            </w:pPr>
            <w:hyperlink r:id="rId127">
              <w:r>
                <w:rPr>
                  <w:rFonts w:ascii="Arial" w:cs="Arial" w:eastAsia="Arial" w:hAnsi="Arial"/>
                  <w:sz w:val="18"/>
                  <w:szCs w:val="18"/>
                  <w:color w:val="0000EE"/>
                </w:rPr>
                <w:t>Company.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10.18+</w:t>
            </w:r>
          </w:p>
        </w:tc>
        <w:tc>
          <w:tcPr>
            <w:tcW w:w="4900" w:type="dxa"/>
            <w:vAlign w:val="bottom"/>
            <w:gridSpan w:val="39"/>
          </w:tcPr>
          <w:p>
            <w:pPr>
              <w:spacing w:after="0"/>
              <w:rPr>
                <w:rFonts w:ascii="Arial" w:cs="Arial" w:eastAsia="Arial" w:hAnsi="Arial"/>
                <w:sz w:val="18"/>
                <w:szCs w:val="18"/>
                <w:color w:val="0000EE"/>
                <w:w w:val="95"/>
              </w:rPr>
            </w:pPr>
            <w:hyperlink r:id="rId128">
              <w:r>
                <w:rPr>
                  <w:rFonts w:ascii="Arial" w:cs="Arial" w:eastAsia="Arial" w:hAnsi="Arial"/>
                  <w:sz w:val="18"/>
                  <w:szCs w:val="18"/>
                  <w:color w:val="0000EE"/>
                  <w:w w:val="95"/>
                </w:rPr>
                <w:t>STT-MRAM Joint Development Agreement, dated as of October</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156"/>
        </w:trPr>
        <w:tc>
          <w:tcPr>
            <w:tcW w:w="860" w:type="dxa"/>
            <w:vAlign w:val="bottom"/>
          </w:tcPr>
          <w:p>
            <w:pPr>
              <w:spacing w:after="0"/>
              <w:rPr>
                <w:sz w:val="13"/>
                <w:szCs w:val="13"/>
                <w:color w:val="auto"/>
              </w:rPr>
            </w:pPr>
          </w:p>
        </w:tc>
        <w:tc>
          <w:tcPr>
            <w:tcW w:w="4740" w:type="dxa"/>
            <w:vAlign w:val="bottom"/>
            <w:tcBorders>
              <w:top w:val="single" w:sz="8" w:color="0000EE"/>
            </w:tcBorders>
            <w:gridSpan w:val="33"/>
          </w:tcPr>
          <w:p>
            <w:pPr>
              <w:spacing w:after="0" w:line="15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17, 2014, by and between registrant and GLOBALFOUNDRIES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720" w:type="dxa"/>
            <w:vAlign w:val="bottom"/>
            <w:tcBorders>
              <w:top w:val="single" w:sz="8" w:color="0000EE"/>
            </w:tcBorders>
            <w:gridSpan w:val="32"/>
          </w:tcPr>
          <w:p>
            <w:pPr>
              <w:spacing w:after="0" w:line="156" w:lineRule="exact"/>
              <w:rPr>
                <w:rFonts w:ascii="Arial" w:cs="Arial" w:eastAsia="Arial" w:hAnsi="Arial"/>
                <w:sz w:val="18"/>
                <w:szCs w:val="18"/>
                <w:color w:val="0000EE"/>
              </w:rPr>
            </w:pPr>
            <w:hyperlink r:id="rId128">
              <w:r>
                <w:rPr>
                  <w:rFonts w:ascii="Arial" w:cs="Arial" w:eastAsia="Arial" w:hAnsi="Arial"/>
                  <w:sz w:val="18"/>
                  <w:szCs w:val="18"/>
                  <w:color w:val="0000EE"/>
                </w:rPr>
                <w:t>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10.19+</w:t>
            </w:r>
          </w:p>
        </w:tc>
        <w:tc>
          <w:tcPr>
            <w:tcW w:w="4900" w:type="dxa"/>
            <w:vAlign w:val="bottom"/>
            <w:gridSpan w:val="39"/>
          </w:tcPr>
          <w:p>
            <w:pPr>
              <w:spacing w:after="0"/>
              <w:rPr>
                <w:rFonts w:ascii="Arial" w:cs="Arial" w:eastAsia="Arial" w:hAnsi="Arial"/>
                <w:sz w:val="18"/>
                <w:szCs w:val="18"/>
                <w:color w:val="0000EE"/>
              </w:rPr>
            </w:pPr>
            <w:hyperlink r:id="rId129">
              <w:r>
                <w:rPr>
                  <w:rFonts w:ascii="Arial" w:cs="Arial" w:eastAsia="Arial" w:hAnsi="Arial"/>
                  <w:sz w:val="18"/>
                  <w:szCs w:val="18"/>
                  <w:color w:val="0000EE"/>
                </w:rPr>
                <w:t>Amendment No. 1 to the STT-MRAM Joint Development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20"/>
        </w:trPr>
        <w:tc>
          <w:tcPr>
            <w:tcW w:w="8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4900" w:type="dxa"/>
            <w:vAlign w:val="bottom"/>
            <w:gridSpan w:val="39"/>
          </w:tcPr>
          <w:p>
            <w:pPr>
              <w:spacing w:after="0" w:line="15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Agreement, dated as of May 27, 2016, by and between registrant</w:t>
              </w:r>
            </w:hyperlink>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238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5"/>
              </w:rPr>
            </w:pPr>
            <w:hyperlink r:id="rId129">
              <w:r>
                <w:rPr>
                  <w:rFonts w:ascii="Arial" w:cs="Arial" w:eastAsia="Arial" w:hAnsi="Arial"/>
                  <w:sz w:val="18"/>
                  <w:szCs w:val="18"/>
                  <w:color w:val="0000EE"/>
                  <w:w w:val="95"/>
                </w:rPr>
                <w:t>and GLOBALFOUNDRIES Inc.</w:t>
              </w:r>
            </w:hyperlink>
          </w:p>
        </w:tc>
        <w:tc>
          <w:tcPr>
            <w:tcW w:w="2320" w:type="dxa"/>
            <w:vAlign w:val="bottom"/>
            <w:tcBorders>
              <w:top w:val="single" w:sz="8" w:color="0000EE"/>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10.20+</w:t>
            </w:r>
          </w:p>
        </w:tc>
        <w:tc>
          <w:tcPr>
            <w:tcW w:w="4680" w:type="dxa"/>
            <w:vAlign w:val="bottom"/>
            <w:tcBorders>
              <w:bottom w:val="single" w:sz="8" w:color="0000EE"/>
            </w:tcBorders>
            <w:gridSpan w:val="30"/>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Manufacturing Agreement, dated as of October 23, 2014, by and</w:t>
              </w:r>
            </w:hyperlink>
          </w:p>
        </w:tc>
        <w:tc>
          <w:tcPr>
            <w:tcW w:w="220" w:type="dxa"/>
            <w:vAlign w:val="bottom"/>
            <w:gridSpan w:val="9"/>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156"/>
        </w:trPr>
        <w:tc>
          <w:tcPr>
            <w:tcW w:w="860" w:type="dxa"/>
            <w:vAlign w:val="bottom"/>
          </w:tcPr>
          <w:p>
            <w:pPr>
              <w:spacing w:after="0"/>
              <w:rPr>
                <w:sz w:val="13"/>
                <w:szCs w:val="13"/>
                <w:color w:val="auto"/>
              </w:rPr>
            </w:pPr>
          </w:p>
        </w:tc>
        <w:tc>
          <w:tcPr>
            <w:tcW w:w="4900" w:type="dxa"/>
            <w:vAlign w:val="bottom"/>
            <w:gridSpan w:val="39"/>
          </w:tcPr>
          <w:p>
            <w:pPr>
              <w:spacing w:after="0" w:line="15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between the registrant and GLOBALFOUNDRIES Singapore Pte.</w:t>
              </w:r>
            </w:hyperlink>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800" w:type="dxa"/>
            <w:vAlign w:val="bottom"/>
            <w:tcBorders>
              <w:top w:val="single" w:sz="8" w:color="0000EE"/>
            </w:tcBorders>
            <w:gridSpan w:val="36"/>
          </w:tcPr>
          <w:p>
            <w:pPr>
              <w:spacing w:after="0" w:line="156" w:lineRule="exact"/>
              <w:rPr>
                <w:rFonts w:ascii="Arial" w:cs="Arial" w:eastAsia="Arial" w:hAnsi="Arial"/>
                <w:sz w:val="18"/>
                <w:szCs w:val="18"/>
                <w:color w:val="0000EE"/>
              </w:rPr>
            </w:pPr>
            <w:hyperlink r:id="rId130">
              <w:r>
                <w:rPr>
                  <w:rFonts w:ascii="Arial" w:cs="Arial" w:eastAsia="Arial" w:hAnsi="Arial"/>
                  <w:sz w:val="18"/>
                  <w:szCs w:val="18"/>
                  <w:color w:val="0000EE"/>
                </w:rPr>
                <w:t>Ltd.</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10.21</w:t>
            </w:r>
          </w:p>
        </w:tc>
        <w:tc>
          <w:tcPr>
            <w:tcW w:w="4900" w:type="dxa"/>
            <w:vAlign w:val="bottom"/>
            <w:gridSpan w:val="39"/>
          </w:tcPr>
          <w:p>
            <w:pPr>
              <w:spacing w:after="0"/>
              <w:rPr>
                <w:rFonts w:ascii="Arial" w:cs="Arial" w:eastAsia="Arial" w:hAnsi="Arial"/>
                <w:sz w:val="18"/>
                <w:szCs w:val="18"/>
                <w:color w:val="0000EE"/>
              </w:rPr>
            </w:pPr>
            <w:hyperlink r:id="rId131">
              <w:r>
                <w:rPr>
                  <w:rFonts w:ascii="Arial" w:cs="Arial" w:eastAsia="Arial" w:hAnsi="Arial"/>
                  <w:sz w:val="18"/>
                  <w:szCs w:val="18"/>
                  <w:color w:val="0000EE"/>
                </w:rPr>
                <w:t>Restricted Stock Purchase Agreement, by and between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156"/>
        </w:trPr>
        <w:tc>
          <w:tcPr>
            <w:tcW w:w="860" w:type="dxa"/>
            <w:vAlign w:val="bottom"/>
          </w:tcPr>
          <w:p>
            <w:pPr>
              <w:spacing w:after="0"/>
              <w:rPr>
                <w:sz w:val="13"/>
                <w:szCs w:val="13"/>
                <w:color w:val="auto"/>
              </w:rPr>
            </w:pPr>
          </w:p>
        </w:tc>
        <w:tc>
          <w:tcPr>
            <w:tcW w:w="310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registrant and GLOBALFOUNDRIES Inc.</w:t>
              </w:r>
            </w:hyperlink>
          </w:p>
        </w:tc>
        <w:tc>
          <w:tcPr>
            <w:tcW w:w="1120" w:type="dxa"/>
            <w:vAlign w:val="bottom"/>
            <w:tcBorders>
              <w:top w:val="single" w:sz="8" w:color="0000EE"/>
            </w:tcBorders>
            <w:gridSpan w:val="6"/>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10.22</w:t>
            </w:r>
          </w:p>
        </w:tc>
        <w:tc>
          <w:tcPr>
            <w:tcW w:w="4560" w:type="dxa"/>
            <w:vAlign w:val="bottom"/>
            <w:tcBorders>
              <w:bottom w:val="single" w:sz="8" w:color="0000EE"/>
            </w:tcBorders>
            <w:gridSpan w:val="28"/>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Amendment No. 1 to Commercial Industrial Lease Agreement,</w:t>
              </w:r>
            </w:hyperlink>
          </w:p>
        </w:tc>
        <w:tc>
          <w:tcPr>
            <w:tcW w:w="340" w:type="dxa"/>
            <w:vAlign w:val="bottom"/>
            <w:gridSpan w:val="11"/>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9/09/2016</w:t>
            </w:r>
          </w:p>
        </w:tc>
      </w:tr>
      <w:tr>
        <w:trPr>
          <w:trHeight w:val="156"/>
        </w:trPr>
        <w:tc>
          <w:tcPr>
            <w:tcW w:w="860" w:type="dxa"/>
            <w:vAlign w:val="bottom"/>
          </w:tcPr>
          <w:p>
            <w:pPr>
              <w:spacing w:after="0"/>
              <w:rPr>
                <w:sz w:val="13"/>
                <w:szCs w:val="13"/>
                <w:color w:val="auto"/>
              </w:rPr>
            </w:pPr>
          </w:p>
        </w:tc>
        <w:tc>
          <w:tcPr>
            <w:tcW w:w="4900" w:type="dxa"/>
            <w:vAlign w:val="bottom"/>
            <w:gridSpan w:val="39"/>
          </w:tcPr>
          <w:p>
            <w:pPr>
              <w:spacing w:after="0" w:line="15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dated August 12, 2016, by and between the registrant and Legacy</w:t>
              </w:r>
            </w:hyperlink>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760" w:type="dxa"/>
            <w:vAlign w:val="bottom"/>
            <w:tcBorders>
              <w:top w:val="single" w:sz="8" w:color="0000EE"/>
            </w:tcBorders>
            <w:gridSpan w:val="34"/>
          </w:tcPr>
          <w:p>
            <w:pPr>
              <w:spacing w:after="0" w:line="156" w:lineRule="exact"/>
              <w:rPr>
                <w:rFonts w:ascii="Arial" w:cs="Arial" w:eastAsia="Arial" w:hAnsi="Arial"/>
                <w:sz w:val="18"/>
                <w:szCs w:val="18"/>
                <w:color w:val="0000EE"/>
              </w:rPr>
            </w:pPr>
            <w:hyperlink r:id="rId132">
              <w:r>
                <w:rPr>
                  <w:rFonts w:ascii="Arial" w:cs="Arial" w:eastAsia="Arial" w:hAnsi="Arial"/>
                  <w:sz w:val="18"/>
                  <w:szCs w:val="18"/>
                  <w:color w:val="0000EE"/>
                </w:rPr>
                <w:t>Stonelake JV-T, LLC, successor in interest to Principal Life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30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r:id="rId132">
              <w:r>
                <w:rPr>
                  <w:rFonts w:ascii="Arial" w:cs="Arial" w:eastAsia="Arial" w:hAnsi="Arial"/>
                  <w:sz w:val="18"/>
                  <w:szCs w:val="18"/>
                  <w:color w:val="0000EE"/>
                </w:rPr>
                <w:t>Insurance Company.</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10.23</w:t>
            </w:r>
          </w:p>
        </w:tc>
        <w:tc>
          <w:tcPr>
            <w:tcW w:w="4900" w:type="dxa"/>
            <w:vAlign w:val="bottom"/>
            <w:gridSpan w:val="39"/>
          </w:tcPr>
          <w:p>
            <w:pPr>
              <w:spacing w:after="0"/>
              <w:rPr>
                <w:rFonts w:ascii="Arial" w:cs="Arial" w:eastAsia="Arial" w:hAnsi="Arial"/>
                <w:sz w:val="18"/>
                <w:szCs w:val="18"/>
                <w:color w:val="0000EE"/>
              </w:rPr>
            </w:pPr>
            <w:hyperlink r:id="rId133">
              <w:r>
                <w:rPr>
                  <w:rFonts w:ascii="Arial" w:cs="Arial" w:eastAsia="Arial" w:hAnsi="Arial"/>
                  <w:sz w:val="18"/>
                  <w:szCs w:val="18"/>
                  <w:color w:val="0000EE"/>
                </w:rPr>
                <w:t>Common Stock Purchase Agreement by and between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9/26/2016</w:t>
            </w:r>
          </w:p>
        </w:tc>
      </w:tr>
      <w:tr>
        <w:trPr>
          <w:trHeight w:val="156"/>
        </w:trPr>
        <w:tc>
          <w:tcPr>
            <w:tcW w:w="860" w:type="dxa"/>
            <w:vAlign w:val="bottom"/>
          </w:tcPr>
          <w:p>
            <w:pPr>
              <w:spacing w:after="0"/>
              <w:rPr>
                <w:sz w:val="13"/>
                <w:szCs w:val="13"/>
                <w:color w:val="auto"/>
              </w:rPr>
            </w:pPr>
          </w:p>
        </w:tc>
        <w:tc>
          <w:tcPr>
            <w:tcW w:w="4120" w:type="dxa"/>
            <w:vAlign w:val="bottom"/>
            <w:tcBorders>
              <w:top w:val="single" w:sz="8" w:color="0000EE"/>
            </w:tcBorders>
            <w:gridSpan w:val="16"/>
          </w:tcPr>
          <w:p>
            <w:pPr>
              <w:spacing w:after="0" w:line="15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registrant and GigaDevice (HK) Limited, dated September</w:t>
              </w:r>
            </w:hyperlink>
          </w:p>
        </w:tc>
        <w:tc>
          <w:tcPr>
            <w:tcW w:w="420" w:type="dxa"/>
            <w:vAlign w:val="bottom"/>
            <w:gridSpan w:val="11"/>
          </w:tcPr>
          <w:p>
            <w:pPr>
              <w:jc w:val="right"/>
              <w:ind w:right="40"/>
              <w:spacing w:after="0" w:line="156" w:lineRule="exact"/>
              <w:rPr>
                <w:rFonts w:ascii="Arial" w:cs="Arial" w:eastAsia="Arial" w:hAnsi="Arial"/>
                <w:sz w:val="18"/>
                <w:szCs w:val="18"/>
                <w:color w:val="0000EE"/>
              </w:rPr>
            </w:pPr>
            <w:hyperlink r:id="rId133">
              <w:r>
                <w:rPr>
                  <w:rFonts w:ascii="Arial" w:cs="Arial" w:eastAsia="Arial" w:hAnsi="Arial"/>
                  <w:sz w:val="18"/>
                  <w:szCs w:val="18"/>
                  <w:color w:val="0000EE"/>
                </w:rPr>
                <w:t>23,</w:t>
              </w:r>
            </w:hyperlink>
          </w:p>
        </w:tc>
        <w:tc>
          <w:tcPr>
            <w:tcW w:w="2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2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2016.</w:t>
              </w:r>
            </w:hyperlink>
          </w:p>
        </w:tc>
        <w:tc>
          <w:tcPr>
            <w:tcW w:w="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10.24†</w:t>
            </w:r>
          </w:p>
        </w:tc>
        <w:tc>
          <w:tcPr>
            <w:tcW w:w="4900" w:type="dxa"/>
            <w:vAlign w:val="bottom"/>
            <w:gridSpan w:val="39"/>
          </w:tcPr>
          <w:p>
            <w:pPr>
              <w:spacing w:after="0"/>
              <w:rPr>
                <w:rFonts w:ascii="Arial" w:cs="Arial" w:eastAsia="Arial" w:hAnsi="Arial"/>
                <w:sz w:val="18"/>
                <w:szCs w:val="18"/>
                <w:color w:val="0000EE"/>
              </w:rPr>
            </w:pPr>
            <w:hyperlink r:id="rId134">
              <w:r>
                <w:rPr>
                  <w:rFonts w:ascii="Arial" w:cs="Arial" w:eastAsia="Arial" w:hAnsi="Arial"/>
                  <w:sz w:val="18"/>
                  <w:szCs w:val="18"/>
                  <w:color w:val="0000EE"/>
                </w:rPr>
                <w:t>Non-employee Director Compensation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11/18/2016</w:t>
            </w:r>
          </w:p>
        </w:tc>
      </w:tr>
      <w:tr>
        <w:trPr>
          <w:trHeight w:val="20"/>
        </w:trPr>
        <w:tc>
          <w:tcPr>
            <w:tcW w:w="860" w:type="dxa"/>
            <w:vAlign w:val="bottom"/>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10.25†</w:t>
            </w:r>
          </w:p>
        </w:tc>
        <w:tc>
          <w:tcPr>
            <w:tcW w:w="4900" w:type="dxa"/>
            <w:vAlign w:val="bottom"/>
            <w:gridSpan w:val="39"/>
          </w:tcPr>
          <w:p>
            <w:pPr>
              <w:spacing w:after="0"/>
              <w:rPr>
                <w:rFonts w:ascii="Arial" w:cs="Arial" w:eastAsia="Arial" w:hAnsi="Arial"/>
                <w:sz w:val="18"/>
                <w:szCs w:val="18"/>
                <w:color w:val="0000EE"/>
                <w:w w:val="93"/>
              </w:rPr>
            </w:pPr>
            <w:hyperlink r:id="rId135">
              <w:r>
                <w:rPr>
                  <w:rFonts w:ascii="Arial" w:cs="Arial" w:eastAsia="Arial" w:hAnsi="Arial"/>
                  <w:sz w:val="18"/>
                  <w:szCs w:val="18"/>
                  <w:color w:val="0000EE"/>
                  <w:w w:val="93"/>
                </w:rPr>
                <w:t>Executive Employment Agreement, dated as of April 25, 2016, by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3/29/2017</w:t>
            </w:r>
          </w:p>
        </w:tc>
      </w:tr>
      <w:tr>
        <w:trPr>
          <w:trHeight w:val="156"/>
        </w:trPr>
        <w:tc>
          <w:tcPr>
            <w:tcW w:w="860" w:type="dxa"/>
            <w:vAlign w:val="bottom"/>
          </w:tcPr>
          <w:p>
            <w:pPr>
              <w:spacing w:after="0"/>
              <w:rPr>
                <w:sz w:val="13"/>
                <w:szCs w:val="13"/>
                <w:color w:val="auto"/>
              </w:rPr>
            </w:pPr>
          </w:p>
        </w:tc>
        <w:tc>
          <w:tcPr>
            <w:tcW w:w="4840" w:type="dxa"/>
            <w:vAlign w:val="bottom"/>
            <w:tcBorders>
              <w:top w:val="single" w:sz="8" w:color="0000EE"/>
            </w:tcBorders>
            <w:gridSpan w:val="38"/>
          </w:tcPr>
          <w:p>
            <w:pPr>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and between registrant and Jon Slaughter, Ph.D.</w:t>
              </w:r>
            </w:hyperlink>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10.26†</w:t>
            </w:r>
          </w:p>
        </w:tc>
        <w:tc>
          <w:tcPr>
            <w:tcW w:w="3460" w:type="dxa"/>
            <w:vAlign w:val="bottom"/>
            <w:tcBorders>
              <w:top w:val="single" w:sz="8" w:color="0000EE"/>
            </w:tcBorders>
            <w:gridSpan w:val="15"/>
          </w:tcPr>
          <w:p>
            <w:pPr>
              <w:spacing w:after="0"/>
              <w:rPr>
                <w:rFonts w:ascii="Arial" w:cs="Arial" w:eastAsia="Arial" w:hAnsi="Arial"/>
                <w:sz w:val="18"/>
                <w:szCs w:val="18"/>
                <w:color w:val="0000EE"/>
              </w:rPr>
            </w:pPr>
            <w:hyperlink r:id="rId136">
              <w:r>
                <w:rPr>
                  <w:rFonts w:ascii="Arial" w:cs="Arial" w:eastAsia="Arial" w:hAnsi="Arial"/>
                  <w:sz w:val="18"/>
                  <w:szCs w:val="18"/>
                  <w:color w:val="0000EE"/>
                </w:rPr>
                <w:t>Executive Compensation Information</w:t>
              </w:r>
            </w:hyperlink>
          </w:p>
        </w:tc>
        <w:tc>
          <w:tcPr>
            <w:tcW w:w="1440" w:type="dxa"/>
            <w:vAlign w:val="bottom"/>
            <w:gridSpan w:val="2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20" w:type="dxa"/>
            <w:vAlign w:val="bottom"/>
          </w:tcPr>
          <w:p>
            <w:pPr>
              <w:ind w:left="140"/>
              <w:spacing w:after="0"/>
              <w:rPr>
                <w:sz w:val="20"/>
                <w:szCs w:val="20"/>
                <w:color w:val="auto"/>
              </w:rPr>
            </w:pPr>
            <w:r>
              <w:rPr>
                <w:rFonts w:ascii="Arial" w:cs="Arial" w:eastAsia="Arial" w:hAnsi="Arial"/>
                <w:sz w:val="18"/>
                <w:szCs w:val="18"/>
                <w:color w:val="auto"/>
              </w:rPr>
              <w:t>Item</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1/23/2017</w:t>
            </w:r>
          </w:p>
        </w:tc>
      </w:tr>
      <w:tr>
        <w:trPr>
          <w:trHeight w:val="210"/>
        </w:trPr>
        <w:tc>
          <w:tcPr>
            <w:tcW w:w="86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5.02</w:t>
            </w:r>
          </w:p>
        </w:tc>
        <w:tc>
          <w:tcPr>
            <w:tcW w:w="920" w:type="dxa"/>
            <w:vAlign w:val="bottom"/>
          </w:tcPr>
          <w:p>
            <w:pPr>
              <w:spacing w:after="0"/>
              <w:rPr>
                <w:sz w:val="18"/>
                <w:szCs w:val="18"/>
                <w:color w:val="auto"/>
              </w:rPr>
            </w:pPr>
          </w:p>
        </w:tc>
      </w:tr>
      <w:tr>
        <w:trPr>
          <w:trHeight w:val="296"/>
        </w:trPr>
        <w:tc>
          <w:tcPr>
            <w:tcW w:w="860" w:type="dxa"/>
            <w:vAlign w:val="bottom"/>
          </w:tcPr>
          <w:p>
            <w:pPr>
              <w:spacing w:after="0"/>
              <w:rPr>
                <w:sz w:val="20"/>
                <w:szCs w:val="20"/>
                <w:color w:val="auto"/>
              </w:rPr>
            </w:pPr>
            <w:r>
              <w:rPr>
                <w:rFonts w:ascii="Arial" w:cs="Arial" w:eastAsia="Arial" w:hAnsi="Arial"/>
                <w:sz w:val="18"/>
                <w:szCs w:val="18"/>
                <w:color w:val="auto"/>
              </w:rPr>
              <w:t>10.27</w:t>
            </w:r>
          </w:p>
        </w:tc>
        <w:tc>
          <w:tcPr>
            <w:tcW w:w="4900" w:type="dxa"/>
            <w:vAlign w:val="bottom"/>
            <w:gridSpan w:val="39"/>
          </w:tcPr>
          <w:p>
            <w:pPr>
              <w:spacing w:after="0"/>
              <w:rPr>
                <w:rFonts w:ascii="Arial" w:cs="Arial" w:eastAsia="Arial" w:hAnsi="Arial"/>
                <w:sz w:val="18"/>
                <w:szCs w:val="18"/>
                <w:color w:val="0000EE"/>
                <w:w w:val="97"/>
              </w:rPr>
            </w:pPr>
            <w:hyperlink r:id="rId137">
              <w:r>
                <w:rPr>
                  <w:rFonts w:ascii="Arial" w:cs="Arial" w:eastAsia="Arial" w:hAnsi="Arial"/>
                  <w:sz w:val="18"/>
                  <w:szCs w:val="18"/>
                  <w:color w:val="0000EE"/>
                  <w:w w:val="97"/>
                </w:rPr>
                <w:t>Amendment No.5 to Lease, dated as of March 22, 2017 by and</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3/28/2017</w:t>
            </w:r>
          </w:p>
        </w:tc>
      </w:tr>
      <w:tr>
        <w:trPr>
          <w:trHeight w:val="156"/>
        </w:trPr>
        <w:tc>
          <w:tcPr>
            <w:tcW w:w="860" w:type="dxa"/>
            <w:vAlign w:val="bottom"/>
          </w:tcPr>
          <w:p>
            <w:pPr>
              <w:spacing w:after="0"/>
              <w:rPr>
                <w:sz w:val="13"/>
                <w:szCs w:val="13"/>
                <w:color w:val="auto"/>
              </w:rPr>
            </w:pPr>
          </w:p>
        </w:tc>
        <w:tc>
          <w:tcPr>
            <w:tcW w:w="414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between the Company and Freescale Semiconductor, Inc.</w:t>
              </w:r>
            </w:hyperlink>
          </w:p>
        </w:tc>
        <w:tc>
          <w:tcPr>
            <w:tcW w:w="400" w:type="dxa"/>
            <w:vAlign w:val="bottom"/>
            <w:tcBorders>
              <w:top w:val="single" w:sz="8" w:color="0000EE"/>
            </w:tcBorders>
            <w:gridSpan w:val="10"/>
          </w:tcPr>
          <w:p>
            <w:pPr>
              <w:spacing w:after="0"/>
              <w:rPr>
                <w:sz w:val="13"/>
                <w:szCs w:val="13"/>
                <w:color w:val="auto"/>
              </w:rPr>
            </w:pPr>
          </w:p>
        </w:tc>
        <w:tc>
          <w:tcPr>
            <w:tcW w:w="2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10.28</w:t>
            </w:r>
          </w:p>
        </w:tc>
        <w:tc>
          <w:tcPr>
            <w:tcW w:w="4900" w:type="dxa"/>
            <w:vAlign w:val="bottom"/>
            <w:gridSpan w:val="39"/>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Sublease Agreement, dated January 31, 2017, by and between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3/28/2017</w:t>
            </w:r>
          </w:p>
        </w:tc>
      </w:tr>
      <w:tr>
        <w:trPr>
          <w:trHeight w:val="156"/>
        </w:trPr>
        <w:tc>
          <w:tcPr>
            <w:tcW w:w="860" w:type="dxa"/>
            <w:vAlign w:val="bottom"/>
          </w:tcPr>
          <w:p>
            <w:pPr>
              <w:spacing w:after="0"/>
              <w:rPr>
                <w:sz w:val="13"/>
                <w:szCs w:val="13"/>
                <w:color w:val="auto"/>
              </w:rPr>
            </w:pPr>
          </w:p>
        </w:tc>
        <w:tc>
          <w:tcPr>
            <w:tcW w:w="4780" w:type="dxa"/>
            <w:vAlign w:val="bottom"/>
            <w:tcBorders>
              <w:top w:val="single" w:sz="8" w:color="0000EE"/>
            </w:tcBorders>
            <w:gridSpan w:val="35"/>
          </w:tcPr>
          <w:p>
            <w:pPr>
              <w:spacing w:after="0" w:line="156"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Company and NXP USA, Inc. and Consent to of Landlord to</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400" w:type="dxa"/>
            <w:vAlign w:val="bottom"/>
            <w:tcBorders>
              <w:top w:val="single" w:sz="8" w:color="0000EE"/>
              <w:bottom w:val="single" w:sz="8" w:color="0000EE"/>
            </w:tcBorders>
            <w:gridSpan w:val="22"/>
          </w:tcPr>
          <w:p>
            <w:pPr>
              <w:spacing w:after="0" w:line="156" w:lineRule="exact"/>
              <w:rPr>
                <w:rFonts w:ascii="Arial" w:cs="Arial" w:eastAsia="Arial" w:hAnsi="Arial"/>
                <w:sz w:val="18"/>
                <w:szCs w:val="18"/>
                <w:color w:val="0000EE"/>
                <w:w w:val="87"/>
              </w:rPr>
            </w:pPr>
            <w:hyperlink r:id="rId138">
              <w:r>
                <w:rPr>
                  <w:rFonts w:ascii="Arial" w:cs="Arial" w:eastAsia="Arial" w:hAnsi="Arial"/>
                  <w:sz w:val="18"/>
                  <w:szCs w:val="18"/>
                  <w:color w:val="0000EE"/>
                  <w:w w:val="87"/>
                </w:rPr>
                <w:t>Sublease, dated March 10, 2017, by and among the Company,</w:t>
              </w:r>
            </w:hyperlink>
          </w:p>
        </w:tc>
        <w:tc>
          <w:tcPr>
            <w:tcW w:w="60" w:type="dxa"/>
            <w:vAlign w:val="bottom"/>
            <w:tcBorders>
              <w:bottom w:val="single" w:sz="8" w:color="0000EE"/>
            </w:tcBorders>
            <w:gridSpan w:val="3"/>
          </w:tcPr>
          <w:p>
            <w:pPr>
              <w:spacing w:after="0"/>
              <w:rPr>
                <w:sz w:val="13"/>
                <w:szCs w:val="13"/>
                <w:color w:val="auto"/>
              </w:rPr>
            </w:pPr>
          </w:p>
        </w:tc>
        <w:tc>
          <w:tcPr>
            <w:tcW w:w="360" w:type="dxa"/>
            <w:vAlign w:val="bottom"/>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460" w:type="dxa"/>
            <w:vAlign w:val="bottom"/>
            <w:gridSpan w:val="25"/>
          </w:tcPr>
          <w:p>
            <w:pPr>
              <w:spacing w:after="0" w:line="156" w:lineRule="exact"/>
              <w:rPr>
                <w:rFonts w:ascii="Arial" w:cs="Arial" w:eastAsia="Arial" w:hAnsi="Arial"/>
                <w:sz w:val="18"/>
                <w:szCs w:val="18"/>
                <w:color w:val="0000EE"/>
              </w:rPr>
            </w:pPr>
            <w:hyperlink r:id="rId138">
              <w:r>
                <w:rPr>
                  <w:rFonts w:ascii="Arial" w:cs="Arial" w:eastAsia="Arial" w:hAnsi="Arial"/>
                  <w:sz w:val="18"/>
                  <w:szCs w:val="18"/>
                  <w:color w:val="0000EE"/>
                </w:rPr>
                <w:t>NXP USA, Inc. and VWP-BV CM 5670, LLC.</w:t>
              </w:r>
            </w:hyperlink>
          </w:p>
        </w:tc>
        <w:tc>
          <w:tcPr>
            <w:tcW w:w="360" w:type="dxa"/>
            <w:vAlign w:val="bottom"/>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1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10.29</w:t>
            </w:r>
          </w:p>
        </w:tc>
        <w:tc>
          <w:tcPr>
            <w:tcW w:w="4900" w:type="dxa"/>
            <w:vAlign w:val="bottom"/>
            <w:gridSpan w:val="39"/>
          </w:tcPr>
          <w:p>
            <w:pPr>
              <w:spacing w:after="0"/>
              <w:rPr>
                <w:rFonts w:ascii="Arial" w:cs="Arial" w:eastAsia="Arial" w:hAnsi="Arial"/>
                <w:sz w:val="18"/>
                <w:szCs w:val="18"/>
                <w:color w:val="0000EE"/>
                <w:w w:val="99"/>
              </w:rPr>
            </w:pPr>
            <w:hyperlink r:id="rId139">
              <w:r>
                <w:rPr>
                  <w:rFonts w:ascii="Arial" w:cs="Arial" w:eastAsia="Arial" w:hAnsi="Arial"/>
                  <w:sz w:val="18"/>
                  <w:szCs w:val="18"/>
                  <w:color w:val="0000EE"/>
                  <w:w w:val="99"/>
                </w:rPr>
                <w:t>First Amendment to Sublease Agreement, dated February 13,</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3/28/2017</w:t>
            </w:r>
          </w:p>
        </w:tc>
      </w:tr>
      <w:tr>
        <w:trPr>
          <w:trHeight w:val="156"/>
        </w:trPr>
        <w:tc>
          <w:tcPr>
            <w:tcW w:w="860" w:type="dxa"/>
            <w:vAlign w:val="bottom"/>
          </w:tcPr>
          <w:p>
            <w:pPr>
              <w:spacing w:after="0"/>
              <w:rPr>
                <w:sz w:val="13"/>
                <w:szCs w:val="13"/>
                <w:color w:val="auto"/>
              </w:rPr>
            </w:pPr>
          </w:p>
        </w:tc>
        <w:tc>
          <w:tcPr>
            <w:tcW w:w="4440" w:type="dxa"/>
            <w:vAlign w:val="bottom"/>
            <w:tcBorders>
              <w:top w:val="single" w:sz="8" w:color="0000EE"/>
            </w:tcBorders>
            <w:gridSpan w:val="24"/>
          </w:tcPr>
          <w:p>
            <w:pPr>
              <w:spacing w:after="0" w:line="15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2017, by and between the Company and NXP USA, Inc. and</w:t>
              </w:r>
            </w:hyperlink>
          </w:p>
        </w:tc>
        <w:tc>
          <w:tcPr>
            <w:tcW w:w="380" w:type="dxa"/>
            <w:vAlign w:val="bottom"/>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380" w:type="dxa"/>
            <w:vAlign w:val="bottom"/>
            <w:tcBorders>
              <w:top w:val="single" w:sz="8" w:color="0000EE"/>
            </w:tcBorders>
            <w:gridSpan w:val="21"/>
          </w:tcPr>
          <w:p>
            <w:pPr>
              <w:spacing w:after="0" w:line="15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Consent to of Landlord to Amendment to Sublease, dated</w:t>
              </w:r>
            </w:hyperlink>
          </w:p>
        </w:tc>
        <w:tc>
          <w:tcPr>
            <w:tcW w:w="440" w:type="dxa"/>
            <w:vAlign w:val="bottom"/>
            <w:gridSpan w:val="16"/>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180" w:type="dxa"/>
            <w:vAlign w:val="bottom"/>
            <w:tcBorders>
              <w:top w:val="single" w:sz="8" w:color="0000EE"/>
            </w:tcBorders>
            <w:gridSpan w:val="18"/>
          </w:tcPr>
          <w:p>
            <w:pPr>
              <w:spacing w:after="0" w:line="15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March 10, 2017, by and among the Company, NXP USA,</w:t>
              </w:r>
            </w:hyperlink>
          </w:p>
        </w:tc>
        <w:tc>
          <w:tcPr>
            <w:tcW w:w="720" w:type="dxa"/>
            <w:vAlign w:val="bottom"/>
            <w:gridSpan w:val="21"/>
          </w:tcPr>
          <w:p>
            <w:pPr>
              <w:ind w:left="20"/>
              <w:spacing w:after="0" w:line="156" w:lineRule="exact"/>
              <w:rPr>
                <w:rFonts w:ascii="Arial" w:cs="Arial" w:eastAsia="Arial" w:hAnsi="Arial"/>
                <w:sz w:val="18"/>
                <w:szCs w:val="18"/>
                <w:color w:val="0000EE"/>
              </w:rPr>
            </w:pPr>
            <w:hyperlink r:id="rId139">
              <w:r>
                <w:rPr>
                  <w:rFonts w:ascii="Arial" w:cs="Arial" w:eastAsia="Arial" w:hAnsi="Arial"/>
                  <w:sz w:val="18"/>
                  <w:szCs w:val="18"/>
                  <w:color w:val="0000EE"/>
                </w:rPr>
                <w:t>Inc. and</w:t>
              </w:r>
            </w:hyperlink>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820" w:type="dxa"/>
            <w:vAlign w:val="bottom"/>
            <w:tcBorders>
              <w:top w:val="single" w:sz="8" w:color="0000EE"/>
            </w:tcBorders>
            <w:gridSpan w:val="37"/>
          </w:tcPr>
          <w:p>
            <w:pPr>
              <w:spacing w:after="0" w:line="156" w:lineRule="exact"/>
              <w:rPr>
                <w:rFonts w:ascii="Arial" w:cs="Arial" w:eastAsia="Arial" w:hAnsi="Arial"/>
                <w:sz w:val="18"/>
                <w:szCs w:val="18"/>
                <w:color w:val="0000EE"/>
              </w:rPr>
            </w:pPr>
            <w:hyperlink r:id="rId139">
              <w:r>
                <w:rPr>
                  <w:rFonts w:ascii="Arial" w:cs="Arial" w:eastAsia="Arial" w:hAnsi="Arial"/>
                  <w:sz w:val="18"/>
                  <w:szCs w:val="18"/>
                  <w:color w:val="0000EE"/>
                </w:rPr>
                <w:t>VWP-BV CM 5670, LLC.</w:t>
              </w:r>
            </w:hyperlink>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804"/>
        </w:trPr>
        <w:tc>
          <w:tcPr>
            <w:tcW w:w="860" w:type="dxa"/>
            <w:vAlign w:val="bottom"/>
          </w:tcPr>
          <w:p>
            <w:pPr>
              <w:spacing w:after="0"/>
              <w:rPr>
                <w:sz w:val="24"/>
                <w:szCs w:val="24"/>
                <w:color w:val="auto"/>
              </w:rPr>
            </w:pPr>
          </w:p>
        </w:tc>
        <w:tc>
          <w:tcPr>
            <w:tcW w:w="1920" w:type="dxa"/>
            <w:vAlign w:val="bottom"/>
            <w:tcBorders>
              <w:top w:val="single" w:sz="8" w:color="0000EE"/>
            </w:tcBorders>
            <w:gridSpan w:val="8"/>
          </w:tcPr>
          <w:p>
            <w:pPr>
              <w:spacing w:after="0"/>
              <w:rPr>
                <w:sz w:val="24"/>
                <w:szCs w:val="24"/>
                <w:color w:val="auto"/>
              </w:rPr>
            </w:pPr>
          </w:p>
        </w:tc>
        <w:tc>
          <w:tcPr>
            <w:tcW w:w="2200" w:type="dxa"/>
            <w:vAlign w:val="bottom"/>
            <w:gridSpan w:val="8"/>
          </w:tcPr>
          <w:p>
            <w:pPr>
              <w:jc w:val="right"/>
              <w:ind w:right="36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2"/>
        </w:trPr>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4"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10.30</w:t>
            </w:r>
          </w:p>
        </w:tc>
        <w:tc>
          <w:tcPr>
            <w:tcW w:w="4860" w:type="dxa"/>
            <w:vAlign w:val="bottom"/>
            <w:gridSpan w:val="33"/>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Second Amendment to Sublease Agreement dated March 2, 2017,</w:t>
              </w:r>
            </w:hyperlink>
          </w:p>
        </w:tc>
      </w:tr>
      <w:tr>
        <w:trPr>
          <w:trHeight w:val="156"/>
        </w:trPr>
        <w:tc>
          <w:tcPr>
            <w:tcW w:w="860" w:type="dxa"/>
            <w:vAlign w:val="bottom"/>
          </w:tcPr>
          <w:p>
            <w:pPr>
              <w:spacing w:after="0"/>
              <w:rPr>
                <w:sz w:val="13"/>
                <w:szCs w:val="13"/>
                <w:color w:val="auto"/>
              </w:rPr>
            </w:pPr>
          </w:p>
        </w:tc>
        <w:tc>
          <w:tcPr>
            <w:tcW w:w="4800" w:type="dxa"/>
            <w:vAlign w:val="bottom"/>
            <w:tcBorders>
              <w:top w:val="single" w:sz="8" w:color="0000EE"/>
            </w:tcBorders>
            <w:gridSpan w:val="30"/>
          </w:tcPr>
          <w:p>
            <w:pPr>
              <w:spacing w:after="0" w:line="15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by and between the Company and NXP USA, Inc. and Consent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760" w:type="dxa"/>
            <w:vAlign w:val="bottom"/>
            <w:tcBorders>
              <w:top w:val="single" w:sz="8" w:color="0000EE"/>
              <w:bottom w:val="single" w:sz="8" w:color="0000EE"/>
            </w:tcBorders>
            <w:gridSpan w:val="28"/>
          </w:tcPr>
          <w:p>
            <w:pPr>
              <w:spacing w:after="0" w:line="15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of Landlord to Sublease, dated March 10, 2017, by and among the</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840" w:type="dxa"/>
            <w:vAlign w:val="bottom"/>
            <w:gridSpan w:val="32"/>
          </w:tcPr>
          <w:p>
            <w:pPr>
              <w:spacing w:after="0" w:line="156" w:lineRule="exact"/>
              <w:rPr>
                <w:rFonts w:ascii="Arial" w:cs="Arial" w:eastAsia="Arial" w:hAnsi="Arial"/>
                <w:sz w:val="18"/>
                <w:szCs w:val="18"/>
                <w:color w:val="0000EE"/>
              </w:rPr>
            </w:pPr>
            <w:hyperlink r:id="rId140">
              <w:r>
                <w:rPr>
                  <w:rFonts w:ascii="Arial" w:cs="Arial" w:eastAsia="Arial" w:hAnsi="Arial"/>
                  <w:sz w:val="18"/>
                  <w:szCs w:val="18"/>
                  <w:color w:val="0000EE"/>
                </w:rPr>
                <w:t>Company, NXP USA, Inc. and VWP-BV CM 5670, LLC.</w:t>
              </w:r>
            </w:hyperlink>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10.31</w:t>
            </w:r>
          </w:p>
        </w:tc>
        <w:tc>
          <w:tcPr>
            <w:tcW w:w="4860" w:type="dxa"/>
            <w:vAlign w:val="bottom"/>
            <w:gridSpan w:val="33"/>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Loan and Security Agreement, dated as of May 4, 2017, by and</w:t>
              </w:r>
            </w:hyperlink>
          </w:p>
        </w:tc>
      </w:tr>
      <w:tr>
        <w:trPr>
          <w:trHeight w:val="156"/>
        </w:trPr>
        <w:tc>
          <w:tcPr>
            <w:tcW w:w="86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between the Company and Silicon Valley Bank.</w:t>
              </w:r>
            </w:hyperlink>
          </w:p>
        </w:tc>
        <w:tc>
          <w:tcPr>
            <w:tcW w:w="1120" w:type="dxa"/>
            <w:vAlign w:val="bottom"/>
            <w:tcBorders>
              <w:top w:val="single" w:sz="8" w:color="0000EE"/>
            </w:tcBorders>
            <w:gridSpan w:val="17"/>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10.32†</w:t>
            </w:r>
          </w:p>
        </w:tc>
        <w:tc>
          <w:tcPr>
            <w:tcW w:w="4860" w:type="dxa"/>
            <w:vAlign w:val="bottom"/>
            <w:gridSpan w:val="33"/>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Executive Employment Agreement, dated April 26, 2017 between</w:t>
              </w:r>
            </w:hyperlink>
          </w:p>
        </w:tc>
      </w:tr>
      <w:tr>
        <w:trPr>
          <w:trHeight w:val="156"/>
        </w:trPr>
        <w:tc>
          <w:tcPr>
            <w:tcW w:w="860" w:type="dxa"/>
            <w:vAlign w:val="bottom"/>
          </w:tcPr>
          <w:p>
            <w:pPr>
              <w:spacing w:after="0"/>
              <w:rPr>
                <w:sz w:val="13"/>
                <w:szCs w:val="13"/>
                <w:color w:val="auto"/>
              </w:rPr>
            </w:pPr>
          </w:p>
        </w:tc>
        <w:tc>
          <w:tcPr>
            <w:tcW w:w="218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the Company and Annie Flaig</w:t>
              </w:r>
            </w:hyperlink>
          </w:p>
        </w:tc>
        <w:tc>
          <w:tcPr>
            <w:tcW w:w="2640" w:type="dxa"/>
            <w:vAlign w:val="bottom"/>
            <w:tcBorders>
              <w:top w:val="single" w:sz="8" w:color="0000EE"/>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10.33†</w:t>
            </w:r>
          </w:p>
        </w:tc>
        <w:tc>
          <w:tcPr>
            <w:tcW w:w="4860" w:type="dxa"/>
            <w:vAlign w:val="bottom"/>
            <w:gridSpan w:val="33"/>
          </w:tcPr>
          <w:p>
            <w:pPr>
              <w:spacing w:after="0"/>
              <w:rPr>
                <w:rFonts w:ascii="Arial" w:cs="Arial" w:eastAsia="Arial" w:hAnsi="Arial"/>
                <w:sz w:val="18"/>
                <w:szCs w:val="18"/>
                <w:color w:val="0000EE"/>
                <w:w w:val="98"/>
              </w:rPr>
            </w:pPr>
            <w:hyperlink r:id="rId143">
              <w:r>
                <w:rPr>
                  <w:rFonts w:ascii="Arial" w:cs="Arial" w:eastAsia="Arial" w:hAnsi="Arial"/>
                  <w:sz w:val="18"/>
                  <w:szCs w:val="18"/>
                  <w:color w:val="0000EE"/>
                  <w:w w:val="98"/>
                </w:rPr>
                <w:t>Severance Agreement, dated February 15, 2017 between the</w:t>
              </w:r>
            </w:hyperlink>
          </w:p>
        </w:tc>
      </w:tr>
      <w:tr>
        <w:trPr>
          <w:trHeight w:val="156"/>
        </w:trPr>
        <w:tc>
          <w:tcPr>
            <w:tcW w:w="860" w:type="dxa"/>
            <w:vAlign w:val="bottom"/>
          </w:tcPr>
          <w:p>
            <w:pPr>
              <w:spacing w:after="0"/>
              <w:rPr>
                <w:sz w:val="13"/>
                <w:szCs w:val="13"/>
                <w:color w:val="auto"/>
              </w:rPr>
            </w:pPr>
          </w:p>
        </w:tc>
        <w:tc>
          <w:tcPr>
            <w:tcW w:w="4360" w:type="dxa"/>
            <w:vAlign w:val="bottom"/>
            <w:tcBorders>
              <w:top w:val="single" w:sz="8" w:color="0000EE"/>
            </w:tcBorders>
            <w:gridSpan w:val="16"/>
          </w:tcPr>
          <w:p>
            <w:pPr>
              <w:spacing w:after="0" w:line="156" w:lineRule="exact"/>
              <w:rPr>
                <w:rFonts w:ascii="Arial" w:cs="Arial" w:eastAsia="Arial" w:hAnsi="Arial"/>
                <w:sz w:val="18"/>
                <w:szCs w:val="18"/>
                <w:color w:val="0000EE"/>
              </w:rPr>
            </w:pPr>
            <w:hyperlink r:id="rId143">
              <w:r>
                <w:rPr>
                  <w:rFonts w:ascii="Arial" w:cs="Arial" w:eastAsia="Arial" w:hAnsi="Arial"/>
                  <w:sz w:val="18"/>
                  <w:szCs w:val="18"/>
                  <w:color w:val="0000EE"/>
                </w:rPr>
                <w:t>Company and Scott Sewell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10.34†</w:t>
            </w:r>
          </w:p>
        </w:tc>
        <w:tc>
          <w:tcPr>
            <w:tcW w:w="4860" w:type="dxa"/>
            <w:vAlign w:val="bottom"/>
            <w:gridSpan w:val="33"/>
          </w:tcPr>
          <w:p>
            <w:pPr>
              <w:spacing w:after="0"/>
              <w:rPr>
                <w:rFonts w:ascii="Arial" w:cs="Arial" w:eastAsia="Arial" w:hAnsi="Arial"/>
                <w:sz w:val="18"/>
                <w:szCs w:val="18"/>
                <w:color w:val="0000EE"/>
              </w:rPr>
            </w:pPr>
            <w:hyperlink r:id="rId144">
              <w:r>
                <w:rPr>
                  <w:rFonts w:ascii="Arial" w:cs="Arial" w:eastAsia="Arial" w:hAnsi="Arial"/>
                  <w:sz w:val="18"/>
                  <w:szCs w:val="18"/>
                  <w:color w:val="0000EE"/>
                </w:rPr>
                <w:t>Executive Employment Agreement, dated August 18, 2017</w:t>
              </w:r>
            </w:hyperlink>
          </w:p>
        </w:tc>
      </w:tr>
      <w:tr>
        <w:trPr>
          <w:trHeight w:val="156"/>
        </w:trPr>
        <w:tc>
          <w:tcPr>
            <w:tcW w:w="860" w:type="dxa"/>
            <w:vAlign w:val="bottom"/>
          </w:tcPr>
          <w:p>
            <w:pPr>
              <w:spacing w:after="0"/>
              <w:rPr>
                <w:sz w:val="13"/>
                <w:szCs w:val="13"/>
                <w:color w:val="auto"/>
              </w:rPr>
            </w:pPr>
          </w:p>
        </w:tc>
        <w:tc>
          <w:tcPr>
            <w:tcW w:w="4260" w:type="dxa"/>
            <w:vAlign w:val="bottom"/>
            <w:tcBorders>
              <w:top w:val="single" w:sz="8" w:color="0000EE"/>
            </w:tcBorders>
            <w:gridSpan w:val="14"/>
          </w:tcPr>
          <w:p>
            <w:pPr>
              <w:spacing w:after="0" w:line="156" w:lineRule="exact"/>
              <w:rPr>
                <w:rFonts w:ascii="Arial" w:cs="Arial" w:eastAsia="Arial" w:hAnsi="Arial"/>
                <w:sz w:val="18"/>
                <w:szCs w:val="18"/>
                <w:color w:val="0000EE"/>
                <w:w w:val="95"/>
              </w:rPr>
            </w:pPr>
            <w:hyperlink r:id="rId144">
              <w:r>
                <w:rPr>
                  <w:rFonts w:ascii="Arial" w:cs="Arial" w:eastAsia="Arial" w:hAnsi="Arial"/>
                  <w:sz w:val="18"/>
                  <w:szCs w:val="18"/>
                  <w:color w:val="0000EE"/>
                  <w:w w:val="95"/>
                </w:rPr>
                <w:t>between Everspin Technologies, Inc. and Kevin Conley.</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10.35†</w:t>
            </w:r>
          </w:p>
        </w:tc>
        <w:tc>
          <w:tcPr>
            <w:tcW w:w="4860" w:type="dxa"/>
            <w:vAlign w:val="bottom"/>
            <w:gridSpan w:val="33"/>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Separation and Consulting Agreement, dated August 23, 2017</w:t>
              </w:r>
            </w:hyperlink>
          </w:p>
        </w:tc>
      </w:tr>
      <w:tr>
        <w:trPr>
          <w:trHeight w:val="156"/>
        </w:trPr>
        <w:tc>
          <w:tcPr>
            <w:tcW w:w="860" w:type="dxa"/>
            <w:vAlign w:val="bottom"/>
          </w:tcPr>
          <w:p>
            <w:pPr>
              <w:spacing w:after="0"/>
              <w:rPr>
                <w:sz w:val="13"/>
                <w:szCs w:val="13"/>
                <w:color w:val="auto"/>
              </w:rPr>
            </w:pPr>
          </w:p>
        </w:tc>
        <w:tc>
          <w:tcPr>
            <w:tcW w:w="418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between Everspin Technologies, Inc. and Phillip LoPresti</w:t>
              </w:r>
            </w:hyperlink>
          </w:p>
        </w:tc>
        <w:tc>
          <w:tcPr>
            <w:tcW w:w="300" w:type="dxa"/>
            <w:vAlign w:val="bottom"/>
            <w:tcBorders>
              <w:top w:val="single" w:sz="8" w:color="0000EE"/>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10.36†</w:t>
            </w:r>
          </w:p>
        </w:tc>
        <w:tc>
          <w:tcPr>
            <w:tcW w:w="4860" w:type="dxa"/>
            <w:vAlign w:val="bottom"/>
            <w:gridSpan w:val="33"/>
          </w:tcPr>
          <w:p>
            <w:pPr>
              <w:spacing w:after="0"/>
              <w:rPr>
                <w:rFonts w:ascii="Arial" w:cs="Arial" w:eastAsia="Arial" w:hAnsi="Arial"/>
                <w:sz w:val="18"/>
                <w:szCs w:val="18"/>
                <w:color w:val="0000EE"/>
                <w:w w:val="94"/>
              </w:rPr>
            </w:pPr>
            <w:hyperlink r:id="rId146">
              <w:r>
                <w:rPr>
                  <w:rFonts w:ascii="Arial" w:cs="Arial" w:eastAsia="Arial" w:hAnsi="Arial"/>
                  <w:sz w:val="18"/>
                  <w:szCs w:val="18"/>
                  <w:color w:val="0000EE"/>
                  <w:w w:val="94"/>
                </w:rPr>
                <w:t>Form of Restricted Stock Unit Award Agreement under the 2016</w:t>
              </w:r>
            </w:hyperlink>
          </w:p>
        </w:tc>
      </w:tr>
      <w:tr>
        <w:trPr>
          <w:trHeight w:val="156"/>
        </w:trPr>
        <w:tc>
          <w:tcPr>
            <w:tcW w:w="860" w:type="dxa"/>
            <w:vAlign w:val="bottom"/>
          </w:tcPr>
          <w:p>
            <w:pPr>
              <w:spacing w:after="0"/>
              <w:rPr>
                <w:sz w:val="13"/>
                <w:szCs w:val="13"/>
                <w:color w:val="auto"/>
              </w:rPr>
            </w:pPr>
          </w:p>
        </w:tc>
        <w:tc>
          <w:tcPr>
            <w:tcW w:w="468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146">
              <w:r>
                <w:rPr>
                  <w:rFonts w:ascii="Arial" w:cs="Arial" w:eastAsia="Arial" w:hAnsi="Arial"/>
                  <w:sz w:val="18"/>
                  <w:szCs w:val="18"/>
                  <w:color w:val="0000EE"/>
                </w:rPr>
                <w:t>Equity Incentive Plan</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10.37†</w:t>
            </w:r>
          </w:p>
        </w:tc>
        <w:tc>
          <w:tcPr>
            <w:tcW w:w="4860" w:type="dxa"/>
            <w:vAlign w:val="bottom"/>
            <w:gridSpan w:val="33"/>
          </w:tcPr>
          <w:p>
            <w:pPr>
              <w:spacing w:after="0"/>
              <w:rPr>
                <w:rFonts w:ascii="Arial" w:cs="Arial" w:eastAsia="Arial" w:hAnsi="Arial"/>
                <w:sz w:val="18"/>
                <w:szCs w:val="18"/>
                <w:color w:val="0000EE"/>
                <w:w w:val="97"/>
              </w:rPr>
            </w:pPr>
            <w:hyperlink r:id="rId135">
              <w:r>
                <w:rPr>
                  <w:rFonts w:ascii="Arial" w:cs="Arial" w:eastAsia="Arial" w:hAnsi="Arial"/>
                  <w:sz w:val="18"/>
                  <w:szCs w:val="18"/>
                  <w:color w:val="0000EE"/>
                  <w:w w:val="97"/>
                </w:rPr>
                <w:t>Executive Employment Agreement for Dr. Jon Slaughter dated</w:t>
              </w:r>
            </w:hyperlink>
          </w:p>
        </w:tc>
      </w:tr>
      <w:tr>
        <w:trPr>
          <w:trHeight w:val="156"/>
        </w:trPr>
        <w:tc>
          <w:tcPr>
            <w:tcW w:w="860" w:type="dxa"/>
            <w:vAlign w:val="bottom"/>
          </w:tcPr>
          <w:p>
            <w:pPr>
              <w:spacing w:after="0"/>
              <w:rPr>
                <w:sz w:val="13"/>
                <w:szCs w:val="13"/>
                <w:color w:val="auto"/>
              </w:rPr>
            </w:pPr>
          </w:p>
        </w:tc>
        <w:tc>
          <w:tcPr>
            <w:tcW w:w="4540" w:type="dxa"/>
            <w:vAlign w:val="bottom"/>
            <w:tcBorders>
              <w:top w:val="single" w:sz="8" w:color="0000EE"/>
            </w:tcBorders>
            <w:gridSpan w:val="23"/>
          </w:tcPr>
          <w:p>
            <w:pPr>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April 25, 2016</w:t>
              </w:r>
            </w:hyperlink>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4860" w:type="dxa"/>
            <w:vAlign w:val="bottom"/>
            <w:gridSpan w:val="33"/>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Executive Employment Agreement for Patrick Patla dated</w:t>
              </w:r>
            </w:hyperlink>
          </w:p>
        </w:tc>
      </w:tr>
      <w:tr>
        <w:trPr>
          <w:trHeight w:val="156"/>
        </w:trPr>
        <w:tc>
          <w:tcPr>
            <w:tcW w:w="86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January 9, 2017</w:t>
              </w:r>
            </w:hyperlink>
          </w:p>
        </w:tc>
        <w:tc>
          <w:tcPr>
            <w:tcW w:w="3040" w:type="dxa"/>
            <w:vAlign w:val="bottom"/>
            <w:tcBorders>
              <w:top w:val="single" w:sz="8" w:color="0000EE"/>
            </w:tcBorders>
            <w:gridSpan w:val="10"/>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10.39*</w:t>
            </w:r>
          </w:p>
        </w:tc>
        <w:tc>
          <w:tcPr>
            <w:tcW w:w="4860" w:type="dxa"/>
            <w:vAlign w:val="bottom"/>
            <w:gridSpan w:val="33"/>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Third Amendment to Sublease Agreement dated October 17,</w:t>
              </w:r>
            </w:hyperlink>
          </w:p>
        </w:tc>
      </w:tr>
      <w:tr>
        <w:trPr>
          <w:trHeight w:val="156"/>
        </w:trPr>
        <w:tc>
          <w:tcPr>
            <w:tcW w:w="860" w:type="dxa"/>
            <w:vAlign w:val="bottom"/>
          </w:tcPr>
          <w:p>
            <w:pPr>
              <w:spacing w:after="0"/>
              <w:rPr>
                <w:sz w:val="13"/>
                <w:szCs w:val="13"/>
                <w:color w:val="auto"/>
              </w:rPr>
            </w:pPr>
          </w:p>
        </w:tc>
        <w:tc>
          <w:tcPr>
            <w:tcW w:w="438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2017, by and between the Company and NXP USA, Inc. and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860" w:type="dxa"/>
            <w:vAlign w:val="bottom"/>
            <w:gridSpan w:val="33"/>
          </w:tcPr>
          <w:p>
            <w:pPr>
              <w:spacing w:after="0" w:line="15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Consent to of Landlord to Sublease, dated March 10, 2017, by</w:t>
              </w:r>
            </w:hyperlink>
          </w:p>
        </w:tc>
      </w:tr>
      <w:tr>
        <w:trPr>
          <w:trHeight w:val="156"/>
        </w:trPr>
        <w:tc>
          <w:tcPr>
            <w:tcW w:w="860" w:type="dxa"/>
            <w:vAlign w:val="bottom"/>
          </w:tcPr>
          <w:p>
            <w:pPr>
              <w:spacing w:after="0"/>
              <w:rPr>
                <w:sz w:val="13"/>
                <w:szCs w:val="13"/>
                <w:color w:val="auto"/>
              </w:rPr>
            </w:pPr>
          </w:p>
        </w:tc>
        <w:tc>
          <w:tcPr>
            <w:tcW w:w="4500" w:type="dxa"/>
            <w:vAlign w:val="bottom"/>
            <w:tcBorders>
              <w:top w:val="single" w:sz="8" w:color="0000EE"/>
            </w:tcBorders>
            <w:gridSpan w:val="21"/>
          </w:tcPr>
          <w:p>
            <w:pPr>
              <w:spacing w:after="0" w:line="15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and among the Company, NXP USA, Inc. and VWP-BV CM</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400" w:type="dxa"/>
            <w:vAlign w:val="bottom"/>
            <w:tcBorders>
              <w:top w:val="single" w:sz="8" w:color="0000EE"/>
            </w:tcBorders>
            <w:gridSpan w:val="18"/>
          </w:tcPr>
          <w:p>
            <w:pPr>
              <w:spacing w:after="0" w:line="156" w:lineRule="exact"/>
              <w:rPr>
                <w:rFonts w:ascii="Arial" w:cs="Arial" w:eastAsia="Arial" w:hAnsi="Arial"/>
                <w:sz w:val="18"/>
                <w:szCs w:val="18"/>
                <w:color w:val="0000EE"/>
              </w:rPr>
            </w:pPr>
            <w:hyperlink w:anchor="page100">
              <w:r>
                <w:rPr>
                  <w:rFonts w:ascii="Arial" w:cs="Arial" w:eastAsia="Arial" w:hAnsi="Arial"/>
                  <w:sz w:val="18"/>
                  <w:szCs w:val="18"/>
                  <w:color w:val="0000EE"/>
                </w:rPr>
                <w:t>5670, LLC.</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10.40*</w:t>
            </w:r>
          </w:p>
        </w:tc>
        <w:tc>
          <w:tcPr>
            <w:tcW w:w="4860" w:type="dxa"/>
            <w:vAlign w:val="bottom"/>
            <w:gridSpan w:val="33"/>
          </w:tcPr>
          <w:p>
            <w:pPr>
              <w:spacing w:after="0"/>
              <w:rPr>
                <w:rFonts w:ascii="Arial" w:cs="Arial" w:eastAsia="Arial" w:hAnsi="Arial"/>
                <w:sz w:val="18"/>
                <w:szCs w:val="18"/>
                <w:color w:val="0000EE"/>
                <w:w w:val="96"/>
              </w:rPr>
            </w:pPr>
            <w:hyperlink w:anchor="page114">
              <w:r>
                <w:rPr>
                  <w:rFonts w:ascii="Arial" w:cs="Arial" w:eastAsia="Arial" w:hAnsi="Arial"/>
                  <w:sz w:val="18"/>
                  <w:szCs w:val="18"/>
                  <w:color w:val="0000EE"/>
                  <w:w w:val="96"/>
                </w:rPr>
                <w:t>Amendment No.5 to Lease, dated as of December 19, 2017 by</w:t>
              </w:r>
            </w:hyperlink>
          </w:p>
        </w:tc>
      </w:tr>
      <w:tr>
        <w:trPr>
          <w:trHeight w:val="156"/>
        </w:trPr>
        <w:tc>
          <w:tcPr>
            <w:tcW w:w="860" w:type="dxa"/>
            <w:vAlign w:val="bottom"/>
          </w:tcPr>
          <w:p>
            <w:pPr>
              <w:spacing w:after="0"/>
              <w:rPr>
                <w:sz w:val="13"/>
                <w:szCs w:val="13"/>
                <w:color w:val="auto"/>
              </w:rPr>
            </w:pPr>
          </w:p>
        </w:tc>
        <w:tc>
          <w:tcPr>
            <w:tcW w:w="4520" w:type="dxa"/>
            <w:vAlign w:val="bottom"/>
            <w:tcBorders>
              <w:top w:val="single" w:sz="8" w:color="0000EE"/>
            </w:tcBorders>
            <w:gridSpan w:val="22"/>
          </w:tcPr>
          <w:p>
            <w:pPr>
              <w:spacing w:after="0" w:line="15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and between the Company and Freescale Semiconductor, Inc.</w:t>
              </w:r>
            </w:hyperlink>
          </w:p>
        </w:tc>
        <w:tc>
          <w:tcPr>
            <w:tcW w:w="4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4860" w:type="dxa"/>
            <w:vAlign w:val="bottom"/>
            <w:gridSpan w:val="33"/>
          </w:tcPr>
          <w:p>
            <w:pPr>
              <w:spacing w:after="0"/>
              <w:rPr>
                <w:rFonts w:ascii="Arial" w:cs="Arial" w:eastAsia="Arial" w:hAnsi="Arial"/>
                <w:sz w:val="18"/>
                <w:szCs w:val="18"/>
                <w:color w:val="0000EE"/>
                <w:w w:val="96"/>
              </w:rPr>
            </w:pPr>
            <w:hyperlink w:anchor="page116">
              <w:r>
                <w:rPr>
                  <w:rFonts w:ascii="Arial" w:cs="Arial" w:eastAsia="Arial" w:hAnsi="Arial"/>
                  <w:sz w:val="18"/>
                  <w:szCs w:val="18"/>
                  <w:color w:val="0000EE"/>
                  <w:w w:val="96"/>
                </w:rPr>
                <w:t>Consent of Ernst &amp; Young LLP, Independent Registered Public</w:t>
              </w:r>
            </w:hyperlink>
          </w:p>
        </w:tc>
      </w:tr>
      <w:tr>
        <w:trPr>
          <w:trHeight w:val="156"/>
        </w:trPr>
        <w:tc>
          <w:tcPr>
            <w:tcW w:w="860" w:type="dxa"/>
            <w:vAlign w:val="bottom"/>
          </w:tcPr>
          <w:p>
            <w:pPr>
              <w:spacing w:after="0"/>
              <w:rPr>
                <w:sz w:val="13"/>
                <w:szCs w:val="13"/>
                <w:color w:val="auto"/>
              </w:rPr>
            </w:pPr>
          </w:p>
        </w:tc>
        <w:tc>
          <w:tcPr>
            <w:tcW w:w="4560" w:type="dxa"/>
            <w:vAlign w:val="bottom"/>
            <w:tcBorders>
              <w:top w:val="single" w:sz="8" w:color="0000EE"/>
            </w:tcBorders>
            <w:gridSpan w:val="24"/>
          </w:tcPr>
          <w:p>
            <w:pPr>
              <w:spacing w:after="0" w:line="156" w:lineRule="exact"/>
              <w:rPr>
                <w:rFonts w:ascii="Arial" w:cs="Arial" w:eastAsia="Arial" w:hAnsi="Arial"/>
                <w:sz w:val="18"/>
                <w:szCs w:val="18"/>
                <w:color w:val="0000EE"/>
              </w:rPr>
            </w:pPr>
            <w:hyperlink w:anchor="page116">
              <w:r>
                <w:rPr>
                  <w:rFonts w:ascii="Arial" w:cs="Arial" w:eastAsia="Arial" w:hAnsi="Arial"/>
                  <w:sz w:val="18"/>
                  <w:szCs w:val="18"/>
                  <w:color w:val="0000EE"/>
                </w:rPr>
                <w:t>Accounting Firm</w:t>
              </w:r>
            </w:hyperlink>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0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Certification of Principal Executive Officer Pursuant to</w:t>
              </w:r>
            </w:hyperlink>
          </w:p>
        </w:tc>
        <w:tc>
          <w:tcPr>
            <w:tcW w:w="820" w:type="dxa"/>
            <w:vAlign w:val="bottom"/>
            <w:gridSpan w:val="23"/>
          </w:tcPr>
          <w:p>
            <w:pPr>
              <w:spacing w:after="0"/>
              <w:rPr>
                <w:sz w:val="24"/>
                <w:szCs w:val="24"/>
                <w:color w:val="auto"/>
              </w:rPr>
            </w:pPr>
          </w:p>
        </w:tc>
      </w:tr>
      <w:tr>
        <w:trPr>
          <w:trHeight w:val="156"/>
        </w:trPr>
        <w:tc>
          <w:tcPr>
            <w:tcW w:w="860" w:type="dxa"/>
            <w:vAlign w:val="bottom"/>
          </w:tcPr>
          <w:p>
            <w:pPr>
              <w:spacing w:after="0"/>
              <w:rPr>
                <w:sz w:val="13"/>
                <w:szCs w:val="13"/>
                <w:color w:val="auto"/>
              </w:rPr>
            </w:pPr>
          </w:p>
        </w:tc>
        <w:tc>
          <w:tcPr>
            <w:tcW w:w="4860" w:type="dxa"/>
            <w:vAlign w:val="bottom"/>
            <w:gridSpan w:val="33"/>
          </w:tcPr>
          <w:p>
            <w:pPr>
              <w:spacing w:after="0" w:line="15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Rules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under the Securities Exchange Act</w:t>
              </w:r>
            </w:hyperlink>
          </w:p>
        </w:tc>
      </w:tr>
      <w:tr>
        <w:trPr>
          <w:trHeight w:val="156"/>
        </w:trPr>
        <w:tc>
          <w:tcPr>
            <w:tcW w:w="860" w:type="dxa"/>
            <w:vAlign w:val="bottom"/>
          </w:tcPr>
          <w:p>
            <w:pPr>
              <w:spacing w:after="0"/>
              <w:rPr>
                <w:sz w:val="13"/>
                <w:szCs w:val="13"/>
                <w:color w:val="auto"/>
              </w:rPr>
            </w:pPr>
          </w:p>
        </w:tc>
        <w:tc>
          <w:tcPr>
            <w:tcW w:w="4780" w:type="dxa"/>
            <w:vAlign w:val="bottom"/>
            <w:tcBorders>
              <w:top w:val="single" w:sz="8" w:color="0000EE"/>
            </w:tcBorders>
            <w:gridSpan w:val="29"/>
          </w:tcPr>
          <w:p>
            <w:pPr>
              <w:spacing w:after="0" w:line="156" w:lineRule="exact"/>
              <w:rPr>
                <w:rFonts w:ascii="Arial" w:cs="Arial" w:eastAsia="Arial" w:hAnsi="Arial"/>
                <w:sz w:val="18"/>
                <w:szCs w:val="18"/>
                <w:color w:val="0000EE"/>
              </w:rPr>
            </w:pPr>
            <w:hyperlink w:anchor="page117">
              <w:r>
                <w:rPr>
                  <w:rFonts w:ascii="Arial" w:cs="Arial" w:eastAsia="Arial" w:hAnsi="Arial"/>
                  <w:sz w:val="18"/>
                  <w:szCs w:val="18"/>
                  <w:color w:val="0000EE"/>
                </w:rPr>
                <w:t>of 1934, as amended.</w:t>
              </w:r>
            </w:hyperlink>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860" w:type="dxa"/>
            <w:vAlign w:val="bottom"/>
            <w:gridSpan w:val="3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Certification of Principal Financial Officer Pursuant to</w:t>
              </w:r>
            </w:hyperlink>
          </w:p>
        </w:tc>
      </w:tr>
      <w:tr>
        <w:trPr>
          <w:trHeight w:val="20"/>
        </w:trPr>
        <w:tc>
          <w:tcPr>
            <w:tcW w:w="860" w:type="dxa"/>
            <w:vAlign w:val="bottom"/>
          </w:tcPr>
          <w:p>
            <w:pPr>
              <w:spacing w:after="0" w:line="20" w:lineRule="exact"/>
              <w:rPr>
                <w:sz w:val="1"/>
                <w:szCs w:val="1"/>
                <w:color w:val="auto"/>
              </w:rPr>
            </w:pPr>
          </w:p>
        </w:tc>
        <w:tc>
          <w:tcPr>
            <w:tcW w:w="3940" w:type="dxa"/>
            <w:vAlign w:val="bottom"/>
            <w:gridSpan w:val="9"/>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4860" w:type="dxa"/>
            <w:vAlign w:val="bottom"/>
            <w:gridSpan w:val="33"/>
          </w:tcPr>
          <w:p>
            <w:pPr>
              <w:spacing w:after="0" w:line="156" w:lineRule="exact"/>
              <w:rPr>
                <w:rFonts w:ascii="Arial" w:cs="Arial" w:eastAsia="Arial" w:hAnsi="Arial"/>
                <w:sz w:val="18"/>
                <w:szCs w:val="18"/>
                <w:color w:val="0000EE"/>
                <w:w w:val="91"/>
              </w:rPr>
            </w:pPr>
            <w:hyperlink w:anchor="page118">
              <w:r>
                <w:rPr>
                  <w:rFonts w:ascii="Arial" w:cs="Arial" w:eastAsia="Arial" w:hAnsi="Arial"/>
                  <w:sz w:val="18"/>
                  <w:szCs w:val="18"/>
                  <w:color w:val="0000EE"/>
                  <w:w w:val="91"/>
                </w:rPr>
                <w:t>Rules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under the Securities Exchange Act</w:t>
              </w:r>
            </w:hyperlink>
          </w:p>
        </w:tc>
      </w:tr>
      <w:tr>
        <w:trPr>
          <w:trHeight w:val="156"/>
        </w:trPr>
        <w:tc>
          <w:tcPr>
            <w:tcW w:w="860" w:type="dxa"/>
            <w:vAlign w:val="bottom"/>
          </w:tcPr>
          <w:p>
            <w:pPr>
              <w:spacing w:after="0"/>
              <w:rPr>
                <w:sz w:val="13"/>
                <w:szCs w:val="13"/>
                <w:color w:val="auto"/>
              </w:rPr>
            </w:pPr>
          </w:p>
        </w:tc>
        <w:tc>
          <w:tcPr>
            <w:tcW w:w="4780" w:type="dxa"/>
            <w:vAlign w:val="bottom"/>
            <w:tcBorders>
              <w:top w:val="single" w:sz="8" w:color="0000EE"/>
            </w:tcBorders>
            <w:gridSpan w:val="29"/>
          </w:tcPr>
          <w:p>
            <w:pPr>
              <w:spacing w:after="0" w:line="156" w:lineRule="exact"/>
              <w:rPr>
                <w:rFonts w:ascii="Arial" w:cs="Arial" w:eastAsia="Arial" w:hAnsi="Arial"/>
                <w:sz w:val="18"/>
                <w:szCs w:val="18"/>
                <w:color w:val="0000EE"/>
              </w:rPr>
            </w:pPr>
            <w:hyperlink w:anchor="page118">
              <w:r>
                <w:rPr>
                  <w:rFonts w:ascii="Arial" w:cs="Arial" w:eastAsia="Arial" w:hAnsi="Arial"/>
                  <w:sz w:val="18"/>
                  <w:szCs w:val="18"/>
                  <w:color w:val="0000EE"/>
                </w:rPr>
                <w:t>of 1934, as amended.</w:t>
              </w:r>
            </w:hyperlink>
          </w:p>
        </w:tc>
        <w:tc>
          <w:tcPr>
            <w:tcW w:w="8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31"/>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4860" w:type="dxa"/>
            <w:vAlign w:val="bottom"/>
            <w:gridSpan w:val="3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Certification of Principal Executive Officer and Principal</w:t>
              </w:r>
            </w:hyperlink>
          </w:p>
        </w:tc>
      </w:tr>
      <w:tr>
        <w:trPr>
          <w:trHeight w:val="156"/>
        </w:trPr>
        <w:tc>
          <w:tcPr>
            <w:tcW w:w="860" w:type="dxa"/>
            <w:vAlign w:val="bottom"/>
          </w:tcPr>
          <w:p>
            <w:pPr>
              <w:spacing w:after="0"/>
              <w:rPr>
                <w:sz w:val="13"/>
                <w:szCs w:val="13"/>
                <w:color w:val="auto"/>
              </w:rPr>
            </w:pPr>
          </w:p>
        </w:tc>
        <w:tc>
          <w:tcPr>
            <w:tcW w:w="4140" w:type="dxa"/>
            <w:vAlign w:val="bottom"/>
            <w:tcBorders>
              <w:top w:val="single" w:sz="8" w:color="0000EE"/>
            </w:tcBorders>
            <w:gridSpan w:val="11"/>
          </w:tcPr>
          <w:p>
            <w:pPr>
              <w:spacing w:after="0" w:line="156" w:lineRule="exact"/>
              <w:rPr>
                <w:rFonts w:ascii="Arial" w:cs="Arial" w:eastAsia="Arial" w:hAnsi="Arial"/>
                <w:sz w:val="18"/>
                <w:szCs w:val="18"/>
                <w:color w:val="0000EE"/>
                <w:w w:val="91"/>
              </w:rPr>
            </w:pPr>
            <w:hyperlink w:anchor="page119">
              <w:r>
                <w:rPr>
                  <w:rFonts w:ascii="Arial" w:cs="Arial" w:eastAsia="Arial" w:hAnsi="Arial"/>
                  <w:sz w:val="18"/>
                  <w:szCs w:val="18"/>
                  <w:color w:val="0000EE"/>
                  <w:w w:val="91"/>
                </w:rPr>
                <w:t>Financial Officer Pursuant to 18 U.S.C. Section 1350, as</w:t>
              </w:r>
            </w:hyperlink>
          </w:p>
        </w:tc>
        <w:tc>
          <w:tcPr>
            <w:tcW w:w="720" w:type="dxa"/>
            <w:vAlign w:val="bottom"/>
            <w:gridSpan w:val="22"/>
          </w:tcPr>
          <w:p>
            <w:pPr>
              <w:spacing w:after="0" w:line="156" w:lineRule="exact"/>
              <w:rPr>
                <w:rFonts w:ascii="Arial" w:cs="Arial" w:eastAsia="Arial" w:hAnsi="Arial"/>
                <w:sz w:val="18"/>
                <w:szCs w:val="18"/>
                <w:color w:val="0000EE"/>
              </w:rPr>
            </w:pPr>
            <w:hyperlink w:anchor="page119">
              <w:r>
                <w:rPr>
                  <w:rFonts w:ascii="Arial" w:cs="Arial" w:eastAsia="Arial" w:hAnsi="Arial"/>
                  <w:sz w:val="18"/>
                  <w:szCs w:val="18"/>
                  <w:color w:val="0000EE"/>
                </w:rPr>
                <w:t>Adopted</w:t>
              </w:r>
            </w:hyperlink>
          </w:p>
        </w:tc>
      </w:tr>
      <w:tr>
        <w:trPr>
          <w:trHeight w:val="156"/>
        </w:trPr>
        <w:tc>
          <w:tcPr>
            <w:tcW w:w="860" w:type="dxa"/>
            <w:vAlign w:val="bottom"/>
          </w:tcPr>
          <w:p>
            <w:pPr>
              <w:spacing w:after="0"/>
              <w:rPr>
                <w:sz w:val="13"/>
                <w:szCs w:val="13"/>
                <w:color w:val="auto"/>
              </w:rPr>
            </w:pPr>
          </w:p>
        </w:tc>
        <w:tc>
          <w:tcPr>
            <w:tcW w:w="4740" w:type="dxa"/>
            <w:vAlign w:val="bottom"/>
            <w:tcBorders>
              <w:top w:val="single" w:sz="8" w:color="0000EE"/>
            </w:tcBorders>
            <w:gridSpan w:val="27"/>
          </w:tcPr>
          <w:p>
            <w:pPr>
              <w:spacing w:after="0" w:line="156" w:lineRule="exact"/>
              <w:rPr>
                <w:rFonts w:ascii="Arial" w:cs="Arial" w:eastAsia="Arial" w:hAnsi="Arial"/>
                <w:sz w:val="18"/>
                <w:szCs w:val="18"/>
                <w:color w:val="0000EE"/>
                <w:w w:val="98"/>
              </w:rPr>
            </w:pPr>
            <w:hyperlink w:anchor="page119">
              <w:r>
                <w:rPr>
                  <w:rFonts w:ascii="Arial" w:cs="Arial" w:eastAsia="Arial" w:hAnsi="Arial"/>
                  <w:sz w:val="18"/>
                  <w:szCs w:val="18"/>
                  <w:color w:val="0000EE"/>
                  <w:w w:val="98"/>
                </w:rPr>
                <w:t>Pursuant to Section 906 of the Sarbanes-Oxley Act of 2002.</w:t>
              </w:r>
            </w:hyperlink>
          </w:p>
        </w:tc>
        <w:tc>
          <w:tcPr>
            <w:tcW w:w="120" w:type="dxa"/>
            <w:vAlign w:val="bottom"/>
            <w:gridSpan w:val="6"/>
          </w:tcPr>
          <w:p>
            <w:pPr>
              <w:spacing w:after="0"/>
              <w:rPr>
                <w:sz w:val="13"/>
                <w:szCs w:val="13"/>
                <w:color w:val="auto"/>
              </w:rPr>
            </w:pPr>
          </w:p>
        </w:tc>
      </w:tr>
      <w:tr>
        <w:trPr>
          <w:trHeight w:val="37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432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rPr>
              <w:t>XBRL Instance Document</w:t>
            </w:r>
          </w:p>
        </w:tc>
        <w:tc>
          <w:tcPr>
            <w:tcW w:w="540" w:type="dxa"/>
            <w:vAlign w:val="bottom"/>
            <w:gridSpan w:val="18"/>
          </w:tcPr>
          <w:p>
            <w:pPr>
              <w:spacing w:after="0"/>
              <w:rPr>
                <w:sz w:val="24"/>
                <w:szCs w:val="24"/>
                <w:color w:val="auto"/>
              </w:rPr>
            </w:pPr>
          </w:p>
        </w:tc>
      </w:tr>
      <w:tr>
        <w:trPr>
          <w:trHeight w:val="783"/>
        </w:trPr>
        <w:tc>
          <w:tcPr>
            <w:tcW w:w="860" w:type="dxa"/>
            <w:vAlign w:val="bottom"/>
          </w:tcPr>
          <w:p>
            <w:pPr>
              <w:spacing w:after="0"/>
              <w:rPr>
                <w:sz w:val="24"/>
                <w:szCs w:val="24"/>
                <w:color w:val="auto"/>
              </w:rPr>
            </w:pPr>
          </w:p>
        </w:tc>
        <w:tc>
          <w:tcPr>
            <w:tcW w:w="3940" w:type="dxa"/>
            <w:vAlign w:val="bottom"/>
            <w:gridSpan w:val="9"/>
          </w:tcPr>
          <w:p>
            <w:pPr>
              <w:ind w:left="35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9"/>
              </w:rPr>
              <w:t>3/28/2017</w:t>
            </w:r>
          </w:p>
        </w:tc>
      </w:tr>
      <w:tr>
        <w:trPr>
          <w:trHeight w:val="878"/>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91"/>
              </w:rPr>
              <w:t>5/9/2017</w:t>
            </w:r>
          </w:p>
        </w:tc>
      </w:tr>
      <w:tr>
        <w:trPr>
          <w:trHeight w:val="527"/>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9"/>
              </w:rPr>
              <w:t>8/11/2017</w:t>
            </w:r>
          </w:p>
        </w:tc>
      </w:tr>
      <w:tr>
        <w:trPr>
          <w:trHeight w:val="527"/>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9"/>
              </w:rPr>
              <w:t>8/11/2017</w:t>
            </w:r>
          </w:p>
        </w:tc>
      </w:tr>
      <w:tr>
        <w:trPr>
          <w:trHeight w:val="527"/>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9"/>
              </w:rPr>
              <w:t>8/23/2017</w:t>
            </w:r>
          </w:p>
        </w:tc>
      </w:tr>
      <w:tr>
        <w:trPr>
          <w:trHeight w:val="527"/>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11/13/2017</w:t>
            </w:r>
          </w:p>
        </w:tc>
      </w:tr>
      <w:tr>
        <w:trPr>
          <w:trHeight w:val="527"/>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11/13/2017</w:t>
            </w:r>
          </w:p>
        </w:tc>
      </w:tr>
      <w:tr>
        <w:trPr>
          <w:trHeight w:val="527"/>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9"/>
              </w:rPr>
              <w:t>10-K</w:t>
            </w:r>
          </w:p>
        </w:tc>
        <w:tc>
          <w:tcPr>
            <w:tcW w:w="1060" w:type="dxa"/>
            <w:vAlign w:val="bottom"/>
          </w:tcPr>
          <w:p>
            <w:pPr>
              <w:ind w:left="16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9"/>
              </w:rPr>
              <w:t>3/29/2017</w:t>
            </w:r>
          </w:p>
        </w:tc>
      </w:tr>
    </w:tbl>
    <w:p>
      <w:pPr>
        <w:sectPr>
          <w:pgSz w:w="11900" w:h="16838" w:orient="portrait"/>
          <w:cols w:equalWidth="0" w:num="2">
            <w:col w:w="5640" w:space="280"/>
            <w:col w:w="3120"/>
          </w:cols>
          <w:pgMar w:left="1420" w:top="111" w:right="14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45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4580" w:type="dxa"/>
            <w:vAlign w:val="bottom"/>
          </w:tcPr>
          <w:p>
            <w:pPr>
              <w:ind w:left="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4580" w:type="dxa"/>
            <w:vAlign w:val="bottom"/>
          </w:tcPr>
          <w:p>
            <w:pPr>
              <w:ind w:left="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45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4580" w:type="dxa"/>
            <w:vAlign w:val="bottom"/>
          </w:tcPr>
          <w:p>
            <w:pPr>
              <w:ind w:left="8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30" w:lineRule="exact"/>
        <w:rPr>
          <w:sz w:val="20"/>
          <w:szCs w:val="20"/>
          <w:color w:val="auto"/>
        </w:rPr>
      </w:pPr>
    </w:p>
    <w:p>
      <w:pPr>
        <w:ind w:left="300" w:hanging="297"/>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320" w:hanging="317"/>
        <w:spacing w:after="0" w:line="216" w:lineRule="auto"/>
        <w:tabs>
          <w:tab w:leader="none" w:pos="3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62"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w:t>
      </w:r>
    </w:p>
    <w:p>
      <w:pPr>
        <w:spacing w:after="0" w:line="360" w:lineRule="exact"/>
        <w:rPr>
          <w:sz w:val="20"/>
          <w:szCs w:val="20"/>
          <w:color w:val="auto"/>
        </w:rPr>
      </w:pPr>
    </w:p>
    <w:p>
      <w:pPr>
        <w:ind w:right="1000" w:firstLine="3"/>
        <w:spacing w:after="0" w:line="203" w:lineRule="exact"/>
        <w:tabs>
          <w:tab w:leader="none" w:pos="2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filed, or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 the exhibits listed on the Exhibit Index immediately above.</w:t>
      </w:r>
    </w:p>
    <w:p>
      <w:pPr>
        <w:spacing w:after="0" w:line="161" w:lineRule="exact"/>
        <w:rPr>
          <w:rFonts w:ascii="Arial" w:cs="Arial" w:eastAsia="Arial" w:hAnsi="Arial"/>
          <w:sz w:val="18"/>
          <w:szCs w:val="18"/>
          <w:color w:val="auto"/>
        </w:rPr>
      </w:pPr>
    </w:p>
    <w:p>
      <w:pPr>
        <w:ind w:left="240" w:hanging="237"/>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firstLine="401"/>
        <w:spacing w:after="0" w:line="224"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15, 2018.</w:t>
      </w:r>
    </w:p>
    <w:p>
      <w:pPr>
        <w:spacing w:after="0" w:line="15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Everspin Technologies, Inc.</w:t>
      </w:r>
    </w:p>
    <w:p>
      <w:pPr>
        <w:spacing w:after="0" w:line="1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wp:posOffset>
            </wp:positionV>
            <wp:extent cx="2658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3" w:lineRule="auto"/>
        <w:rPr>
          <w:sz w:val="20"/>
          <w:szCs w:val="20"/>
          <w:color w:val="auto"/>
        </w:rPr>
      </w:pPr>
      <w:r>
        <w:rPr>
          <w:rFonts w:ascii="Arial" w:cs="Arial" w:eastAsia="Arial" w:hAnsi="Arial"/>
          <w:sz w:val="18"/>
          <w:szCs w:val="18"/>
          <w:color w:val="auto"/>
        </w:rPr>
        <w:t>Kevin Conley</w:t>
      </w:r>
    </w:p>
    <w:p>
      <w:pPr>
        <w:ind w:left="4880"/>
        <w:spacing w:after="0" w:line="204"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4"/>
          <w:szCs w:val="14"/>
          <w:color w:val="auto"/>
        </w:rPr>
        <w:t>)</w:t>
      </w:r>
      <w:r>
        <w:rPr>
          <w:rFonts w:ascii="Arial" w:cs="Arial" w:eastAsia="Arial" w:hAnsi="Arial"/>
          <w:sz w:val="18"/>
          <w:szCs w:val="18"/>
          <w:color w:val="auto"/>
        </w:rPr>
        <w:t xml:space="preserve"> and Director</w:t>
      </w:r>
    </w:p>
    <w:p>
      <w:pPr>
        <w:spacing w:after="0" w:line="3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wp:posOffset>
            </wp:positionV>
            <wp:extent cx="26587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3" w:lineRule="auto"/>
        <w:rPr>
          <w:sz w:val="20"/>
          <w:szCs w:val="20"/>
          <w:color w:val="auto"/>
        </w:rPr>
      </w:pPr>
      <w:r>
        <w:rPr>
          <w:rFonts w:ascii="Arial" w:cs="Arial" w:eastAsia="Arial" w:hAnsi="Arial"/>
          <w:sz w:val="18"/>
          <w:szCs w:val="18"/>
          <w:color w:val="auto"/>
        </w:rPr>
        <w:t>Jeffrey Winzeler</w:t>
      </w:r>
    </w:p>
    <w:p>
      <w:pPr>
        <w:ind w:left="4880"/>
        <w:spacing w:after="0" w:line="204" w:lineRule="auto"/>
        <w:rPr>
          <w:sz w:val="20"/>
          <w:szCs w:val="20"/>
          <w:color w:val="auto"/>
        </w:rPr>
      </w:pPr>
      <w:r>
        <w:rPr>
          <w:rFonts w:ascii="Arial" w:cs="Arial" w:eastAsia="Arial" w:hAnsi="Arial"/>
          <w:sz w:val="18"/>
          <w:szCs w:val="18"/>
          <w:color w:val="auto"/>
        </w:rPr>
        <w:t>Chief Financial Officer</w:t>
      </w:r>
    </w:p>
    <w:p>
      <w:pPr>
        <w:ind w:left="4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401"/>
        <w:spacing w:after="0" w:line="182"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Kevin Conley and Jeffrey Winzeler, and each of them, as his true and lawful attorneys-in-fact and agents, each with the full power of substitution, for him and in his name, place or stead, in any and all capacities, to sign any and all amendments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66"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474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318"/>
        </w:trPr>
        <w:tc>
          <w:tcPr>
            <w:tcW w:w="2080" w:type="dxa"/>
            <w:vAlign w:val="bottom"/>
          </w:tcPr>
          <w:p>
            <w:pPr>
              <w:jc w:val="center"/>
              <w:spacing w:after="0"/>
              <w:rPr>
                <w:sz w:val="20"/>
                <w:szCs w:val="20"/>
                <w:color w:val="auto"/>
              </w:rPr>
            </w:pPr>
            <w:r>
              <w:rPr>
                <w:rFonts w:ascii="Arial" w:cs="Arial" w:eastAsia="Arial" w:hAnsi="Arial"/>
                <w:sz w:val="18"/>
                <w:szCs w:val="18"/>
                <w:color w:val="auto"/>
                <w:w w:val="93"/>
              </w:rPr>
              <w:t>/s/ Kevin Conley</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President and Chief Executive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518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Executive Officer) and Director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4"/>
              </w:rPr>
              <w:t>Kevin Conley</w:t>
            </w:r>
          </w:p>
        </w:tc>
        <w:tc>
          <w:tcPr>
            <w:tcW w:w="5180" w:type="dxa"/>
            <w:vAlign w:val="bottom"/>
            <w:gridSpan w:val="3"/>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80" w:type="dxa"/>
            <w:vAlign w:val="bottom"/>
          </w:tcPr>
          <w:p>
            <w:pPr>
              <w:jc w:val="center"/>
              <w:spacing w:after="0"/>
              <w:rPr>
                <w:sz w:val="20"/>
                <w:szCs w:val="20"/>
                <w:color w:val="auto"/>
              </w:rPr>
            </w:pPr>
            <w:r>
              <w:rPr>
                <w:rFonts w:ascii="Arial" w:cs="Arial" w:eastAsia="Arial" w:hAnsi="Arial"/>
                <w:sz w:val="18"/>
                <w:szCs w:val="18"/>
                <w:color w:val="auto"/>
                <w:w w:val="91"/>
              </w:rPr>
              <w:t>/s/ Jeffrey Winzeler</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518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2"/>
              </w:rPr>
              <w:t>Jeffrey Winzeler</w:t>
            </w:r>
          </w:p>
        </w:tc>
        <w:tc>
          <w:tcPr>
            <w:tcW w:w="5180" w:type="dxa"/>
            <w:vAlign w:val="bottom"/>
            <w:gridSpan w:val="3"/>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Lawrence G. Finch</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1"/>
              </w:rPr>
              <w:t>Lawrence G. Finch</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Ronald C. Foster</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9"/>
              </w:rPr>
              <w:t>Ronald C. Foster</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J. Socolof</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8"/>
              </w:rPr>
              <w:t>Stephen J. Socolof</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Hébert</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8"/>
              </w:rPr>
              <w:t>Peter Hébert</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Geoffrey R. Tate</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0"/>
              </w:rPr>
              <w:t>Geoffrey R. Tate</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Mike Gustafson</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2"/>
              </w:rPr>
              <w:t>Mike Gustafson</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10.38</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84448"/>
        </w:rPr>
        <w:t>EXECUTIVE EMPLOYMENT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84448"/>
        </w:rPr>
        <w:t>For</w:t>
      </w:r>
    </w:p>
    <w:p>
      <w:pPr>
        <w:jc w:val="center"/>
        <w:spacing w:after="0"/>
        <w:rPr>
          <w:sz w:val="20"/>
          <w:szCs w:val="20"/>
          <w:color w:val="auto"/>
        </w:rPr>
      </w:pPr>
      <w:r>
        <w:rPr>
          <w:rFonts w:ascii="Arial" w:cs="Arial" w:eastAsia="Arial" w:hAnsi="Arial"/>
          <w:sz w:val="22"/>
          <w:szCs w:val="22"/>
          <w:b w:val="1"/>
          <w:bCs w:val="1"/>
          <w:color w:val="484448"/>
        </w:rPr>
        <w:t>Patrick Patla</w:t>
      </w:r>
    </w:p>
    <w:p>
      <w:pPr>
        <w:spacing w:after="0" w:line="209" w:lineRule="exact"/>
        <w:rPr>
          <w:sz w:val="20"/>
          <w:szCs w:val="20"/>
          <w:color w:val="auto"/>
        </w:rPr>
      </w:pPr>
    </w:p>
    <w:p>
      <w:pPr>
        <w:jc w:val="both"/>
        <w:ind w:firstLine="646"/>
        <w:spacing w:after="0" w:line="335" w:lineRule="auto"/>
        <w:rPr>
          <w:sz w:val="20"/>
          <w:szCs w:val="20"/>
          <w:color w:val="auto"/>
        </w:rPr>
      </w:pPr>
      <w:r>
        <w:rPr>
          <w:rFonts w:ascii="Arial" w:cs="Arial" w:eastAsia="Arial" w:hAnsi="Arial"/>
          <w:sz w:val="19"/>
          <w:szCs w:val="19"/>
          <w:color w:val="484448"/>
        </w:rPr>
        <w:t>This Executive Employment Agreement (</w:t>
      </w:r>
      <w:r>
        <w:rPr>
          <w:rFonts w:ascii="Arial" w:cs="Arial" w:eastAsia="Arial" w:hAnsi="Arial"/>
          <w:sz w:val="19"/>
          <w:szCs w:val="19"/>
          <w:b w:val="1"/>
          <w:bCs w:val="1"/>
          <w:color w:val="484448"/>
        </w:rPr>
        <w:t>"Agreement"</w:t>
      </w:r>
      <w:r>
        <w:rPr>
          <w:rFonts w:ascii="Arial" w:cs="Arial" w:eastAsia="Arial" w:hAnsi="Arial"/>
          <w:sz w:val="19"/>
          <w:szCs w:val="19"/>
          <w:color w:val="484448"/>
        </w:rPr>
        <w:t xml:space="preserve">), made between Everspin Technologies, Inc. (the </w:t>
      </w:r>
      <w:r>
        <w:rPr>
          <w:rFonts w:ascii="Arial" w:cs="Arial" w:eastAsia="Arial" w:hAnsi="Arial"/>
          <w:sz w:val="19"/>
          <w:szCs w:val="19"/>
          <w:b w:val="1"/>
          <w:bCs w:val="1"/>
          <w:color w:val="484448"/>
        </w:rPr>
        <w:t>"Company"</w:t>
      </w:r>
      <w:r>
        <w:rPr>
          <w:rFonts w:ascii="Arial" w:cs="Arial" w:eastAsia="Arial" w:hAnsi="Arial"/>
          <w:sz w:val="19"/>
          <w:szCs w:val="19"/>
          <w:color w:val="484448"/>
        </w:rPr>
        <w:t>) and</w:t>
      </w:r>
      <w:r>
        <w:rPr>
          <w:rFonts w:ascii="Arial" w:cs="Arial" w:eastAsia="Arial" w:hAnsi="Arial"/>
          <w:sz w:val="19"/>
          <w:szCs w:val="19"/>
          <w:b w:val="1"/>
          <w:bCs w:val="1"/>
          <w:color w:val="484448"/>
        </w:rPr>
        <w:t xml:space="preserve"> Patrick Patla </w:t>
      </w:r>
      <w:r>
        <w:rPr>
          <w:rFonts w:ascii="Arial" w:cs="Arial" w:eastAsia="Arial" w:hAnsi="Arial"/>
          <w:sz w:val="19"/>
          <w:szCs w:val="19"/>
          <w:color w:val="484448"/>
        </w:rPr>
        <w:t>(</w:t>
      </w:r>
      <w:r>
        <w:rPr>
          <w:rFonts w:ascii="Arial" w:cs="Arial" w:eastAsia="Arial" w:hAnsi="Arial"/>
          <w:sz w:val="19"/>
          <w:szCs w:val="19"/>
          <w:b w:val="1"/>
          <w:bCs w:val="1"/>
          <w:color w:val="484448"/>
        </w:rPr>
        <w:t>"Executive"</w:t>
      </w:r>
      <w:r>
        <w:rPr>
          <w:rFonts w:ascii="Arial" w:cs="Arial" w:eastAsia="Arial" w:hAnsi="Arial"/>
          <w:sz w:val="19"/>
          <w:szCs w:val="19"/>
          <w:color w:val="484448"/>
        </w:rPr>
        <w:t>) (collectively, the</w:t>
      </w:r>
      <w:r>
        <w:rPr>
          <w:rFonts w:ascii="Arial" w:cs="Arial" w:eastAsia="Arial" w:hAnsi="Arial"/>
          <w:sz w:val="19"/>
          <w:szCs w:val="19"/>
          <w:b w:val="1"/>
          <w:bCs w:val="1"/>
          <w:color w:val="484448"/>
        </w:rPr>
        <w:t xml:space="preserve"> </w:t>
      </w:r>
      <w:r>
        <w:rPr>
          <w:rFonts w:ascii="Arial" w:cs="Arial" w:eastAsia="Arial" w:hAnsi="Arial"/>
          <w:sz w:val="19"/>
          <w:szCs w:val="19"/>
          <w:b w:val="1"/>
          <w:bCs w:val="1"/>
          <w:color w:val="5D5B60"/>
        </w:rPr>
        <w:t>"Parties"</w:t>
      </w:r>
      <w:r>
        <w:rPr>
          <w:rFonts w:ascii="Arial" w:cs="Arial" w:eastAsia="Arial" w:hAnsi="Arial"/>
          <w:sz w:val="19"/>
          <w:szCs w:val="19"/>
          <w:color w:val="5D5B60"/>
        </w:rPr>
        <w:t>),</w:t>
      </w:r>
      <w:r>
        <w:rPr>
          <w:rFonts w:ascii="Arial" w:cs="Arial" w:eastAsia="Arial" w:hAnsi="Arial"/>
          <w:sz w:val="19"/>
          <w:szCs w:val="19"/>
          <w:b w:val="1"/>
          <w:bCs w:val="1"/>
          <w:color w:val="484448"/>
        </w:rPr>
        <w:t xml:space="preserve"> </w:t>
      </w:r>
      <w:r>
        <w:rPr>
          <w:rFonts w:ascii="Arial" w:cs="Arial" w:eastAsia="Arial" w:hAnsi="Arial"/>
          <w:sz w:val="19"/>
          <w:szCs w:val="19"/>
          <w:color w:val="484448"/>
        </w:rPr>
        <w:t>is effective as of January 9, 2017.</w:t>
      </w:r>
    </w:p>
    <w:p>
      <w:pPr>
        <w:spacing w:after="0" w:line="119"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22"/>
          <w:szCs w:val="22"/>
          <w:b w:val="1"/>
          <w:bCs w:val="1"/>
          <w:color w:val="484448"/>
        </w:rPr>
        <w:t xml:space="preserve">WHEREAS, </w:t>
      </w:r>
      <w:r>
        <w:rPr>
          <w:rFonts w:ascii="Arial" w:cs="Arial" w:eastAsia="Arial" w:hAnsi="Arial"/>
          <w:sz w:val="22"/>
          <w:szCs w:val="22"/>
          <w:color w:val="484448"/>
        </w:rPr>
        <w:t>Executive has been performing services for the Company pursuant to the terms of an offer</w:t>
      </w:r>
      <w:r>
        <w:rPr>
          <w:rFonts w:ascii="Arial" w:cs="Arial" w:eastAsia="Arial" w:hAnsi="Arial"/>
          <w:sz w:val="22"/>
          <w:szCs w:val="22"/>
          <w:b w:val="1"/>
          <w:bCs w:val="1"/>
          <w:color w:val="484448"/>
        </w:rPr>
        <w:t xml:space="preserve"> </w:t>
      </w:r>
      <w:r>
        <w:rPr>
          <w:rFonts w:ascii="Arial" w:cs="Arial" w:eastAsia="Arial" w:hAnsi="Arial"/>
          <w:sz w:val="22"/>
          <w:szCs w:val="22"/>
          <w:color w:val="484448"/>
        </w:rPr>
        <w:t xml:space="preserve">letter from the Company dated December 16, 2016 (the </w:t>
      </w:r>
      <w:r>
        <w:rPr>
          <w:rFonts w:ascii="Arial" w:cs="Arial" w:eastAsia="Arial" w:hAnsi="Arial"/>
          <w:sz w:val="22"/>
          <w:szCs w:val="22"/>
          <w:b w:val="1"/>
          <w:bCs w:val="1"/>
          <w:color w:val="484448"/>
        </w:rPr>
        <w:t>"Offer Letter"</w:t>
      </w:r>
      <w:r>
        <w:rPr>
          <w:rFonts w:ascii="Arial" w:cs="Arial" w:eastAsia="Arial" w:hAnsi="Arial"/>
          <w:sz w:val="22"/>
          <w:szCs w:val="22"/>
          <w:color w:val="484448"/>
        </w:rPr>
        <w:t>); and</w:t>
      </w:r>
    </w:p>
    <w:p>
      <w:pPr>
        <w:spacing w:after="0" w:line="190" w:lineRule="exact"/>
        <w:rPr>
          <w:sz w:val="20"/>
          <w:szCs w:val="20"/>
          <w:color w:val="auto"/>
        </w:rPr>
      </w:pPr>
    </w:p>
    <w:p>
      <w:pPr>
        <w:jc w:val="both"/>
        <w:ind w:firstLine="650"/>
        <w:spacing w:after="0" w:line="239" w:lineRule="auto"/>
        <w:rPr>
          <w:sz w:val="20"/>
          <w:szCs w:val="20"/>
          <w:color w:val="auto"/>
        </w:rPr>
      </w:pPr>
      <w:r>
        <w:rPr>
          <w:rFonts w:ascii="Arial" w:cs="Arial" w:eastAsia="Arial" w:hAnsi="Arial"/>
          <w:sz w:val="22"/>
          <w:szCs w:val="22"/>
          <w:b w:val="1"/>
          <w:bCs w:val="1"/>
          <w:color w:val="484448"/>
        </w:rPr>
        <w:t xml:space="preserve">WHEREAS, </w:t>
      </w:r>
      <w:r>
        <w:rPr>
          <w:rFonts w:ascii="Arial" w:cs="Arial" w:eastAsia="Arial" w:hAnsi="Arial"/>
          <w:sz w:val="22"/>
          <w:szCs w:val="22"/>
          <w:color w:val="484448"/>
        </w:rPr>
        <w:t>the Company desires for Executive to continue providing services to the Company, and</w:t>
      </w:r>
      <w:r>
        <w:rPr>
          <w:rFonts w:ascii="Arial" w:cs="Arial" w:eastAsia="Arial" w:hAnsi="Arial"/>
          <w:sz w:val="22"/>
          <w:szCs w:val="22"/>
          <w:b w:val="1"/>
          <w:bCs w:val="1"/>
          <w:color w:val="484448"/>
        </w:rPr>
        <w:t xml:space="preserve"> </w:t>
      </w:r>
      <w:r>
        <w:rPr>
          <w:rFonts w:ascii="Arial" w:cs="Arial" w:eastAsia="Arial" w:hAnsi="Arial"/>
          <w:sz w:val="22"/>
          <w:szCs w:val="22"/>
          <w:color w:val="484448"/>
        </w:rPr>
        <w:t>Executive is willing to continue such employment by the Company, on the amended and restated terms and conditions set forth in this Agreement, which terms shall replace and supersede the terms of the Offer Letter in their entirety;</w:t>
      </w:r>
    </w:p>
    <w:p>
      <w:pPr>
        <w:spacing w:after="0" w:line="208" w:lineRule="exact"/>
        <w:rPr>
          <w:sz w:val="20"/>
          <w:szCs w:val="20"/>
          <w:color w:val="auto"/>
        </w:rPr>
      </w:pPr>
    </w:p>
    <w:p>
      <w:pPr>
        <w:jc w:val="both"/>
        <w:ind w:firstLine="642"/>
        <w:spacing w:after="0" w:line="243" w:lineRule="auto"/>
        <w:rPr>
          <w:sz w:val="20"/>
          <w:szCs w:val="20"/>
          <w:color w:val="auto"/>
        </w:rPr>
      </w:pPr>
      <w:r>
        <w:rPr>
          <w:rFonts w:ascii="Arial" w:cs="Arial" w:eastAsia="Arial" w:hAnsi="Arial"/>
          <w:sz w:val="22"/>
          <w:szCs w:val="22"/>
          <w:b w:val="1"/>
          <w:bCs w:val="1"/>
          <w:color w:val="484448"/>
        </w:rPr>
        <w:t xml:space="preserve">Now, THEREFORE, </w:t>
      </w:r>
      <w:r>
        <w:rPr>
          <w:rFonts w:ascii="Arial" w:cs="Arial" w:eastAsia="Arial" w:hAnsi="Arial"/>
          <w:sz w:val="22"/>
          <w:szCs w:val="22"/>
          <w:color w:val="484448"/>
        </w:rPr>
        <w:t>in consideration of the mutual promises and covenants contained herein and for other</w:t>
      </w:r>
      <w:r>
        <w:rPr>
          <w:rFonts w:ascii="Arial" w:cs="Arial" w:eastAsia="Arial" w:hAnsi="Arial"/>
          <w:sz w:val="22"/>
          <w:szCs w:val="22"/>
          <w:b w:val="1"/>
          <w:bCs w:val="1"/>
          <w:color w:val="484448"/>
        </w:rPr>
        <w:t xml:space="preserve"> </w:t>
      </w:r>
      <w:r>
        <w:rPr>
          <w:rFonts w:ascii="Arial" w:cs="Arial" w:eastAsia="Arial" w:hAnsi="Arial"/>
          <w:sz w:val="22"/>
          <w:szCs w:val="22"/>
          <w:color w:val="484448"/>
        </w:rPr>
        <w:t>good and valuable consideration, the receipt and sufficiency of which is hereby acknowledged, the Parties hereto agree as follows:</w:t>
      </w:r>
    </w:p>
    <w:p>
      <w:pPr>
        <w:spacing w:after="0" w:line="204" w:lineRule="exact"/>
        <w:rPr>
          <w:sz w:val="20"/>
          <w:szCs w:val="20"/>
          <w:color w:val="auto"/>
        </w:rPr>
      </w:pPr>
    </w:p>
    <w:p>
      <w:pPr>
        <w:ind w:left="1320" w:hanging="591"/>
        <w:spacing w:after="0"/>
        <w:tabs>
          <w:tab w:leader="none" w:pos="1320" w:val="left"/>
        </w:tabs>
        <w:numPr>
          <w:ilvl w:val="0"/>
          <w:numId w:val="37"/>
        </w:numPr>
        <w:rPr>
          <w:rFonts w:ascii="Arial" w:cs="Arial" w:eastAsia="Arial" w:hAnsi="Arial"/>
          <w:sz w:val="22"/>
          <w:szCs w:val="22"/>
          <w:b w:val="1"/>
          <w:bCs w:val="1"/>
          <w:color w:val="484448"/>
        </w:rPr>
      </w:pPr>
      <w:r>
        <w:rPr>
          <w:rFonts w:ascii="Arial" w:cs="Arial" w:eastAsia="Arial" w:hAnsi="Arial"/>
          <w:sz w:val="22"/>
          <w:szCs w:val="22"/>
          <w:b w:val="1"/>
          <w:bCs w:val="1"/>
          <w:color w:val="484448"/>
        </w:rPr>
        <w:t>Employment by the Company.</w:t>
      </w:r>
    </w:p>
    <w:p>
      <w:pPr>
        <w:spacing w:after="0" w:line="233" w:lineRule="exact"/>
        <w:rPr>
          <w:sz w:val="20"/>
          <w:szCs w:val="20"/>
          <w:color w:val="auto"/>
        </w:rPr>
      </w:pPr>
    </w:p>
    <w:p>
      <w:pPr>
        <w:jc w:val="both"/>
        <w:ind w:firstLine="1290"/>
        <w:spacing w:after="0" w:line="237" w:lineRule="auto"/>
        <w:rPr>
          <w:sz w:val="20"/>
          <w:szCs w:val="20"/>
          <w:color w:val="auto"/>
        </w:rPr>
      </w:pPr>
      <w:r>
        <w:rPr>
          <w:rFonts w:ascii="Arial" w:cs="Arial" w:eastAsia="Arial" w:hAnsi="Arial"/>
          <w:sz w:val="22"/>
          <w:szCs w:val="22"/>
          <w:b w:val="1"/>
          <w:bCs w:val="1"/>
          <w:color w:val="484448"/>
        </w:rPr>
        <w:t xml:space="preserve">1.1 Position. </w:t>
      </w:r>
      <w:r>
        <w:rPr>
          <w:rFonts w:ascii="Arial" w:cs="Arial" w:eastAsia="Arial" w:hAnsi="Arial"/>
          <w:sz w:val="22"/>
          <w:szCs w:val="22"/>
          <w:color w:val="484448"/>
        </w:rPr>
        <w:t>Executive shall continue to serve as the Company's</w:t>
      </w:r>
      <w:r>
        <w:rPr>
          <w:rFonts w:ascii="Arial" w:cs="Arial" w:eastAsia="Arial" w:hAnsi="Arial"/>
          <w:sz w:val="22"/>
          <w:szCs w:val="22"/>
          <w:b w:val="1"/>
          <w:bCs w:val="1"/>
          <w:color w:val="484448"/>
        </w:rPr>
        <w:t xml:space="preserve"> Senior Vice President of Marketing</w:t>
      </w:r>
      <w:r>
        <w:rPr>
          <w:rFonts w:ascii="Arial" w:cs="Arial" w:eastAsia="Arial" w:hAnsi="Arial"/>
          <w:sz w:val="22"/>
          <w:szCs w:val="22"/>
          <w:color w:val="484448"/>
        </w:rPr>
        <w:t>. During Executive's employment with the Company, Executive will devote Executive's best efforts and</w:t>
      </w:r>
      <w:r>
        <w:rPr>
          <w:rFonts w:ascii="Arial" w:cs="Arial" w:eastAsia="Arial" w:hAnsi="Arial"/>
          <w:sz w:val="22"/>
          <w:szCs w:val="22"/>
          <w:b w:val="1"/>
          <w:bCs w:val="1"/>
          <w:color w:val="484448"/>
        </w:rPr>
        <w:t xml:space="preserve"> </w:t>
      </w:r>
      <w:r>
        <w:rPr>
          <w:rFonts w:ascii="Arial" w:cs="Arial" w:eastAsia="Arial" w:hAnsi="Arial"/>
          <w:sz w:val="22"/>
          <w:szCs w:val="22"/>
          <w:color w:val="484448"/>
        </w:rPr>
        <w:t>substantially all of Executive's business time and attention to the business of the Company, except for approved vacation periods and reasonable periods of illness or other incapacities permitted by the Company's general employment policies.</w:t>
      </w:r>
    </w:p>
    <w:p>
      <w:pPr>
        <w:spacing w:after="0" w:line="210" w:lineRule="exact"/>
        <w:rPr>
          <w:sz w:val="20"/>
          <w:szCs w:val="20"/>
          <w:color w:val="auto"/>
        </w:rPr>
      </w:pPr>
    </w:p>
    <w:p>
      <w:pPr>
        <w:jc w:val="both"/>
        <w:ind w:firstLine="1290"/>
        <w:spacing w:after="0" w:line="280" w:lineRule="auto"/>
        <w:rPr>
          <w:sz w:val="20"/>
          <w:szCs w:val="20"/>
          <w:color w:val="auto"/>
        </w:rPr>
      </w:pPr>
      <w:r>
        <w:rPr>
          <w:rFonts w:ascii="Arial" w:cs="Arial" w:eastAsia="Arial" w:hAnsi="Arial"/>
          <w:sz w:val="19"/>
          <w:szCs w:val="19"/>
          <w:b w:val="1"/>
          <w:bCs w:val="1"/>
          <w:color w:val="484448"/>
        </w:rPr>
        <w:t xml:space="preserve">1.2 Duties and Location. </w:t>
      </w:r>
      <w:r>
        <w:rPr>
          <w:rFonts w:ascii="Arial" w:cs="Arial" w:eastAsia="Arial" w:hAnsi="Arial"/>
          <w:sz w:val="19"/>
          <w:szCs w:val="19"/>
          <w:color w:val="484448"/>
        </w:rPr>
        <w:t>Executive shall continue to perform such duties as are required by the</w:t>
      </w:r>
      <w:r>
        <w:rPr>
          <w:rFonts w:ascii="Arial" w:cs="Arial" w:eastAsia="Arial" w:hAnsi="Arial"/>
          <w:sz w:val="19"/>
          <w:szCs w:val="19"/>
          <w:b w:val="1"/>
          <w:bCs w:val="1"/>
          <w:color w:val="484448"/>
        </w:rPr>
        <w:t xml:space="preserve"> </w:t>
      </w:r>
      <w:r>
        <w:rPr>
          <w:rFonts w:ascii="Arial" w:cs="Arial" w:eastAsia="Arial" w:hAnsi="Arial"/>
          <w:sz w:val="19"/>
          <w:szCs w:val="19"/>
          <w:color w:val="484448"/>
        </w:rPr>
        <w:t>Company's President and Chief Executive Officer, to whom Executive</w:t>
      </w:r>
      <w:r>
        <w:rPr>
          <w:rFonts w:ascii="Arial" w:cs="Arial" w:eastAsia="Arial" w:hAnsi="Arial"/>
          <w:sz w:val="19"/>
          <w:szCs w:val="19"/>
          <w:color w:val="AAAAAE"/>
        </w:rPr>
        <w:t>_</w:t>
      </w:r>
      <w:r>
        <w:rPr>
          <w:rFonts w:ascii="Arial" w:cs="Arial" w:eastAsia="Arial" w:hAnsi="Arial"/>
          <w:sz w:val="19"/>
          <w:szCs w:val="19"/>
          <w:color w:val="484448"/>
        </w:rPr>
        <w:t xml:space="preserve"> will report. Executive's primary work location shall continue to be the Company's headquarters in Chandler, Arizona. The Company reserves the right to reasonably require Executive to perform Executive's duties at places other than Executive's primary office location from time to time, and to require reasonable business travel. The Company may modify Executive's job title and duties as it deems necessary and appropriate in light of the Company's needs and interests from time to time.</w:t>
      </w:r>
    </w:p>
    <w:p>
      <w:pPr>
        <w:spacing w:after="0" w:line="172" w:lineRule="exact"/>
        <w:rPr>
          <w:sz w:val="20"/>
          <w:szCs w:val="20"/>
          <w:color w:val="auto"/>
        </w:rPr>
      </w:pPr>
    </w:p>
    <w:p>
      <w:pPr>
        <w:jc w:val="both"/>
        <w:ind w:firstLine="1290"/>
        <w:spacing w:after="0" w:line="239" w:lineRule="auto"/>
        <w:rPr>
          <w:sz w:val="20"/>
          <w:szCs w:val="20"/>
          <w:color w:val="auto"/>
        </w:rPr>
      </w:pPr>
      <w:r>
        <w:rPr>
          <w:rFonts w:ascii="Arial" w:cs="Arial" w:eastAsia="Arial" w:hAnsi="Arial"/>
          <w:sz w:val="22"/>
          <w:szCs w:val="22"/>
          <w:b w:val="1"/>
          <w:bCs w:val="1"/>
          <w:color w:val="484448"/>
        </w:rPr>
        <w:t xml:space="preserve">1.3 Policies and Procedures. </w:t>
      </w:r>
      <w:r>
        <w:rPr>
          <w:rFonts w:ascii="Arial" w:cs="Arial" w:eastAsia="Arial" w:hAnsi="Arial"/>
          <w:sz w:val="22"/>
          <w:szCs w:val="22"/>
          <w:color w:val="484448"/>
        </w:rPr>
        <w:t>The employment relationship between the Parties shall continue to</w:t>
      </w:r>
      <w:r>
        <w:rPr>
          <w:rFonts w:ascii="Arial" w:cs="Arial" w:eastAsia="Arial" w:hAnsi="Arial"/>
          <w:sz w:val="22"/>
          <w:szCs w:val="22"/>
          <w:b w:val="1"/>
          <w:bCs w:val="1"/>
          <w:color w:val="484448"/>
        </w:rPr>
        <w:t xml:space="preserve"> </w:t>
      </w:r>
      <w:r>
        <w:rPr>
          <w:rFonts w:ascii="Arial" w:cs="Arial" w:eastAsia="Arial" w:hAnsi="Arial"/>
          <w:sz w:val="22"/>
          <w:szCs w:val="22"/>
          <w:color w:val="484448"/>
        </w:rPr>
        <w:t xml:space="preserve">be governed by the general employment policies and practices of the Company, except that when the terms of this Agreement differ from or are </w:t>
      </w:r>
      <w:r>
        <w:rPr>
          <w:rFonts w:ascii="Arial" w:cs="Arial" w:eastAsia="Arial" w:hAnsi="Arial"/>
          <w:sz w:val="22"/>
          <w:szCs w:val="22"/>
          <w:color w:val="484648"/>
        </w:rPr>
        <w:t>in conflict with the Company's general employment policies or practices, this</w:t>
      </w:r>
      <w:r>
        <w:rPr>
          <w:rFonts w:ascii="Arial" w:cs="Arial" w:eastAsia="Arial" w:hAnsi="Arial"/>
          <w:sz w:val="22"/>
          <w:szCs w:val="22"/>
          <w:color w:val="484448"/>
        </w:rPr>
        <w:t xml:space="preserve"> </w:t>
      </w:r>
      <w:r>
        <w:rPr>
          <w:rFonts w:ascii="Arial" w:cs="Arial" w:eastAsia="Arial" w:hAnsi="Arial"/>
          <w:sz w:val="22"/>
          <w:szCs w:val="22"/>
          <w:color w:val="484648"/>
        </w:rPr>
        <w:t>Agreement shall control.</w:t>
      </w:r>
    </w:p>
    <w:p>
      <w:pPr>
        <w:spacing w:after="0" w:line="208" w:lineRule="exact"/>
        <w:rPr>
          <w:sz w:val="20"/>
          <w:szCs w:val="20"/>
          <w:color w:val="auto"/>
        </w:rPr>
      </w:pPr>
    </w:p>
    <w:p>
      <w:pPr>
        <w:ind w:left="1300" w:hanging="652"/>
        <w:spacing w:after="0"/>
        <w:tabs>
          <w:tab w:leader="none" w:pos="1300" w:val="left"/>
        </w:tabs>
        <w:numPr>
          <w:ilvl w:val="0"/>
          <w:numId w:val="38"/>
        </w:numPr>
        <w:rPr>
          <w:rFonts w:ascii="Arial" w:cs="Arial" w:eastAsia="Arial" w:hAnsi="Arial"/>
          <w:sz w:val="22"/>
          <w:szCs w:val="22"/>
          <w:b w:val="1"/>
          <w:bCs w:val="1"/>
          <w:color w:val="484448"/>
        </w:rPr>
      </w:pPr>
      <w:r>
        <w:rPr>
          <w:rFonts w:ascii="Arial" w:cs="Arial" w:eastAsia="Arial" w:hAnsi="Arial"/>
          <w:sz w:val="22"/>
          <w:szCs w:val="22"/>
          <w:b w:val="1"/>
          <w:bCs w:val="1"/>
          <w:color w:val="484648"/>
        </w:rPr>
        <w:t>Compensation.</w:t>
      </w:r>
    </w:p>
    <w:p>
      <w:pPr>
        <w:spacing w:after="0" w:line="233" w:lineRule="exact"/>
        <w:rPr>
          <w:sz w:val="20"/>
          <w:szCs w:val="20"/>
          <w:color w:val="auto"/>
        </w:rPr>
      </w:pPr>
    </w:p>
    <w:p>
      <w:pPr>
        <w:jc w:val="both"/>
        <w:ind w:firstLine="1290"/>
        <w:spacing w:after="0" w:line="237" w:lineRule="auto"/>
        <w:rPr>
          <w:sz w:val="20"/>
          <w:szCs w:val="20"/>
          <w:color w:val="auto"/>
        </w:rPr>
      </w:pPr>
      <w:r>
        <w:rPr>
          <w:rFonts w:ascii="Arial" w:cs="Arial" w:eastAsia="Arial" w:hAnsi="Arial"/>
          <w:sz w:val="22"/>
          <w:szCs w:val="22"/>
          <w:b w:val="1"/>
          <w:bCs w:val="1"/>
          <w:color w:val="484448"/>
        </w:rPr>
        <w:t xml:space="preserve">2.1 </w:t>
      </w:r>
      <w:r>
        <w:rPr>
          <w:rFonts w:ascii="Arial" w:cs="Arial" w:eastAsia="Arial" w:hAnsi="Arial"/>
          <w:sz w:val="22"/>
          <w:szCs w:val="22"/>
          <w:b w:val="1"/>
          <w:bCs w:val="1"/>
          <w:color w:val="484648"/>
        </w:rPr>
        <w:t>Salary.</w:t>
      </w:r>
      <w:r>
        <w:rPr>
          <w:rFonts w:ascii="Arial" w:cs="Arial" w:eastAsia="Arial" w:hAnsi="Arial"/>
          <w:sz w:val="22"/>
          <w:szCs w:val="22"/>
          <w:b w:val="1"/>
          <w:bCs w:val="1"/>
          <w:color w:val="484448"/>
        </w:rPr>
        <w:t xml:space="preserve"> </w:t>
      </w:r>
      <w:r>
        <w:rPr>
          <w:rFonts w:ascii="Arial" w:cs="Arial" w:eastAsia="Arial" w:hAnsi="Arial"/>
          <w:sz w:val="22"/>
          <w:szCs w:val="22"/>
          <w:color w:val="484648"/>
        </w:rPr>
        <w:t>For services to be rendered hereunder, Executive shall continue to receive a base</w:t>
      </w:r>
      <w:r>
        <w:rPr>
          <w:rFonts w:ascii="Arial" w:cs="Arial" w:eastAsia="Arial" w:hAnsi="Arial"/>
          <w:sz w:val="22"/>
          <w:szCs w:val="22"/>
          <w:b w:val="1"/>
          <w:bCs w:val="1"/>
          <w:color w:val="484448"/>
        </w:rPr>
        <w:t xml:space="preserve"> </w:t>
      </w:r>
      <w:r>
        <w:rPr>
          <w:rFonts w:ascii="Arial" w:cs="Arial" w:eastAsia="Arial" w:hAnsi="Arial"/>
          <w:sz w:val="22"/>
          <w:szCs w:val="22"/>
          <w:color w:val="484648"/>
        </w:rPr>
        <w:t xml:space="preserve">salary at the rate of two hundred sixty thousand dollars ($260,000) per year (the </w:t>
      </w:r>
      <w:r>
        <w:rPr>
          <w:rFonts w:ascii="Arial" w:cs="Arial" w:eastAsia="Arial" w:hAnsi="Arial"/>
          <w:sz w:val="22"/>
          <w:szCs w:val="22"/>
          <w:b w:val="1"/>
          <w:bCs w:val="1"/>
          <w:color w:val="5D5B60"/>
        </w:rPr>
        <w:t>"Base</w:t>
      </w:r>
      <w:r>
        <w:rPr>
          <w:rFonts w:ascii="Arial" w:cs="Arial" w:eastAsia="Arial" w:hAnsi="Arial"/>
          <w:sz w:val="22"/>
          <w:szCs w:val="22"/>
          <w:color w:val="484648"/>
        </w:rPr>
        <w:t xml:space="preserve"> </w:t>
      </w:r>
      <w:r>
        <w:rPr>
          <w:rFonts w:ascii="Arial" w:cs="Arial" w:eastAsia="Arial" w:hAnsi="Arial"/>
          <w:sz w:val="22"/>
          <w:szCs w:val="22"/>
          <w:b w:val="1"/>
          <w:bCs w:val="1"/>
          <w:color w:val="484648"/>
        </w:rPr>
        <w:t>Salary"</w:t>
      </w:r>
      <w:r>
        <w:rPr>
          <w:rFonts w:ascii="Arial" w:cs="Arial" w:eastAsia="Arial" w:hAnsi="Arial"/>
          <w:sz w:val="22"/>
          <w:szCs w:val="22"/>
          <w:color w:val="484648"/>
        </w:rPr>
        <w:t>), subject to standard payroll deductions and withholdings and payable in accordance with the Company's regular payroll schedule. Executive's Base Salary shall be reviewed by the Board of Directors (the "</w:t>
      </w:r>
      <w:r>
        <w:rPr>
          <w:rFonts w:ascii="Arial" w:cs="Arial" w:eastAsia="Arial" w:hAnsi="Arial"/>
          <w:sz w:val="22"/>
          <w:szCs w:val="22"/>
          <w:b w:val="1"/>
          <w:bCs w:val="1"/>
          <w:color w:val="484648"/>
        </w:rPr>
        <w:t>Board"</w:t>
      </w:r>
      <w:r>
        <w:rPr>
          <w:rFonts w:ascii="Arial" w:cs="Arial" w:eastAsia="Arial" w:hAnsi="Arial"/>
          <w:sz w:val="22"/>
          <w:szCs w:val="22"/>
          <w:color w:val="484648"/>
        </w:rPr>
        <w:t>) for possible adjustment annually.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94" w:name="page95"/>
    <w:bookmarkEnd w:id="94"/>
    <w:p>
      <w:pPr>
        <w:jc w:val="both"/>
        <w:ind w:firstLine="1290"/>
        <w:spacing w:after="0" w:line="276" w:lineRule="auto"/>
        <w:rPr>
          <w:sz w:val="20"/>
          <w:szCs w:val="20"/>
          <w:color w:val="auto"/>
        </w:rPr>
      </w:pPr>
      <w:r>
        <w:rPr>
          <w:rFonts w:ascii="Arial" w:cs="Arial" w:eastAsia="Arial" w:hAnsi="Arial"/>
          <w:sz w:val="19"/>
          <w:szCs w:val="19"/>
          <w:b w:val="1"/>
          <w:bCs w:val="1"/>
          <w:color w:val="484448"/>
        </w:rPr>
        <w:t xml:space="preserve">2.2 </w:t>
      </w:r>
      <w:r>
        <w:rPr>
          <w:rFonts w:ascii="Arial" w:cs="Arial" w:eastAsia="Arial" w:hAnsi="Arial"/>
          <w:sz w:val="19"/>
          <w:szCs w:val="19"/>
          <w:b w:val="1"/>
          <w:bCs w:val="1"/>
          <w:color w:val="484648"/>
        </w:rPr>
        <w:t>Bonus.</w:t>
      </w:r>
      <w:r>
        <w:rPr>
          <w:rFonts w:ascii="Arial" w:cs="Arial" w:eastAsia="Arial" w:hAnsi="Arial"/>
          <w:sz w:val="19"/>
          <w:szCs w:val="19"/>
          <w:b w:val="1"/>
          <w:bCs w:val="1"/>
          <w:color w:val="484448"/>
        </w:rPr>
        <w:t xml:space="preserve"> </w:t>
      </w:r>
      <w:r>
        <w:rPr>
          <w:rFonts w:ascii="Arial" w:cs="Arial" w:eastAsia="Arial" w:hAnsi="Arial"/>
          <w:sz w:val="19"/>
          <w:szCs w:val="19"/>
          <w:color w:val="484648"/>
        </w:rPr>
        <w:t>Executive will be eligible for an annual discretionary bonus of up to 30% of</w:t>
      </w:r>
      <w:r>
        <w:rPr>
          <w:rFonts w:ascii="Arial" w:cs="Arial" w:eastAsia="Arial" w:hAnsi="Arial"/>
          <w:sz w:val="19"/>
          <w:szCs w:val="19"/>
          <w:b w:val="1"/>
          <w:bCs w:val="1"/>
          <w:color w:val="484448"/>
        </w:rPr>
        <w:t xml:space="preserve"> </w:t>
      </w:r>
      <w:r>
        <w:rPr>
          <w:rFonts w:ascii="Arial" w:cs="Arial" w:eastAsia="Arial" w:hAnsi="Arial"/>
          <w:sz w:val="19"/>
          <w:szCs w:val="19"/>
          <w:color w:val="484648"/>
        </w:rPr>
        <w:t>Executive's Base Salary. Executive's annual target bonus percentage, whether Executive receives an annual bonus for any given year, and the amount of any such annual bonus, will be determined by the Board in its sole discretion based upon the Company's and Executive's achievement of objectives and milestones to be determined on an annual basis by the Board in consultation with Executive. Bonuses are generally paid by March 15 following the applicable bonus year, and Executive must be an active employee on the date any Annual Bonus is paid in order to earn any such Annual Bonus. Executive will not be eligible for, and will not earn, any Annual Bonus (including a prorated bonus) if Executive's employment terminates for any reason before the date Annual Bonuses are paid.</w:t>
      </w:r>
    </w:p>
    <w:p>
      <w:pPr>
        <w:spacing w:after="0" w:line="178" w:lineRule="exact"/>
        <w:rPr>
          <w:sz w:val="20"/>
          <w:szCs w:val="20"/>
          <w:color w:val="auto"/>
        </w:rPr>
      </w:pPr>
    </w:p>
    <w:p>
      <w:pPr>
        <w:jc w:val="both"/>
        <w:ind w:firstLine="1290"/>
        <w:spacing w:after="0" w:line="239" w:lineRule="auto"/>
        <w:rPr>
          <w:sz w:val="20"/>
          <w:szCs w:val="20"/>
          <w:color w:val="auto"/>
        </w:rPr>
      </w:pPr>
      <w:r>
        <w:rPr>
          <w:rFonts w:ascii="Arial" w:cs="Arial" w:eastAsia="Arial" w:hAnsi="Arial"/>
          <w:sz w:val="22"/>
          <w:szCs w:val="22"/>
          <w:b w:val="1"/>
          <w:bCs w:val="1"/>
          <w:color w:val="484448"/>
        </w:rPr>
        <w:t xml:space="preserve">2.3 </w:t>
      </w:r>
      <w:r>
        <w:rPr>
          <w:rFonts w:ascii="Arial" w:cs="Arial" w:eastAsia="Arial" w:hAnsi="Arial"/>
          <w:sz w:val="22"/>
          <w:szCs w:val="22"/>
          <w:b w:val="1"/>
          <w:bCs w:val="1"/>
          <w:color w:val="484648"/>
        </w:rPr>
        <w:t>Standard Company Benefits.</w:t>
      </w:r>
      <w:r>
        <w:rPr>
          <w:rFonts w:ascii="Arial" w:cs="Arial" w:eastAsia="Arial" w:hAnsi="Arial"/>
          <w:sz w:val="22"/>
          <w:szCs w:val="22"/>
          <w:b w:val="1"/>
          <w:bCs w:val="1"/>
          <w:color w:val="484448"/>
        </w:rPr>
        <w:t xml:space="preserve"> </w:t>
      </w:r>
      <w:r>
        <w:rPr>
          <w:rFonts w:ascii="Arial" w:cs="Arial" w:eastAsia="Arial" w:hAnsi="Arial"/>
          <w:sz w:val="22"/>
          <w:szCs w:val="22"/>
          <w:color w:val="484648"/>
        </w:rPr>
        <w:t>Executive shall continue to be entitled to participate in all</w:t>
      </w:r>
      <w:r>
        <w:rPr>
          <w:rFonts w:ascii="Arial" w:cs="Arial" w:eastAsia="Arial" w:hAnsi="Arial"/>
          <w:sz w:val="22"/>
          <w:szCs w:val="22"/>
          <w:b w:val="1"/>
          <w:bCs w:val="1"/>
          <w:color w:val="484448"/>
        </w:rPr>
        <w:t xml:space="preserve"> </w:t>
      </w:r>
      <w:r>
        <w:rPr>
          <w:rFonts w:ascii="Arial" w:cs="Arial" w:eastAsia="Arial" w:hAnsi="Arial"/>
          <w:sz w:val="22"/>
          <w:szCs w:val="22"/>
          <w:color w:val="484648"/>
        </w:rPr>
        <w:t>employee benefit programs for which Executive is eligible under the terms and conditions of the benefit plans that may be in effect from time to time. The Company reserves the right to cancel or change the benefit plans or programs it offers to its employees at any time.</w:t>
      </w:r>
    </w:p>
    <w:p>
      <w:pPr>
        <w:spacing w:after="0" w:line="208" w:lineRule="exact"/>
        <w:rPr>
          <w:sz w:val="20"/>
          <w:szCs w:val="20"/>
          <w:color w:val="auto"/>
        </w:rPr>
      </w:pPr>
    </w:p>
    <w:p>
      <w:pPr>
        <w:jc w:val="both"/>
        <w:ind w:firstLine="1290"/>
        <w:spacing w:after="0" w:line="239" w:lineRule="auto"/>
        <w:rPr>
          <w:sz w:val="20"/>
          <w:szCs w:val="20"/>
          <w:color w:val="auto"/>
        </w:rPr>
      </w:pPr>
      <w:r>
        <w:rPr>
          <w:rFonts w:ascii="Arial" w:cs="Arial" w:eastAsia="Arial" w:hAnsi="Arial"/>
          <w:sz w:val="22"/>
          <w:szCs w:val="22"/>
          <w:b w:val="1"/>
          <w:bCs w:val="1"/>
          <w:color w:val="484448"/>
        </w:rPr>
        <w:t xml:space="preserve">2.4 </w:t>
      </w:r>
      <w:r>
        <w:rPr>
          <w:rFonts w:ascii="Arial" w:cs="Arial" w:eastAsia="Arial" w:hAnsi="Arial"/>
          <w:sz w:val="22"/>
          <w:szCs w:val="22"/>
          <w:b w:val="1"/>
          <w:bCs w:val="1"/>
          <w:color w:val="484648"/>
        </w:rPr>
        <w:t>Expenses.</w:t>
      </w:r>
      <w:r>
        <w:rPr>
          <w:rFonts w:ascii="Arial" w:cs="Arial" w:eastAsia="Arial" w:hAnsi="Arial"/>
          <w:sz w:val="22"/>
          <w:szCs w:val="22"/>
          <w:b w:val="1"/>
          <w:bCs w:val="1"/>
          <w:color w:val="484448"/>
        </w:rPr>
        <w:t xml:space="preserve"> </w:t>
      </w:r>
      <w:r>
        <w:rPr>
          <w:rFonts w:ascii="Arial" w:cs="Arial" w:eastAsia="Arial" w:hAnsi="Arial"/>
          <w:sz w:val="22"/>
          <w:szCs w:val="22"/>
          <w:color w:val="484648"/>
        </w:rPr>
        <w:t>The Company will reimburse Executive for reasonable travel</w:t>
      </w:r>
      <w:r>
        <w:rPr>
          <w:rFonts w:ascii="Arial" w:cs="Arial" w:eastAsia="Arial" w:hAnsi="Arial"/>
          <w:sz w:val="22"/>
          <w:szCs w:val="22"/>
          <w:color w:val="7B797B"/>
        </w:rPr>
        <w:t>,</w:t>
      </w:r>
      <w:r>
        <w:rPr>
          <w:rFonts w:ascii="Arial" w:cs="Arial" w:eastAsia="Arial" w:hAnsi="Arial"/>
          <w:sz w:val="22"/>
          <w:szCs w:val="22"/>
          <w:b w:val="1"/>
          <w:bCs w:val="1"/>
          <w:color w:val="484448"/>
        </w:rPr>
        <w:t xml:space="preserve"> </w:t>
      </w:r>
      <w:r>
        <w:rPr>
          <w:rFonts w:ascii="Arial" w:cs="Arial" w:eastAsia="Arial" w:hAnsi="Arial"/>
          <w:sz w:val="22"/>
          <w:szCs w:val="22"/>
          <w:color w:val="484648"/>
        </w:rPr>
        <w:t>entertainment or</w:t>
      </w:r>
      <w:r>
        <w:rPr>
          <w:rFonts w:ascii="Arial" w:cs="Arial" w:eastAsia="Arial" w:hAnsi="Arial"/>
          <w:sz w:val="22"/>
          <w:szCs w:val="22"/>
          <w:b w:val="1"/>
          <w:bCs w:val="1"/>
          <w:color w:val="484448"/>
        </w:rPr>
        <w:t xml:space="preserve"> </w:t>
      </w:r>
      <w:r>
        <w:rPr>
          <w:rFonts w:ascii="Arial" w:cs="Arial" w:eastAsia="Arial" w:hAnsi="Arial"/>
          <w:sz w:val="22"/>
          <w:szCs w:val="22"/>
          <w:color w:val="484648"/>
        </w:rPr>
        <w:t>other expenses incurred by Executive in furtherance or in connection with the performance of Executive's duties hereunder, in accordance with the Company's expense reimbursement policy and requirements of the Internal Revenue Service as in effect from time to time.</w:t>
      </w:r>
    </w:p>
    <w:p>
      <w:pPr>
        <w:spacing w:after="0" w:line="208"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21"/>
          <w:szCs w:val="21"/>
          <w:b w:val="1"/>
          <w:bCs w:val="1"/>
          <w:color w:val="484448"/>
        </w:rPr>
        <w:t xml:space="preserve">2.5 </w:t>
      </w:r>
      <w:r>
        <w:rPr>
          <w:rFonts w:ascii="Arial" w:cs="Arial" w:eastAsia="Arial" w:hAnsi="Arial"/>
          <w:sz w:val="21"/>
          <w:szCs w:val="21"/>
          <w:b w:val="1"/>
          <w:bCs w:val="1"/>
          <w:color w:val="484648"/>
        </w:rPr>
        <w:t>Equity.</w:t>
      </w:r>
      <w:r>
        <w:rPr>
          <w:rFonts w:ascii="Arial" w:cs="Arial" w:eastAsia="Arial" w:hAnsi="Arial"/>
          <w:sz w:val="21"/>
          <w:szCs w:val="21"/>
          <w:b w:val="1"/>
          <w:bCs w:val="1"/>
          <w:color w:val="484448"/>
        </w:rPr>
        <w:t xml:space="preserve"> </w:t>
      </w:r>
      <w:r>
        <w:rPr>
          <w:rFonts w:ascii="Arial" w:cs="Arial" w:eastAsia="Arial" w:hAnsi="Arial"/>
          <w:sz w:val="21"/>
          <w:szCs w:val="21"/>
          <w:color w:val="484648"/>
        </w:rPr>
        <w:t>Executive has been granted options to purchase forty thousand (40,000) shares of the</w:t>
      </w:r>
      <w:r>
        <w:rPr>
          <w:rFonts w:ascii="Arial" w:cs="Arial" w:eastAsia="Arial" w:hAnsi="Arial"/>
          <w:sz w:val="21"/>
          <w:szCs w:val="21"/>
          <w:b w:val="1"/>
          <w:bCs w:val="1"/>
          <w:color w:val="484448"/>
        </w:rPr>
        <w:t xml:space="preserve"> </w:t>
      </w:r>
      <w:r>
        <w:rPr>
          <w:rFonts w:ascii="Arial" w:cs="Arial" w:eastAsia="Arial" w:hAnsi="Arial"/>
          <w:sz w:val="21"/>
          <w:szCs w:val="21"/>
          <w:color w:val="484648"/>
        </w:rPr>
        <w:t xml:space="preserve">Company's Common Stock (the </w:t>
      </w:r>
      <w:r>
        <w:rPr>
          <w:rFonts w:ascii="Arial" w:cs="Arial" w:eastAsia="Arial" w:hAnsi="Arial"/>
          <w:sz w:val="21"/>
          <w:szCs w:val="21"/>
          <w:b w:val="1"/>
          <w:bCs w:val="1"/>
          <w:color w:val="484648"/>
        </w:rPr>
        <w:t>"Options"</w:t>
      </w:r>
      <w:r>
        <w:rPr>
          <w:rFonts w:ascii="Arial" w:cs="Arial" w:eastAsia="Arial" w:hAnsi="Arial"/>
          <w:sz w:val="21"/>
          <w:szCs w:val="21"/>
          <w:color w:val="484648"/>
        </w:rPr>
        <w:t>), the terms of which shall continue to be governed in all respects by the governing plan documents, grant notices and stock option agreements. Executive shall be eligible to receive further stock grants and/or stock option awards in the sole discretion of the Board.</w:t>
      </w:r>
    </w:p>
    <w:p>
      <w:pPr>
        <w:spacing w:after="0" w:line="193" w:lineRule="exact"/>
        <w:rPr>
          <w:sz w:val="20"/>
          <w:szCs w:val="20"/>
          <w:color w:val="auto"/>
        </w:rPr>
      </w:pPr>
    </w:p>
    <w:p>
      <w:pPr>
        <w:jc w:val="both"/>
        <w:ind w:firstLine="1290"/>
        <w:spacing w:after="0" w:line="243" w:lineRule="auto"/>
        <w:rPr>
          <w:sz w:val="20"/>
          <w:szCs w:val="20"/>
          <w:color w:val="auto"/>
        </w:rPr>
      </w:pPr>
      <w:r>
        <w:rPr>
          <w:rFonts w:ascii="Arial" w:cs="Arial" w:eastAsia="Arial" w:hAnsi="Arial"/>
          <w:sz w:val="22"/>
          <w:szCs w:val="22"/>
          <w:b w:val="1"/>
          <w:bCs w:val="1"/>
          <w:color w:val="484448"/>
        </w:rPr>
        <w:t xml:space="preserve">2.6 </w:t>
      </w:r>
      <w:r>
        <w:rPr>
          <w:rFonts w:ascii="Arial" w:cs="Arial" w:eastAsia="Arial" w:hAnsi="Arial"/>
          <w:sz w:val="22"/>
          <w:szCs w:val="22"/>
          <w:b w:val="1"/>
          <w:bCs w:val="1"/>
          <w:color w:val="484648"/>
        </w:rPr>
        <w:t>Sign On Bonus.</w:t>
      </w:r>
      <w:r>
        <w:rPr>
          <w:rFonts w:ascii="Arial" w:cs="Arial" w:eastAsia="Arial" w:hAnsi="Arial"/>
          <w:sz w:val="22"/>
          <w:szCs w:val="22"/>
          <w:b w:val="1"/>
          <w:bCs w:val="1"/>
          <w:color w:val="484448"/>
        </w:rPr>
        <w:t xml:space="preserve"> </w:t>
      </w:r>
      <w:r>
        <w:rPr>
          <w:rFonts w:ascii="Arial" w:cs="Arial" w:eastAsia="Arial" w:hAnsi="Arial"/>
          <w:sz w:val="22"/>
          <w:szCs w:val="22"/>
          <w:color w:val="484648"/>
        </w:rPr>
        <w:t>Executive has been provided a sign on bonus of ten thousand dollars</w:t>
      </w:r>
      <w:r>
        <w:rPr>
          <w:rFonts w:ascii="Arial" w:cs="Arial" w:eastAsia="Arial" w:hAnsi="Arial"/>
          <w:sz w:val="22"/>
          <w:szCs w:val="22"/>
          <w:b w:val="1"/>
          <w:bCs w:val="1"/>
          <w:color w:val="484448"/>
        </w:rPr>
        <w:t xml:space="preserve"> </w:t>
      </w:r>
      <w:r>
        <w:rPr>
          <w:rFonts w:ascii="Arial" w:cs="Arial" w:eastAsia="Arial" w:hAnsi="Arial"/>
          <w:sz w:val="22"/>
          <w:szCs w:val="22"/>
          <w:color w:val="484648"/>
        </w:rPr>
        <w:t>($10,000), which Executive must pay back if he voluntarily terminates his employment relationship with the Company on or before December 16, 2017.</w:t>
      </w:r>
    </w:p>
    <w:p>
      <w:pPr>
        <w:spacing w:after="0" w:line="204" w:lineRule="exact"/>
        <w:rPr>
          <w:sz w:val="20"/>
          <w:szCs w:val="20"/>
          <w:color w:val="auto"/>
        </w:rPr>
      </w:pPr>
    </w:p>
    <w:p>
      <w:pPr>
        <w:ind w:left="1620" w:hanging="972"/>
        <w:spacing w:after="0"/>
        <w:tabs>
          <w:tab w:leader="none" w:pos="1620" w:val="left"/>
        </w:tabs>
        <w:numPr>
          <w:ilvl w:val="0"/>
          <w:numId w:val="39"/>
        </w:numPr>
        <w:rPr>
          <w:rFonts w:ascii="Arial" w:cs="Arial" w:eastAsia="Arial" w:hAnsi="Arial"/>
          <w:sz w:val="22"/>
          <w:szCs w:val="22"/>
          <w:b w:val="1"/>
          <w:bCs w:val="1"/>
          <w:color w:val="484448"/>
        </w:rPr>
      </w:pPr>
      <w:r>
        <w:rPr>
          <w:rFonts w:ascii="Arial" w:cs="Arial" w:eastAsia="Arial" w:hAnsi="Arial"/>
          <w:sz w:val="22"/>
          <w:szCs w:val="22"/>
          <w:b w:val="1"/>
          <w:bCs w:val="1"/>
          <w:color w:val="484648"/>
        </w:rPr>
        <w:t>Termination of Employment; Severance.</w:t>
      </w:r>
    </w:p>
    <w:p>
      <w:pPr>
        <w:spacing w:after="0" w:line="233" w:lineRule="exact"/>
        <w:rPr>
          <w:sz w:val="20"/>
          <w:szCs w:val="20"/>
          <w:color w:val="auto"/>
        </w:rPr>
      </w:pPr>
    </w:p>
    <w:p>
      <w:pPr>
        <w:ind w:firstLine="648"/>
        <w:spacing w:after="0" w:line="280" w:lineRule="auto"/>
        <w:rPr>
          <w:sz w:val="20"/>
          <w:szCs w:val="20"/>
          <w:color w:val="auto"/>
        </w:rPr>
      </w:pPr>
      <w:r>
        <w:rPr>
          <w:rFonts w:ascii="Arial" w:cs="Arial" w:eastAsia="Arial" w:hAnsi="Arial"/>
          <w:sz w:val="21"/>
          <w:szCs w:val="21"/>
          <w:b w:val="1"/>
          <w:bCs w:val="1"/>
          <w:color w:val="484448"/>
        </w:rPr>
        <w:t xml:space="preserve">3.1 </w:t>
      </w:r>
      <w:r>
        <w:rPr>
          <w:rFonts w:ascii="Arial" w:cs="Arial" w:eastAsia="Arial" w:hAnsi="Arial"/>
          <w:sz w:val="21"/>
          <w:szCs w:val="21"/>
          <w:b w:val="1"/>
          <w:bCs w:val="1"/>
          <w:color w:val="484648"/>
        </w:rPr>
        <w:t>At-Will Employment.</w:t>
      </w:r>
      <w:r>
        <w:rPr>
          <w:rFonts w:ascii="Arial" w:cs="Arial" w:eastAsia="Arial" w:hAnsi="Arial"/>
          <w:sz w:val="21"/>
          <w:szCs w:val="21"/>
          <w:b w:val="1"/>
          <w:bCs w:val="1"/>
          <w:color w:val="484448"/>
        </w:rPr>
        <w:t xml:space="preserve"> </w:t>
      </w:r>
      <w:r>
        <w:rPr>
          <w:rFonts w:ascii="Arial" w:cs="Arial" w:eastAsia="Arial" w:hAnsi="Arial"/>
          <w:sz w:val="21"/>
          <w:szCs w:val="21"/>
          <w:color w:val="484648"/>
        </w:rPr>
        <w:t>Executive's employment relationship is at- will. Either Executive or the</w:t>
      </w:r>
      <w:r>
        <w:rPr>
          <w:rFonts w:ascii="Arial" w:cs="Arial" w:eastAsia="Arial" w:hAnsi="Arial"/>
          <w:sz w:val="21"/>
          <w:szCs w:val="21"/>
          <w:b w:val="1"/>
          <w:bCs w:val="1"/>
          <w:color w:val="484448"/>
        </w:rPr>
        <w:t xml:space="preserve"> </w:t>
      </w:r>
      <w:r>
        <w:rPr>
          <w:rFonts w:ascii="Arial" w:cs="Arial" w:eastAsia="Arial" w:hAnsi="Arial"/>
          <w:sz w:val="21"/>
          <w:szCs w:val="21"/>
          <w:color w:val="484648"/>
        </w:rPr>
        <w:t>Company may terminate the employment relationship at any time, with or without Cause or advance notice</w:t>
      </w:r>
      <w:r>
        <w:rPr>
          <w:rFonts w:ascii="Arial" w:cs="Arial" w:eastAsia="Arial" w:hAnsi="Arial"/>
          <w:sz w:val="21"/>
          <w:szCs w:val="21"/>
          <w:color w:val="706E75"/>
        </w:rPr>
        <w:t>.</w:t>
      </w:r>
    </w:p>
    <w:p>
      <w:pPr>
        <w:spacing w:after="0" w:line="166"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22"/>
          <w:szCs w:val="22"/>
          <w:b w:val="1"/>
          <w:bCs w:val="1"/>
          <w:color w:val="484448"/>
        </w:rPr>
        <w:t>3.2</w:t>
      </w:r>
      <w:r>
        <w:rPr>
          <w:sz w:val="20"/>
          <w:szCs w:val="20"/>
          <w:color w:val="auto"/>
        </w:rPr>
        <w:tab/>
      </w:r>
      <w:r>
        <w:rPr>
          <w:rFonts w:ascii="Arial" w:cs="Arial" w:eastAsia="Arial" w:hAnsi="Arial"/>
          <w:sz w:val="19"/>
          <w:szCs w:val="19"/>
          <w:b w:val="1"/>
          <w:bCs w:val="1"/>
          <w:color w:val="484648"/>
        </w:rPr>
        <w:t>Termination Without Cause; Resignation for Good Reason.</w:t>
      </w:r>
    </w:p>
    <w:p>
      <w:pPr>
        <w:spacing w:after="0" w:line="239" w:lineRule="exact"/>
        <w:rPr>
          <w:sz w:val="20"/>
          <w:szCs w:val="20"/>
          <w:color w:val="auto"/>
        </w:rPr>
      </w:pPr>
    </w:p>
    <w:p>
      <w:pPr>
        <w:ind w:firstLine="648"/>
        <w:spacing w:after="0" w:line="328" w:lineRule="auto"/>
        <w:tabs>
          <w:tab w:leader="none" w:pos="1838" w:val="left"/>
        </w:tabs>
        <w:numPr>
          <w:ilvl w:val="0"/>
          <w:numId w:val="40"/>
        </w:numPr>
        <w:rPr>
          <w:rFonts w:ascii="Arial" w:cs="Arial" w:eastAsia="Arial" w:hAnsi="Arial"/>
          <w:sz w:val="19"/>
          <w:szCs w:val="19"/>
          <w:b w:val="1"/>
          <w:bCs w:val="1"/>
          <w:color w:val="484648"/>
        </w:rPr>
      </w:pPr>
      <w:r>
        <w:rPr>
          <w:rFonts w:ascii="Arial" w:cs="Arial" w:eastAsia="Arial" w:hAnsi="Arial"/>
          <w:sz w:val="19"/>
          <w:szCs w:val="19"/>
          <w:color w:val="484648"/>
        </w:rPr>
        <w:t>The Company may terminate Executive's employment with the Company at any time without Cause (as defined below)</w:t>
      </w:r>
      <w:r>
        <w:rPr>
          <w:rFonts w:ascii="Arial" w:cs="Arial" w:eastAsia="Arial" w:hAnsi="Arial"/>
          <w:sz w:val="19"/>
          <w:szCs w:val="19"/>
          <w:color w:val="706E75"/>
        </w:rPr>
        <w:t>.</w:t>
      </w:r>
      <w:r>
        <w:rPr>
          <w:rFonts w:ascii="Arial" w:cs="Arial" w:eastAsia="Arial" w:hAnsi="Arial"/>
          <w:sz w:val="19"/>
          <w:szCs w:val="19"/>
          <w:color w:val="484648"/>
        </w:rPr>
        <w:t xml:space="preserve"> Further, Executive may resign at any time for Good Reason (as defined below).</w:t>
      </w:r>
    </w:p>
    <w:p>
      <w:pPr>
        <w:spacing w:after="0" w:line="132" w:lineRule="exact"/>
        <w:rPr>
          <w:rFonts w:ascii="Arial" w:cs="Arial" w:eastAsia="Arial" w:hAnsi="Arial"/>
          <w:sz w:val="19"/>
          <w:szCs w:val="19"/>
          <w:b w:val="1"/>
          <w:bCs w:val="1"/>
          <w:color w:val="484648"/>
        </w:rPr>
      </w:pPr>
    </w:p>
    <w:p>
      <w:pPr>
        <w:jc w:val="both"/>
        <w:ind w:firstLine="648"/>
        <w:spacing w:after="0" w:line="248" w:lineRule="auto"/>
        <w:tabs>
          <w:tab w:leader="none" w:pos="1723" w:val="left"/>
        </w:tabs>
        <w:numPr>
          <w:ilvl w:val="0"/>
          <w:numId w:val="40"/>
        </w:numPr>
        <w:rPr>
          <w:rFonts w:ascii="Arial" w:cs="Arial" w:eastAsia="Arial" w:hAnsi="Arial"/>
          <w:sz w:val="21"/>
          <w:szCs w:val="21"/>
          <w:b w:val="1"/>
          <w:bCs w:val="1"/>
          <w:color w:val="484648"/>
        </w:rPr>
      </w:pPr>
      <w:r>
        <w:rPr>
          <w:rFonts w:ascii="Arial" w:cs="Arial" w:eastAsia="Arial" w:hAnsi="Arial"/>
          <w:sz w:val="21"/>
          <w:szCs w:val="21"/>
          <w:color w:val="484648"/>
        </w:rPr>
        <w:t>In the event Executive's employment with the Company is terminated by the Company without Cause, or Executive resigns for Good Reason, then provided such termination constitutes a "separation from service" (as defined under Treasury Regulation Section 1.409A-l(h), without regard to any alternative definition thereunder, a "Separation from Service"), and provided Executive remains in compliance with all contractual obligations to the Company, then the Company shall provide Executive with the following severance benefits, subject to the terms and conditions set forth in Section 4:</w:t>
      </w:r>
    </w:p>
    <w:p>
      <w:pPr>
        <w:spacing w:after="0" w:line="204" w:lineRule="exact"/>
        <w:rPr>
          <w:sz w:val="20"/>
          <w:szCs w:val="20"/>
          <w:color w:val="auto"/>
        </w:rPr>
      </w:pPr>
    </w:p>
    <w:p>
      <w:pPr>
        <w:jc w:val="both"/>
        <w:ind w:firstLine="648"/>
        <w:spacing w:after="0" w:line="297" w:lineRule="auto"/>
        <w:tabs>
          <w:tab w:leader="none" w:pos="1859" w:val="left"/>
        </w:tabs>
        <w:numPr>
          <w:ilvl w:val="0"/>
          <w:numId w:val="41"/>
        </w:numPr>
        <w:rPr>
          <w:rFonts w:ascii="Arial" w:cs="Arial" w:eastAsia="Arial" w:hAnsi="Arial"/>
          <w:sz w:val="19"/>
          <w:szCs w:val="19"/>
          <w:b w:val="1"/>
          <w:bCs w:val="1"/>
          <w:color w:val="484648"/>
        </w:rPr>
      </w:pPr>
      <w:r>
        <w:rPr>
          <w:rFonts w:ascii="Arial" w:cs="Arial" w:eastAsia="Arial" w:hAnsi="Arial"/>
          <w:sz w:val="19"/>
          <w:szCs w:val="19"/>
          <w:color w:val="484648"/>
        </w:rPr>
        <w:t xml:space="preserve">The Company shall pay Executive severance in the form of continuation of Executive's Base Salary for six </w:t>
      </w:r>
      <w:r>
        <w:rPr>
          <w:rFonts w:ascii="Arial" w:cs="Arial" w:eastAsia="Arial" w:hAnsi="Arial"/>
          <w:sz w:val="19"/>
          <w:szCs w:val="19"/>
          <w:color w:val="5B595D"/>
        </w:rPr>
        <w:t>(6)</w:t>
      </w:r>
      <w:r>
        <w:rPr>
          <w:rFonts w:ascii="Arial" w:cs="Arial" w:eastAsia="Arial" w:hAnsi="Arial"/>
          <w:sz w:val="19"/>
          <w:szCs w:val="19"/>
          <w:color w:val="484648"/>
        </w:rPr>
        <w:t xml:space="preserve"> months after the date of Executive's Separation from Service. These salary continuation payments will be paid on the Company's regular payroll schedule, subject to standard deductions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95" w:name="page96"/>
    <w:bookmarkEnd w:id="95"/>
    <w:p>
      <w:pPr>
        <w:jc w:val="both"/>
        <w:spacing w:after="0" w:line="249" w:lineRule="auto"/>
        <w:rPr>
          <w:sz w:val="20"/>
          <w:szCs w:val="20"/>
          <w:color w:val="auto"/>
        </w:rPr>
      </w:pPr>
      <w:r>
        <w:rPr>
          <w:rFonts w:ascii="Arial" w:cs="Arial" w:eastAsia="Arial" w:hAnsi="Arial"/>
          <w:sz w:val="21"/>
          <w:szCs w:val="21"/>
          <w:color w:val="484648"/>
        </w:rPr>
        <w:t xml:space="preserve">withholdings, over the six (6) month period following Executive's Separation from Service; </w:t>
      </w:r>
      <w:r>
        <w:rPr>
          <w:rFonts w:ascii="Arial" w:cs="Arial" w:eastAsia="Arial" w:hAnsi="Arial"/>
          <w:sz w:val="21"/>
          <w:szCs w:val="21"/>
          <w:i w:val="1"/>
          <w:iCs w:val="1"/>
          <w:color w:val="484648"/>
        </w:rPr>
        <w:t>provided, however, that</w:t>
      </w:r>
      <w:r>
        <w:rPr>
          <w:rFonts w:ascii="Arial" w:cs="Arial" w:eastAsia="Arial" w:hAnsi="Arial"/>
          <w:sz w:val="21"/>
          <w:szCs w:val="21"/>
          <w:color w:val="484648"/>
        </w:rPr>
        <w:t xml:space="preserve"> no payments will be made prior to the 60th day following Executive's Separation from Service. On the 60th day following Executive's Separation from Service, the Company will pay Executive in a lump sum the salary continuation payments that Executive would have received on or prior to such date under the original schedule with the balance of the cash severance being paid as originally scheduled.</w:t>
      </w:r>
    </w:p>
    <w:p>
      <w:pPr>
        <w:spacing w:after="0" w:line="206" w:lineRule="exact"/>
        <w:rPr>
          <w:sz w:val="20"/>
          <w:szCs w:val="20"/>
          <w:color w:val="auto"/>
        </w:rPr>
      </w:pPr>
    </w:p>
    <w:p>
      <w:pPr>
        <w:jc w:val="both"/>
        <w:ind w:firstLine="648"/>
        <w:spacing w:after="0" w:line="272" w:lineRule="auto"/>
        <w:tabs>
          <w:tab w:leader="none" w:pos="1790" w:val="left"/>
        </w:tabs>
        <w:numPr>
          <w:ilvl w:val="0"/>
          <w:numId w:val="42"/>
        </w:numPr>
        <w:rPr>
          <w:rFonts w:ascii="Arial" w:cs="Arial" w:eastAsia="Arial" w:hAnsi="Arial"/>
          <w:sz w:val="19"/>
          <w:szCs w:val="19"/>
          <w:b w:val="1"/>
          <w:bCs w:val="1"/>
          <w:color w:val="484648"/>
        </w:rPr>
      </w:pPr>
      <w:r>
        <w:rPr>
          <w:rFonts w:ascii="Arial" w:cs="Arial" w:eastAsia="Arial" w:hAnsi="Arial"/>
          <w:sz w:val="19"/>
          <w:szCs w:val="19"/>
          <w:color w:val="484648"/>
        </w:rPr>
        <w:t>Provided that Executive timely elects continued coverage under COBRA, the Company shall pay Executive's COBRA premiums to continue Executive's coverage (including coverage for eligible dependents, if applicable) (</w:t>
      </w:r>
      <w:r>
        <w:rPr>
          <w:rFonts w:ascii="Arial" w:cs="Arial" w:eastAsia="Arial" w:hAnsi="Arial"/>
          <w:sz w:val="19"/>
          <w:szCs w:val="19"/>
          <w:b w:val="1"/>
          <w:bCs w:val="1"/>
          <w:color w:val="484648"/>
        </w:rPr>
        <w:t>"COBRA Premiums"</w:t>
      </w:r>
      <w:r>
        <w:rPr>
          <w:rFonts w:ascii="Arial" w:cs="Arial" w:eastAsia="Arial" w:hAnsi="Arial"/>
          <w:sz w:val="19"/>
          <w:szCs w:val="19"/>
          <w:color w:val="484648"/>
        </w:rPr>
        <w:t xml:space="preserve">) through the period (the </w:t>
      </w:r>
      <w:r>
        <w:rPr>
          <w:rFonts w:ascii="Arial" w:cs="Arial" w:eastAsia="Arial" w:hAnsi="Arial"/>
          <w:sz w:val="19"/>
          <w:szCs w:val="19"/>
          <w:b w:val="1"/>
          <w:bCs w:val="1"/>
          <w:color w:val="484648"/>
        </w:rPr>
        <w:t>"COBRA Premium Period"</w:t>
      </w:r>
      <w:r>
        <w:rPr>
          <w:rFonts w:ascii="Arial" w:cs="Arial" w:eastAsia="Arial" w:hAnsi="Arial"/>
          <w:sz w:val="19"/>
          <w:szCs w:val="19"/>
          <w:color w:val="484648"/>
        </w:rPr>
        <w:t xml:space="preserve">) starting on the Executive's Separation from Service and ending on the earliest to occur of: (i) six (6) months following Executive's Separation from Service; (ii) the date Executive becomes eligible for group health insurance coverage through a new employer; or </w:t>
      </w:r>
      <w:r>
        <w:rPr>
          <w:rFonts w:ascii="Arial" w:cs="Arial" w:eastAsia="Arial" w:hAnsi="Arial"/>
          <w:sz w:val="19"/>
          <w:szCs w:val="19"/>
          <w:color w:val="5B595D"/>
        </w:rPr>
        <w:t>(iii)</w:t>
      </w:r>
      <w:r>
        <w:rPr>
          <w:rFonts w:ascii="Arial" w:cs="Arial" w:eastAsia="Arial" w:hAnsi="Arial"/>
          <w:sz w:val="19"/>
          <w:szCs w:val="19"/>
          <w:color w:val="484648"/>
        </w:rPr>
        <w:t xml:space="preserve">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remaining in the COBRA Premium Period, a fully taxable cash payment equal to the </w:t>
      </w:r>
      <w:r>
        <w:rPr>
          <w:rFonts w:ascii="Arial" w:cs="Arial" w:eastAsia="Arial" w:hAnsi="Arial"/>
          <w:sz w:val="19"/>
          <w:szCs w:val="19"/>
          <w:color w:val="494649"/>
        </w:rPr>
        <w:t>applicable COBRA premiums for that month, subject to applicable tax withholdings,</w:t>
      </w:r>
      <w:r>
        <w:rPr>
          <w:rFonts w:ascii="Arial" w:cs="Arial" w:eastAsia="Arial" w:hAnsi="Arial"/>
          <w:sz w:val="19"/>
          <w:szCs w:val="19"/>
          <w:color w:val="484648"/>
        </w:rPr>
        <w:t xml:space="preserve"> </w:t>
      </w:r>
      <w:r>
        <w:rPr>
          <w:rFonts w:ascii="Arial" w:cs="Arial" w:eastAsia="Arial" w:hAnsi="Arial"/>
          <w:sz w:val="19"/>
          <w:szCs w:val="19"/>
          <w:color w:val="494649"/>
        </w:rPr>
        <w:t>which Executive may, but is not obligated to, use toward the cost of COBRA premiums.</w:t>
      </w:r>
    </w:p>
    <w:p>
      <w:pPr>
        <w:spacing w:after="0" w:line="184" w:lineRule="exact"/>
        <w:rPr>
          <w:rFonts w:ascii="Arial" w:cs="Arial" w:eastAsia="Arial" w:hAnsi="Arial"/>
          <w:sz w:val="19"/>
          <w:szCs w:val="19"/>
          <w:b w:val="1"/>
          <w:bCs w:val="1"/>
          <w:color w:val="484648"/>
        </w:rPr>
      </w:pPr>
    </w:p>
    <w:p>
      <w:pPr>
        <w:jc w:val="both"/>
        <w:ind w:firstLine="648"/>
        <w:spacing w:after="0" w:line="258" w:lineRule="auto"/>
        <w:tabs>
          <w:tab w:leader="none" w:pos="1995" w:val="left"/>
        </w:tabs>
        <w:numPr>
          <w:ilvl w:val="0"/>
          <w:numId w:val="42"/>
        </w:numPr>
        <w:rPr>
          <w:rFonts w:ascii="Arial" w:cs="Arial" w:eastAsia="Arial" w:hAnsi="Arial"/>
          <w:sz w:val="21"/>
          <w:szCs w:val="21"/>
          <w:b w:val="1"/>
          <w:bCs w:val="1"/>
          <w:color w:val="484648"/>
        </w:rPr>
      </w:pPr>
      <w:r>
        <w:rPr>
          <w:rFonts w:ascii="Arial" w:cs="Arial" w:eastAsia="Arial" w:hAnsi="Arial"/>
          <w:sz w:val="21"/>
          <w:szCs w:val="21"/>
          <w:color w:val="494649"/>
        </w:rPr>
        <w:t>The vesting of Executive's Options shall be accelerated such that the shares subject to the Options that would have vested in the six (6) month period following Executive's Separation from Service shall be deemed immediately vested and exercisable as of Executive's last day of employment.</w:t>
      </w:r>
    </w:p>
    <w:p>
      <w:pPr>
        <w:spacing w:after="0" w:line="188" w:lineRule="exact"/>
        <w:rPr>
          <w:sz w:val="20"/>
          <w:szCs w:val="20"/>
          <w:color w:val="auto"/>
        </w:rPr>
      </w:pPr>
    </w:p>
    <w:p>
      <w:pPr>
        <w:ind w:left="640"/>
        <w:spacing w:after="0"/>
        <w:tabs>
          <w:tab w:leader="none" w:pos="1600" w:val="left"/>
        </w:tabs>
        <w:rPr>
          <w:sz w:val="20"/>
          <w:szCs w:val="20"/>
          <w:color w:val="auto"/>
        </w:rPr>
      </w:pPr>
      <w:r>
        <w:rPr>
          <w:rFonts w:ascii="Arial" w:cs="Arial" w:eastAsia="Arial" w:hAnsi="Arial"/>
          <w:sz w:val="22"/>
          <w:szCs w:val="22"/>
          <w:b w:val="1"/>
          <w:bCs w:val="1"/>
          <w:color w:val="484448"/>
        </w:rPr>
        <w:t>3.3</w:t>
      </w:r>
      <w:r>
        <w:rPr>
          <w:sz w:val="20"/>
          <w:szCs w:val="20"/>
          <w:color w:val="auto"/>
        </w:rPr>
        <w:tab/>
      </w:r>
      <w:r>
        <w:rPr>
          <w:rFonts w:ascii="Arial" w:cs="Arial" w:eastAsia="Arial" w:hAnsi="Arial"/>
          <w:sz w:val="19"/>
          <w:szCs w:val="19"/>
          <w:b w:val="1"/>
          <w:bCs w:val="1"/>
          <w:color w:val="494649"/>
        </w:rPr>
        <w:t>Termination for Cause; Resignation Without Good Reason; Death or Disability.</w:t>
      </w:r>
    </w:p>
    <w:p>
      <w:pPr>
        <w:spacing w:after="0" w:line="239" w:lineRule="exact"/>
        <w:rPr>
          <w:sz w:val="20"/>
          <w:szCs w:val="20"/>
          <w:color w:val="auto"/>
        </w:rPr>
      </w:pPr>
    </w:p>
    <w:p>
      <w:pPr>
        <w:jc w:val="both"/>
        <w:ind w:firstLine="648"/>
        <w:spacing w:after="0"/>
        <w:tabs>
          <w:tab w:leader="none" w:pos="1703" w:val="left"/>
        </w:tabs>
        <w:numPr>
          <w:ilvl w:val="0"/>
          <w:numId w:val="43"/>
        </w:numPr>
        <w:rPr>
          <w:rFonts w:ascii="Arial" w:cs="Arial" w:eastAsia="Arial" w:hAnsi="Arial"/>
          <w:sz w:val="22"/>
          <w:szCs w:val="22"/>
          <w:b w:val="1"/>
          <w:bCs w:val="1"/>
          <w:color w:val="484648"/>
        </w:rPr>
      </w:pPr>
      <w:r>
        <w:rPr>
          <w:rFonts w:ascii="Arial" w:cs="Arial" w:eastAsia="Arial" w:hAnsi="Arial"/>
          <w:sz w:val="22"/>
          <w:szCs w:val="22"/>
          <w:color w:val="494649"/>
        </w:rPr>
        <w:t>The Company may terminate Executive's employment with the Company at any time for Cause. Further, Executive may resign at any time without Good Reason. Executive's employment with the Company may also be terminated due to Executive's death or disability.</w:t>
      </w:r>
    </w:p>
    <w:p>
      <w:pPr>
        <w:spacing w:after="0" w:line="213" w:lineRule="exact"/>
        <w:rPr>
          <w:rFonts w:ascii="Arial" w:cs="Arial" w:eastAsia="Arial" w:hAnsi="Arial"/>
          <w:sz w:val="22"/>
          <w:szCs w:val="22"/>
          <w:b w:val="1"/>
          <w:bCs w:val="1"/>
          <w:color w:val="484648"/>
        </w:rPr>
      </w:pPr>
    </w:p>
    <w:p>
      <w:pPr>
        <w:jc w:val="both"/>
        <w:ind w:firstLine="648"/>
        <w:spacing w:after="0" w:line="277" w:lineRule="auto"/>
        <w:tabs>
          <w:tab w:leader="none" w:pos="1669" w:val="left"/>
        </w:tabs>
        <w:numPr>
          <w:ilvl w:val="0"/>
          <w:numId w:val="43"/>
        </w:numPr>
        <w:rPr>
          <w:rFonts w:ascii="Arial" w:cs="Arial" w:eastAsia="Arial" w:hAnsi="Arial"/>
          <w:sz w:val="19"/>
          <w:szCs w:val="19"/>
          <w:b w:val="1"/>
          <w:bCs w:val="1"/>
          <w:color w:val="484648"/>
        </w:rPr>
      </w:pPr>
      <w:r>
        <w:rPr>
          <w:rFonts w:ascii="Arial" w:cs="Arial" w:eastAsia="Arial" w:hAnsi="Arial"/>
          <w:sz w:val="19"/>
          <w:szCs w:val="19"/>
          <w:color w:val="494649"/>
        </w:rPr>
        <w:t xml:space="preserve">If Executive resigns without Good Reason, or the Company terminates Executive </w:t>
      </w:r>
      <w:r>
        <w:rPr>
          <w:rFonts w:ascii="Arial" w:cs="Arial" w:eastAsia="Arial" w:hAnsi="Arial"/>
          <w:sz w:val="19"/>
          <w:szCs w:val="19"/>
          <w:color w:val="696B6E"/>
        </w:rPr>
        <w:t>'</w:t>
      </w:r>
      <w:r>
        <w:rPr>
          <w:rFonts w:ascii="Arial" w:cs="Arial" w:eastAsia="Arial" w:hAnsi="Arial"/>
          <w:sz w:val="19"/>
          <w:szCs w:val="19"/>
          <w:color w:val="494649"/>
        </w:rPr>
        <w:t>s employment for Cause, or upon Executive's death or disability, then (i) Executive will no longer vest in the Options, (ii) all payments of compensation by the Company to Executive hereunder will terminate immediately (except as to amounts already earned), and (c) Executive will not be entitled to any severance benefits, including (without limitation) the Severance, COBRA Premiums, Special Cash Payments or Accelerated Vesting</w:t>
      </w:r>
      <w:r>
        <w:rPr>
          <w:rFonts w:ascii="Arial" w:cs="Arial" w:eastAsia="Arial" w:hAnsi="Arial"/>
          <w:sz w:val="19"/>
          <w:szCs w:val="19"/>
          <w:color w:val="696B6E"/>
        </w:rPr>
        <w:t>.</w:t>
      </w:r>
      <w:r>
        <w:rPr>
          <w:rFonts w:ascii="Arial" w:cs="Arial" w:eastAsia="Arial" w:hAnsi="Arial"/>
          <w:sz w:val="19"/>
          <w:szCs w:val="19"/>
          <w:color w:val="494649"/>
        </w:rPr>
        <w:t xml:space="preserve"> In addition, Executive shall resign from all positions and terminate any relationships as an employee, advisor, officer or director with the Company and any of its affiliates, each effective on the date of termination.</w:t>
      </w:r>
    </w:p>
    <w:p>
      <w:pPr>
        <w:spacing w:after="0" w:line="174" w:lineRule="exact"/>
        <w:rPr>
          <w:sz w:val="20"/>
          <w:szCs w:val="20"/>
          <w:color w:val="auto"/>
        </w:rPr>
      </w:pPr>
    </w:p>
    <w:p>
      <w:pPr>
        <w:jc w:val="both"/>
        <w:ind w:firstLine="648"/>
        <w:spacing w:after="0" w:line="280" w:lineRule="auto"/>
        <w:tabs>
          <w:tab w:leader="none" w:pos="1904" w:val="left"/>
        </w:tabs>
        <w:numPr>
          <w:ilvl w:val="0"/>
          <w:numId w:val="44"/>
        </w:numPr>
        <w:rPr>
          <w:rFonts w:ascii="Arial" w:cs="Arial" w:eastAsia="Arial" w:hAnsi="Arial"/>
          <w:sz w:val="19"/>
          <w:szCs w:val="19"/>
          <w:b w:val="1"/>
          <w:bCs w:val="1"/>
          <w:color w:val="484448"/>
        </w:rPr>
      </w:pPr>
      <w:r>
        <w:rPr>
          <w:rFonts w:ascii="Arial" w:cs="Arial" w:eastAsia="Arial" w:hAnsi="Arial"/>
          <w:sz w:val="19"/>
          <w:szCs w:val="19"/>
          <w:b w:val="1"/>
          <w:bCs w:val="1"/>
          <w:color w:val="494649"/>
        </w:rPr>
        <w:t xml:space="preserve">Conditions to Receipt of Severance Benefits. </w:t>
      </w:r>
      <w:r>
        <w:rPr>
          <w:rFonts w:ascii="Arial" w:cs="Arial" w:eastAsia="Arial" w:hAnsi="Arial"/>
          <w:sz w:val="19"/>
          <w:szCs w:val="19"/>
          <w:color w:val="494649"/>
        </w:rPr>
        <w:t>Executive's receipt of the severance benefits</w:t>
      </w:r>
      <w:r>
        <w:rPr>
          <w:rFonts w:ascii="Arial" w:cs="Arial" w:eastAsia="Arial" w:hAnsi="Arial"/>
          <w:sz w:val="19"/>
          <w:szCs w:val="19"/>
          <w:b w:val="1"/>
          <w:bCs w:val="1"/>
          <w:color w:val="494649"/>
        </w:rPr>
        <w:t xml:space="preserve"> </w:t>
      </w:r>
      <w:r>
        <w:rPr>
          <w:rFonts w:ascii="Arial" w:cs="Arial" w:eastAsia="Arial" w:hAnsi="Arial"/>
          <w:sz w:val="19"/>
          <w:szCs w:val="19"/>
          <w:color w:val="494649"/>
        </w:rPr>
        <w:t xml:space="preserve">described in Section 3.2 is contingent upon Executive signing and not revoking a separation agreement and release of claims in a form reasonably satisfactory to the Company (the </w:t>
      </w:r>
      <w:r>
        <w:rPr>
          <w:rFonts w:ascii="Arial" w:cs="Arial" w:eastAsia="Arial" w:hAnsi="Arial"/>
          <w:sz w:val="19"/>
          <w:szCs w:val="19"/>
          <w:b w:val="1"/>
          <w:bCs w:val="1"/>
          <w:color w:val="494649"/>
        </w:rPr>
        <w:t>"Separation Agreement"</w:t>
      </w:r>
      <w:r>
        <w:rPr>
          <w:rFonts w:ascii="Arial" w:cs="Arial" w:eastAsia="Arial" w:hAnsi="Arial"/>
          <w:sz w:val="19"/>
          <w:szCs w:val="19"/>
          <w:color w:val="494649"/>
        </w:rPr>
        <w:t>). No severance benefits will be paid or provided until the Separation Agreement becomes effective. Executive shall also resign from all positions and terminate any relationships as an employee, advisor, officer or director with the Company and any of its affiliates, each effective on the date of termination.</w:t>
      </w:r>
    </w:p>
    <w:p>
      <w:pPr>
        <w:spacing w:after="0" w:line="172" w:lineRule="exact"/>
        <w:rPr>
          <w:rFonts w:ascii="Arial" w:cs="Arial" w:eastAsia="Arial" w:hAnsi="Arial"/>
          <w:sz w:val="19"/>
          <w:szCs w:val="19"/>
          <w:b w:val="1"/>
          <w:bCs w:val="1"/>
          <w:color w:val="484448"/>
        </w:rPr>
      </w:pPr>
    </w:p>
    <w:p>
      <w:pPr>
        <w:jc w:val="both"/>
        <w:ind w:firstLine="648"/>
        <w:spacing w:after="0" w:line="301" w:lineRule="auto"/>
        <w:tabs>
          <w:tab w:leader="none" w:pos="1688" w:val="left"/>
        </w:tabs>
        <w:numPr>
          <w:ilvl w:val="0"/>
          <w:numId w:val="44"/>
        </w:numPr>
        <w:rPr>
          <w:rFonts w:ascii="Arial" w:cs="Arial" w:eastAsia="Arial" w:hAnsi="Arial"/>
          <w:sz w:val="19"/>
          <w:szCs w:val="19"/>
          <w:b w:val="1"/>
          <w:bCs w:val="1"/>
          <w:color w:val="484448"/>
        </w:rPr>
      </w:pPr>
      <w:r>
        <w:rPr>
          <w:rFonts w:ascii="Arial" w:cs="Arial" w:eastAsia="Arial" w:hAnsi="Arial"/>
          <w:sz w:val="19"/>
          <w:szCs w:val="19"/>
          <w:b w:val="1"/>
          <w:bCs w:val="1"/>
          <w:color w:val="494649"/>
        </w:rPr>
        <w:t xml:space="preserve">Section 409A. </w:t>
      </w:r>
      <w:r>
        <w:rPr>
          <w:rFonts w:ascii="Arial" w:cs="Arial" w:eastAsia="Arial" w:hAnsi="Arial"/>
          <w:sz w:val="19"/>
          <w:szCs w:val="19"/>
          <w:color w:val="494649"/>
        </w:rPr>
        <w:t>It is intended that all of the severance benefits and other payments payable under</w:t>
      </w:r>
      <w:r>
        <w:rPr>
          <w:rFonts w:ascii="Arial" w:cs="Arial" w:eastAsia="Arial" w:hAnsi="Arial"/>
          <w:sz w:val="19"/>
          <w:szCs w:val="19"/>
          <w:b w:val="1"/>
          <w:bCs w:val="1"/>
          <w:color w:val="494649"/>
        </w:rPr>
        <w:t xml:space="preserve"> </w:t>
      </w:r>
      <w:r>
        <w:rPr>
          <w:rFonts w:ascii="Arial" w:cs="Arial" w:eastAsia="Arial" w:hAnsi="Arial"/>
          <w:sz w:val="19"/>
          <w:szCs w:val="19"/>
          <w:color w:val="494649"/>
        </w:rPr>
        <w:t>this Agreement satisfy, to the greatest extent possible, the exemptions from the application of Internal Revenue Code Section 409A provided under Treasury Regulations 1.409A-l(b)(4), 1.409A-l(b)(5) and 1.409A-</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6" w:name="page97"/>
    <w:bookmarkEnd w:id="96"/>
    <w:p>
      <w:pPr>
        <w:jc w:val="both"/>
        <w:spacing w:after="0" w:line="270" w:lineRule="auto"/>
        <w:rPr>
          <w:sz w:val="20"/>
          <w:szCs w:val="20"/>
          <w:color w:val="auto"/>
        </w:rPr>
      </w:pPr>
      <w:r>
        <w:rPr>
          <w:rFonts w:ascii="Arial" w:cs="Arial" w:eastAsia="Arial" w:hAnsi="Arial"/>
          <w:sz w:val="19"/>
          <w:szCs w:val="19"/>
          <w:color w:val="494649"/>
        </w:rPr>
        <w:t xml:space="preserve">l(b)(9),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w:t>
      </w:r>
      <w:r>
        <w:rPr>
          <w:rFonts w:ascii="Arial" w:cs="Arial" w:eastAsia="Arial" w:hAnsi="Arial"/>
          <w:sz w:val="19"/>
          <w:szCs w:val="19"/>
          <w:color w:val="494648"/>
        </w:rPr>
        <w:t>the Company at the time of Executive's Separation from Service to be a "specified employee" for</w:t>
      </w:r>
      <w:r>
        <w:rPr>
          <w:rFonts w:ascii="Arial" w:cs="Arial" w:eastAsia="Arial" w:hAnsi="Arial"/>
          <w:sz w:val="19"/>
          <w:szCs w:val="19"/>
          <w:color w:val="494649"/>
        </w:rPr>
        <w:t xml:space="preserve"> </w:t>
      </w:r>
      <w:r>
        <w:rPr>
          <w:rFonts w:ascii="Arial" w:cs="Arial" w:eastAsia="Arial" w:hAnsi="Arial"/>
          <w:sz w:val="19"/>
          <w:szCs w:val="19"/>
          <w:color w:val="494648"/>
        </w:rPr>
        <w:t>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 imposition of adverse taxation</w:t>
      </w:r>
      <w:r>
        <w:rPr>
          <w:rFonts w:ascii="Arial" w:cs="Arial" w:eastAsia="Arial" w:hAnsi="Arial"/>
          <w:sz w:val="19"/>
          <w:szCs w:val="19"/>
          <w:color w:val="646467"/>
        </w:rPr>
        <w:t>.</w:t>
      </w:r>
      <w:r>
        <w:rPr>
          <w:rFonts w:ascii="Arial" w:cs="Arial" w:eastAsia="Arial" w:hAnsi="Arial"/>
          <w:sz w:val="19"/>
          <w:szCs w:val="19"/>
          <w:color w:val="494648"/>
        </w:rPr>
        <w:t xml:space="preserve">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200" w:lineRule="exact"/>
        <w:rPr>
          <w:sz w:val="20"/>
          <w:szCs w:val="20"/>
          <w:color w:val="auto"/>
        </w:rPr>
      </w:pPr>
    </w:p>
    <w:p>
      <w:pPr>
        <w:spacing w:after="0" w:line="232" w:lineRule="exact"/>
        <w:rPr>
          <w:sz w:val="20"/>
          <w:szCs w:val="20"/>
          <w:color w:val="auto"/>
        </w:rPr>
      </w:pPr>
    </w:p>
    <w:p>
      <w:pPr>
        <w:ind w:left="1620" w:hanging="972"/>
        <w:spacing w:after="0"/>
        <w:tabs>
          <w:tab w:leader="none" w:pos="1620" w:val="left"/>
        </w:tabs>
        <w:numPr>
          <w:ilvl w:val="0"/>
          <w:numId w:val="45"/>
        </w:numPr>
        <w:rPr>
          <w:rFonts w:ascii="Arial" w:cs="Arial" w:eastAsia="Arial" w:hAnsi="Arial"/>
          <w:sz w:val="22"/>
          <w:szCs w:val="22"/>
          <w:b w:val="1"/>
          <w:bCs w:val="1"/>
          <w:color w:val="484448"/>
        </w:rPr>
      </w:pPr>
      <w:r>
        <w:rPr>
          <w:rFonts w:ascii="Arial" w:cs="Arial" w:eastAsia="Arial" w:hAnsi="Arial"/>
          <w:sz w:val="22"/>
          <w:szCs w:val="22"/>
          <w:b w:val="1"/>
          <w:bCs w:val="1"/>
          <w:color w:val="494648"/>
        </w:rPr>
        <w:t>Definitions.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484448"/>
        </w:rPr>
        <w:t xml:space="preserve">6.1 </w:t>
      </w:r>
      <w:r>
        <w:rPr>
          <w:rFonts w:ascii="Arial" w:cs="Arial" w:eastAsia="Arial" w:hAnsi="Arial"/>
          <w:sz w:val="21"/>
          <w:szCs w:val="21"/>
          <w:b w:val="1"/>
          <w:bCs w:val="1"/>
          <w:color w:val="494648"/>
        </w:rPr>
        <w:t>Cause.</w:t>
      </w:r>
      <w:r>
        <w:rPr>
          <w:rFonts w:ascii="Arial" w:cs="Arial" w:eastAsia="Arial" w:hAnsi="Arial"/>
          <w:sz w:val="21"/>
          <w:szCs w:val="21"/>
          <w:b w:val="1"/>
          <w:bCs w:val="1"/>
          <w:color w:val="484448"/>
        </w:rPr>
        <w:t xml:space="preserve"> </w:t>
      </w:r>
      <w:r>
        <w:rPr>
          <w:rFonts w:ascii="Arial" w:cs="Arial" w:eastAsia="Arial" w:hAnsi="Arial"/>
          <w:sz w:val="21"/>
          <w:szCs w:val="21"/>
          <w:color w:val="494648"/>
        </w:rPr>
        <w:t>For purposes of this Agreement,</w:t>
      </w:r>
      <w:r>
        <w:rPr>
          <w:rFonts w:ascii="Arial" w:cs="Arial" w:eastAsia="Arial" w:hAnsi="Arial"/>
          <w:sz w:val="21"/>
          <w:szCs w:val="21"/>
          <w:b w:val="1"/>
          <w:bCs w:val="1"/>
          <w:color w:val="484448"/>
        </w:rPr>
        <w:t xml:space="preserve"> </w:t>
      </w:r>
      <w:r>
        <w:rPr>
          <w:rFonts w:ascii="Arial" w:cs="Arial" w:eastAsia="Arial" w:hAnsi="Arial"/>
          <w:sz w:val="21"/>
          <w:szCs w:val="21"/>
          <w:b w:val="1"/>
          <w:bCs w:val="1"/>
          <w:color w:val="494648"/>
        </w:rPr>
        <w:t>"Cause"</w:t>
      </w:r>
      <w:r>
        <w:rPr>
          <w:rFonts w:ascii="Arial" w:cs="Arial" w:eastAsia="Arial" w:hAnsi="Arial"/>
          <w:sz w:val="21"/>
          <w:szCs w:val="21"/>
          <w:b w:val="1"/>
          <w:bCs w:val="1"/>
          <w:color w:val="484448"/>
        </w:rPr>
        <w:t xml:space="preserve"> </w:t>
      </w:r>
      <w:r>
        <w:rPr>
          <w:rFonts w:ascii="Arial" w:cs="Arial" w:eastAsia="Arial" w:hAnsi="Arial"/>
          <w:sz w:val="21"/>
          <w:szCs w:val="21"/>
          <w:color w:val="494648"/>
        </w:rPr>
        <w:t>for termination of Executive</w:t>
      </w:r>
      <w:r>
        <w:rPr>
          <w:rFonts w:ascii="Arial" w:cs="Arial" w:eastAsia="Arial" w:hAnsi="Arial"/>
          <w:sz w:val="21"/>
          <w:szCs w:val="21"/>
          <w:color w:val="646467"/>
        </w:rPr>
        <w:t>'</w:t>
      </w:r>
      <w:r>
        <w:rPr>
          <w:rFonts w:ascii="Arial" w:cs="Arial" w:eastAsia="Arial" w:hAnsi="Arial"/>
          <w:sz w:val="21"/>
          <w:szCs w:val="21"/>
          <w:color w:val="494648"/>
        </w:rPr>
        <w:t>s employment</w:t>
      </w:r>
      <w:r>
        <w:rPr>
          <w:rFonts w:ascii="Arial" w:cs="Arial" w:eastAsia="Arial" w:hAnsi="Arial"/>
          <w:sz w:val="21"/>
          <w:szCs w:val="21"/>
          <w:b w:val="1"/>
          <w:bCs w:val="1"/>
          <w:color w:val="484448"/>
        </w:rPr>
        <w:t xml:space="preserve"> </w:t>
      </w:r>
      <w:r>
        <w:rPr>
          <w:rFonts w:ascii="Arial" w:cs="Arial" w:eastAsia="Arial" w:hAnsi="Arial"/>
          <w:sz w:val="21"/>
          <w:szCs w:val="21"/>
          <w:color w:val="494648"/>
        </w:rPr>
        <w:t>will mean</w:t>
      </w:r>
      <w:r>
        <w:rPr>
          <w:rFonts w:ascii="Arial" w:cs="Arial" w:eastAsia="Arial" w:hAnsi="Arial"/>
          <w:sz w:val="21"/>
          <w:szCs w:val="21"/>
          <w:color w:val="646467"/>
        </w:rPr>
        <w:t>:</w:t>
      </w:r>
      <w:r>
        <w:rPr>
          <w:rFonts w:ascii="Arial" w:cs="Arial" w:eastAsia="Arial" w:hAnsi="Arial"/>
          <w:sz w:val="21"/>
          <w:szCs w:val="21"/>
          <w:color w:val="494648"/>
        </w:rPr>
        <w:t xml:space="preserve"> (a) commission of any felony or crime involving fraud, dishonesty or moral turpitude under the laws of the United States or any state thereof; (b) attempted commission of, or participation in, a fraud or act of dishonesty against the Company; (c) intentional, material violation of any contract or agreement between Executive and the Company or of any statutory duty owed to the Company; (d) unauthorized use or disclosure of the Company's confidential information or trade secrets; or (e) gross misconduct.</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484448"/>
        </w:rPr>
        <w:t xml:space="preserve">6.2 </w:t>
      </w:r>
      <w:r>
        <w:rPr>
          <w:rFonts w:ascii="Arial" w:cs="Arial" w:eastAsia="Arial" w:hAnsi="Arial"/>
          <w:sz w:val="19"/>
          <w:szCs w:val="19"/>
          <w:b w:val="1"/>
          <w:bCs w:val="1"/>
          <w:color w:val="494648"/>
        </w:rPr>
        <w:t>Good Reason.</w:t>
      </w:r>
      <w:r>
        <w:rPr>
          <w:rFonts w:ascii="Arial" w:cs="Arial" w:eastAsia="Arial" w:hAnsi="Arial"/>
          <w:sz w:val="19"/>
          <w:szCs w:val="19"/>
          <w:b w:val="1"/>
          <w:bCs w:val="1"/>
          <w:color w:val="484448"/>
        </w:rPr>
        <w:t xml:space="preserve"> </w:t>
      </w:r>
      <w:r>
        <w:rPr>
          <w:rFonts w:ascii="Arial" w:cs="Arial" w:eastAsia="Arial" w:hAnsi="Arial"/>
          <w:sz w:val="19"/>
          <w:szCs w:val="19"/>
          <w:color w:val="494648"/>
        </w:rPr>
        <w:t>For purposes of this Agreement, Executive shall have</w:t>
      </w:r>
      <w:r>
        <w:rPr>
          <w:rFonts w:ascii="Arial" w:cs="Arial" w:eastAsia="Arial" w:hAnsi="Arial"/>
          <w:sz w:val="19"/>
          <w:szCs w:val="19"/>
          <w:b w:val="1"/>
          <w:bCs w:val="1"/>
          <w:color w:val="484448"/>
        </w:rPr>
        <w:t xml:space="preserve"> </w:t>
      </w:r>
      <w:r>
        <w:rPr>
          <w:rFonts w:ascii="Arial" w:cs="Arial" w:eastAsia="Arial" w:hAnsi="Arial"/>
          <w:sz w:val="19"/>
          <w:szCs w:val="19"/>
          <w:b w:val="1"/>
          <w:bCs w:val="1"/>
          <w:color w:val="494648"/>
        </w:rPr>
        <w:t>"Good Reason"</w:t>
      </w:r>
      <w:r>
        <w:rPr>
          <w:rFonts w:ascii="Arial" w:cs="Arial" w:eastAsia="Arial" w:hAnsi="Arial"/>
          <w:sz w:val="19"/>
          <w:szCs w:val="19"/>
          <w:b w:val="1"/>
          <w:bCs w:val="1"/>
          <w:color w:val="484448"/>
        </w:rPr>
        <w:t xml:space="preserve"> </w:t>
      </w:r>
      <w:r>
        <w:rPr>
          <w:rFonts w:ascii="Arial" w:cs="Arial" w:eastAsia="Arial" w:hAnsi="Arial"/>
          <w:sz w:val="19"/>
          <w:szCs w:val="19"/>
          <w:color w:val="494648"/>
        </w:rPr>
        <w:t>for</w:t>
      </w:r>
      <w:r>
        <w:rPr>
          <w:rFonts w:ascii="Arial" w:cs="Arial" w:eastAsia="Arial" w:hAnsi="Arial"/>
          <w:sz w:val="19"/>
          <w:szCs w:val="19"/>
          <w:b w:val="1"/>
          <w:bCs w:val="1"/>
          <w:color w:val="484448"/>
        </w:rPr>
        <w:t xml:space="preserve"> </w:t>
      </w:r>
      <w:r>
        <w:rPr>
          <w:rFonts w:ascii="Arial" w:cs="Arial" w:eastAsia="Arial" w:hAnsi="Arial"/>
          <w:sz w:val="19"/>
          <w:szCs w:val="19"/>
          <w:color w:val="494648"/>
        </w:rPr>
        <w:t>resignation from employment with the Company if any of the following actions are taken by the Company or a successor corporation or entity without Executive's prior written consent: (a) a material reduction in Executive</w:t>
      </w:r>
      <w:r>
        <w:rPr>
          <w:rFonts w:ascii="Arial" w:cs="Arial" w:eastAsia="Arial" w:hAnsi="Arial"/>
          <w:sz w:val="19"/>
          <w:szCs w:val="19"/>
          <w:color w:val="646467"/>
        </w:rPr>
        <w:t>'</w:t>
      </w:r>
      <w:r>
        <w:rPr>
          <w:rFonts w:ascii="Arial" w:cs="Arial" w:eastAsia="Arial" w:hAnsi="Arial"/>
          <w:sz w:val="19"/>
          <w:szCs w:val="19"/>
          <w:color w:val="494648"/>
        </w:rPr>
        <w:t>s base salary, which the Parties agree is a reduction of at least 10% of Executive's Base Salary (unless pursuant to a salary reduction program applicable generally to the Company</w:t>
      </w:r>
      <w:r>
        <w:rPr>
          <w:rFonts w:ascii="Arial" w:cs="Arial" w:eastAsia="Arial" w:hAnsi="Arial"/>
          <w:sz w:val="19"/>
          <w:szCs w:val="19"/>
          <w:color w:val="707577"/>
        </w:rPr>
        <w:t>'</w:t>
      </w:r>
      <w:r>
        <w:rPr>
          <w:rFonts w:ascii="Arial" w:cs="Arial" w:eastAsia="Arial" w:hAnsi="Arial"/>
          <w:sz w:val="19"/>
          <w:szCs w:val="19"/>
          <w:color w:val="494648"/>
        </w:rPr>
        <w:t xml:space="preserve">s similarly situated employees); (b) a material reduction in Executive's duties (including responsibilities and/or authorities), </w:t>
      </w:r>
      <w:r>
        <w:rPr>
          <w:rFonts w:ascii="Arial" w:cs="Arial" w:eastAsia="Arial" w:hAnsi="Arial"/>
          <w:sz w:val="19"/>
          <w:szCs w:val="19"/>
          <w:i w:val="1"/>
          <w:iCs w:val="1"/>
          <w:color w:val="494648"/>
        </w:rPr>
        <w:t>provided, however, that</w:t>
      </w:r>
      <w:r>
        <w:rPr>
          <w:rFonts w:ascii="Arial" w:cs="Arial" w:eastAsia="Arial" w:hAnsi="Arial"/>
          <w:sz w:val="19"/>
          <w:szCs w:val="19"/>
          <w:color w:val="494648"/>
        </w:rPr>
        <w:t xml:space="preserve"> a change in job position (including a change in title) shall not be deemed a "material reduction" in and of itself unless Executive's new duties are materially reduced from the prior duties; or (c) relocation of Executive</w:t>
      </w:r>
      <w:r>
        <w:rPr>
          <w:rFonts w:ascii="Arial" w:cs="Arial" w:eastAsia="Arial" w:hAnsi="Arial"/>
          <w:sz w:val="19"/>
          <w:szCs w:val="19"/>
          <w:color w:val="646467"/>
        </w:rPr>
        <w:t>'</w:t>
      </w:r>
      <w:r>
        <w:rPr>
          <w:rFonts w:ascii="Arial" w:cs="Arial" w:eastAsia="Arial" w:hAnsi="Arial"/>
          <w:sz w:val="19"/>
          <w:szCs w:val="19"/>
          <w:color w:val="494648"/>
        </w:rPr>
        <w:t>s principal place of employment to a place that increases Executive's one-way commute by more than thirty-five (35) miles as compared to Executive's principal place of employment immediately prior to such relocation. In order to resign for Good Reason, Executive must provide written notice to the Board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30 days after the expiration of the cure period.</w:t>
      </w:r>
    </w:p>
    <w:p>
      <w:pPr>
        <w:spacing w:after="0" w:line="200" w:lineRule="exact"/>
        <w:rPr>
          <w:sz w:val="20"/>
          <w:szCs w:val="20"/>
          <w:color w:val="auto"/>
        </w:rPr>
      </w:pPr>
    </w:p>
    <w:p>
      <w:pPr>
        <w:spacing w:after="0" w:line="223" w:lineRule="exact"/>
        <w:rPr>
          <w:sz w:val="20"/>
          <w:szCs w:val="20"/>
          <w:color w:val="auto"/>
        </w:rPr>
      </w:pPr>
    </w:p>
    <w:p>
      <w:pPr>
        <w:ind w:right="500" w:firstLine="648"/>
        <w:spacing w:after="0" w:line="335" w:lineRule="auto"/>
        <w:tabs>
          <w:tab w:leader="none" w:pos="1621" w:val="left"/>
        </w:tabs>
        <w:numPr>
          <w:ilvl w:val="0"/>
          <w:numId w:val="46"/>
        </w:numPr>
        <w:rPr>
          <w:rFonts w:ascii="Arial" w:cs="Arial" w:eastAsia="Arial" w:hAnsi="Arial"/>
          <w:sz w:val="19"/>
          <w:szCs w:val="19"/>
          <w:b w:val="1"/>
          <w:bCs w:val="1"/>
          <w:color w:val="484448"/>
        </w:rPr>
      </w:pPr>
      <w:r>
        <w:rPr>
          <w:rFonts w:ascii="Arial" w:cs="Arial" w:eastAsia="Arial" w:hAnsi="Arial"/>
          <w:sz w:val="19"/>
          <w:szCs w:val="19"/>
          <w:b w:val="1"/>
          <w:bCs w:val="1"/>
          <w:color w:val="444244"/>
        </w:rPr>
        <w:t xml:space="preserve">Proprietary Information Obligations. </w:t>
      </w:r>
      <w:r>
        <w:rPr>
          <w:rFonts w:ascii="Arial" w:cs="Arial" w:eastAsia="Arial" w:hAnsi="Arial"/>
          <w:sz w:val="19"/>
          <w:szCs w:val="19"/>
          <w:color w:val="444244"/>
        </w:rPr>
        <w:t>Executive shall remain bound by the terms of the</w:t>
      </w:r>
      <w:r>
        <w:rPr>
          <w:rFonts w:ascii="Arial" w:cs="Arial" w:eastAsia="Arial" w:hAnsi="Arial"/>
          <w:sz w:val="19"/>
          <w:szCs w:val="19"/>
          <w:b w:val="1"/>
          <w:bCs w:val="1"/>
          <w:color w:val="444244"/>
        </w:rPr>
        <w:t xml:space="preserve"> </w:t>
      </w:r>
      <w:r>
        <w:rPr>
          <w:rFonts w:ascii="Arial" w:cs="Arial" w:eastAsia="Arial" w:hAnsi="Arial"/>
          <w:sz w:val="19"/>
          <w:szCs w:val="19"/>
          <w:color w:val="444244"/>
        </w:rPr>
        <w:t>Employee Proprietary Information and Inventions Assignment Agreement that Executive previously executed.</w:t>
      </w:r>
    </w:p>
    <w:p>
      <w:pPr>
        <w:spacing w:after="0" w:line="119" w:lineRule="exact"/>
        <w:rPr>
          <w:rFonts w:ascii="Arial" w:cs="Arial" w:eastAsia="Arial" w:hAnsi="Arial"/>
          <w:sz w:val="19"/>
          <w:szCs w:val="19"/>
          <w:b w:val="1"/>
          <w:bCs w:val="1"/>
          <w:color w:val="484448"/>
        </w:rPr>
      </w:pPr>
    </w:p>
    <w:p>
      <w:pPr>
        <w:ind w:left="1620" w:hanging="972"/>
        <w:spacing w:after="0"/>
        <w:tabs>
          <w:tab w:leader="none" w:pos="1620" w:val="left"/>
        </w:tabs>
        <w:numPr>
          <w:ilvl w:val="0"/>
          <w:numId w:val="46"/>
        </w:numPr>
        <w:rPr>
          <w:rFonts w:ascii="Arial" w:cs="Arial" w:eastAsia="Arial" w:hAnsi="Arial"/>
          <w:sz w:val="22"/>
          <w:szCs w:val="22"/>
          <w:b w:val="1"/>
          <w:bCs w:val="1"/>
          <w:color w:val="484448"/>
        </w:rPr>
      </w:pPr>
      <w:r>
        <w:rPr>
          <w:rFonts w:ascii="Arial" w:cs="Arial" w:eastAsia="Arial" w:hAnsi="Arial"/>
          <w:sz w:val="22"/>
          <w:szCs w:val="22"/>
          <w:b w:val="1"/>
          <w:bCs w:val="1"/>
          <w:color w:val="444244"/>
        </w:rPr>
        <w:t>Outside Activities During Employment.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7" w:name="page98"/>
    <w:bookmarkEnd w:id="97"/>
    <w:p>
      <w:pPr>
        <w:jc w:val="both"/>
        <w:ind w:firstLine="648"/>
        <w:spacing w:after="0" w:line="237" w:lineRule="auto"/>
        <w:rPr>
          <w:sz w:val="20"/>
          <w:szCs w:val="20"/>
          <w:color w:val="auto"/>
        </w:rPr>
      </w:pPr>
      <w:r>
        <w:rPr>
          <w:rFonts w:ascii="Arial" w:cs="Arial" w:eastAsia="Arial" w:hAnsi="Arial"/>
          <w:sz w:val="22"/>
          <w:szCs w:val="22"/>
          <w:b w:val="1"/>
          <w:bCs w:val="1"/>
          <w:color w:val="484448"/>
        </w:rPr>
        <w:t xml:space="preserve">8.1 </w:t>
      </w:r>
      <w:r>
        <w:rPr>
          <w:rFonts w:ascii="Arial" w:cs="Arial" w:eastAsia="Arial" w:hAnsi="Arial"/>
          <w:sz w:val="22"/>
          <w:szCs w:val="22"/>
          <w:b w:val="1"/>
          <w:bCs w:val="1"/>
          <w:color w:val="444244"/>
        </w:rPr>
        <w:t>Non-Company Business.</w:t>
      </w:r>
      <w:r>
        <w:rPr>
          <w:rFonts w:ascii="Arial" w:cs="Arial" w:eastAsia="Arial" w:hAnsi="Arial"/>
          <w:sz w:val="22"/>
          <w:szCs w:val="22"/>
          <w:b w:val="1"/>
          <w:bCs w:val="1"/>
          <w:color w:val="484448"/>
        </w:rPr>
        <w:t xml:space="preserve"> </w:t>
      </w:r>
      <w:r>
        <w:rPr>
          <w:rFonts w:ascii="Arial" w:cs="Arial" w:eastAsia="Arial" w:hAnsi="Arial"/>
          <w:sz w:val="22"/>
          <w:szCs w:val="22"/>
          <w:color w:val="444244"/>
        </w:rPr>
        <w:t>Except with the prior written consent of the Board, Executive will not</w:t>
      </w:r>
      <w:r>
        <w:rPr>
          <w:rFonts w:ascii="Arial" w:cs="Arial" w:eastAsia="Arial" w:hAnsi="Arial"/>
          <w:sz w:val="22"/>
          <w:szCs w:val="22"/>
          <w:b w:val="1"/>
          <w:bCs w:val="1"/>
          <w:color w:val="484448"/>
        </w:rPr>
        <w:t xml:space="preserve"> </w:t>
      </w:r>
      <w:r>
        <w:rPr>
          <w:rFonts w:ascii="Arial" w:cs="Arial" w:eastAsia="Arial" w:hAnsi="Arial"/>
          <w:sz w:val="22"/>
          <w:szCs w:val="22"/>
          <w:color w:val="444244"/>
        </w:rPr>
        <w:t xml:space="preserve">during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 </w:t>
      </w:r>
      <w:r>
        <w:rPr>
          <w:rFonts w:ascii="Arial" w:cs="Arial" w:eastAsia="Arial" w:hAnsi="Arial"/>
          <w:sz w:val="22"/>
          <w:szCs w:val="22"/>
          <w:color w:val="646060"/>
        </w:rPr>
        <w:t>'</w:t>
      </w:r>
      <w:r>
        <w:rPr>
          <w:rFonts w:ascii="Arial" w:cs="Arial" w:eastAsia="Arial" w:hAnsi="Arial"/>
          <w:sz w:val="22"/>
          <w:szCs w:val="22"/>
          <w:color w:val="444244"/>
        </w:rPr>
        <w:t>s duties hereunder.</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484448"/>
        </w:rPr>
        <w:t xml:space="preserve">8.2 </w:t>
      </w:r>
      <w:r>
        <w:rPr>
          <w:rFonts w:ascii="Arial" w:cs="Arial" w:eastAsia="Arial" w:hAnsi="Arial"/>
          <w:sz w:val="22"/>
          <w:szCs w:val="22"/>
          <w:b w:val="1"/>
          <w:bCs w:val="1"/>
          <w:color w:val="444244"/>
        </w:rPr>
        <w:t>No Adverse Interests.</w:t>
      </w:r>
      <w:r>
        <w:rPr>
          <w:rFonts w:ascii="Arial" w:cs="Arial" w:eastAsia="Arial" w:hAnsi="Arial"/>
          <w:sz w:val="22"/>
          <w:szCs w:val="22"/>
          <w:b w:val="1"/>
          <w:bCs w:val="1"/>
          <w:color w:val="484448"/>
        </w:rPr>
        <w:t xml:space="preserve"> </w:t>
      </w:r>
      <w:r>
        <w:rPr>
          <w:rFonts w:ascii="Arial" w:cs="Arial" w:eastAsia="Arial" w:hAnsi="Arial"/>
          <w:sz w:val="22"/>
          <w:szCs w:val="22"/>
          <w:color w:val="444244"/>
        </w:rPr>
        <w:t>Executive agrees not to acquire, assume or participate in, directly or</w:t>
      </w:r>
      <w:r>
        <w:rPr>
          <w:rFonts w:ascii="Arial" w:cs="Arial" w:eastAsia="Arial" w:hAnsi="Arial"/>
          <w:sz w:val="22"/>
          <w:szCs w:val="22"/>
          <w:b w:val="1"/>
          <w:bCs w:val="1"/>
          <w:color w:val="484448"/>
        </w:rPr>
        <w:t xml:space="preserve"> </w:t>
      </w:r>
      <w:r>
        <w:rPr>
          <w:rFonts w:ascii="Arial" w:cs="Arial" w:eastAsia="Arial" w:hAnsi="Arial"/>
          <w:sz w:val="22"/>
          <w:szCs w:val="22"/>
          <w:color w:val="444244"/>
        </w:rPr>
        <w:t>indirectly, any position, investment or interest known to be adverse or antagonistic to the Company, its business or prospects, financial or otherwise.</w:t>
      </w:r>
    </w:p>
    <w:p>
      <w:pPr>
        <w:spacing w:after="0" w:line="204" w:lineRule="exact"/>
        <w:rPr>
          <w:sz w:val="20"/>
          <w:szCs w:val="20"/>
          <w:color w:val="auto"/>
        </w:rPr>
      </w:pPr>
    </w:p>
    <w:p>
      <w:pPr>
        <w:jc w:val="both"/>
        <w:ind w:firstLine="648"/>
        <w:spacing w:after="0" w:line="269" w:lineRule="auto"/>
        <w:tabs>
          <w:tab w:leader="none" w:pos="1715" w:val="left"/>
        </w:tabs>
        <w:numPr>
          <w:ilvl w:val="0"/>
          <w:numId w:val="47"/>
        </w:numPr>
        <w:rPr>
          <w:rFonts w:ascii="Arial" w:cs="Arial" w:eastAsia="Arial" w:hAnsi="Arial"/>
          <w:sz w:val="19"/>
          <w:szCs w:val="19"/>
          <w:b w:val="1"/>
          <w:bCs w:val="1"/>
          <w:color w:val="484448"/>
        </w:rPr>
      </w:pPr>
      <w:r>
        <w:rPr>
          <w:rFonts w:ascii="Arial" w:cs="Arial" w:eastAsia="Arial" w:hAnsi="Arial"/>
          <w:sz w:val="19"/>
          <w:szCs w:val="19"/>
          <w:b w:val="1"/>
          <w:bCs w:val="1"/>
          <w:color w:val="444244"/>
        </w:rPr>
        <w:t xml:space="preserve">Dispute Resolution. </w:t>
      </w:r>
      <w:r>
        <w:rPr>
          <w:rFonts w:ascii="Arial" w:cs="Arial" w:eastAsia="Arial" w:hAnsi="Arial"/>
          <w:sz w:val="19"/>
          <w:szCs w:val="19"/>
          <w:color w:val="444244"/>
        </w:rPr>
        <w:t>To ensure timely and economical resolution of any disputes that may arise</w:t>
      </w:r>
      <w:r>
        <w:rPr>
          <w:rFonts w:ascii="Arial" w:cs="Arial" w:eastAsia="Arial" w:hAnsi="Arial"/>
          <w:sz w:val="19"/>
          <w:szCs w:val="19"/>
          <w:b w:val="1"/>
          <w:bCs w:val="1"/>
          <w:color w:val="444244"/>
        </w:rPr>
        <w:t xml:space="preserve"> </w:t>
      </w:r>
      <w:r>
        <w:rPr>
          <w:rFonts w:ascii="Arial" w:cs="Arial" w:eastAsia="Arial" w:hAnsi="Arial"/>
          <w:sz w:val="19"/>
          <w:szCs w:val="19"/>
          <w:color w:val="444244"/>
        </w:rPr>
        <w:t>in connection with Executive's employment with the Company, as a condition of Executive's employment, Executive and the Company hereby agree that any and all claims, disputes or controversies of any nature whatsoever arising out of</w:t>
      </w:r>
      <w:r>
        <w:rPr>
          <w:rFonts w:ascii="Arial" w:cs="Arial" w:eastAsia="Arial" w:hAnsi="Arial"/>
          <w:sz w:val="19"/>
          <w:szCs w:val="19"/>
          <w:color w:val="646060"/>
        </w:rPr>
        <w:t>,</w:t>
      </w:r>
      <w:r>
        <w:rPr>
          <w:rFonts w:ascii="Arial" w:cs="Arial" w:eastAsia="Arial" w:hAnsi="Arial"/>
          <w:sz w:val="19"/>
          <w:szCs w:val="19"/>
          <w:color w:val="444244"/>
        </w:rPr>
        <w:t xml:space="preserve"> or relating to, this letter, or its interpretation, enforcement, breach, performance or execution, Executive </w:t>
      </w:r>
      <w:r>
        <w:rPr>
          <w:rFonts w:ascii="Arial" w:cs="Arial" w:eastAsia="Arial" w:hAnsi="Arial"/>
          <w:sz w:val="19"/>
          <w:szCs w:val="19"/>
          <w:color w:val="646060"/>
        </w:rPr>
        <w:t>'</w:t>
      </w:r>
      <w:r>
        <w:rPr>
          <w:rFonts w:ascii="Arial" w:cs="Arial" w:eastAsia="Arial" w:hAnsi="Arial"/>
          <w:sz w:val="19"/>
          <w:szCs w:val="19"/>
          <w:color w:val="444244"/>
        </w:rPr>
        <w:t xml:space="preserve">s employment with the Company, or the termination of such employment, shall be resolved, to the fullest extent permitted by law, by final, binding and confidential arbitration conducted before a single arbitrator by the American Arbitration Association </w:t>
      </w:r>
      <w:r>
        <w:rPr>
          <w:rFonts w:ascii="Arial" w:cs="Arial" w:eastAsia="Arial" w:hAnsi="Arial"/>
          <w:sz w:val="19"/>
          <w:szCs w:val="19"/>
          <w:b w:val="1"/>
          <w:bCs w:val="1"/>
          <w:color w:val="444244"/>
        </w:rPr>
        <w:t>("AAA")</w:t>
      </w:r>
      <w:r>
        <w:rPr>
          <w:rFonts w:ascii="Arial" w:cs="Arial" w:eastAsia="Arial" w:hAnsi="Arial"/>
          <w:sz w:val="19"/>
          <w:szCs w:val="19"/>
          <w:color w:val="444244"/>
        </w:rPr>
        <w:t xml:space="preserve"> under the then-applicable AAA employment arbitration rules (which can be found at http://www.adr.org/). The arbitration shall take place in Phoenix, Arizona; </w:t>
      </w:r>
      <w:r>
        <w:rPr>
          <w:rFonts w:ascii="Arial" w:cs="Arial" w:eastAsia="Arial" w:hAnsi="Arial"/>
          <w:sz w:val="19"/>
          <w:szCs w:val="19"/>
          <w:i w:val="1"/>
          <w:iCs w:val="1"/>
          <w:color w:val="444244"/>
        </w:rPr>
        <w:t xml:space="preserve">provided, however, that </w:t>
      </w:r>
      <w:r>
        <w:rPr>
          <w:rFonts w:ascii="Arial" w:cs="Arial" w:eastAsia="Arial" w:hAnsi="Arial"/>
          <w:sz w:val="19"/>
          <w:szCs w:val="19"/>
          <w:color w:val="444244"/>
        </w:rPr>
        <w:t>if the arbitrator determines there will be an undue hardship to Executive to have the</w:t>
      </w:r>
      <w:r>
        <w:rPr>
          <w:rFonts w:ascii="Arial" w:cs="Arial" w:eastAsia="Arial" w:hAnsi="Arial"/>
          <w:sz w:val="19"/>
          <w:szCs w:val="19"/>
          <w:i w:val="1"/>
          <w:iCs w:val="1"/>
          <w:color w:val="444244"/>
        </w:rPr>
        <w:t xml:space="preserve"> </w:t>
      </w:r>
      <w:r>
        <w:rPr>
          <w:rFonts w:ascii="Arial" w:cs="Arial" w:eastAsia="Arial" w:hAnsi="Arial"/>
          <w:sz w:val="19"/>
          <w:szCs w:val="19"/>
          <w:color w:val="444244"/>
        </w:rPr>
        <w:t xml:space="preserve">arbitration in such location, the arbitrator will choose an alternative appropriate location. </w:t>
      </w:r>
      <w:r>
        <w:rPr>
          <w:rFonts w:ascii="Arial" w:cs="Arial" w:eastAsia="Arial" w:hAnsi="Arial"/>
          <w:sz w:val="19"/>
          <w:szCs w:val="19"/>
          <w:b w:val="1"/>
          <w:bCs w:val="1"/>
          <w:color w:val="444244"/>
        </w:rPr>
        <w:t>Executive and the</w:t>
      </w:r>
    </w:p>
    <w:p>
      <w:pPr>
        <w:spacing w:after="0" w:line="6" w:lineRule="exact"/>
        <w:rPr>
          <w:rFonts w:ascii="Arial" w:cs="Arial" w:eastAsia="Arial" w:hAnsi="Arial"/>
          <w:sz w:val="19"/>
          <w:szCs w:val="19"/>
          <w:b w:val="1"/>
          <w:bCs w:val="1"/>
          <w:color w:val="484448"/>
        </w:rPr>
      </w:pPr>
    </w:p>
    <w:p>
      <w:pPr>
        <w:jc w:val="both"/>
        <w:spacing w:after="0" w:line="270" w:lineRule="auto"/>
        <w:rPr>
          <w:rFonts w:ascii="Arial" w:cs="Arial" w:eastAsia="Arial" w:hAnsi="Arial"/>
          <w:sz w:val="19"/>
          <w:szCs w:val="19"/>
          <w:b w:val="1"/>
          <w:bCs w:val="1"/>
          <w:color w:val="484448"/>
        </w:rPr>
      </w:pPr>
      <w:r>
        <w:rPr>
          <w:rFonts w:ascii="Arial" w:cs="Arial" w:eastAsia="Arial" w:hAnsi="Arial"/>
          <w:sz w:val="19"/>
          <w:szCs w:val="19"/>
          <w:b w:val="1"/>
          <w:bCs w:val="1"/>
          <w:color w:val="444244"/>
        </w:rPr>
        <w:t xml:space="preserve">Company each acknowledge that by agreeing to this arbitration procedure, both Executive and the Company waive the right to resolve any such dispute, claim or demand through a trial by jury or judge or by administrative proceeding. </w:t>
      </w:r>
      <w:r>
        <w:rPr>
          <w:rFonts w:ascii="Arial" w:cs="Arial" w:eastAsia="Arial" w:hAnsi="Arial"/>
          <w:sz w:val="19"/>
          <w:szCs w:val="19"/>
          <w:color w:val="444244"/>
        </w:rPr>
        <w:t>Executive will have the right to be represented by legal counsel at Executive's expense</w:t>
      </w:r>
      <w:r>
        <w:rPr>
          <w:rFonts w:ascii="Arial" w:cs="Arial" w:eastAsia="Arial" w:hAnsi="Arial"/>
          <w:sz w:val="19"/>
          <w:szCs w:val="19"/>
          <w:b w:val="1"/>
          <w:bCs w:val="1"/>
          <w:color w:val="444244"/>
        </w:rPr>
        <w:t xml:space="preserve"> </w:t>
      </w:r>
      <w:r>
        <w:rPr>
          <w:rFonts w:ascii="Arial" w:cs="Arial" w:eastAsia="Arial" w:hAnsi="Arial"/>
          <w:sz w:val="19"/>
          <w:szCs w:val="19"/>
          <w:color w:val="444244"/>
        </w:rPr>
        <w:t>at any arbitration proceeding. The arbitrator shall: (i) have the authority to compel adequate discovery for the resolution of the dispute and to award such relief as would otherwise be available under applicable law in a court proceeding; and ii)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procedures. The Company shall pay all costs and fees in excess of the amount of court fees that Executive would be required to incur if the dispute were filed or decided in a court of law. Nothing in this Agreement is intended to prevent either Executive or the Company from obtaining injunctive relief in court to prevent irreparable harm pending the conclusion of any arbitration.</w:t>
      </w:r>
    </w:p>
    <w:p>
      <w:pPr>
        <w:spacing w:after="0" w:line="183" w:lineRule="exact"/>
        <w:rPr>
          <w:rFonts w:ascii="Arial" w:cs="Arial" w:eastAsia="Arial" w:hAnsi="Arial"/>
          <w:sz w:val="19"/>
          <w:szCs w:val="19"/>
          <w:b w:val="1"/>
          <w:bCs w:val="1"/>
          <w:color w:val="484448"/>
        </w:rPr>
      </w:pPr>
    </w:p>
    <w:p>
      <w:pPr>
        <w:ind w:left="1620" w:hanging="972"/>
        <w:spacing w:after="0"/>
        <w:tabs>
          <w:tab w:leader="none" w:pos="1620" w:val="left"/>
        </w:tabs>
        <w:numPr>
          <w:ilvl w:val="0"/>
          <w:numId w:val="47"/>
        </w:numPr>
        <w:rPr>
          <w:rFonts w:ascii="Arial" w:cs="Arial" w:eastAsia="Arial" w:hAnsi="Arial"/>
          <w:sz w:val="22"/>
          <w:szCs w:val="22"/>
          <w:b w:val="1"/>
          <w:bCs w:val="1"/>
          <w:color w:val="484448"/>
        </w:rPr>
      </w:pPr>
      <w:r>
        <w:rPr>
          <w:rFonts w:ascii="Arial" w:cs="Arial" w:eastAsia="Arial" w:hAnsi="Arial"/>
          <w:sz w:val="22"/>
          <w:szCs w:val="22"/>
          <w:b w:val="1"/>
          <w:bCs w:val="1"/>
          <w:color w:val="444244"/>
        </w:rPr>
        <w:t>General Provisions.</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484448"/>
        </w:rPr>
        <w:t xml:space="preserve">10.1 </w:t>
      </w:r>
      <w:r>
        <w:rPr>
          <w:rFonts w:ascii="Arial" w:cs="Arial" w:eastAsia="Arial" w:hAnsi="Arial"/>
          <w:sz w:val="21"/>
          <w:szCs w:val="21"/>
          <w:b w:val="1"/>
          <w:bCs w:val="1"/>
          <w:color w:val="444244"/>
        </w:rPr>
        <w:t>Notices.</w:t>
      </w:r>
      <w:r>
        <w:rPr>
          <w:rFonts w:ascii="Arial" w:cs="Arial" w:eastAsia="Arial" w:hAnsi="Arial"/>
          <w:sz w:val="21"/>
          <w:szCs w:val="21"/>
          <w:b w:val="1"/>
          <w:bCs w:val="1"/>
          <w:color w:val="484448"/>
        </w:rPr>
        <w:t xml:space="preserve"> </w:t>
      </w:r>
      <w:r>
        <w:rPr>
          <w:rFonts w:ascii="Arial" w:cs="Arial" w:eastAsia="Arial" w:hAnsi="Arial"/>
          <w:sz w:val="21"/>
          <w:szCs w:val="21"/>
          <w:color w:val="444244"/>
        </w:rPr>
        <w:t>Any notices provided must be in writing and will be deemed effective upon the earlier</w:t>
      </w:r>
      <w:r>
        <w:rPr>
          <w:rFonts w:ascii="Arial" w:cs="Arial" w:eastAsia="Arial" w:hAnsi="Arial"/>
          <w:sz w:val="21"/>
          <w:szCs w:val="21"/>
          <w:b w:val="1"/>
          <w:bCs w:val="1"/>
          <w:color w:val="484448"/>
        </w:rPr>
        <w:t xml:space="preserve"> </w:t>
      </w:r>
      <w:r>
        <w:rPr>
          <w:rFonts w:ascii="Arial" w:cs="Arial" w:eastAsia="Arial" w:hAnsi="Arial"/>
          <w:sz w:val="21"/>
          <w:szCs w:val="21"/>
          <w:color w:val="444244"/>
        </w:rPr>
        <w:t>of personal delivery (including personal delivery by fax) or the next day after sending by overnight carrier, to the Company at its primary office location and to Executive at the address as listed on the Company payroll.</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484448"/>
        </w:rPr>
        <w:t xml:space="preserve">10.2 </w:t>
      </w:r>
      <w:r>
        <w:rPr>
          <w:rFonts w:ascii="Arial" w:cs="Arial" w:eastAsia="Arial" w:hAnsi="Arial"/>
          <w:sz w:val="19"/>
          <w:szCs w:val="19"/>
          <w:b w:val="1"/>
          <w:bCs w:val="1"/>
          <w:color w:val="444244"/>
        </w:rPr>
        <w:t>Severability.</w:t>
      </w:r>
      <w:r>
        <w:rPr>
          <w:rFonts w:ascii="Arial" w:cs="Arial" w:eastAsia="Arial" w:hAnsi="Arial"/>
          <w:sz w:val="19"/>
          <w:szCs w:val="19"/>
          <w:b w:val="1"/>
          <w:bCs w:val="1"/>
          <w:color w:val="484448"/>
        </w:rPr>
        <w:t xml:space="preserve"> </w:t>
      </w:r>
      <w:r>
        <w:rPr>
          <w:rFonts w:ascii="Arial" w:cs="Arial" w:eastAsia="Arial" w:hAnsi="Arial"/>
          <w:sz w:val="19"/>
          <w:szCs w:val="19"/>
          <w:color w:val="444244"/>
        </w:rPr>
        <w:t>Whenever possible, each provision of this Agreement will be interpreted in such</w:t>
      </w:r>
      <w:r>
        <w:rPr>
          <w:rFonts w:ascii="Arial" w:cs="Arial" w:eastAsia="Arial" w:hAnsi="Arial"/>
          <w:sz w:val="19"/>
          <w:szCs w:val="19"/>
          <w:b w:val="1"/>
          <w:bCs w:val="1"/>
          <w:color w:val="484448"/>
        </w:rPr>
        <w:t xml:space="preserve"> </w:t>
      </w:r>
      <w:r>
        <w:rPr>
          <w:rFonts w:ascii="Arial" w:cs="Arial" w:eastAsia="Arial" w:hAnsi="Arial"/>
          <w:sz w:val="19"/>
          <w:szCs w:val="19"/>
          <w:color w:val="444244"/>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98" w:name="page99"/>
    <w:bookmarkEnd w:id="98"/>
    <w:p>
      <w:pPr>
        <w:jc w:val="both"/>
        <w:ind w:firstLine="648"/>
        <w:spacing w:after="0" w:line="243" w:lineRule="auto"/>
        <w:rPr>
          <w:sz w:val="20"/>
          <w:szCs w:val="20"/>
          <w:color w:val="auto"/>
        </w:rPr>
      </w:pPr>
      <w:r>
        <w:rPr>
          <w:rFonts w:ascii="Arial" w:cs="Arial" w:eastAsia="Arial" w:hAnsi="Arial"/>
          <w:sz w:val="22"/>
          <w:szCs w:val="22"/>
          <w:b w:val="1"/>
          <w:bCs w:val="1"/>
          <w:color w:val="484448"/>
        </w:rPr>
        <w:t xml:space="preserve">10.3 </w:t>
      </w:r>
      <w:r>
        <w:rPr>
          <w:rFonts w:ascii="Arial" w:cs="Arial" w:eastAsia="Arial" w:hAnsi="Arial"/>
          <w:sz w:val="22"/>
          <w:szCs w:val="22"/>
          <w:b w:val="1"/>
          <w:bCs w:val="1"/>
          <w:color w:val="444244"/>
        </w:rPr>
        <w:t>Waiver.</w:t>
      </w:r>
      <w:r>
        <w:rPr>
          <w:rFonts w:ascii="Arial" w:cs="Arial" w:eastAsia="Arial" w:hAnsi="Arial"/>
          <w:sz w:val="22"/>
          <w:szCs w:val="22"/>
          <w:b w:val="1"/>
          <w:bCs w:val="1"/>
          <w:color w:val="484448"/>
        </w:rPr>
        <w:t xml:space="preserve"> </w:t>
      </w:r>
      <w:r>
        <w:rPr>
          <w:rFonts w:ascii="Arial" w:cs="Arial" w:eastAsia="Arial" w:hAnsi="Arial"/>
          <w:sz w:val="22"/>
          <w:szCs w:val="22"/>
          <w:color w:val="444244"/>
        </w:rPr>
        <w:t>Any waiver of any breach of any provisions of this Agreement must be in writing to be</w:t>
      </w:r>
      <w:r>
        <w:rPr>
          <w:rFonts w:ascii="Arial" w:cs="Arial" w:eastAsia="Arial" w:hAnsi="Arial"/>
          <w:sz w:val="22"/>
          <w:szCs w:val="22"/>
          <w:b w:val="1"/>
          <w:bCs w:val="1"/>
          <w:color w:val="484448"/>
        </w:rPr>
        <w:t xml:space="preserve"> </w:t>
      </w:r>
      <w:r>
        <w:rPr>
          <w:rFonts w:ascii="Arial" w:cs="Arial" w:eastAsia="Arial" w:hAnsi="Arial"/>
          <w:sz w:val="22"/>
          <w:szCs w:val="22"/>
          <w:color w:val="444244"/>
        </w:rPr>
        <w:t>effective, and it shall not thereby be deemed to have waived any preceding or succeeding breach of the same or any other provision of this Agreement.</w:t>
      </w:r>
    </w:p>
    <w:p>
      <w:pPr>
        <w:spacing w:after="0" w:line="20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484448"/>
        </w:rPr>
        <w:t xml:space="preserve">10.4 </w:t>
      </w:r>
      <w:r>
        <w:rPr>
          <w:rFonts w:ascii="Arial" w:cs="Arial" w:eastAsia="Arial" w:hAnsi="Arial"/>
          <w:sz w:val="19"/>
          <w:szCs w:val="19"/>
          <w:color w:val="444244"/>
        </w:rPr>
        <w:t>Complete Agreement. This Agreement constitutes the entire agreement between Executive and</w:t>
      </w:r>
      <w:r>
        <w:rPr>
          <w:rFonts w:ascii="Arial" w:cs="Arial" w:eastAsia="Arial" w:hAnsi="Arial"/>
          <w:sz w:val="19"/>
          <w:szCs w:val="19"/>
          <w:b w:val="1"/>
          <w:bCs w:val="1"/>
          <w:color w:val="484448"/>
        </w:rPr>
        <w:t xml:space="preserve"> </w:t>
      </w:r>
      <w:r>
        <w:rPr>
          <w:rFonts w:ascii="Arial" w:cs="Arial" w:eastAsia="Arial" w:hAnsi="Arial"/>
          <w:sz w:val="19"/>
          <w:szCs w:val="19"/>
          <w:color w:val="444244"/>
        </w:rPr>
        <w:t>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including (without limitation) the Offer Letter. It is entered into without reliance on any promise or representation other than those expressly contained herein, and it cannot be modified or amended except in a writing signed by a duly authorized officer of the Company.</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484448"/>
        </w:rPr>
        <w:t xml:space="preserve">10.5 </w:t>
      </w:r>
      <w:r>
        <w:rPr>
          <w:rFonts w:ascii="Arial" w:cs="Arial" w:eastAsia="Arial" w:hAnsi="Arial"/>
          <w:sz w:val="22"/>
          <w:szCs w:val="22"/>
          <w:b w:val="1"/>
          <w:bCs w:val="1"/>
          <w:color w:val="444244"/>
        </w:rPr>
        <w:t>Counterparts.</w:t>
      </w:r>
      <w:r>
        <w:rPr>
          <w:rFonts w:ascii="Arial" w:cs="Arial" w:eastAsia="Arial" w:hAnsi="Arial"/>
          <w:sz w:val="22"/>
          <w:szCs w:val="22"/>
          <w:b w:val="1"/>
          <w:bCs w:val="1"/>
          <w:color w:val="484448"/>
        </w:rPr>
        <w:t xml:space="preserve"> </w:t>
      </w:r>
      <w:r>
        <w:rPr>
          <w:rFonts w:ascii="Arial" w:cs="Arial" w:eastAsia="Arial" w:hAnsi="Arial"/>
          <w:sz w:val="22"/>
          <w:szCs w:val="22"/>
          <w:color w:val="444244"/>
        </w:rPr>
        <w:t>This Agreement may be executed in separate counterparts, any one of which</w:t>
      </w:r>
      <w:r>
        <w:rPr>
          <w:rFonts w:ascii="Arial" w:cs="Arial" w:eastAsia="Arial" w:hAnsi="Arial"/>
          <w:sz w:val="22"/>
          <w:szCs w:val="22"/>
          <w:b w:val="1"/>
          <w:bCs w:val="1"/>
          <w:color w:val="484448"/>
        </w:rPr>
        <w:t xml:space="preserve"> </w:t>
      </w:r>
      <w:r>
        <w:rPr>
          <w:rFonts w:ascii="Arial" w:cs="Arial" w:eastAsia="Arial" w:hAnsi="Arial"/>
          <w:sz w:val="22"/>
          <w:szCs w:val="22"/>
          <w:color w:val="444244"/>
        </w:rPr>
        <w:t>need not contain signatures of more than one party, but all of which taken together will constitute one and the same Agreement.</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484448"/>
        </w:rPr>
        <w:t xml:space="preserve">10.6 </w:t>
      </w:r>
      <w:r>
        <w:rPr>
          <w:rFonts w:ascii="Arial" w:cs="Arial" w:eastAsia="Arial" w:hAnsi="Arial"/>
          <w:sz w:val="22"/>
          <w:szCs w:val="22"/>
          <w:b w:val="1"/>
          <w:bCs w:val="1"/>
          <w:color w:val="444244"/>
        </w:rPr>
        <w:t>Headings.</w:t>
      </w:r>
      <w:r>
        <w:rPr>
          <w:rFonts w:ascii="Arial" w:cs="Arial" w:eastAsia="Arial" w:hAnsi="Arial"/>
          <w:sz w:val="22"/>
          <w:szCs w:val="22"/>
          <w:b w:val="1"/>
          <w:bCs w:val="1"/>
          <w:color w:val="484448"/>
        </w:rPr>
        <w:t xml:space="preserve"> </w:t>
      </w:r>
      <w:r>
        <w:rPr>
          <w:rFonts w:ascii="Arial" w:cs="Arial" w:eastAsia="Arial" w:hAnsi="Arial"/>
          <w:sz w:val="22"/>
          <w:szCs w:val="22"/>
          <w:color w:val="444244"/>
        </w:rPr>
        <w:t>The headings of the paragraphs hereof are inserted for convenience only and shall not</w:t>
      </w:r>
      <w:r>
        <w:rPr>
          <w:rFonts w:ascii="Arial" w:cs="Arial" w:eastAsia="Arial" w:hAnsi="Arial"/>
          <w:sz w:val="22"/>
          <w:szCs w:val="22"/>
          <w:b w:val="1"/>
          <w:bCs w:val="1"/>
          <w:color w:val="484448"/>
        </w:rPr>
        <w:t xml:space="preserve"> </w:t>
      </w:r>
      <w:r>
        <w:rPr>
          <w:rFonts w:ascii="Arial" w:cs="Arial" w:eastAsia="Arial" w:hAnsi="Arial"/>
          <w:sz w:val="22"/>
          <w:szCs w:val="22"/>
          <w:color w:val="444244"/>
        </w:rPr>
        <w:t>be deemed to constitute a part hereof nor to affect the meaning thereof.</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484448"/>
        </w:rPr>
        <w:t xml:space="preserve">10.7 </w:t>
      </w:r>
      <w:r>
        <w:rPr>
          <w:rFonts w:ascii="Arial" w:cs="Arial" w:eastAsia="Arial" w:hAnsi="Arial"/>
          <w:sz w:val="19"/>
          <w:szCs w:val="19"/>
          <w:b w:val="1"/>
          <w:bCs w:val="1"/>
          <w:color w:val="444244"/>
        </w:rPr>
        <w:t>Successors and Assigns.</w:t>
      </w:r>
      <w:r>
        <w:rPr>
          <w:rFonts w:ascii="Arial" w:cs="Arial" w:eastAsia="Arial" w:hAnsi="Arial"/>
          <w:sz w:val="19"/>
          <w:szCs w:val="19"/>
          <w:b w:val="1"/>
          <w:bCs w:val="1"/>
          <w:color w:val="484448"/>
        </w:rPr>
        <w:t xml:space="preserve"> </w:t>
      </w:r>
      <w:r>
        <w:rPr>
          <w:rFonts w:ascii="Arial" w:cs="Arial" w:eastAsia="Arial" w:hAnsi="Arial"/>
          <w:sz w:val="19"/>
          <w:szCs w:val="19"/>
          <w:color w:val="444244"/>
        </w:rPr>
        <w:t>This Agreement is intended to bind and inure to the benefit of and be</w:t>
      </w:r>
      <w:r>
        <w:rPr>
          <w:rFonts w:ascii="Arial" w:cs="Arial" w:eastAsia="Arial" w:hAnsi="Arial"/>
          <w:sz w:val="19"/>
          <w:szCs w:val="19"/>
          <w:b w:val="1"/>
          <w:bCs w:val="1"/>
          <w:color w:val="484448"/>
        </w:rPr>
        <w:t xml:space="preserve"> </w:t>
      </w:r>
      <w:r>
        <w:rPr>
          <w:rFonts w:ascii="Arial" w:cs="Arial" w:eastAsia="Arial" w:hAnsi="Arial"/>
          <w:sz w:val="19"/>
          <w:szCs w:val="19"/>
          <w:color w:val="444244"/>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6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484448"/>
        </w:rPr>
        <w:t xml:space="preserve">10.8 </w:t>
      </w:r>
      <w:r>
        <w:rPr>
          <w:rFonts w:ascii="Arial" w:cs="Arial" w:eastAsia="Arial" w:hAnsi="Arial"/>
          <w:sz w:val="22"/>
          <w:szCs w:val="22"/>
          <w:b w:val="1"/>
          <w:bCs w:val="1"/>
          <w:color w:val="444244"/>
        </w:rPr>
        <w:t>Tax Withholding and Indemnification.</w:t>
      </w:r>
      <w:r>
        <w:rPr>
          <w:rFonts w:ascii="Arial" w:cs="Arial" w:eastAsia="Arial" w:hAnsi="Arial"/>
          <w:sz w:val="22"/>
          <w:szCs w:val="22"/>
          <w:b w:val="1"/>
          <w:bCs w:val="1"/>
          <w:color w:val="484448"/>
        </w:rPr>
        <w:t xml:space="preserve"> </w:t>
      </w:r>
      <w:r>
        <w:rPr>
          <w:rFonts w:ascii="Arial" w:cs="Arial" w:eastAsia="Arial" w:hAnsi="Arial"/>
          <w:sz w:val="22"/>
          <w:szCs w:val="22"/>
          <w:color w:val="444244"/>
        </w:rPr>
        <w:t>All payments and awards contemplated or made</w:t>
      </w:r>
      <w:r>
        <w:rPr>
          <w:rFonts w:ascii="Arial" w:cs="Arial" w:eastAsia="Arial" w:hAnsi="Arial"/>
          <w:sz w:val="22"/>
          <w:szCs w:val="22"/>
          <w:b w:val="1"/>
          <w:bCs w:val="1"/>
          <w:color w:val="484448"/>
        </w:rPr>
        <w:t xml:space="preserve"> </w:t>
      </w:r>
      <w:r>
        <w:rPr>
          <w:rFonts w:ascii="Arial" w:cs="Arial" w:eastAsia="Arial" w:hAnsi="Arial"/>
          <w:sz w:val="22"/>
          <w:szCs w:val="22"/>
          <w:color w:val="444244"/>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211"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484448"/>
        </w:rPr>
        <w:t xml:space="preserve">10.9 </w:t>
      </w:r>
      <w:r>
        <w:rPr>
          <w:rFonts w:ascii="Arial" w:cs="Arial" w:eastAsia="Arial" w:hAnsi="Arial"/>
          <w:sz w:val="22"/>
          <w:szCs w:val="22"/>
          <w:b w:val="1"/>
          <w:bCs w:val="1"/>
          <w:color w:val="444244"/>
        </w:rPr>
        <w:t>Choice of Law.</w:t>
      </w:r>
      <w:r>
        <w:rPr>
          <w:rFonts w:ascii="Arial" w:cs="Arial" w:eastAsia="Arial" w:hAnsi="Arial"/>
          <w:sz w:val="22"/>
          <w:szCs w:val="22"/>
          <w:b w:val="1"/>
          <w:bCs w:val="1"/>
          <w:color w:val="484448"/>
        </w:rPr>
        <w:t xml:space="preserve"> </w:t>
      </w:r>
      <w:r>
        <w:rPr>
          <w:rFonts w:ascii="Arial" w:cs="Arial" w:eastAsia="Arial" w:hAnsi="Arial"/>
          <w:sz w:val="22"/>
          <w:szCs w:val="22"/>
          <w:color w:val="444244"/>
        </w:rPr>
        <w:t>All questions concerning the construction, validity and interpretation of this</w:t>
      </w:r>
      <w:r>
        <w:rPr>
          <w:rFonts w:ascii="Arial" w:cs="Arial" w:eastAsia="Arial" w:hAnsi="Arial"/>
          <w:sz w:val="22"/>
          <w:szCs w:val="22"/>
          <w:b w:val="1"/>
          <w:bCs w:val="1"/>
          <w:color w:val="484448"/>
        </w:rPr>
        <w:t xml:space="preserve"> </w:t>
      </w:r>
      <w:r>
        <w:rPr>
          <w:rFonts w:ascii="Arial" w:cs="Arial" w:eastAsia="Arial" w:hAnsi="Arial"/>
          <w:sz w:val="22"/>
          <w:szCs w:val="22"/>
          <w:color w:val="444244"/>
        </w:rPr>
        <w:t>Agreement will be governed by the laws of the State of Arizona.</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484648"/>
        </w:rPr>
        <w:t>IN WITNESS WHEREOF</w:t>
      </w:r>
      <w:r>
        <w:rPr>
          <w:rFonts w:ascii="Arial" w:cs="Arial" w:eastAsia="Arial" w:hAnsi="Arial"/>
          <w:sz w:val="21"/>
          <w:szCs w:val="21"/>
          <w:b w:val="1"/>
          <w:bCs w:val="1"/>
          <w:color w:val="626062"/>
        </w:rPr>
        <w:t>,</w:t>
      </w:r>
      <w:r>
        <w:rPr>
          <w:rFonts w:ascii="Arial" w:cs="Arial" w:eastAsia="Arial" w:hAnsi="Arial"/>
          <w:sz w:val="21"/>
          <w:szCs w:val="21"/>
          <w:b w:val="1"/>
          <w:bCs w:val="1"/>
          <w:color w:val="484648"/>
        </w:rPr>
        <w:t xml:space="preserve"> </w:t>
      </w:r>
      <w:r>
        <w:rPr>
          <w:rFonts w:ascii="Arial" w:cs="Arial" w:eastAsia="Arial" w:hAnsi="Arial"/>
          <w:sz w:val="21"/>
          <w:szCs w:val="21"/>
          <w:color w:val="484648"/>
        </w:rPr>
        <w:t>the Parties have executed this Agreement on the day and year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484648"/>
        </w:rPr>
        <w:t>above</w:t>
      </w:r>
      <w:r>
        <w:rPr>
          <w:rFonts w:ascii="Arial" w:cs="Arial" w:eastAsia="Arial" w:hAnsi="Arial"/>
          <w:sz w:val="22"/>
          <w:szCs w:val="22"/>
          <w:color w:val="626062"/>
        </w:rPr>
        <w:t>.</w:t>
      </w:r>
    </w:p>
    <w:p>
      <w:pPr>
        <w:spacing w:after="0" w:line="214"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EVERSPIN TECHNOLOGIES, INC.</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 xml:space="preserve">By: </w:t>
      </w:r>
      <w:r>
        <w:rPr>
          <w:rFonts w:ascii="Arial" w:cs="Arial" w:eastAsia="Arial" w:hAnsi="Arial"/>
          <w:sz w:val="20"/>
          <w:szCs w:val="20"/>
          <w:color w:val="auto"/>
        </w:rPr>
        <w:t>/s/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13970</wp:posOffset>
            </wp:positionV>
            <wp:extent cx="29330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6"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Phillip LoPresti</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President and Chief Executive Officer</w:t>
      </w: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/s/ Patrick Patla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10160</wp:posOffset>
            </wp:positionV>
            <wp:extent cx="29330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5440"/>
        <w:spacing w:after="0"/>
        <w:rPr>
          <w:sz w:val="20"/>
          <w:szCs w:val="20"/>
          <w:color w:val="auto"/>
        </w:rPr>
      </w:pPr>
      <w:r>
        <w:rPr>
          <w:rFonts w:ascii="Arial" w:cs="Arial" w:eastAsia="Arial" w:hAnsi="Arial"/>
          <w:sz w:val="20"/>
          <w:szCs w:val="20"/>
          <w:b w:val="1"/>
          <w:bCs w:val="1"/>
          <w:color w:val="auto"/>
        </w:rPr>
        <w:t>Patrick Patla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10.39</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21"/>
          <w:szCs w:val="21"/>
          <w:b w:val="1"/>
          <w:bCs w:val="1"/>
          <w:u w:val="single" w:color="auto"/>
          <w:color w:val="1A1A1A"/>
        </w:rPr>
        <w:t>THIRD AMENDMENT TO</w:t>
      </w:r>
    </w:p>
    <w:p>
      <w:pPr>
        <w:spacing w:after="0" w:line="2" w:lineRule="exact"/>
        <w:rPr>
          <w:sz w:val="20"/>
          <w:szCs w:val="20"/>
          <w:color w:val="auto"/>
        </w:rPr>
      </w:pPr>
    </w:p>
    <w:p>
      <w:pPr>
        <w:ind w:left="3780"/>
        <w:spacing w:after="0"/>
        <w:rPr>
          <w:sz w:val="20"/>
          <w:szCs w:val="20"/>
          <w:color w:val="auto"/>
        </w:rPr>
      </w:pPr>
      <w:r>
        <w:rPr>
          <w:rFonts w:ascii="Arial" w:cs="Arial" w:eastAsia="Arial" w:hAnsi="Arial"/>
          <w:sz w:val="21"/>
          <w:szCs w:val="21"/>
          <w:b w:val="1"/>
          <w:bCs w:val="1"/>
          <w:u w:val="single" w:color="auto"/>
          <w:color w:val="1A1A1A"/>
        </w:rPr>
        <w:t>SUBLEASE AGREEMENT</w:t>
      </w:r>
    </w:p>
    <w:p>
      <w:pPr>
        <w:spacing w:after="0" w:line="227"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1"/>
          <w:szCs w:val="21"/>
          <w:color w:val="1A1A1A"/>
        </w:rPr>
        <w:t>This THIRD AMENDMENT TO SUBLEASE AGREEMENT (this "</w:t>
      </w:r>
      <w:r>
        <w:rPr>
          <w:rFonts w:ascii="Arial" w:cs="Arial" w:eastAsia="Arial" w:hAnsi="Arial"/>
          <w:sz w:val="21"/>
          <w:szCs w:val="21"/>
          <w:u w:val="single" w:color="auto"/>
          <w:color w:val="1A1A1A"/>
        </w:rPr>
        <w:t>Amendment</w:t>
      </w:r>
      <w:r>
        <w:rPr>
          <w:rFonts w:ascii="Arial" w:cs="Arial" w:eastAsia="Arial" w:hAnsi="Arial"/>
          <w:sz w:val="21"/>
          <w:szCs w:val="21"/>
          <w:color w:val="1A1A1A"/>
        </w:rPr>
        <w:t>") is made and entered into effective as of this 9th day of October, 2017 (the "</w:t>
      </w:r>
      <w:r>
        <w:rPr>
          <w:rFonts w:ascii="Arial" w:cs="Arial" w:eastAsia="Arial" w:hAnsi="Arial"/>
          <w:sz w:val="21"/>
          <w:szCs w:val="21"/>
          <w:u w:val="single" w:color="auto"/>
          <w:color w:val="1A1A1A"/>
        </w:rPr>
        <w:t>Effective Date</w:t>
      </w:r>
      <w:r>
        <w:rPr>
          <w:rFonts w:ascii="Arial" w:cs="Arial" w:eastAsia="Arial" w:hAnsi="Arial"/>
          <w:sz w:val="21"/>
          <w:szCs w:val="21"/>
          <w:color w:val="1A1A1A"/>
        </w:rPr>
        <w:t>"), by and between NXP USA, Inc. a Delaware corporation (hereinafter referred to as "</w:t>
      </w:r>
      <w:r>
        <w:rPr>
          <w:rFonts w:ascii="Arial" w:cs="Arial" w:eastAsia="Arial" w:hAnsi="Arial"/>
          <w:sz w:val="21"/>
          <w:szCs w:val="21"/>
          <w:u w:val="single" w:color="auto"/>
          <w:color w:val="1A1A1A"/>
        </w:rPr>
        <w:t>Sublandlord</w:t>
      </w:r>
      <w:r>
        <w:rPr>
          <w:rFonts w:ascii="Arial" w:cs="Arial" w:eastAsia="Arial" w:hAnsi="Arial"/>
          <w:sz w:val="21"/>
          <w:szCs w:val="21"/>
          <w:color w:val="1A1A1A"/>
        </w:rPr>
        <w:t>"), and Everspin Technologies, Inc., a Delaware corporation (hereinafter referenced to as "</w:t>
      </w:r>
      <w:r>
        <w:rPr>
          <w:rFonts w:ascii="Arial" w:cs="Arial" w:eastAsia="Arial" w:hAnsi="Arial"/>
          <w:sz w:val="21"/>
          <w:szCs w:val="21"/>
          <w:u w:val="single" w:color="auto"/>
          <w:color w:val="1A1A1A"/>
        </w:rPr>
        <w:t>Subtenant</w:t>
      </w:r>
      <w:r>
        <w:rPr>
          <w:rFonts w:ascii="Arial" w:cs="Arial" w:eastAsia="Arial" w:hAnsi="Arial"/>
          <w:sz w:val="21"/>
          <w:szCs w:val="21"/>
          <w:color w:val="1A1A1A"/>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1A1A1A"/>
        </w:rPr>
        <w:t>RECITALS</w:t>
      </w:r>
      <w:r>
        <w:rPr>
          <w:rFonts w:ascii="Arial" w:cs="Arial" w:eastAsia="Arial" w:hAnsi="Arial"/>
          <w:sz w:val="21"/>
          <w:szCs w:val="21"/>
          <w:color w:val="1A1A1A"/>
        </w:rPr>
        <w:t>:</w:t>
      </w:r>
    </w:p>
    <w:p>
      <w:pPr>
        <w:spacing w:after="0" w:line="245"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20"/>
          <w:szCs w:val="20"/>
          <w:color w:val="1A1A1A"/>
        </w:rPr>
        <w:t>WHEREAS, VWP-BV CM 5670, LLC, a Delaware limited liability company ("</w:t>
      </w:r>
      <w:r>
        <w:rPr>
          <w:rFonts w:ascii="Arial" w:cs="Arial" w:eastAsia="Arial" w:hAnsi="Arial"/>
          <w:sz w:val="20"/>
          <w:szCs w:val="20"/>
          <w:u w:val="single" w:color="auto"/>
          <w:color w:val="1A1A1A"/>
        </w:rPr>
        <w:t>Master Landlord</w:t>
      </w:r>
      <w:r>
        <w:rPr>
          <w:rFonts w:ascii="Arial" w:cs="Arial" w:eastAsia="Arial" w:hAnsi="Arial"/>
          <w:sz w:val="20"/>
          <w:szCs w:val="20"/>
          <w:color w:val="1A1A1A"/>
        </w:rPr>
        <w:t xml:space="preserve">"), and Sublandlord, as successor in interest to NXP Semiconductors USA, Inc., a Delaware corporation, entered into that certain Lease dated June 23, 2014 (the </w:t>
      </w:r>
      <w:r>
        <w:rPr>
          <w:rFonts w:ascii="Arial" w:cs="Arial" w:eastAsia="Arial" w:hAnsi="Arial"/>
          <w:sz w:val="20"/>
          <w:szCs w:val="20"/>
          <w:color w:val="2F2F2F"/>
        </w:rPr>
        <w:t>"</w:t>
      </w:r>
      <w:r>
        <w:rPr>
          <w:rFonts w:ascii="Arial" w:cs="Arial" w:eastAsia="Arial" w:hAnsi="Arial"/>
          <w:sz w:val="20"/>
          <w:szCs w:val="20"/>
          <w:u w:val="single" w:color="auto"/>
          <w:color w:val="2F2F2F"/>
        </w:rPr>
        <w:t>Lease</w:t>
      </w:r>
      <w:r>
        <w:rPr>
          <w:rFonts w:ascii="Arial" w:cs="Arial" w:eastAsia="Arial" w:hAnsi="Arial"/>
          <w:sz w:val="20"/>
          <w:szCs w:val="20"/>
          <w:color w:val="2F2F2F"/>
        </w:rPr>
        <w:t>")</w:t>
      </w:r>
      <w:r>
        <w:rPr>
          <w:rFonts w:ascii="Arial" w:cs="Arial" w:eastAsia="Arial" w:hAnsi="Arial"/>
          <w:sz w:val="20"/>
          <w:szCs w:val="20"/>
          <w:color w:val="1A1A1A"/>
        </w:rPr>
        <w:t xml:space="preserve"> regarding the lease of certain premises located at 5670 West Chandler Blvd., Chandler, Arizona 85226, as more particularly described in the Lease (the "</w:t>
      </w:r>
      <w:r>
        <w:rPr>
          <w:rFonts w:ascii="Arial" w:cs="Arial" w:eastAsia="Arial" w:hAnsi="Arial"/>
          <w:sz w:val="20"/>
          <w:szCs w:val="20"/>
          <w:u w:val="single" w:color="auto"/>
          <w:color w:val="1A1A1A"/>
        </w:rPr>
        <w:t>Premises</w:t>
      </w:r>
      <w:r>
        <w:rPr>
          <w:rFonts w:ascii="Arial" w:cs="Arial" w:eastAsia="Arial" w:hAnsi="Arial"/>
          <w:sz w:val="20"/>
          <w:szCs w:val="20"/>
          <w:color w:val="1A1A1A"/>
        </w:rPr>
        <w:t>"); and</w:t>
      </w:r>
    </w:p>
    <w:p>
      <w:pPr>
        <w:spacing w:after="0" w:line="20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21"/>
          <w:szCs w:val="21"/>
          <w:color w:val="1A1A1A"/>
        </w:rPr>
        <w:t>WHEREAS, Sublandlord and Subtenant entered into that certain Sublease Agreement dated effective January 31, 2017 (the "</w:t>
      </w:r>
      <w:r>
        <w:rPr>
          <w:rFonts w:ascii="Arial" w:cs="Arial" w:eastAsia="Arial" w:hAnsi="Arial"/>
          <w:sz w:val="21"/>
          <w:szCs w:val="21"/>
          <w:u w:val="single" w:color="auto"/>
          <w:color w:val="1A1A1A"/>
        </w:rPr>
        <w:t>Original Sublease</w:t>
      </w:r>
      <w:r>
        <w:rPr>
          <w:rFonts w:ascii="Arial" w:cs="Arial" w:eastAsia="Arial" w:hAnsi="Arial"/>
          <w:sz w:val="21"/>
          <w:szCs w:val="21"/>
          <w:color w:val="1A1A1A"/>
        </w:rPr>
        <w:t>"), as amended by that certain First Amendment to Sublease Agreement dated February 13, 2017 (the "</w:t>
      </w:r>
      <w:r>
        <w:rPr>
          <w:rFonts w:ascii="Arial" w:cs="Arial" w:eastAsia="Arial" w:hAnsi="Arial"/>
          <w:sz w:val="21"/>
          <w:szCs w:val="21"/>
          <w:u w:val="single" w:color="auto"/>
          <w:color w:val="1A1A1A"/>
        </w:rPr>
        <w:t>First Amendment</w:t>
      </w:r>
      <w:r>
        <w:rPr>
          <w:rFonts w:ascii="Arial" w:cs="Arial" w:eastAsia="Arial" w:hAnsi="Arial"/>
          <w:sz w:val="21"/>
          <w:szCs w:val="21"/>
          <w:color w:val="1A1A1A"/>
        </w:rPr>
        <w:t>"), and as further amended by that ce1iain Second Amendment to Sublease Agreement dated February 28, 2017 (the "</w:t>
      </w:r>
      <w:r>
        <w:rPr>
          <w:rFonts w:ascii="Arial" w:cs="Arial" w:eastAsia="Arial" w:hAnsi="Arial"/>
          <w:sz w:val="21"/>
          <w:szCs w:val="21"/>
          <w:u w:val="single" w:color="auto"/>
          <w:color w:val="1A1A1A"/>
        </w:rPr>
        <w:t>Second Amendment</w:t>
      </w:r>
      <w:r>
        <w:rPr>
          <w:rFonts w:ascii="Arial" w:cs="Arial" w:eastAsia="Arial" w:hAnsi="Arial"/>
          <w:sz w:val="21"/>
          <w:szCs w:val="21"/>
          <w:color w:val="1A1A1A"/>
        </w:rPr>
        <w:t>", and together with the Original Sublease and the First Amendment, the "</w:t>
      </w:r>
      <w:r>
        <w:rPr>
          <w:rFonts w:ascii="Arial" w:cs="Arial" w:eastAsia="Arial" w:hAnsi="Arial"/>
          <w:sz w:val="21"/>
          <w:szCs w:val="21"/>
          <w:u w:val="single" w:color="auto"/>
          <w:color w:val="1A1A1A"/>
        </w:rPr>
        <w:t>Sublease</w:t>
      </w:r>
      <w:r>
        <w:rPr>
          <w:rFonts w:ascii="Arial" w:cs="Arial" w:eastAsia="Arial" w:hAnsi="Arial"/>
          <w:sz w:val="21"/>
          <w:szCs w:val="21"/>
          <w:color w:val="1A1A1A"/>
        </w:rPr>
        <w:t>").</w:t>
      </w:r>
    </w:p>
    <w:p>
      <w:pPr>
        <w:spacing w:after="0" w:line="216"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20"/>
          <w:szCs w:val="20"/>
          <w:color w:val="1A1A1A"/>
        </w:rPr>
        <w:t>WHEREAS, pursuant to the Original Sublease, Subtenant subleased from Sublandlord approximately 6,560 square feet out of the first floor of the Premises as more particularly identified therein (the "</w:t>
      </w:r>
      <w:r>
        <w:rPr>
          <w:rFonts w:ascii="Arial" w:cs="Arial" w:eastAsia="Arial" w:hAnsi="Arial"/>
          <w:sz w:val="20"/>
          <w:szCs w:val="20"/>
          <w:u w:val="single" w:color="auto"/>
          <w:color w:val="1A1A1A"/>
        </w:rPr>
        <w:t>Lab Premises</w:t>
      </w:r>
      <w:r>
        <w:rPr>
          <w:rFonts w:ascii="Arial" w:cs="Arial" w:eastAsia="Arial" w:hAnsi="Arial"/>
          <w:sz w:val="20"/>
          <w:szCs w:val="20"/>
          <w:color w:val="1A1A1A"/>
        </w:rPr>
        <w:t>").</w:t>
      </w:r>
    </w:p>
    <w:p>
      <w:pPr>
        <w:spacing w:after="0" w:line="175" w:lineRule="exact"/>
        <w:rPr>
          <w:sz w:val="20"/>
          <w:szCs w:val="20"/>
          <w:color w:val="auto"/>
        </w:rPr>
      </w:pPr>
    </w:p>
    <w:p>
      <w:pPr>
        <w:jc w:val="both"/>
        <w:ind w:firstLine="654"/>
        <w:spacing w:after="0" w:line="253" w:lineRule="auto"/>
        <w:rPr>
          <w:sz w:val="20"/>
          <w:szCs w:val="20"/>
          <w:color w:val="auto"/>
        </w:rPr>
      </w:pPr>
      <w:r>
        <w:rPr>
          <w:rFonts w:ascii="Arial" w:cs="Arial" w:eastAsia="Arial" w:hAnsi="Arial"/>
          <w:sz w:val="21"/>
          <w:szCs w:val="21"/>
          <w:color w:val="1A1A1A"/>
        </w:rPr>
        <w:t>WHEREAS, pursuant to the First Amendment, Subtenant subleased from Sublandlord approximately 3,463 square feet out of the first floor of the Premises as more particularly identified therein (the "</w:t>
      </w:r>
      <w:r>
        <w:rPr>
          <w:rFonts w:ascii="Arial" w:cs="Arial" w:eastAsia="Arial" w:hAnsi="Arial"/>
          <w:sz w:val="21"/>
          <w:szCs w:val="21"/>
          <w:u w:val="single" w:color="auto"/>
          <w:color w:val="1A1A1A"/>
        </w:rPr>
        <w:t>Existing Office Premises</w:t>
      </w:r>
      <w:r>
        <w:rPr>
          <w:rFonts w:ascii="Arial" w:cs="Arial" w:eastAsia="Arial" w:hAnsi="Arial"/>
          <w:sz w:val="21"/>
          <w:szCs w:val="21"/>
          <w:color w:val="1A1A1A"/>
        </w:rPr>
        <w:t>", and together with the Lab Premises, the "</w:t>
      </w:r>
      <w:r>
        <w:rPr>
          <w:rFonts w:ascii="Arial" w:cs="Arial" w:eastAsia="Arial" w:hAnsi="Arial"/>
          <w:sz w:val="21"/>
          <w:szCs w:val="21"/>
          <w:u w:val="single" w:color="auto"/>
          <w:color w:val="1A1A1A"/>
        </w:rPr>
        <w:t>Existing Subleased Premises</w:t>
      </w:r>
      <w:r>
        <w:rPr>
          <w:rFonts w:ascii="Arial" w:cs="Arial" w:eastAsia="Arial" w:hAnsi="Arial"/>
          <w:sz w:val="21"/>
          <w:szCs w:val="21"/>
          <w:color w:val="1A1A1A"/>
        </w:rPr>
        <w:t>").</w:t>
      </w:r>
    </w:p>
    <w:p>
      <w:pPr>
        <w:spacing w:after="0" w:line="209" w:lineRule="exact"/>
        <w:rPr>
          <w:sz w:val="20"/>
          <w:szCs w:val="20"/>
          <w:color w:val="auto"/>
        </w:rPr>
      </w:pPr>
    </w:p>
    <w:p>
      <w:pPr>
        <w:jc w:val="both"/>
        <w:ind w:firstLine="646"/>
        <w:spacing w:after="0" w:line="264" w:lineRule="auto"/>
        <w:rPr>
          <w:sz w:val="20"/>
          <w:szCs w:val="20"/>
          <w:color w:val="auto"/>
        </w:rPr>
      </w:pPr>
      <w:r>
        <w:rPr>
          <w:rFonts w:ascii="Arial" w:cs="Arial" w:eastAsia="Arial" w:hAnsi="Arial"/>
          <w:sz w:val="21"/>
          <w:szCs w:val="21"/>
          <w:color w:val="1A1A1A"/>
        </w:rPr>
        <w:t>WHEREAS, capitalized terms used in this Amendment and not otherwise defined will have the same meaning as given to them in the Sublease.</w:t>
      </w:r>
    </w:p>
    <w:p>
      <w:pPr>
        <w:spacing w:after="0" w:line="198" w:lineRule="exact"/>
        <w:rPr>
          <w:sz w:val="20"/>
          <w:szCs w:val="20"/>
          <w:color w:val="auto"/>
        </w:rPr>
      </w:pPr>
    </w:p>
    <w:p>
      <w:pPr>
        <w:jc w:val="both"/>
        <w:ind w:firstLine="644"/>
        <w:spacing w:after="0" w:line="264" w:lineRule="auto"/>
        <w:rPr>
          <w:sz w:val="20"/>
          <w:szCs w:val="20"/>
          <w:color w:val="auto"/>
        </w:rPr>
      </w:pPr>
      <w:r>
        <w:rPr>
          <w:rFonts w:ascii="Arial" w:cs="Arial" w:eastAsia="Arial" w:hAnsi="Arial"/>
          <w:sz w:val="21"/>
          <w:szCs w:val="21"/>
          <w:color w:val="1A1A1A"/>
        </w:rPr>
        <w:t>WHEREAS, the parties desire to amend the Sublease in accordance with the terms and conditions of this Amendment.</w:t>
      </w:r>
    </w:p>
    <w:p>
      <w:pPr>
        <w:spacing w:after="0" w:line="198"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21"/>
          <w:szCs w:val="21"/>
          <w:color w:val="1A1A1A"/>
        </w:rPr>
        <w:t>NOW, THEREFORE, in consideration of the foregoing premises, the mutual promises hereinafter made and other good and valuable consideration, the receipt and sufficiency of which are hereby acknowledged, the parties agree as follows:</w:t>
      </w:r>
    </w:p>
    <w:p>
      <w:pPr>
        <w:spacing w:after="0" w:line="203" w:lineRule="exact"/>
        <w:rPr>
          <w:sz w:val="20"/>
          <w:szCs w:val="20"/>
          <w:color w:val="auto"/>
        </w:rPr>
      </w:pPr>
    </w:p>
    <w:p>
      <w:pPr>
        <w:jc w:val="both"/>
        <w:ind w:firstLine="568"/>
        <w:spacing w:after="0" w:line="256" w:lineRule="auto"/>
        <w:tabs>
          <w:tab w:leader="none" w:pos="1386" w:val="left"/>
        </w:tabs>
        <w:numPr>
          <w:ilvl w:val="0"/>
          <w:numId w:val="48"/>
        </w:numPr>
        <w:rPr>
          <w:rFonts w:ascii="Arial" w:cs="Arial" w:eastAsia="Arial" w:hAnsi="Arial"/>
          <w:sz w:val="21"/>
          <w:szCs w:val="21"/>
          <w:color w:val="1A1A1A"/>
        </w:rPr>
      </w:pPr>
      <w:r>
        <w:rPr>
          <w:rFonts w:ascii="Arial" w:cs="Arial" w:eastAsia="Arial" w:hAnsi="Arial"/>
          <w:sz w:val="21"/>
          <w:szCs w:val="21"/>
          <w:b w:val="1"/>
          <w:bCs w:val="1"/>
          <w:u w:val="single" w:color="auto"/>
          <w:color w:val="1A1A1A"/>
        </w:rPr>
        <w:t>Renewal Term</w:t>
      </w:r>
      <w:r>
        <w:rPr>
          <w:rFonts w:ascii="Arial" w:cs="Arial" w:eastAsia="Arial" w:hAnsi="Arial"/>
          <w:sz w:val="21"/>
          <w:szCs w:val="21"/>
          <w:b w:val="1"/>
          <w:bCs w:val="1"/>
          <w:color w:val="1A1A1A"/>
        </w:rPr>
        <w:t xml:space="preserve">. </w:t>
      </w:r>
      <w:r>
        <w:rPr>
          <w:rFonts w:ascii="Arial" w:cs="Arial" w:eastAsia="Arial" w:hAnsi="Arial"/>
          <w:sz w:val="21"/>
          <w:szCs w:val="21"/>
          <w:color w:val="1A1A1A"/>
        </w:rPr>
        <w:t>Section l .c. of the Second Amendment is hereby deleted in its entirety. Section 2(a) of</w:t>
      </w:r>
      <w:r>
        <w:rPr>
          <w:rFonts w:ascii="Arial" w:cs="Arial" w:eastAsia="Arial" w:hAnsi="Arial"/>
          <w:sz w:val="21"/>
          <w:szCs w:val="21"/>
          <w:b w:val="1"/>
          <w:bCs w:val="1"/>
          <w:color w:val="1A1A1A"/>
        </w:rPr>
        <w:t xml:space="preserve"> </w:t>
      </w:r>
      <w:r>
        <w:rPr>
          <w:rFonts w:ascii="Arial" w:cs="Arial" w:eastAsia="Arial" w:hAnsi="Arial"/>
          <w:sz w:val="21"/>
          <w:szCs w:val="21"/>
          <w:color w:val="1A1A1A"/>
        </w:rPr>
        <w:t>the Original Sublease is hereby amended such that Subtenant's renewal term, if exercised, will expire on August 31, 2024.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00" w:name="page101"/>
    <w:bookmarkEnd w:id="100"/>
    <w:p>
      <w:pPr>
        <w:jc w:val="both"/>
        <w:ind w:firstLine="648"/>
        <w:spacing w:after="0" w:line="292" w:lineRule="auto"/>
        <w:tabs>
          <w:tab w:leader="none" w:pos="1375" w:val="left"/>
        </w:tabs>
        <w:numPr>
          <w:ilvl w:val="0"/>
          <w:numId w:val="49"/>
        </w:numPr>
        <w:rPr>
          <w:rFonts w:ascii="Arial" w:cs="Arial" w:eastAsia="Arial" w:hAnsi="Arial"/>
          <w:sz w:val="18"/>
          <w:szCs w:val="18"/>
          <w:color w:val="1D1F1F"/>
        </w:rPr>
      </w:pPr>
      <w:r>
        <w:rPr>
          <w:rFonts w:ascii="Arial" w:cs="Arial" w:eastAsia="Arial" w:hAnsi="Arial"/>
          <w:sz w:val="18"/>
          <w:szCs w:val="18"/>
          <w:b w:val="1"/>
          <w:bCs w:val="1"/>
          <w:u w:val="single" w:color="auto"/>
          <w:color w:val="1D1F1F"/>
        </w:rPr>
        <w:t>Expansion of the Premises</w:t>
      </w:r>
      <w:r>
        <w:rPr>
          <w:rFonts w:ascii="Arial" w:cs="Arial" w:eastAsia="Arial" w:hAnsi="Arial"/>
          <w:sz w:val="18"/>
          <w:szCs w:val="18"/>
          <w:b w:val="1"/>
          <w:bCs w:val="1"/>
          <w:color w:val="1D1F1F"/>
        </w:rPr>
        <w:t xml:space="preserve">. </w:t>
      </w:r>
      <w:r>
        <w:rPr>
          <w:rFonts w:ascii="Arial" w:cs="Arial" w:eastAsia="Arial" w:hAnsi="Arial"/>
          <w:sz w:val="18"/>
          <w:szCs w:val="18"/>
          <w:color w:val="1D1F1F"/>
        </w:rPr>
        <w:t>Effective as of December 1, 2017 (the "</w:t>
      </w:r>
      <w:r>
        <w:rPr>
          <w:rFonts w:ascii="Arial" w:cs="Arial" w:eastAsia="Arial" w:hAnsi="Arial"/>
          <w:sz w:val="18"/>
          <w:szCs w:val="18"/>
          <w:u w:val="single" w:color="auto"/>
          <w:color w:val="1D1F1F"/>
        </w:rPr>
        <w:t>Office Expansion Date</w:t>
      </w:r>
      <w:r>
        <w:rPr>
          <w:rFonts w:ascii="Arial" w:cs="Arial" w:eastAsia="Arial" w:hAnsi="Arial"/>
          <w:sz w:val="18"/>
          <w:szCs w:val="18"/>
          <w:color w:val="1D1F1F"/>
        </w:rPr>
        <w:t>"), the term</w:t>
      </w:r>
      <w:r>
        <w:rPr>
          <w:rFonts w:ascii="Arial" w:cs="Arial" w:eastAsia="Arial" w:hAnsi="Arial"/>
          <w:sz w:val="18"/>
          <w:szCs w:val="18"/>
          <w:b w:val="1"/>
          <w:bCs w:val="1"/>
          <w:color w:val="1D1F1F"/>
        </w:rPr>
        <w:t xml:space="preserve"> </w:t>
      </w:r>
      <w:r>
        <w:rPr>
          <w:rFonts w:ascii="Arial" w:cs="Arial" w:eastAsia="Arial" w:hAnsi="Arial"/>
          <w:sz w:val="18"/>
          <w:szCs w:val="18"/>
          <w:color w:val="1D1F1F"/>
        </w:rPr>
        <w:t>"</w:t>
      </w:r>
      <w:r>
        <w:rPr>
          <w:rFonts w:ascii="Arial" w:cs="Arial" w:eastAsia="Arial" w:hAnsi="Arial"/>
          <w:sz w:val="18"/>
          <w:szCs w:val="18"/>
          <w:u w:val="single" w:color="auto"/>
          <w:color w:val="1D1F1F"/>
        </w:rPr>
        <w:t>Subleased Premises</w:t>
      </w:r>
      <w:r>
        <w:rPr>
          <w:rFonts w:ascii="Arial" w:cs="Arial" w:eastAsia="Arial" w:hAnsi="Arial"/>
          <w:sz w:val="18"/>
          <w:szCs w:val="18"/>
          <w:color w:val="1D1F1F"/>
        </w:rPr>
        <w:t>" shall mean the Existing Subleased Premises and those certain premises consisting of approximately 17,951 rentable square feet located adjacent to the Existing Subleased Premises (the "</w:t>
      </w:r>
      <w:r>
        <w:rPr>
          <w:rFonts w:ascii="Arial" w:cs="Arial" w:eastAsia="Arial" w:hAnsi="Arial"/>
          <w:sz w:val="18"/>
          <w:szCs w:val="18"/>
          <w:u w:val="single" w:color="auto"/>
          <w:color w:val="1D1F1F"/>
        </w:rPr>
        <w:t>Expansion Office</w:t>
      </w:r>
      <w:r>
        <w:rPr>
          <w:rFonts w:ascii="Arial" w:cs="Arial" w:eastAsia="Arial" w:hAnsi="Arial"/>
          <w:sz w:val="18"/>
          <w:szCs w:val="18"/>
          <w:color w:val="1D1F1F"/>
        </w:rPr>
        <w:t xml:space="preserve"> </w:t>
      </w:r>
      <w:r>
        <w:rPr>
          <w:rFonts w:ascii="Arial" w:cs="Arial" w:eastAsia="Arial" w:hAnsi="Arial"/>
          <w:sz w:val="18"/>
          <w:szCs w:val="18"/>
          <w:u w:val="single" w:color="auto"/>
          <w:color w:val="1D1F1F"/>
        </w:rPr>
        <w:t>Premises</w:t>
      </w:r>
      <w:r>
        <w:rPr>
          <w:rFonts w:ascii="Arial" w:cs="Arial" w:eastAsia="Arial" w:hAnsi="Arial"/>
          <w:sz w:val="18"/>
          <w:szCs w:val="18"/>
          <w:color w:val="1D1F1F"/>
        </w:rPr>
        <w:t>"). The Lab Premises, the Existing Office Premises and the Expansion Office Premises are depicted on Exhibit A attached hereto. Except as expressly set forth otherwise herein, the Expansion Office Premises shall be subject to the same terms and conditions as the Existing Subleased Premises, as set forth in the Sublease. For clarification, the initial Term (with respect to the entire Subleased Premises) expires on January 31, 2022</w:t>
      </w:r>
      <w:r>
        <w:rPr>
          <w:rFonts w:ascii="Arial" w:cs="Arial" w:eastAsia="Arial" w:hAnsi="Arial"/>
          <w:sz w:val="18"/>
          <w:szCs w:val="18"/>
          <w:color w:val="424242"/>
        </w:rPr>
        <w:t>,</w:t>
      </w:r>
      <w:r>
        <w:rPr>
          <w:rFonts w:ascii="Arial" w:cs="Arial" w:eastAsia="Arial" w:hAnsi="Arial"/>
          <w:sz w:val="18"/>
          <w:szCs w:val="18"/>
          <w:color w:val="1D1F1F"/>
        </w:rPr>
        <w:t xml:space="preserve"> and Subtenant's option to renew the Term, set forth in </w:t>
      </w:r>
      <w:r>
        <w:rPr>
          <w:rFonts w:ascii="Arial" w:cs="Arial" w:eastAsia="Arial" w:hAnsi="Arial"/>
          <w:sz w:val="18"/>
          <w:szCs w:val="18"/>
          <w:u w:val="single" w:color="auto"/>
          <w:color w:val="1D1F1F"/>
        </w:rPr>
        <w:t>Section 2</w:t>
      </w:r>
      <w:r>
        <w:rPr>
          <w:rFonts w:ascii="Arial" w:cs="Arial" w:eastAsia="Arial" w:hAnsi="Arial"/>
          <w:sz w:val="18"/>
          <w:szCs w:val="18"/>
          <w:color w:val="1D1F1F"/>
        </w:rPr>
        <w:t xml:space="preserve"> of the Original Sublease, must be exercised with respect to the entire Subleased Premises.</w:t>
      </w:r>
    </w:p>
    <w:p>
      <w:pPr>
        <w:spacing w:after="0" w:line="173" w:lineRule="exact"/>
        <w:rPr>
          <w:rFonts w:ascii="Arial" w:cs="Arial" w:eastAsia="Arial" w:hAnsi="Arial"/>
          <w:sz w:val="18"/>
          <w:szCs w:val="18"/>
          <w:color w:val="1D1F1F"/>
        </w:rPr>
      </w:pPr>
    </w:p>
    <w:p>
      <w:pPr>
        <w:jc w:val="both"/>
        <w:ind w:firstLine="648"/>
        <w:spacing w:after="0" w:line="247" w:lineRule="auto"/>
        <w:tabs>
          <w:tab w:leader="none" w:pos="1402" w:val="left"/>
        </w:tabs>
        <w:numPr>
          <w:ilvl w:val="0"/>
          <w:numId w:val="49"/>
        </w:numPr>
        <w:rPr>
          <w:rFonts w:ascii="Arial" w:cs="Arial" w:eastAsia="Arial" w:hAnsi="Arial"/>
          <w:sz w:val="21"/>
          <w:szCs w:val="21"/>
          <w:color w:val="1D1F1F"/>
        </w:rPr>
      </w:pPr>
      <w:r>
        <w:rPr>
          <w:rFonts w:ascii="Arial" w:cs="Arial" w:eastAsia="Arial" w:hAnsi="Arial"/>
          <w:sz w:val="21"/>
          <w:szCs w:val="21"/>
          <w:b w:val="1"/>
          <w:bCs w:val="1"/>
          <w:u w:val="single" w:color="auto"/>
          <w:color w:val="1D1F1F"/>
        </w:rPr>
        <w:t>Rent</w:t>
      </w:r>
      <w:r>
        <w:rPr>
          <w:rFonts w:ascii="Arial" w:cs="Arial" w:eastAsia="Arial" w:hAnsi="Arial"/>
          <w:sz w:val="21"/>
          <w:szCs w:val="21"/>
          <w:b w:val="1"/>
          <w:bCs w:val="1"/>
          <w:color w:val="1D1F1F"/>
        </w:rPr>
        <w:t xml:space="preserve">. </w:t>
      </w:r>
      <w:r>
        <w:rPr>
          <w:rFonts w:ascii="Arial" w:cs="Arial" w:eastAsia="Arial" w:hAnsi="Arial"/>
          <w:sz w:val="21"/>
          <w:szCs w:val="21"/>
          <w:color w:val="1D1F1F"/>
        </w:rPr>
        <w:t>From and after the Office Expansion Date, Base Rent for the Subleased Premises shall be as set</w:t>
      </w:r>
      <w:r>
        <w:rPr>
          <w:rFonts w:ascii="Arial" w:cs="Arial" w:eastAsia="Arial" w:hAnsi="Arial"/>
          <w:sz w:val="21"/>
          <w:szCs w:val="21"/>
          <w:b w:val="1"/>
          <w:bCs w:val="1"/>
          <w:color w:val="1D1F1F"/>
        </w:rPr>
        <w:t xml:space="preserve"> </w:t>
      </w:r>
      <w:r>
        <w:rPr>
          <w:rFonts w:ascii="Arial" w:cs="Arial" w:eastAsia="Arial" w:hAnsi="Arial"/>
          <w:sz w:val="21"/>
          <w:szCs w:val="21"/>
          <w:color w:val="1D1F1F"/>
        </w:rPr>
        <w:t xml:space="preserve">forth in the tables below. Base Rent during the renewal term shall be as set forth below, and the provisions in </w:t>
      </w:r>
      <w:r>
        <w:rPr>
          <w:rFonts w:ascii="Arial" w:cs="Arial" w:eastAsia="Arial" w:hAnsi="Arial"/>
          <w:sz w:val="21"/>
          <w:szCs w:val="21"/>
          <w:u w:val="single" w:color="auto"/>
          <w:color w:val="1D1F1F"/>
        </w:rPr>
        <w:t>Section 2(a)</w:t>
      </w:r>
      <w:r>
        <w:rPr>
          <w:rFonts w:ascii="Arial" w:cs="Arial" w:eastAsia="Arial" w:hAnsi="Arial"/>
          <w:sz w:val="21"/>
          <w:szCs w:val="21"/>
          <w:color w:val="1D1F1F"/>
        </w:rPr>
        <w:t xml:space="preserve"> of the Original Sublease regarding Fair Market Rent are hereby deleted. For purposes of calculating Base Rent, the rentable area of the Lab Premises is stipulated to be 6,560 square feet, the rentable area of the Existing Office Premises is stipulated to be 3,463 square feet, and the rentable area of the Expansion Office Premises is stipulated to be 17,951 square feet.</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1D1F1F"/>
        </w:rPr>
        <w:t>LAB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3887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4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21"/>
                <w:szCs w:val="21"/>
                <w:b w:val="1"/>
                <w:bCs w:val="1"/>
                <w:color w:val="1D1F1F"/>
              </w:rPr>
              <w:t>Lease Month</w:t>
            </w:r>
          </w:p>
        </w:tc>
        <w:tc>
          <w:tcPr>
            <w:tcW w:w="2140" w:type="dxa"/>
            <w:vAlign w:val="bottom"/>
            <w:tcBorders>
              <w:top w:val="single" w:sz="8" w:color="auto"/>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ind w:left="360"/>
              <w:spacing w:after="0" w:line="217" w:lineRule="exact"/>
              <w:rPr>
                <w:sz w:val="20"/>
                <w:szCs w:val="20"/>
                <w:color w:val="auto"/>
              </w:rPr>
            </w:pPr>
            <w:r>
              <w:rPr>
                <w:rFonts w:ascii="Arial" w:cs="Arial" w:eastAsia="Arial" w:hAnsi="Arial"/>
                <w:sz w:val="21"/>
                <w:szCs w:val="21"/>
                <w:b w:val="1"/>
                <w:bCs w:val="1"/>
                <w:color w:val="1D1F1F"/>
              </w:rPr>
              <w:t>Annual Base Rent for</w:t>
            </w:r>
          </w:p>
        </w:tc>
        <w:tc>
          <w:tcPr>
            <w:tcW w:w="3180" w:type="dxa"/>
            <w:vAlign w:val="bottom"/>
            <w:tcBorders>
              <w:top w:val="single" w:sz="8" w:color="auto"/>
            </w:tcBorders>
            <w:shd w:val="clear" w:color="auto" w:fill="CCEEFF"/>
          </w:tcPr>
          <w:p>
            <w:pPr>
              <w:ind w:left="280"/>
              <w:spacing w:after="0" w:line="217" w:lineRule="exact"/>
              <w:rPr>
                <w:sz w:val="20"/>
                <w:szCs w:val="20"/>
                <w:color w:val="auto"/>
              </w:rPr>
            </w:pPr>
            <w:r>
              <w:rPr>
                <w:rFonts w:ascii="Arial" w:cs="Arial" w:eastAsia="Arial" w:hAnsi="Arial"/>
                <w:sz w:val="21"/>
                <w:szCs w:val="21"/>
                <w:b w:val="1"/>
                <w:bCs w:val="1"/>
                <w:color w:val="1D1F1F"/>
              </w:rPr>
              <w:t>Monthly Base Rent</w:t>
            </w:r>
          </w:p>
        </w:tc>
      </w:tr>
      <w:tr>
        <w:trPr>
          <w:trHeight w:val="262"/>
        </w:trPr>
        <w:tc>
          <w:tcPr>
            <w:tcW w:w="154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3200" w:type="dxa"/>
            <w:vAlign w:val="bottom"/>
            <w:shd w:val="clear" w:color="auto" w:fill="CCEEFF"/>
          </w:tcPr>
          <w:p>
            <w:pPr>
              <w:ind w:left="360"/>
              <w:spacing w:after="0"/>
              <w:rPr>
                <w:sz w:val="20"/>
                <w:szCs w:val="20"/>
                <w:color w:val="auto"/>
              </w:rPr>
            </w:pPr>
            <w:r>
              <w:rPr>
                <w:rFonts w:ascii="Arial" w:cs="Arial" w:eastAsia="Arial" w:hAnsi="Arial"/>
                <w:sz w:val="21"/>
                <w:szCs w:val="21"/>
                <w:b w:val="1"/>
                <w:bCs w:val="1"/>
                <w:color w:val="1D1F1F"/>
              </w:rPr>
              <w:t>Expansion Premises</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b w:val="1"/>
                <w:bCs w:val="1"/>
                <w:color w:val="1D1F1F"/>
              </w:rPr>
              <w:t>for Expansion Premises</w:t>
            </w:r>
          </w:p>
        </w:tc>
      </w:tr>
      <w:tr>
        <w:trPr>
          <w:trHeight w:val="243"/>
        </w:trPr>
        <w:tc>
          <w:tcPr>
            <w:tcW w:w="3680" w:type="dxa"/>
            <w:vAlign w:val="bottom"/>
            <w:gridSpan w:val="2"/>
          </w:tcPr>
          <w:p>
            <w:pPr>
              <w:spacing w:after="0"/>
              <w:rPr>
                <w:sz w:val="20"/>
                <w:szCs w:val="20"/>
                <w:color w:val="auto"/>
              </w:rPr>
            </w:pPr>
            <w:r>
              <w:rPr>
                <w:rFonts w:ascii="Arial" w:cs="Arial" w:eastAsia="Arial" w:hAnsi="Arial"/>
                <w:sz w:val="21"/>
                <w:szCs w:val="21"/>
                <w:b w:val="1"/>
                <w:bCs w:val="1"/>
                <w:color w:val="1D1F1F"/>
                <w:w w:val="99"/>
              </w:rPr>
              <w:t>December 1, 2017- February 28, 2018</w:t>
            </w:r>
          </w:p>
        </w:tc>
        <w:tc>
          <w:tcPr>
            <w:tcW w:w="3200" w:type="dxa"/>
            <w:vAlign w:val="bottom"/>
          </w:tcPr>
          <w:p>
            <w:pPr>
              <w:ind w:left="360"/>
              <w:spacing w:after="0"/>
              <w:rPr>
                <w:sz w:val="20"/>
                <w:szCs w:val="20"/>
                <w:color w:val="auto"/>
              </w:rPr>
            </w:pPr>
            <w:r>
              <w:rPr>
                <w:rFonts w:ascii="Arial" w:cs="Arial" w:eastAsia="Arial" w:hAnsi="Arial"/>
                <w:sz w:val="21"/>
                <w:szCs w:val="21"/>
                <w:color w:val="1D1F1F"/>
                <w:w w:val="96"/>
              </w:rPr>
              <w:t>$20.00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1D1F1F"/>
              </w:rPr>
              <w:t>$10,933.33</w:t>
            </w:r>
          </w:p>
        </w:tc>
      </w:tr>
      <w:tr>
        <w:trPr>
          <w:trHeight w:val="243"/>
        </w:trPr>
        <w:tc>
          <w:tcPr>
            <w:tcW w:w="3680" w:type="dxa"/>
            <w:vAlign w:val="bottom"/>
            <w:gridSpan w:val="2"/>
            <w:shd w:val="clear" w:color="auto" w:fill="CCEEFF"/>
          </w:tcPr>
          <w:p>
            <w:pPr>
              <w:spacing w:after="0"/>
              <w:rPr>
                <w:sz w:val="20"/>
                <w:szCs w:val="20"/>
                <w:color w:val="auto"/>
              </w:rPr>
            </w:pPr>
            <w:r>
              <w:rPr>
                <w:rFonts w:ascii="Arial" w:cs="Arial" w:eastAsia="Arial" w:hAnsi="Arial"/>
                <w:sz w:val="21"/>
                <w:szCs w:val="21"/>
                <w:b w:val="1"/>
                <w:bCs w:val="1"/>
                <w:color w:val="1D1F1F"/>
              </w:rPr>
              <w:t>March 1, 2018- February 28, 2019</w:t>
            </w:r>
          </w:p>
        </w:tc>
        <w:tc>
          <w:tcPr>
            <w:tcW w:w="3200" w:type="dxa"/>
            <w:vAlign w:val="bottom"/>
            <w:shd w:val="clear" w:color="auto" w:fill="CCEEFF"/>
          </w:tcPr>
          <w:p>
            <w:pPr>
              <w:ind w:left="360"/>
              <w:spacing w:after="0"/>
              <w:rPr>
                <w:sz w:val="20"/>
                <w:szCs w:val="20"/>
                <w:color w:val="auto"/>
              </w:rPr>
            </w:pPr>
            <w:r>
              <w:rPr>
                <w:rFonts w:ascii="Arial" w:cs="Arial" w:eastAsia="Arial" w:hAnsi="Arial"/>
                <w:sz w:val="21"/>
                <w:szCs w:val="21"/>
                <w:color w:val="1D1F1F"/>
                <w:w w:val="96"/>
              </w:rPr>
              <w:t>$20.50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1D1F1F"/>
              </w:rPr>
              <w:t>$11,206.67</w:t>
            </w:r>
          </w:p>
        </w:tc>
      </w:tr>
      <w:tr>
        <w:trPr>
          <w:trHeight w:val="243"/>
        </w:trPr>
        <w:tc>
          <w:tcPr>
            <w:tcW w:w="3680" w:type="dxa"/>
            <w:vAlign w:val="bottom"/>
            <w:gridSpan w:val="2"/>
          </w:tcPr>
          <w:p>
            <w:pPr>
              <w:spacing w:after="0"/>
              <w:rPr>
                <w:sz w:val="20"/>
                <w:szCs w:val="20"/>
                <w:color w:val="auto"/>
              </w:rPr>
            </w:pPr>
            <w:r>
              <w:rPr>
                <w:rFonts w:ascii="Arial" w:cs="Arial" w:eastAsia="Arial" w:hAnsi="Arial"/>
                <w:sz w:val="21"/>
                <w:szCs w:val="21"/>
                <w:b w:val="1"/>
                <w:bCs w:val="1"/>
                <w:color w:val="1D1F1F"/>
              </w:rPr>
              <w:t xml:space="preserve">March 1, 2019 </w:t>
            </w:r>
            <w:r>
              <w:rPr>
                <w:rFonts w:ascii="Arial" w:cs="Arial" w:eastAsia="Arial" w:hAnsi="Arial"/>
                <w:sz w:val="21"/>
                <w:szCs w:val="21"/>
                <w:color w:val="1D1F1F"/>
              </w:rPr>
              <w:t>-</w:t>
            </w:r>
            <w:r>
              <w:rPr>
                <w:rFonts w:ascii="Arial" w:cs="Arial" w:eastAsia="Arial" w:hAnsi="Arial"/>
                <w:sz w:val="21"/>
                <w:szCs w:val="21"/>
                <w:b w:val="1"/>
                <w:bCs w:val="1"/>
                <w:color w:val="1D1F1F"/>
              </w:rPr>
              <w:t xml:space="preserve"> February 28, 2020</w:t>
            </w:r>
          </w:p>
        </w:tc>
        <w:tc>
          <w:tcPr>
            <w:tcW w:w="3200" w:type="dxa"/>
            <w:vAlign w:val="bottom"/>
          </w:tcPr>
          <w:p>
            <w:pPr>
              <w:ind w:left="360"/>
              <w:spacing w:after="0"/>
              <w:rPr>
                <w:sz w:val="20"/>
                <w:szCs w:val="20"/>
                <w:color w:val="auto"/>
              </w:rPr>
            </w:pPr>
            <w:r>
              <w:rPr>
                <w:rFonts w:ascii="Arial" w:cs="Arial" w:eastAsia="Arial" w:hAnsi="Arial"/>
                <w:sz w:val="21"/>
                <w:szCs w:val="21"/>
                <w:color w:val="1D1F1F"/>
                <w:w w:val="96"/>
              </w:rPr>
              <w:t>$21.00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1D1F1F"/>
              </w:rPr>
              <w:t>$11,480.00</w:t>
            </w:r>
          </w:p>
        </w:tc>
      </w:tr>
      <w:tr>
        <w:trPr>
          <w:trHeight w:val="243"/>
        </w:trPr>
        <w:tc>
          <w:tcPr>
            <w:tcW w:w="3680" w:type="dxa"/>
            <w:vAlign w:val="bottom"/>
            <w:gridSpan w:val="2"/>
            <w:shd w:val="clear" w:color="auto" w:fill="CCEEFF"/>
          </w:tcPr>
          <w:p>
            <w:pPr>
              <w:spacing w:after="0"/>
              <w:rPr>
                <w:sz w:val="20"/>
                <w:szCs w:val="20"/>
                <w:color w:val="auto"/>
              </w:rPr>
            </w:pPr>
            <w:r>
              <w:rPr>
                <w:rFonts w:ascii="Arial" w:cs="Arial" w:eastAsia="Arial" w:hAnsi="Arial"/>
                <w:sz w:val="21"/>
                <w:szCs w:val="21"/>
                <w:b w:val="1"/>
                <w:bCs w:val="1"/>
                <w:color w:val="1D1F1F"/>
              </w:rPr>
              <w:t xml:space="preserve">March 1, 2020 </w:t>
            </w:r>
            <w:r>
              <w:rPr>
                <w:rFonts w:ascii="Arial" w:cs="Arial" w:eastAsia="Arial" w:hAnsi="Arial"/>
                <w:sz w:val="21"/>
                <w:szCs w:val="21"/>
                <w:color w:val="1D1F1F"/>
              </w:rPr>
              <w:t>-</w:t>
            </w:r>
            <w:r>
              <w:rPr>
                <w:rFonts w:ascii="Arial" w:cs="Arial" w:eastAsia="Arial" w:hAnsi="Arial"/>
                <w:sz w:val="21"/>
                <w:szCs w:val="21"/>
                <w:b w:val="1"/>
                <w:bCs w:val="1"/>
                <w:color w:val="1D1F1F"/>
              </w:rPr>
              <w:t xml:space="preserve"> February 28, 2021</w:t>
            </w:r>
          </w:p>
        </w:tc>
        <w:tc>
          <w:tcPr>
            <w:tcW w:w="3200" w:type="dxa"/>
            <w:vAlign w:val="bottom"/>
            <w:shd w:val="clear" w:color="auto" w:fill="CCEEFF"/>
          </w:tcPr>
          <w:p>
            <w:pPr>
              <w:ind w:left="360"/>
              <w:spacing w:after="0"/>
              <w:rPr>
                <w:sz w:val="20"/>
                <w:szCs w:val="20"/>
                <w:color w:val="auto"/>
              </w:rPr>
            </w:pPr>
            <w:r>
              <w:rPr>
                <w:rFonts w:ascii="Arial" w:cs="Arial" w:eastAsia="Arial" w:hAnsi="Arial"/>
                <w:sz w:val="21"/>
                <w:szCs w:val="21"/>
                <w:color w:val="1D1F1F"/>
                <w:w w:val="96"/>
              </w:rPr>
              <w:t>$21.50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1D1F1F"/>
              </w:rPr>
              <w:t>$11,753.33</w:t>
            </w:r>
          </w:p>
        </w:tc>
      </w:tr>
      <w:tr>
        <w:trPr>
          <w:trHeight w:val="243"/>
        </w:trPr>
        <w:tc>
          <w:tcPr>
            <w:tcW w:w="3680" w:type="dxa"/>
            <w:vAlign w:val="bottom"/>
            <w:gridSpan w:val="2"/>
          </w:tcPr>
          <w:p>
            <w:pPr>
              <w:spacing w:after="0"/>
              <w:rPr>
                <w:sz w:val="20"/>
                <w:szCs w:val="20"/>
                <w:color w:val="auto"/>
              </w:rPr>
            </w:pPr>
            <w:r>
              <w:rPr>
                <w:rFonts w:ascii="Arial" w:cs="Arial" w:eastAsia="Arial" w:hAnsi="Arial"/>
                <w:sz w:val="21"/>
                <w:szCs w:val="21"/>
                <w:b w:val="1"/>
                <w:bCs w:val="1"/>
                <w:color w:val="1D1F1F"/>
              </w:rPr>
              <w:t>March 1, 2021- January 31, 2022</w:t>
            </w:r>
          </w:p>
        </w:tc>
        <w:tc>
          <w:tcPr>
            <w:tcW w:w="3200" w:type="dxa"/>
            <w:vAlign w:val="bottom"/>
          </w:tcPr>
          <w:p>
            <w:pPr>
              <w:ind w:left="360"/>
              <w:spacing w:after="0"/>
              <w:rPr>
                <w:sz w:val="20"/>
                <w:szCs w:val="20"/>
                <w:color w:val="auto"/>
              </w:rPr>
            </w:pPr>
            <w:r>
              <w:rPr>
                <w:rFonts w:ascii="Arial" w:cs="Arial" w:eastAsia="Arial" w:hAnsi="Arial"/>
                <w:sz w:val="21"/>
                <w:szCs w:val="21"/>
                <w:color w:val="1D1F1F"/>
                <w:w w:val="96"/>
              </w:rPr>
              <w:t>$22</w:t>
            </w:r>
            <w:r>
              <w:rPr>
                <w:rFonts w:ascii="Arial" w:cs="Arial" w:eastAsia="Arial" w:hAnsi="Arial"/>
                <w:sz w:val="21"/>
                <w:szCs w:val="21"/>
                <w:color w:val="424242"/>
                <w:w w:val="96"/>
              </w:rPr>
              <w:t>.</w:t>
            </w:r>
            <w:r>
              <w:rPr>
                <w:rFonts w:ascii="Arial" w:cs="Arial" w:eastAsia="Arial" w:hAnsi="Arial"/>
                <w:sz w:val="21"/>
                <w:szCs w:val="21"/>
                <w:color w:val="1D1F1F"/>
                <w:w w:val="96"/>
              </w:rPr>
              <w:t>00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1D1F1F"/>
              </w:rPr>
              <w:t>$12,026.67</w:t>
            </w:r>
          </w:p>
        </w:tc>
      </w:tr>
      <w:tr>
        <w:trPr>
          <w:trHeight w:val="243"/>
        </w:trPr>
        <w:tc>
          <w:tcPr>
            <w:tcW w:w="1540" w:type="dxa"/>
            <w:vAlign w:val="bottom"/>
            <w:shd w:val="clear" w:color="auto" w:fill="CCEEFF"/>
          </w:tcPr>
          <w:p>
            <w:pPr>
              <w:spacing w:after="0"/>
              <w:rPr>
                <w:sz w:val="20"/>
                <w:szCs w:val="20"/>
                <w:color w:val="auto"/>
              </w:rPr>
            </w:pPr>
            <w:r>
              <w:rPr>
                <w:rFonts w:ascii="Arial" w:cs="Arial" w:eastAsia="Arial" w:hAnsi="Arial"/>
                <w:sz w:val="21"/>
                <w:szCs w:val="21"/>
                <w:b w:val="1"/>
                <w:bCs w:val="1"/>
                <w:color w:val="1D1F1F"/>
                <w:w w:val="91"/>
              </w:rPr>
              <w:t>February 1, 2022</w:t>
            </w:r>
          </w:p>
        </w:tc>
        <w:tc>
          <w:tcPr>
            <w:tcW w:w="2140" w:type="dxa"/>
            <w:vAlign w:val="bottom"/>
            <w:shd w:val="clear" w:color="auto" w:fill="CCEEFF"/>
          </w:tcPr>
          <w:p>
            <w:pPr>
              <w:ind w:left="20"/>
              <w:spacing w:after="0"/>
              <w:rPr>
                <w:sz w:val="20"/>
                <w:szCs w:val="20"/>
                <w:color w:val="auto"/>
              </w:rPr>
            </w:pPr>
            <w:r>
              <w:rPr>
                <w:rFonts w:ascii="Arial" w:cs="Arial" w:eastAsia="Arial" w:hAnsi="Arial"/>
                <w:sz w:val="21"/>
                <w:szCs w:val="21"/>
                <w:color w:val="1D1F1F"/>
              </w:rPr>
              <w:t xml:space="preserve">- </w:t>
            </w:r>
            <w:r>
              <w:rPr>
                <w:rFonts w:ascii="Arial" w:cs="Arial" w:eastAsia="Arial" w:hAnsi="Arial"/>
                <w:sz w:val="21"/>
                <w:szCs w:val="21"/>
                <w:b w:val="1"/>
                <w:bCs w:val="1"/>
                <w:color w:val="1D1F1F"/>
              </w:rPr>
              <w:t>January 31, 2023</w:t>
            </w:r>
          </w:p>
        </w:tc>
        <w:tc>
          <w:tcPr>
            <w:tcW w:w="3200" w:type="dxa"/>
            <w:vAlign w:val="bottom"/>
            <w:shd w:val="clear" w:color="auto" w:fill="CCEEFF"/>
          </w:tcPr>
          <w:p>
            <w:pPr>
              <w:ind w:left="360"/>
              <w:spacing w:after="0"/>
              <w:rPr>
                <w:sz w:val="20"/>
                <w:szCs w:val="20"/>
                <w:color w:val="auto"/>
              </w:rPr>
            </w:pPr>
            <w:r>
              <w:rPr>
                <w:rFonts w:ascii="Arial" w:cs="Arial" w:eastAsia="Arial" w:hAnsi="Arial"/>
                <w:sz w:val="21"/>
                <w:szCs w:val="21"/>
                <w:color w:val="1D1F1F"/>
                <w:w w:val="96"/>
              </w:rPr>
              <w:t>$22.00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1D1F1F"/>
              </w:rPr>
              <w:t>$12,026.67</w:t>
            </w:r>
          </w:p>
        </w:tc>
      </w:tr>
      <w:tr>
        <w:trPr>
          <w:trHeight w:val="243"/>
        </w:trPr>
        <w:tc>
          <w:tcPr>
            <w:tcW w:w="1540" w:type="dxa"/>
            <w:vAlign w:val="bottom"/>
          </w:tcPr>
          <w:p>
            <w:pPr>
              <w:spacing w:after="0"/>
              <w:rPr>
                <w:sz w:val="20"/>
                <w:szCs w:val="20"/>
                <w:color w:val="auto"/>
              </w:rPr>
            </w:pPr>
            <w:r>
              <w:rPr>
                <w:rFonts w:ascii="Arial" w:cs="Arial" w:eastAsia="Arial" w:hAnsi="Arial"/>
                <w:sz w:val="21"/>
                <w:szCs w:val="21"/>
                <w:b w:val="1"/>
                <w:bCs w:val="1"/>
                <w:color w:val="1D1F1F"/>
                <w:w w:val="91"/>
              </w:rPr>
              <w:t>February 1, 2023</w:t>
            </w:r>
          </w:p>
        </w:tc>
        <w:tc>
          <w:tcPr>
            <w:tcW w:w="2140" w:type="dxa"/>
            <w:vAlign w:val="bottom"/>
          </w:tcPr>
          <w:p>
            <w:pPr>
              <w:ind w:left="20"/>
              <w:spacing w:after="0"/>
              <w:rPr>
                <w:sz w:val="20"/>
                <w:szCs w:val="20"/>
                <w:color w:val="auto"/>
              </w:rPr>
            </w:pPr>
            <w:r>
              <w:rPr>
                <w:rFonts w:ascii="Arial" w:cs="Arial" w:eastAsia="Arial" w:hAnsi="Arial"/>
                <w:sz w:val="21"/>
                <w:szCs w:val="21"/>
                <w:color w:val="1D1F1F"/>
              </w:rPr>
              <w:t xml:space="preserve">- </w:t>
            </w:r>
            <w:r>
              <w:rPr>
                <w:rFonts w:ascii="Arial" w:cs="Arial" w:eastAsia="Arial" w:hAnsi="Arial"/>
                <w:sz w:val="21"/>
                <w:szCs w:val="21"/>
                <w:b w:val="1"/>
                <w:bCs w:val="1"/>
                <w:color w:val="1D1F1F"/>
              </w:rPr>
              <w:t>January 31, 2024</w:t>
            </w:r>
          </w:p>
        </w:tc>
        <w:tc>
          <w:tcPr>
            <w:tcW w:w="3200" w:type="dxa"/>
            <w:vAlign w:val="bottom"/>
          </w:tcPr>
          <w:p>
            <w:pPr>
              <w:ind w:left="360"/>
              <w:spacing w:after="0"/>
              <w:rPr>
                <w:sz w:val="20"/>
                <w:szCs w:val="20"/>
                <w:color w:val="auto"/>
              </w:rPr>
            </w:pPr>
            <w:r>
              <w:rPr>
                <w:rFonts w:ascii="Arial" w:cs="Arial" w:eastAsia="Arial" w:hAnsi="Arial"/>
                <w:sz w:val="21"/>
                <w:szCs w:val="21"/>
                <w:color w:val="1D1F1F"/>
                <w:w w:val="96"/>
              </w:rPr>
              <w:t>$22.00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1D1F1F"/>
              </w:rPr>
              <w:t>$12,026</w:t>
            </w:r>
            <w:r>
              <w:rPr>
                <w:rFonts w:ascii="Arial" w:cs="Arial" w:eastAsia="Arial" w:hAnsi="Arial"/>
                <w:sz w:val="21"/>
                <w:szCs w:val="21"/>
                <w:color w:val="424242"/>
              </w:rPr>
              <w:t>.</w:t>
            </w:r>
            <w:r>
              <w:rPr>
                <w:rFonts w:ascii="Arial" w:cs="Arial" w:eastAsia="Arial" w:hAnsi="Arial"/>
                <w:sz w:val="21"/>
                <w:szCs w:val="21"/>
                <w:color w:val="1D1F1F"/>
              </w:rPr>
              <w:t>67</w:t>
            </w:r>
          </w:p>
        </w:tc>
      </w:tr>
      <w:tr>
        <w:trPr>
          <w:trHeight w:val="243"/>
        </w:trPr>
        <w:tc>
          <w:tcPr>
            <w:tcW w:w="1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1"/>
                <w:szCs w:val="21"/>
                <w:b w:val="1"/>
                <w:bCs w:val="1"/>
                <w:color w:val="1D1F1F"/>
                <w:w w:val="91"/>
              </w:rPr>
              <w:t>February 1, 2024</w:t>
            </w:r>
          </w:p>
        </w:tc>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1"/>
                <w:szCs w:val="21"/>
                <w:color w:val="1D1F1F"/>
              </w:rPr>
              <w:t xml:space="preserve">- </w:t>
            </w:r>
            <w:r>
              <w:rPr>
                <w:rFonts w:ascii="Arial" w:cs="Arial" w:eastAsia="Arial" w:hAnsi="Arial"/>
                <w:sz w:val="21"/>
                <w:szCs w:val="21"/>
                <w:b w:val="1"/>
                <w:bCs w:val="1"/>
                <w:color w:val="1D1F1F"/>
              </w:rPr>
              <w:t>August 31, 2024</w:t>
            </w:r>
          </w:p>
        </w:tc>
        <w:tc>
          <w:tcPr>
            <w:tcW w:w="3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21"/>
                <w:szCs w:val="21"/>
                <w:color w:val="1D1F1F"/>
                <w:w w:val="96"/>
              </w:rPr>
              <w:t>$22.00 per rentable square foot</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21"/>
                <w:szCs w:val="21"/>
                <w:color w:val="1D1F1F"/>
              </w:rPr>
              <w:t>$12,026.67</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3" w:right="919" w:bottom="1440" w:gutter="0" w:footer="0" w:header="0"/>
        </w:sectPr>
      </w:pPr>
    </w:p>
    <w:bookmarkStart w:id="101" w:name="page102"/>
    <w:bookmarkEnd w:id="101"/>
    <w:p>
      <w:pPr>
        <w:spacing w:after="0"/>
        <w:rPr>
          <w:sz w:val="20"/>
          <w:szCs w:val="20"/>
          <w:color w:val="auto"/>
        </w:rPr>
      </w:pPr>
      <w:r>
        <w:rPr>
          <w:rFonts w:ascii="Arial" w:cs="Arial" w:eastAsia="Arial" w:hAnsi="Arial"/>
          <w:sz w:val="21"/>
          <w:szCs w:val="21"/>
          <w:b w:val="1"/>
          <w:bCs w:val="1"/>
          <w:color w:val="1D1F1F"/>
        </w:rPr>
        <w:t>EXISTING OFFICE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3887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21"/>
                <w:szCs w:val="21"/>
                <w:b w:val="1"/>
                <w:bCs w:val="1"/>
                <w:color w:val="1D1F1F"/>
              </w:rPr>
              <w:t>Lease Month</w:t>
            </w:r>
          </w:p>
        </w:tc>
        <w:tc>
          <w:tcPr>
            <w:tcW w:w="3140" w:type="dxa"/>
            <w:vAlign w:val="bottom"/>
            <w:tcBorders>
              <w:top w:val="single" w:sz="8" w:color="auto"/>
            </w:tcBorders>
            <w:shd w:val="clear" w:color="auto" w:fill="CCEEFF"/>
          </w:tcPr>
          <w:p>
            <w:pPr>
              <w:ind w:left="300"/>
              <w:spacing w:after="0" w:line="217" w:lineRule="exact"/>
              <w:rPr>
                <w:sz w:val="20"/>
                <w:szCs w:val="20"/>
                <w:color w:val="auto"/>
              </w:rPr>
            </w:pPr>
            <w:r>
              <w:rPr>
                <w:rFonts w:ascii="Arial" w:cs="Arial" w:eastAsia="Arial" w:hAnsi="Arial"/>
                <w:sz w:val="21"/>
                <w:szCs w:val="21"/>
                <w:b w:val="1"/>
                <w:bCs w:val="1"/>
                <w:color w:val="1D1F1F"/>
              </w:rPr>
              <w:t>Annual Base Rent for</w:t>
            </w:r>
          </w:p>
        </w:tc>
        <w:tc>
          <w:tcPr>
            <w:tcW w:w="3180" w:type="dxa"/>
            <w:vAlign w:val="bottom"/>
            <w:tcBorders>
              <w:top w:val="single" w:sz="8" w:color="auto"/>
            </w:tcBorders>
            <w:shd w:val="clear" w:color="auto" w:fill="CCEEFF"/>
          </w:tcPr>
          <w:p>
            <w:pPr>
              <w:ind w:left="280"/>
              <w:spacing w:after="0" w:line="217" w:lineRule="exact"/>
              <w:rPr>
                <w:sz w:val="20"/>
                <w:szCs w:val="20"/>
                <w:color w:val="auto"/>
              </w:rPr>
            </w:pPr>
            <w:r>
              <w:rPr>
                <w:rFonts w:ascii="Arial" w:cs="Arial" w:eastAsia="Arial" w:hAnsi="Arial"/>
                <w:sz w:val="21"/>
                <w:szCs w:val="21"/>
                <w:b w:val="1"/>
                <w:bCs w:val="1"/>
                <w:color w:val="1D1F1F"/>
              </w:rPr>
              <w:t>Monthly Base Rent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b w:val="1"/>
                <w:bCs w:val="1"/>
                <w:color w:val="1D1F1F"/>
              </w:rPr>
              <w:t>Expansion Premises</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b w:val="1"/>
                <w:bCs w:val="1"/>
                <w:color w:val="1D1F1F"/>
              </w:rPr>
              <w:t>for Expansion Premises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1"/>
                <w:szCs w:val="21"/>
                <w:b w:val="1"/>
                <w:bCs w:val="1"/>
                <w:color w:val="auto"/>
              </w:rPr>
              <w:t>December 1, 2017 - October 31, 2018</w:t>
            </w:r>
          </w:p>
        </w:tc>
        <w:tc>
          <w:tcPr>
            <w:tcW w:w="3140" w:type="dxa"/>
            <w:vAlign w:val="bottom"/>
          </w:tcPr>
          <w:p>
            <w:pPr>
              <w:ind w:left="300"/>
              <w:spacing w:after="0"/>
              <w:rPr>
                <w:sz w:val="20"/>
                <w:szCs w:val="20"/>
                <w:color w:val="auto"/>
              </w:rPr>
            </w:pPr>
            <w:r>
              <w:rPr>
                <w:rFonts w:ascii="Arial" w:cs="Arial" w:eastAsia="Arial" w:hAnsi="Arial"/>
                <w:sz w:val="21"/>
                <w:szCs w:val="21"/>
                <w:color w:val="1D1F1F"/>
                <w:w w:val="96"/>
              </w:rPr>
              <w:t>$18.50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1C1C1F"/>
              </w:rPr>
              <w:t>$5,338.79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1"/>
                <w:szCs w:val="21"/>
                <w:b w:val="1"/>
                <w:bCs w:val="1"/>
                <w:color w:val="auto"/>
                <w:w w:val="95"/>
              </w:rPr>
              <w:t>November 1, 2018 - November 30, 2019</w:t>
            </w: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color w:val="1D1F1F"/>
                <w:w w:val="96"/>
              </w:rPr>
              <w:t>$18.00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1C1C1F"/>
              </w:rPr>
              <w:t>$5,194.50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1"/>
                <w:szCs w:val="21"/>
                <w:b w:val="1"/>
                <w:bCs w:val="1"/>
                <w:color w:val="auto"/>
                <w:w w:val="95"/>
              </w:rPr>
              <w:t>December 1, 2019 - November 30, 2020</w:t>
            </w:r>
          </w:p>
        </w:tc>
        <w:tc>
          <w:tcPr>
            <w:tcW w:w="3140" w:type="dxa"/>
            <w:vAlign w:val="bottom"/>
          </w:tcPr>
          <w:p>
            <w:pPr>
              <w:ind w:left="300"/>
              <w:spacing w:after="0"/>
              <w:rPr>
                <w:sz w:val="20"/>
                <w:szCs w:val="20"/>
                <w:color w:val="auto"/>
              </w:rPr>
            </w:pPr>
            <w:r>
              <w:rPr>
                <w:rFonts w:ascii="Arial" w:cs="Arial" w:eastAsia="Arial" w:hAnsi="Arial"/>
                <w:sz w:val="21"/>
                <w:szCs w:val="21"/>
                <w:color w:val="1D1F1F"/>
                <w:w w:val="96"/>
              </w:rPr>
              <w:t>$18.50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333436"/>
              </w:rPr>
              <w:t>$5,338.79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1"/>
                <w:szCs w:val="21"/>
                <w:b w:val="1"/>
                <w:bCs w:val="1"/>
                <w:color w:val="auto"/>
                <w:w w:val="95"/>
              </w:rPr>
              <w:t>December 1, 2020 - November 30, 2021</w:t>
            </w: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color w:val="1D1F1F"/>
                <w:w w:val="96"/>
              </w:rPr>
              <w:t>$19.00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1C1C1F"/>
              </w:rPr>
              <w:t>$5,483.08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1"/>
                <w:szCs w:val="21"/>
                <w:b w:val="1"/>
                <w:bCs w:val="1"/>
                <w:color w:val="auto"/>
                <w:w w:val="95"/>
              </w:rPr>
              <w:t>December 1, 2021 - November 30, 2022</w:t>
            </w:r>
          </w:p>
        </w:tc>
        <w:tc>
          <w:tcPr>
            <w:tcW w:w="3140" w:type="dxa"/>
            <w:vAlign w:val="bottom"/>
          </w:tcPr>
          <w:p>
            <w:pPr>
              <w:ind w:left="300"/>
              <w:spacing w:after="0"/>
              <w:rPr>
                <w:sz w:val="20"/>
                <w:szCs w:val="20"/>
                <w:color w:val="auto"/>
              </w:rPr>
            </w:pPr>
            <w:r>
              <w:rPr>
                <w:rFonts w:ascii="Arial" w:cs="Arial" w:eastAsia="Arial" w:hAnsi="Arial"/>
                <w:sz w:val="21"/>
                <w:szCs w:val="21"/>
                <w:color w:val="1D1F1F"/>
                <w:w w:val="96"/>
              </w:rPr>
              <w:t>$19</w:t>
            </w:r>
            <w:r>
              <w:rPr>
                <w:rFonts w:ascii="Arial" w:cs="Arial" w:eastAsia="Arial" w:hAnsi="Arial"/>
                <w:sz w:val="21"/>
                <w:szCs w:val="21"/>
                <w:color w:val="424242"/>
                <w:w w:val="96"/>
              </w:rPr>
              <w:t>.5</w:t>
            </w:r>
            <w:r>
              <w:rPr>
                <w:rFonts w:ascii="Arial" w:cs="Arial" w:eastAsia="Arial" w:hAnsi="Arial"/>
                <w:sz w:val="21"/>
                <w:szCs w:val="21"/>
                <w:color w:val="1D1F1F"/>
                <w:w w:val="96"/>
              </w:rPr>
              <w:t>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1C1C1F"/>
              </w:rPr>
              <w:t>$5,627.38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1"/>
                <w:szCs w:val="21"/>
                <w:b w:val="1"/>
                <w:bCs w:val="1"/>
                <w:color w:val="auto"/>
                <w:w w:val="95"/>
              </w:rPr>
              <w:t>December 1, 2022 - November 30, 2023</w:t>
            </w: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color w:val="1D1F1F"/>
                <w:w w:val="96"/>
              </w:rPr>
              <w:t>$20.00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1C1C1F"/>
              </w:rPr>
              <w:t>$5,771.67</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December 1, 2023 - August 31, 2024</w:t>
            </w:r>
          </w:p>
        </w:tc>
        <w:tc>
          <w:tcPr>
            <w:tcW w:w="3140" w:type="dxa"/>
            <w:vAlign w:val="bottom"/>
            <w:tcBorders>
              <w:bottom w:val="single" w:sz="8" w:color="auto"/>
            </w:tcBorders>
          </w:tcPr>
          <w:p>
            <w:pPr>
              <w:ind w:left="300"/>
              <w:spacing w:after="0"/>
              <w:rPr>
                <w:sz w:val="20"/>
                <w:szCs w:val="20"/>
                <w:color w:val="auto"/>
              </w:rPr>
            </w:pPr>
            <w:r>
              <w:rPr>
                <w:rFonts w:ascii="Arial" w:cs="Arial" w:eastAsia="Arial" w:hAnsi="Arial"/>
                <w:sz w:val="21"/>
                <w:szCs w:val="21"/>
                <w:color w:val="1D1F1F"/>
                <w:w w:val="96"/>
              </w:rPr>
              <w:t>$20.50 per rentable square foot</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21"/>
                <w:szCs w:val="21"/>
                <w:color w:val="1C1C1F"/>
              </w:rPr>
              <w:t>$5,915.96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20" w:type="dxa"/>
            <w:vAlign w:val="bottom"/>
            <w:tcBorders>
              <w:bottom w:val="single" w:sz="8" w:color="auto"/>
            </w:tcBorders>
          </w:tcPr>
          <w:p>
            <w:pPr>
              <w:spacing w:after="0" w:line="237" w:lineRule="exact"/>
              <w:rPr>
                <w:sz w:val="20"/>
                <w:szCs w:val="20"/>
                <w:color w:val="auto"/>
              </w:rPr>
            </w:pPr>
            <w:r>
              <w:rPr>
                <w:rFonts w:ascii="Arial" w:cs="Arial" w:eastAsia="Arial" w:hAnsi="Arial"/>
                <w:sz w:val="21"/>
                <w:szCs w:val="21"/>
                <w:b w:val="1"/>
                <w:bCs w:val="1"/>
                <w:color w:val="1D1F1F"/>
              </w:rPr>
              <w:t>EXPANSION OFFICE PREMISES</w:t>
            </w:r>
          </w:p>
        </w:tc>
        <w:tc>
          <w:tcPr>
            <w:tcW w:w="31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line="217" w:lineRule="exact"/>
              <w:rPr>
                <w:sz w:val="20"/>
                <w:szCs w:val="20"/>
                <w:color w:val="auto"/>
              </w:rPr>
            </w:pPr>
            <w:r>
              <w:rPr>
                <w:rFonts w:ascii="Arial" w:cs="Arial" w:eastAsia="Arial" w:hAnsi="Arial"/>
                <w:sz w:val="21"/>
                <w:szCs w:val="21"/>
                <w:b w:val="1"/>
                <w:bCs w:val="1"/>
                <w:color w:val="1D1F1F"/>
              </w:rPr>
              <w:t>Lease Month</w:t>
            </w:r>
          </w:p>
        </w:tc>
        <w:tc>
          <w:tcPr>
            <w:tcW w:w="3140" w:type="dxa"/>
            <w:vAlign w:val="bottom"/>
            <w:shd w:val="clear" w:color="auto" w:fill="CCEEFF"/>
          </w:tcPr>
          <w:p>
            <w:pPr>
              <w:ind w:left="300"/>
              <w:spacing w:after="0" w:line="217" w:lineRule="exact"/>
              <w:rPr>
                <w:sz w:val="20"/>
                <w:szCs w:val="20"/>
                <w:color w:val="auto"/>
              </w:rPr>
            </w:pPr>
            <w:r>
              <w:rPr>
                <w:rFonts w:ascii="Arial" w:cs="Arial" w:eastAsia="Arial" w:hAnsi="Arial"/>
                <w:sz w:val="21"/>
                <w:szCs w:val="21"/>
                <w:b w:val="1"/>
                <w:bCs w:val="1"/>
                <w:color w:val="1D1F1F"/>
              </w:rPr>
              <w:t>Annual Base Rent for</w:t>
            </w:r>
          </w:p>
        </w:tc>
        <w:tc>
          <w:tcPr>
            <w:tcW w:w="3180" w:type="dxa"/>
            <w:vAlign w:val="bottom"/>
            <w:shd w:val="clear" w:color="auto" w:fill="CCEEFF"/>
          </w:tcPr>
          <w:p>
            <w:pPr>
              <w:ind w:left="280"/>
              <w:spacing w:after="0" w:line="217" w:lineRule="exact"/>
              <w:rPr>
                <w:sz w:val="20"/>
                <w:szCs w:val="20"/>
                <w:color w:val="auto"/>
              </w:rPr>
            </w:pPr>
            <w:r>
              <w:rPr>
                <w:rFonts w:ascii="Arial" w:cs="Arial" w:eastAsia="Arial" w:hAnsi="Arial"/>
                <w:sz w:val="21"/>
                <w:szCs w:val="21"/>
                <w:b w:val="1"/>
                <w:bCs w:val="1"/>
                <w:color w:val="1D1F1F"/>
              </w:rPr>
              <w:t>Monthly Base Rent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b w:val="1"/>
                <w:bCs w:val="1"/>
                <w:color w:val="1D1F1F"/>
              </w:rPr>
              <w:t>Expansion Premises</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b w:val="1"/>
                <w:bCs w:val="1"/>
                <w:color w:val="1D1F1F"/>
              </w:rPr>
              <w:t>for Expansion Premises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1"/>
                <w:szCs w:val="21"/>
                <w:b w:val="1"/>
                <w:bCs w:val="1"/>
                <w:color w:val="auto"/>
              </w:rPr>
              <w:t>December 1, 2017- October 31, 2018</w:t>
            </w:r>
          </w:p>
        </w:tc>
        <w:tc>
          <w:tcPr>
            <w:tcW w:w="3140" w:type="dxa"/>
            <w:vAlign w:val="bottom"/>
          </w:tcPr>
          <w:p>
            <w:pPr>
              <w:ind w:left="300"/>
              <w:spacing w:after="0"/>
              <w:rPr>
                <w:sz w:val="20"/>
                <w:szCs w:val="20"/>
                <w:color w:val="auto"/>
              </w:rPr>
            </w:pPr>
            <w:r>
              <w:rPr>
                <w:rFonts w:ascii="Arial" w:cs="Arial" w:eastAsia="Arial" w:hAnsi="Arial"/>
                <w:sz w:val="21"/>
                <w:szCs w:val="21"/>
                <w:color w:val="1D1F1F"/>
              </w:rPr>
              <w:t>$0.00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auto"/>
              </w:rPr>
              <w:t>$0.00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1"/>
                <w:szCs w:val="21"/>
                <w:b w:val="1"/>
                <w:bCs w:val="1"/>
                <w:color w:val="auto"/>
                <w:w w:val="95"/>
              </w:rPr>
              <w:t>November 1, 2018 - November 30, 2019</w:t>
            </w: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color w:val="1D1F1F"/>
                <w:w w:val="96"/>
              </w:rPr>
              <w:t>$18.00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auto"/>
              </w:rPr>
              <w:t>$26,926.50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1"/>
                <w:szCs w:val="21"/>
                <w:b w:val="1"/>
                <w:bCs w:val="1"/>
                <w:color w:val="auto"/>
                <w:w w:val="95"/>
              </w:rPr>
              <w:t>December 1, 2019 - November 30, 2020</w:t>
            </w:r>
          </w:p>
        </w:tc>
        <w:tc>
          <w:tcPr>
            <w:tcW w:w="3140" w:type="dxa"/>
            <w:vAlign w:val="bottom"/>
          </w:tcPr>
          <w:p>
            <w:pPr>
              <w:ind w:left="300"/>
              <w:spacing w:after="0"/>
              <w:rPr>
                <w:sz w:val="20"/>
                <w:szCs w:val="20"/>
                <w:color w:val="auto"/>
              </w:rPr>
            </w:pPr>
            <w:r>
              <w:rPr>
                <w:rFonts w:ascii="Arial" w:cs="Arial" w:eastAsia="Arial" w:hAnsi="Arial"/>
                <w:sz w:val="21"/>
                <w:szCs w:val="21"/>
                <w:color w:val="1D1F1F"/>
                <w:w w:val="96"/>
              </w:rPr>
              <w:t>$18.50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auto"/>
              </w:rPr>
              <w:t>$27,674.46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1"/>
                <w:szCs w:val="21"/>
                <w:b w:val="1"/>
                <w:bCs w:val="1"/>
                <w:color w:val="auto"/>
                <w:w w:val="95"/>
              </w:rPr>
              <w:t>December 1, 2020 - November 30, 2021</w:t>
            </w: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color w:val="1D1F1F"/>
                <w:w w:val="96"/>
              </w:rPr>
              <w:t>$19.00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auto"/>
              </w:rPr>
              <w:t>$28,422.42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21"/>
                <w:szCs w:val="21"/>
                <w:b w:val="1"/>
                <w:bCs w:val="1"/>
                <w:color w:val="auto"/>
                <w:w w:val="97"/>
              </w:rPr>
              <w:t>December 1, 2021- November 30, 2022</w:t>
            </w:r>
          </w:p>
        </w:tc>
        <w:tc>
          <w:tcPr>
            <w:tcW w:w="3140" w:type="dxa"/>
            <w:vAlign w:val="bottom"/>
          </w:tcPr>
          <w:p>
            <w:pPr>
              <w:ind w:left="300"/>
              <w:spacing w:after="0"/>
              <w:rPr>
                <w:sz w:val="20"/>
                <w:szCs w:val="20"/>
                <w:color w:val="auto"/>
              </w:rPr>
            </w:pPr>
            <w:r>
              <w:rPr>
                <w:rFonts w:ascii="Arial" w:cs="Arial" w:eastAsia="Arial" w:hAnsi="Arial"/>
                <w:sz w:val="21"/>
                <w:szCs w:val="21"/>
                <w:color w:val="1D1F1F"/>
                <w:w w:val="96"/>
              </w:rPr>
              <w:t>$19</w:t>
            </w:r>
            <w:r>
              <w:rPr>
                <w:rFonts w:ascii="Arial" w:cs="Arial" w:eastAsia="Arial" w:hAnsi="Arial"/>
                <w:sz w:val="21"/>
                <w:szCs w:val="21"/>
                <w:color w:val="424242"/>
                <w:w w:val="96"/>
              </w:rPr>
              <w:t>.5</w:t>
            </w:r>
            <w:r>
              <w:rPr>
                <w:rFonts w:ascii="Arial" w:cs="Arial" w:eastAsia="Arial" w:hAnsi="Arial"/>
                <w:sz w:val="21"/>
                <w:szCs w:val="21"/>
                <w:color w:val="1D1F1F"/>
                <w:w w:val="96"/>
              </w:rPr>
              <w:t>0 per rentable square foot</w:t>
            </w:r>
          </w:p>
        </w:tc>
        <w:tc>
          <w:tcPr>
            <w:tcW w:w="3180" w:type="dxa"/>
            <w:vAlign w:val="bottom"/>
          </w:tcPr>
          <w:p>
            <w:pPr>
              <w:ind w:left="280"/>
              <w:spacing w:after="0"/>
              <w:rPr>
                <w:sz w:val="20"/>
                <w:szCs w:val="20"/>
                <w:color w:val="auto"/>
              </w:rPr>
            </w:pPr>
            <w:r>
              <w:rPr>
                <w:rFonts w:ascii="Arial" w:cs="Arial" w:eastAsia="Arial" w:hAnsi="Arial"/>
                <w:sz w:val="21"/>
                <w:szCs w:val="21"/>
                <w:color w:val="auto"/>
              </w:rPr>
              <w:t>$29,170.38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21"/>
                <w:szCs w:val="21"/>
                <w:b w:val="1"/>
                <w:bCs w:val="1"/>
                <w:color w:val="auto"/>
                <w:w w:val="95"/>
              </w:rPr>
              <w:t>December 1, 2022 - November 30, 2023</w:t>
            </w:r>
          </w:p>
        </w:tc>
        <w:tc>
          <w:tcPr>
            <w:tcW w:w="3140" w:type="dxa"/>
            <w:vAlign w:val="bottom"/>
            <w:shd w:val="clear" w:color="auto" w:fill="CCEEFF"/>
          </w:tcPr>
          <w:p>
            <w:pPr>
              <w:ind w:left="300"/>
              <w:spacing w:after="0"/>
              <w:rPr>
                <w:sz w:val="20"/>
                <w:szCs w:val="20"/>
                <w:color w:val="auto"/>
              </w:rPr>
            </w:pPr>
            <w:r>
              <w:rPr>
                <w:rFonts w:ascii="Arial" w:cs="Arial" w:eastAsia="Arial" w:hAnsi="Arial"/>
                <w:sz w:val="21"/>
                <w:szCs w:val="21"/>
                <w:color w:val="1D1F1F"/>
                <w:w w:val="96"/>
              </w:rPr>
              <w:t>$20.00 per rentable square foot</w:t>
            </w:r>
          </w:p>
        </w:tc>
        <w:tc>
          <w:tcPr>
            <w:tcW w:w="3180" w:type="dxa"/>
            <w:vAlign w:val="bottom"/>
            <w:shd w:val="clear" w:color="auto" w:fill="CCEEFF"/>
          </w:tcPr>
          <w:p>
            <w:pPr>
              <w:ind w:left="280"/>
              <w:spacing w:after="0"/>
              <w:rPr>
                <w:sz w:val="20"/>
                <w:szCs w:val="20"/>
                <w:color w:val="auto"/>
              </w:rPr>
            </w:pPr>
            <w:r>
              <w:rPr>
                <w:rFonts w:ascii="Arial" w:cs="Arial" w:eastAsia="Arial" w:hAnsi="Arial"/>
                <w:sz w:val="21"/>
                <w:szCs w:val="21"/>
                <w:color w:val="auto"/>
              </w:rPr>
              <w:t>$29,918.33</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rPr>
              <w:t>December 1, 2023 - August 31, 2024</w:t>
            </w:r>
          </w:p>
        </w:tc>
        <w:tc>
          <w:tcPr>
            <w:tcW w:w="3140" w:type="dxa"/>
            <w:vAlign w:val="bottom"/>
            <w:tcBorders>
              <w:bottom w:val="single" w:sz="8" w:color="auto"/>
            </w:tcBorders>
          </w:tcPr>
          <w:p>
            <w:pPr>
              <w:ind w:left="300"/>
              <w:spacing w:after="0"/>
              <w:rPr>
                <w:sz w:val="20"/>
                <w:szCs w:val="20"/>
                <w:color w:val="auto"/>
              </w:rPr>
            </w:pPr>
            <w:r>
              <w:rPr>
                <w:rFonts w:ascii="Arial" w:cs="Arial" w:eastAsia="Arial" w:hAnsi="Arial"/>
                <w:sz w:val="21"/>
                <w:szCs w:val="21"/>
                <w:color w:val="1D1F1F"/>
                <w:w w:val="96"/>
              </w:rPr>
              <w:t>$20.50 per rentable square foot</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21"/>
                <w:szCs w:val="21"/>
                <w:color w:val="auto"/>
              </w:rPr>
              <w:t>$30,666.29</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56" w:lineRule="auto"/>
        <w:tabs>
          <w:tab w:leader="none" w:pos="1402" w:val="left"/>
        </w:tabs>
        <w:numPr>
          <w:ilvl w:val="0"/>
          <w:numId w:val="50"/>
        </w:numPr>
        <w:rPr>
          <w:rFonts w:ascii="Arial" w:cs="Arial" w:eastAsia="Arial" w:hAnsi="Arial"/>
          <w:sz w:val="21"/>
          <w:szCs w:val="21"/>
          <w:color w:val="1C1C1F"/>
        </w:rPr>
      </w:pPr>
      <w:r>
        <w:rPr>
          <w:rFonts w:ascii="Arial" w:cs="Arial" w:eastAsia="Arial" w:hAnsi="Arial"/>
          <w:sz w:val="21"/>
          <w:szCs w:val="21"/>
          <w:b w:val="1"/>
          <w:bCs w:val="1"/>
          <w:u w:val="single" w:color="auto"/>
          <w:color w:val="1C1C1F"/>
        </w:rPr>
        <w:t>Early Access</w:t>
      </w:r>
      <w:r>
        <w:rPr>
          <w:rFonts w:ascii="Arial" w:cs="Arial" w:eastAsia="Arial" w:hAnsi="Arial"/>
          <w:sz w:val="21"/>
          <w:szCs w:val="21"/>
          <w:b w:val="1"/>
          <w:bCs w:val="1"/>
          <w:color w:val="1C1C1F"/>
        </w:rPr>
        <w:t xml:space="preserve">. </w:t>
      </w:r>
      <w:r>
        <w:rPr>
          <w:rFonts w:ascii="Arial" w:cs="Arial" w:eastAsia="Arial" w:hAnsi="Arial"/>
          <w:sz w:val="21"/>
          <w:szCs w:val="21"/>
          <w:color w:val="1C1C1F"/>
        </w:rPr>
        <w:t>Sublandlord shall permit Subtenant to access the Expansion Office Premises prior to the</w:t>
      </w:r>
      <w:r>
        <w:rPr>
          <w:rFonts w:ascii="Arial" w:cs="Arial" w:eastAsia="Arial" w:hAnsi="Arial"/>
          <w:sz w:val="21"/>
          <w:szCs w:val="21"/>
          <w:b w:val="1"/>
          <w:bCs w:val="1"/>
          <w:color w:val="1C1C1F"/>
        </w:rPr>
        <w:t xml:space="preserve"> </w:t>
      </w:r>
      <w:r>
        <w:rPr>
          <w:rFonts w:ascii="Arial" w:cs="Arial" w:eastAsia="Arial" w:hAnsi="Arial"/>
          <w:sz w:val="21"/>
          <w:szCs w:val="21"/>
          <w:color w:val="1C1C1F"/>
        </w:rPr>
        <w:t>Expansion Office Date for the purpose of making the Expansion Office Premises ready for occupancy and such access shall be subject to all of the provisions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77" w:right="919" w:bottom="1440" w:gutter="0" w:footer="0" w:header="0"/>
        </w:sectPr>
      </w:pPr>
    </w:p>
    <w:bookmarkStart w:id="102" w:name="page103"/>
    <w:bookmarkEnd w:id="102"/>
    <w:p>
      <w:pPr>
        <w:jc w:val="both"/>
        <w:spacing w:after="0" w:line="265" w:lineRule="auto"/>
        <w:rPr>
          <w:sz w:val="20"/>
          <w:szCs w:val="20"/>
          <w:color w:val="auto"/>
        </w:rPr>
      </w:pPr>
      <w:r>
        <w:rPr>
          <w:rFonts w:ascii="Arial" w:cs="Arial" w:eastAsia="Arial" w:hAnsi="Arial"/>
          <w:sz w:val="20"/>
          <w:szCs w:val="20"/>
          <w:color w:val="1F1F1F"/>
        </w:rPr>
        <w:t>the Sublease (other than the requirement to pay Rent); provided, however, that the (i) consent of Master Landlord is obtained prior to such access (or any occupancy); and (ii) Subtenant delivers to Sublandlord copies of policies of insurance required under the Sublease or certificates evidencing the existence and amounts of such insurance. Said early access or possession shall not advance the expiration date of the Tenn.</w:t>
      </w:r>
    </w:p>
    <w:p>
      <w:pPr>
        <w:spacing w:after="0" w:line="194" w:lineRule="exact"/>
        <w:rPr>
          <w:sz w:val="20"/>
          <w:szCs w:val="20"/>
          <w:color w:val="auto"/>
        </w:rPr>
      </w:pPr>
    </w:p>
    <w:p>
      <w:pPr>
        <w:jc w:val="both"/>
        <w:ind w:firstLine="648"/>
        <w:spacing w:after="0" w:line="281" w:lineRule="auto"/>
        <w:tabs>
          <w:tab w:leader="none" w:pos="1510" w:val="left"/>
        </w:tabs>
        <w:numPr>
          <w:ilvl w:val="0"/>
          <w:numId w:val="51"/>
        </w:numPr>
        <w:rPr>
          <w:rFonts w:ascii="Arial" w:cs="Arial" w:eastAsia="Arial" w:hAnsi="Arial"/>
          <w:sz w:val="19"/>
          <w:szCs w:val="19"/>
          <w:color w:val="1F1F1F"/>
        </w:rPr>
      </w:pPr>
      <w:r>
        <w:rPr>
          <w:rFonts w:ascii="Arial" w:cs="Arial" w:eastAsia="Arial" w:hAnsi="Arial"/>
          <w:sz w:val="19"/>
          <w:szCs w:val="19"/>
          <w:b w:val="1"/>
          <w:bCs w:val="1"/>
          <w:u w:val="single" w:color="auto"/>
          <w:color w:val="1F1F1F"/>
        </w:rPr>
        <w:t>Furniture</w:t>
      </w:r>
      <w:r>
        <w:rPr>
          <w:rFonts w:ascii="Arial" w:cs="Arial" w:eastAsia="Arial" w:hAnsi="Arial"/>
          <w:sz w:val="19"/>
          <w:szCs w:val="19"/>
          <w:b w:val="1"/>
          <w:bCs w:val="1"/>
          <w:color w:val="1F1F1F"/>
        </w:rPr>
        <w:t xml:space="preserve">. </w:t>
      </w:r>
      <w:r>
        <w:rPr>
          <w:rFonts w:ascii="Arial" w:cs="Arial" w:eastAsia="Arial" w:hAnsi="Arial"/>
          <w:sz w:val="19"/>
          <w:szCs w:val="19"/>
          <w:color w:val="1F1F1F"/>
        </w:rPr>
        <w:t>Sublandlord shall leave the furniture located in the Expansion Office Premises as of the</w:t>
      </w:r>
      <w:r>
        <w:rPr>
          <w:rFonts w:ascii="Arial" w:cs="Arial" w:eastAsia="Arial" w:hAnsi="Arial"/>
          <w:sz w:val="19"/>
          <w:szCs w:val="19"/>
          <w:b w:val="1"/>
          <w:bCs w:val="1"/>
          <w:color w:val="1F1F1F"/>
        </w:rPr>
        <w:t xml:space="preserve"> </w:t>
      </w:r>
      <w:r>
        <w:rPr>
          <w:rFonts w:ascii="Arial" w:cs="Arial" w:eastAsia="Arial" w:hAnsi="Arial"/>
          <w:sz w:val="19"/>
          <w:szCs w:val="19"/>
          <w:color w:val="1F1F1F"/>
        </w:rPr>
        <w:t>Expansion Office Date for Subtenant's use (the "</w:t>
      </w:r>
      <w:r>
        <w:rPr>
          <w:rFonts w:ascii="Arial" w:cs="Arial" w:eastAsia="Arial" w:hAnsi="Arial"/>
          <w:sz w:val="19"/>
          <w:szCs w:val="19"/>
          <w:u w:val="single" w:color="auto"/>
          <w:color w:val="1F1F1F"/>
        </w:rPr>
        <w:t>Furniture</w:t>
      </w:r>
      <w:r>
        <w:rPr>
          <w:rFonts w:ascii="Arial" w:cs="Arial" w:eastAsia="Arial" w:hAnsi="Arial"/>
          <w:sz w:val="19"/>
          <w:szCs w:val="19"/>
          <w:color w:val="1F1F1F"/>
        </w:rPr>
        <w:t>"). Sublandlord shall have no duty to repair or replace the Furniture during the Term of the Sublease, and Sublandlord makes no representation or warranty as to the quality or condition of the Furniture. On or before November 30, 2019, Subtenant shall pay Sublandlord $12,000.00 in exchange for a bill of sale from Sublandlord conveying the Furniture to Subtenant in its "AS IS" condition.</w:t>
      </w:r>
    </w:p>
    <w:p>
      <w:pPr>
        <w:spacing w:after="0" w:line="179" w:lineRule="exact"/>
        <w:rPr>
          <w:rFonts w:ascii="Arial" w:cs="Arial" w:eastAsia="Arial" w:hAnsi="Arial"/>
          <w:sz w:val="19"/>
          <w:szCs w:val="19"/>
          <w:color w:val="1F1F1F"/>
        </w:rPr>
      </w:pPr>
    </w:p>
    <w:p>
      <w:pPr>
        <w:jc w:val="both"/>
        <w:ind w:firstLine="648"/>
        <w:spacing w:after="0" w:line="256" w:lineRule="auto"/>
        <w:tabs>
          <w:tab w:leader="none" w:pos="1375" w:val="left"/>
        </w:tabs>
        <w:numPr>
          <w:ilvl w:val="0"/>
          <w:numId w:val="51"/>
        </w:numPr>
        <w:rPr>
          <w:rFonts w:ascii="Arial" w:cs="Arial" w:eastAsia="Arial" w:hAnsi="Arial"/>
          <w:sz w:val="21"/>
          <w:szCs w:val="21"/>
          <w:color w:val="1F1F1F"/>
        </w:rPr>
      </w:pPr>
      <w:r>
        <w:rPr>
          <w:rFonts w:ascii="Arial" w:cs="Arial" w:eastAsia="Arial" w:hAnsi="Arial"/>
          <w:sz w:val="21"/>
          <w:szCs w:val="21"/>
          <w:b w:val="1"/>
          <w:bCs w:val="1"/>
          <w:u w:val="single" w:color="auto"/>
          <w:color w:val="1F1F1F"/>
        </w:rPr>
        <w:t>Permitted Use</w:t>
      </w:r>
      <w:r>
        <w:rPr>
          <w:rFonts w:ascii="Arial" w:cs="Arial" w:eastAsia="Arial" w:hAnsi="Arial"/>
          <w:sz w:val="21"/>
          <w:szCs w:val="21"/>
          <w:b w:val="1"/>
          <w:bCs w:val="1"/>
          <w:color w:val="1F1F1F"/>
        </w:rPr>
        <w:t xml:space="preserve">. </w:t>
      </w:r>
      <w:r>
        <w:rPr>
          <w:rFonts w:ascii="Arial" w:cs="Arial" w:eastAsia="Arial" w:hAnsi="Arial"/>
          <w:sz w:val="21"/>
          <w:szCs w:val="21"/>
          <w:color w:val="1F1F1F"/>
        </w:rPr>
        <w:t>The Existing Office Premises and the Expansion Office Premises may only be used by</w:t>
      </w:r>
      <w:r>
        <w:rPr>
          <w:rFonts w:ascii="Arial" w:cs="Arial" w:eastAsia="Arial" w:hAnsi="Arial"/>
          <w:sz w:val="21"/>
          <w:szCs w:val="21"/>
          <w:b w:val="1"/>
          <w:bCs w:val="1"/>
          <w:color w:val="1F1F1F"/>
        </w:rPr>
        <w:t xml:space="preserve"> </w:t>
      </w:r>
      <w:r>
        <w:rPr>
          <w:rFonts w:ascii="Arial" w:cs="Arial" w:eastAsia="Arial" w:hAnsi="Arial"/>
          <w:sz w:val="21"/>
          <w:szCs w:val="21"/>
          <w:color w:val="1F1F1F"/>
        </w:rPr>
        <w:t>Subtenant for general office purposes together with related marketing, training and other administrative support services and for no other reason or purpose</w:t>
      </w:r>
      <w:r>
        <w:rPr>
          <w:rFonts w:ascii="Arial" w:cs="Arial" w:eastAsia="Arial" w:hAnsi="Arial"/>
          <w:sz w:val="21"/>
          <w:szCs w:val="21"/>
          <w:color w:val="525252"/>
        </w:rPr>
        <w:t>.</w:t>
      </w:r>
    </w:p>
    <w:p>
      <w:pPr>
        <w:spacing w:after="0" w:line="199" w:lineRule="exact"/>
        <w:rPr>
          <w:rFonts w:ascii="Arial" w:cs="Arial" w:eastAsia="Arial" w:hAnsi="Arial"/>
          <w:sz w:val="21"/>
          <w:szCs w:val="21"/>
          <w:color w:val="1F1F1F"/>
        </w:rPr>
      </w:pPr>
    </w:p>
    <w:p>
      <w:pPr>
        <w:jc w:val="both"/>
        <w:ind w:firstLine="648"/>
        <w:spacing w:after="0" w:line="251" w:lineRule="auto"/>
        <w:tabs>
          <w:tab w:leader="none" w:pos="1389" w:val="left"/>
        </w:tabs>
        <w:numPr>
          <w:ilvl w:val="0"/>
          <w:numId w:val="51"/>
        </w:numPr>
        <w:rPr>
          <w:rFonts w:ascii="Arial" w:cs="Arial" w:eastAsia="Arial" w:hAnsi="Arial"/>
          <w:sz w:val="21"/>
          <w:szCs w:val="21"/>
          <w:color w:val="1F1F1F"/>
        </w:rPr>
      </w:pPr>
      <w:r>
        <w:rPr>
          <w:rFonts w:ascii="Arial" w:cs="Arial" w:eastAsia="Arial" w:hAnsi="Arial"/>
          <w:sz w:val="21"/>
          <w:szCs w:val="21"/>
          <w:b w:val="1"/>
          <w:bCs w:val="1"/>
          <w:u w:val="single" w:color="auto"/>
          <w:color w:val="1F1F1F"/>
        </w:rPr>
        <w:t>As Is</w:t>
      </w:r>
      <w:r>
        <w:rPr>
          <w:rFonts w:ascii="Arial" w:cs="Arial" w:eastAsia="Arial" w:hAnsi="Arial"/>
          <w:sz w:val="21"/>
          <w:szCs w:val="21"/>
          <w:b w:val="1"/>
          <w:bCs w:val="1"/>
          <w:color w:val="3F3F3F"/>
        </w:rPr>
        <w:t>.</w:t>
      </w:r>
      <w:r>
        <w:rPr>
          <w:rFonts w:ascii="Arial" w:cs="Arial" w:eastAsia="Arial" w:hAnsi="Arial"/>
          <w:sz w:val="21"/>
          <w:szCs w:val="21"/>
          <w:b w:val="1"/>
          <w:bCs w:val="1"/>
          <w:color w:val="1F1F1F"/>
        </w:rPr>
        <w:t xml:space="preserve"> </w:t>
      </w:r>
      <w:r>
        <w:rPr>
          <w:rFonts w:ascii="Arial" w:cs="Arial" w:eastAsia="Arial" w:hAnsi="Arial"/>
          <w:sz w:val="21"/>
          <w:szCs w:val="21"/>
          <w:color w:val="1F1F1F"/>
        </w:rPr>
        <w:t>The Expansion Office Premises shall be delivered to Subtenant in its present condition, "AS IS"</w:t>
      </w:r>
      <w:r>
        <w:rPr>
          <w:rFonts w:ascii="Arial" w:cs="Arial" w:eastAsia="Arial" w:hAnsi="Arial"/>
          <w:sz w:val="21"/>
          <w:szCs w:val="21"/>
          <w:b w:val="1"/>
          <w:bCs w:val="1"/>
          <w:color w:val="1F1F1F"/>
        </w:rPr>
        <w:t xml:space="preserve"> </w:t>
      </w:r>
      <w:r>
        <w:rPr>
          <w:rFonts w:ascii="Arial" w:cs="Arial" w:eastAsia="Arial" w:hAnsi="Arial"/>
          <w:sz w:val="21"/>
          <w:szCs w:val="21"/>
          <w:color w:val="1F1F1F"/>
        </w:rPr>
        <w:t xml:space="preserve">and "WITH ALL FAULTS" as set forth in </w:t>
      </w:r>
      <w:r>
        <w:rPr>
          <w:rFonts w:ascii="Arial" w:cs="Arial" w:eastAsia="Arial" w:hAnsi="Arial"/>
          <w:sz w:val="21"/>
          <w:szCs w:val="21"/>
          <w:u w:val="single" w:color="auto"/>
          <w:color w:val="1F1F1F"/>
        </w:rPr>
        <w:t>Section 10</w:t>
      </w:r>
      <w:r>
        <w:rPr>
          <w:rFonts w:ascii="Arial" w:cs="Arial" w:eastAsia="Arial" w:hAnsi="Arial"/>
          <w:sz w:val="21"/>
          <w:szCs w:val="21"/>
          <w:color w:val="1F1F1F"/>
        </w:rPr>
        <w:t xml:space="preserve"> of the Original Sublease. Sublandlord's obligation to install common hallways or other access-ways within the Subleased Premises as set forth in </w:t>
      </w:r>
      <w:r>
        <w:rPr>
          <w:rFonts w:ascii="Arial" w:cs="Arial" w:eastAsia="Arial" w:hAnsi="Arial"/>
          <w:sz w:val="21"/>
          <w:szCs w:val="21"/>
          <w:u w:val="single" w:color="auto"/>
          <w:color w:val="1F1F1F"/>
        </w:rPr>
        <w:t>Section 10(b)</w:t>
      </w:r>
      <w:r>
        <w:rPr>
          <w:rFonts w:ascii="Arial" w:cs="Arial" w:eastAsia="Arial" w:hAnsi="Arial"/>
          <w:sz w:val="21"/>
          <w:szCs w:val="21"/>
          <w:color w:val="1F1F1F"/>
        </w:rPr>
        <w:t xml:space="preserve"> of the Original Sublease is hereby terminated.</w:t>
      </w:r>
    </w:p>
    <w:p>
      <w:pPr>
        <w:spacing w:after="0" w:line="205" w:lineRule="exact"/>
        <w:rPr>
          <w:rFonts w:ascii="Arial" w:cs="Arial" w:eastAsia="Arial" w:hAnsi="Arial"/>
          <w:sz w:val="21"/>
          <w:szCs w:val="21"/>
          <w:color w:val="1F1F1F"/>
        </w:rPr>
      </w:pPr>
    </w:p>
    <w:p>
      <w:pPr>
        <w:ind w:firstLine="648"/>
        <w:spacing w:after="0" w:line="270" w:lineRule="auto"/>
        <w:tabs>
          <w:tab w:leader="none" w:pos="1537" w:val="left"/>
        </w:tabs>
        <w:numPr>
          <w:ilvl w:val="0"/>
          <w:numId w:val="51"/>
        </w:numPr>
        <w:rPr>
          <w:rFonts w:ascii="Arial" w:cs="Arial" w:eastAsia="Arial" w:hAnsi="Arial"/>
          <w:sz w:val="21"/>
          <w:szCs w:val="21"/>
          <w:color w:val="1F1F1F"/>
        </w:rPr>
      </w:pPr>
      <w:r>
        <w:rPr>
          <w:rFonts w:ascii="Arial" w:cs="Arial" w:eastAsia="Arial" w:hAnsi="Arial"/>
          <w:sz w:val="21"/>
          <w:szCs w:val="21"/>
          <w:b w:val="1"/>
          <w:bCs w:val="1"/>
          <w:u w:val="single" w:color="auto"/>
          <w:color w:val="1F1F1F"/>
        </w:rPr>
        <w:t>Security Deposit</w:t>
      </w:r>
      <w:r>
        <w:rPr>
          <w:rFonts w:ascii="Arial" w:cs="Arial" w:eastAsia="Arial" w:hAnsi="Arial"/>
          <w:sz w:val="21"/>
          <w:szCs w:val="21"/>
          <w:b w:val="1"/>
          <w:bCs w:val="1"/>
          <w:color w:val="1F1F1F"/>
        </w:rPr>
        <w:t xml:space="preserve">. </w:t>
      </w:r>
      <w:r>
        <w:rPr>
          <w:rFonts w:ascii="Arial" w:cs="Arial" w:eastAsia="Arial" w:hAnsi="Arial"/>
          <w:sz w:val="21"/>
          <w:szCs w:val="21"/>
          <w:color w:val="1F1F1F"/>
        </w:rPr>
        <w:t>Within one (1) business day after the Effective Date, Subtenant shall deposit an</w:t>
      </w:r>
      <w:r>
        <w:rPr>
          <w:rFonts w:ascii="Arial" w:cs="Arial" w:eastAsia="Arial" w:hAnsi="Arial"/>
          <w:sz w:val="21"/>
          <w:szCs w:val="21"/>
          <w:b w:val="1"/>
          <w:bCs w:val="1"/>
          <w:color w:val="1F1F1F"/>
        </w:rPr>
        <w:t xml:space="preserve"> </w:t>
      </w:r>
      <w:r>
        <w:rPr>
          <w:rFonts w:ascii="Arial" w:cs="Arial" w:eastAsia="Arial" w:hAnsi="Arial"/>
          <w:sz w:val="21"/>
          <w:szCs w:val="21"/>
          <w:color w:val="1F1F1F"/>
        </w:rPr>
        <w:t>additional $32,264.00 with Sublandlord</w:t>
      </w:r>
      <w:r>
        <w:rPr>
          <w:rFonts w:ascii="Arial" w:cs="Arial" w:eastAsia="Arial" w:hAnsi="Arial"/>
          <w:sz w:val="21"/>
          <w:szCs w:val="21"/>
          <w:color w:val="3F3F3F"/>
        </w:rPr>
        <w:t>,</w:t>
      </w:r>
      <w:r>
        <w:rPr>
          <w:rFonts w:ascii="Arial" w:cs="Arial" w:eastAsia="Arial" w:hAnsi="Arial"/>
          <w:sz w:val="21"/>
          <w:szCs w:val="21"/>
          <w:color w:val="1F1F1F"/>
        </w:rPr>
        <w:t xml:space="preserve"> which amount shall become part of the Security Deposit.</w:t>
      </w:r>
    </w:p>
    <w:p>
      <w:pPr>
        <w:spacing w:after="0" w:line="185" w:lineRule="exact"/>
        <w:rPr>
          <w:rFonts w:ascii="Arial" w:cs="Arial" w:eastAsia="Arial" w:hAnsi="Arial"/>
          <w:sz w:val="21"/>
          <w:szCs w:val="21"/>
          <w:color w:val="1F1F1F"/>
        </w:rPr>
      </w:pPr>
    </w:p>
    <w:p>
      <w:pPr>
        <w:jc w:val="both"/>
        <w:ind w:firstLine="648"/>
        <w:spacing w:after="0" w:line="249" w:lineRule="auto"/>
        <w:tabs>
          <w:tab w:leader="none" w:pos="1402" w:val="left"/>
        </w:tabs>
        <w:numPr>
          <w:ilvl w:val="0"/>
          <w:numId w:val="51"/>
        </w:numPr>
        <w:rPr>
          <w:rFonts w:ascii="Arial" w:cs="Arial" w:eastAsia="Arial" w:hAnsi="Arial"/>
          <w:sz w:val="21"/>
          <w:szCs w:val="21"/>
          <w:color w:val="1F1F1F"/>
        </w:rPr>
      </w:pPr>
      <w:r>
        <w:rPr>
          <w:rFonts w:ascii="Arial" w:cs="Arial" w:eastAsia="Arial" w:hAnsi="Arial"/>
          <w:sz w:val="21"/>
          <w:szCs w:val="21"/>
          <w:b w:val="1"/>
          <w:bCs w:val="1"/>
          <w:u w:val="single" w:color="auto"/>
          <w:color w:val="1F1F1F"/>
        </w:rPr>
        <w:t>Parking</w:t>
      </w:r>
      <w:r>
        <w:rPr>
          <w:rFonts w:ascii="Arial" w:cs="Arial" w:eastAsia="Arial" w:hAnsi="Arial"/>
          <w:sz w:val="21"/>
          <w:szCs w:val="21"/>
          <w:b w:val="1"/>
          <w:bCs w:val="1"/>
          <w:color w:val="525252"/>
        </w:rPr>
        <w:t>.</w:t>
      </w:r>
      <w:r>
        <w:rPr>
          <w:rFonts w:ascii="Arial" w:cs="Arial" w:eastAsia="Arial" w:hAnsi="Arial"/>
          <w:sz w:val="21"/>
          <w:szCs w:val="21"/>
          <w:b w:val="1"/>
          <w:bCs w:val="1"/>
          <w:color w:val="1F1F1F"/>
        </w:rPr>
        <w:t xml:space="preserve"> </w:t>
      </w:r>
      <w:r>
        <w:rPr>
          <w:rFonts w:ascii="Arial" w:cs="Arial" w:eastAsia="Arial" w:hAnsi="Arial"/>
          <w:sz w:val="21"/>
          <w:szCs w:val="21"/>
          <w:color w:val="1F1F1F"/>
        </w:rPr>
        <w:t>As of the Expansion Office Date, notwithstanding</w:t>
      </w:r>
      <w:r>
        <w:rPr>
          <w:rFonts w:ascii="Arial" w:cs="Arial" w:eastAsia="Arial" w:hAnsi="Arial"/>
          <w:sz w:val="21"/>
          <w:szCs w:val="21"/>
          <w:b w:val="1"/>
          <w:bCs w:val="1"/>
          <w:color w:val="1F1F1F"/>
        </w:rPr>
        <w:t xml:space="preserve"> </w:t>
      </w:r>
      <w:r>
        <w:rPr>
          <w:rFonts w:ascii="Arial" w:cs="Arial" w:eastAsia="Arial" w:hAnsi="Arial"/>
          <w:sz w:val="21"/>
          <w:szCs w:val="21"/>
          <w:u w:val="single" w:color="auto"/>
          <w:color w:val="1F1F1F"/>
        </w:rPr>
        <w:t>Section 12</w:t>
      </w:r>
      <w:r>
        <w:rPr>
          <w:rFonts w:ascii="Arial" w:cs="Arial" w:eastAsia="Arial" w:hAnsi="Arial"/>
          <w:sz w:val="21"/>
          <w:szCs w:val="21"/>
          <w:b w:val="1"/>
          <w:bCs w:val="1"/>
          <w:color w:val="1F1F1F"/>
        </w:rPr>
        <w:t xml:space="preserve"> </w:t>
      </w:r>
      <w:r>
        <w:rPr>
          <w:rFonts w:ascii="Arial" w:cs="Arial" w:eastAsia="Arial" w:hAnsi="Arial"/>
          <w:sz w:val="21"/>
          <w:szCs w:val="21"/>
          <w:color w:val="1F1F1F"/>
        </w:rPr>
        <w:t>of the Original Sublease to the</w:t>
      </w:r>
      <w:r>
        <w:rPr>
          <w:rFonts w:ascii="Arial" w:cs="Arial" w:eastAsia="Arial" w:hAnsi="Arial"/>
          <w:sz w:val="21"/>
          <w:szCs w:val="21"/>
          <w:b w:val="1"/>
          <w:bCs w:val="1"/>
          <w:color w:val="1F1F1F"/>
        </w:rPr>
        <w:t xml:space="preserve"> </w:t>
      </w:r>
      <w:r>
        <w:rPr>
          <w:rFonts w:ascii="Arial" w:cs="Arial" w:eastAsia="Arial" w:hAnsi="Arial"/>
          <w:sz w:val="21"/>
          <w:szCs w:val="21"/>
          <w:color w:val="1F1F1F"/>
        </w:rPr>
        <w:t>contrary, Subtenant shall be permitted to use 84 uncovered, unreserved parking spaces at $0</w:t>
      </w:r>
      <w:r>
        <w:rPr>
          <w:rFonts w:ascii="Arial" w:cs="Arial" w:eastAsia="Arial" w:hAnsi="Arial"/>
          <w:sz w:val="21"/>
          <w:szCs w:val="21"/>
          <w:color w:val="3F3F3F"/>
        </w:rPr>
        <w:t>.</w:t>
      </w:r>
      <w:r>
        <w:rPr>
          <w:rFonts w:ascii="Arial" w:cs="Arial" w:eastAsia="Arial" w:hAnsi="Arial"/>
          <w:sz w:val="21"/>
          <w:szCs w:val="21"/>
          <w:color w:val="1F1F1F"/>
        </w:rPr>
        <w:t>00 per month, and 28 covered, reserved parking spaces at</w:t>
      </w:r>
    </w:p>
    <w:p>
      <w:pPr>
        <w:spacing w:after="0" w:line="1" w:lineRule="exact"/>
        <w:rPr>
          <w:rFonts w:ascii="Arial" w:cs="Arial" w:eastAsia="Arial" w:hAnsi="Arial"/>
          <w:sz w:val="21"/>
          <w:szCs w:val="21"/>
          <w:color w:val="1F1F1F"/>
        </w:rPr>
      </w:pPr>
    </w:p>
    <w:p>
      <w:pPr>
        <w:ind w:firstLine="648"/>
        <w:spacing w:after="0" w:line="297" w:lineRule="auto"/>
        <w:rPr>
          <w:rFonts w:ascii="Arial" w:cs="Arial" w:eastAsia="Arial" w:hAnsi="Arial"/>
          <w:sz w:val="21"/>
          <w:szCs w:val="21"/>
          <w:color w:val="1F1F1F"/>
        </w:rPr>
      </w:pPr>
      <w:r>
        <w:rPr>
          <w:rFonts w:ascii="Arial" w:cs="Arial" w:eastAsia="Arial" w:hAnsi="Arial"/>
          <w:sz w:val="19"/>
          <w:szCs w:val="19"/>
          <w:color w:val="1F1F1F"/>
        </w:rPr>
        <w:t>$40.00 per space per month. Notwithstanding the foregoing, commencing on the Office Expansion Date and expiring 11 months thereafter, parking charges for 20 of the covered, reserved parking spaces shall be abated.</w:t>
      </w:r>
    </w:p>
    <w:p>
      <w:pPr>
        <w:spacing w:after="0" w:line="164" w:lineRule="exact"/>
        <w:rPr>
          <w:rFonts w:ascii="Arial" w:cs="Arial" w:eastAsia="Arial" w:hAnsi="Arial"/>
          <w:sz w:val="21"/>
          <w:szCs w:val="21"/>
          <w:color w:val="1F1F1F"/>
        </w:rPr>
      </w:pPr>
    </w:p>
    <w:p>
      <w:pPr>
        <w:jc w:val="both"/>
        <w:ind w:firstLine="648"/>
        <w:spacing w:after="0" w:line="256" w:lineRule="auto"/>
        <w:tabs>
          <w:tab w:leader="none" w:pos="1686" w:val="left"/>
        </w:tabs>
        <w:numPr>
          <w:ilvl w:val="0"/>
          <w:numId w:val="51"/>
        </w:numPr>
        <w:rPr>
          <w:rFonts w:ascii="Arial" w:cs="Arial" w:eastAsia="Arial" w:hAnsi="Arial"/>
          <w:sz w:val="21"/>
          <w:szCs w:val="21"/>
          <w:color w:val="1F1F1F"/>
        </w:rPr>
      </w:pPr>
      <w:r>
        <w:rPr>
          <w:rFonts w:ascii="Arial" w:cs="Arial" w:eastAsia="Arial" w:hAnsi="Arial"/>
          <w:sz w:val="21"/>
          <w:szCs w:val="21"/>
          <w:b w:val="1"/>
          <w:bCs w:val="1"/>
          <w:u w:val="single" w:color="auto"/>
          <w:color w:val="1F1F1F"/>
        </w:rPr>
        <w:t>Master Landlord Consent</w:t>
      </w:r>
      <w:r>
        <w:rPr>
          <w:rFonts w:ascii="Arial" w:cs="Arial" w:eastAsia="Arial" w:hAnsi="Arial"/>
          <w:sz w:val="21"/>
          <w:szCs w:val="21"/>
          <w:b w:val="1"/>
          <w:bCs w:val="1"/>
          <w:color w:val="1F1F1F"/>
        </w:rPr>
        <w:t xml:space="preserve">. </w:t>
      </w:r>
      <w:r>
        <w:rPr>
          <w:rFonts w:ascii="Arial" w:cs="Arial" w:eastAsia="Arial" w:hAnsi="Arial"/>
          <w:sz w:val="21"/>
          <w:szCs w:val="21"/>
          <w:color w:val="1F1F1F"/>
        </w:rPr>
        <w:t>Sublandlord and Subtenant each acknowledge and agree that this</w:t>
      </w:r>
      <w:r>
        <w:rPr>
          <w:rFonts w:ascii="Arial" w:cs="Arial" w:eastAsia="Arial" w:hAnsi="Arial"/>
          <w:sz w:val="21"/>
          <w:szCs w:val="21"/>
          <w:b w:val="1"/>
          <w:bCs w:val="1"/>
          <w:color w:val="1F1F1F"/>
        </w:rPr>
        <w:t xml:space="preserve"> </w:t>
      </w:r>
      <w:r>
        <w:rPr>
          <w:rFonts w:ascii="Arial" w:cs="Arial" w:eastAsia="Arial" w:hAnsi="Arial"/>
          <w:sz w:val="21"/>
          <w:szCs w:val="21"/>
          <w:color w:val="1F1F1F"/>
        </w:rPr>
        <w:t>Amendment is subject to and conditioned upon the Sublandlord obtaining the prior written consent of Master Landlord in accordance with the terms of the Lease.</w:t>
      </w:r>
    </w:p>
    <w:p>
      <w:pPr>
        <w:spacing w:after="0" w:line="199" w:lineRule="exact"/>
        <w:rPr>
          <w:rFonts w:ascii="Arial" w:cs="Arial" w:eastAsia="Arial" w:hAnsi="Arial"/>
          <w:sz w:val="21"/>
          <w:szCs w:val="21"/>
          <w:color w:val="1F1F1F"/>
        </w:rPr>
      </w:pPr>
    </w:p>
    <w:p>
      <w:pPr>
        <w:ind w:firstLine="648"/>
        <w:spacing w:after="0" w:line="270" w:lineRule="auto"/>
        <w:tabs>
          <w:tab w:leader="none" w:pos="1408" w:val="left"/>
        </w:tabs>
        <w:numPr>
          <w:ilvl w:val="0"/>
          <w:numId w:val="51"/>
        </w:numPr>
        <w:rPr>
          <w:rFonts w:ascii="Arial" w:cs="Arial" w:eastAsia="Arial" w:hAnsi="Arial"/>
          <w:sz w:val="21"/>
          <w:szCs w:val="21"/>
          <w:color w:val="1F1F1F"/>
        </w:rPr>
      </w:pPr>
      <w:r>
        <w:rPr>
          <w:rFonts w:ascii="Arial" w:cs="Arial" w:eastAsia="Arial" w:hAnsi="Arial"/>
          <w:sz w:val="21"/>
          <w:szCs w:val="21"/>
          <w:b w:val="1"/>
          <w:bCs w:val="1"/>
          <w:u w:val="single" w:color="auto"/>
          <w:color w:val="1F1F1F"/>
        </w:rPr>
        <w:t>Full Force and Effect</w:t>
      </w:r>
      <w:r>
        <w:rPr>
          <w:rFonts w:ascii="Arial" w:cs="Arial" w:eastAsia="Arial" w:hAnsi="Arial"/>
          <w:sz w:val="21"/>
          <w:szCs w:val="21"/>
          <w:b w:val="1"/>
          <w:bCs w:val="1"/>
          <w:color w:val="1F1F1F"/>
        </w:rPr>
        <w:t xml:space="preserve">. </w:t>
      </w:r>
      <w:r>
        <w:rPr>
          <w:rFonts w:ascii="Arial" w:cs="Arial" w:eastAsia="Arial" w:hAnsi="Arial"/>
          <w:sz w:val="21"/>
          <w:szCs w:val="21"/>
          <w:color w:val="1F1F1F"/>
        </w:rPr>
        <w:t>Except as expressly amended by this Amendment, all terms and conditions of</w:t>
      </w:r>
      <w:r>
        <w:rPr>
          <w:rFonts w:ascii="Arial" w:cs="Arial" w:eastAsia="Arial" w:hAnsi="Arial"/>
          <w:sz w:val="21"/>
          <w:szCs w:val="21"/>
          <w:b w:val="1"/>
          <w:bCs w:val="1"/>
          <w:color w:val="1F1F1F"/>
        </w:rPr>
        <w:t xml:space="preserve"> </w:t>
      </w:r>
      <w:r>
        <w:rPr>
          <w:rFonts w:ascii="Arial" w:cs="Arial" w:eastAsia="Arial" w:hAnsi="Arial"/>
          <w:sz w:val="21"/>
          <w:szCs w:val="21"/>
          <w:color w:val="1F1F1F"/>
        </w:rPr>
        <w:t>the Sublease remain unmodified, in full force and effect.</w:t>
      </w:r>
    </w:p>
    <w:p>
      <w:pPr>
        <w:spacing w:after="0" w:line="185" w:lineRule="exact"/>
        <w:rPr>
          <w:rFonts w:ascii="Arial" w:cs="Arial" w:eastAsia="Arial" w:hAnsi="Arial"/>
          <w:sz w:val="21"/>
          <w:szCs w:val="21"/>
          <w:color w:val="1F1F1F"/>
        </w:rPr>
      </w:pPr>
    </w:p>
    <w:p>
      <w:pPr>
        <w:jc w:val="both"/>
        <w:ind w:firstLine="648"/>
        <w:spacing w:after="0" w:line="262" w:lineRule="auto"/>
        <w:tabs>
          <w:tab w:leader="none" w:pos="1389" w:val="left"/>
        </w:tabs>
        <w:numPr>
          <w:ilvl w:val="0"/>
          <w:numId w:val="51"/>
        </w:numPr>
        <w:rPr>
          <w:rFonts w:ascii="Arial" w:cs="Arial" w:eastAsia="Arial" w:hAnsi="Arial"/>
          <w:sz w:val="20"/>
          <w:szCs w:val="20"/>
          <w:color w:val="1F1F1F"/>
        </w:rPr>
      </w:pPr>
      <w:r>
        <w:rPr>
          <w:rFonts w:ascii="Arial" w:cs="Arial" w:eastAsia="Arial" w:hAnsi="Arial"/>
          <w:sz w:val="20"/>
          <w:szCs w:val="20"/>
          <w:b w:val="1"/>
          <w:bCs w:val="1"/>
          <w:u w:val="single" w:color="auto"/>
          <w:color w:val="1F1F1F"/>
        </w:rPr>
        <w:t>Broker</w:t>
      </w:r>
      <w:r>
        <w:rPr>
          <w:rFonts w:ascii="Arial" w:cs="Arial" w:eastAsia="Arial" w:hAnsi="Arial"/>
          <w:sz w:val="20"/>
          <w:szCs w:val="20"/>
          <w:b w:val="1"/>
          <w:bCs w:val="1"/>
          <w:color w:val="1F1F1F"/>
        </w:rPr>
        <w:t xml:space="preserve">. </w:t>
      </w:r>
      <w:r>
        <w:rPr>
          <w:rFonts w:ascii="Arial" w:cs="Arial" w:eastAsia="Arial" w:hAnsi="Arial"/>
          <w:sz w:val="20"/>
          <w:szCs w:val="20"/>
          <w:color w:val="1F1F1F"/>
        </w:rPr>
        <w:t>The parties acknowledge that they have not dealt with any broker or finder in connection with</w:t>
      </w:r>
      <w:r>
        <w:rPr>
          <w:rFonts w:ascii="Arial" w:cs="Arial" w:eastAsia="Arial" w:hAnsi="Arial"/>
          <w:sz w:val="20"/>
          <w:szCs w:val="20"/>
          <w:b w:val="1"/>
          <w:bCs w:val="1"/>
          <w:color w:val="1F1F1F"/>
        </w:rPr>
        <w:t xml:space="preserve"> </w:t>
      </w:r>
      <w:r>
        <w:rPr>
          <w:rFonts w:ascii="Arial" w:cs="Arial" w:eastAsia="Arial" w:hAnsi="Arial"/>
          <w:sz w:val="20"/>
          <w:szCs w:val="20"/>
          <w:color w:val="1F1F1F"/>
        </w:rPr>
        <w:t>this Amendment, except David Barrett and Jamie Swirtz, agents for CBRE ("</w:t>
      </w:r>
      <w:r>
        <w:rPr>
          <w:rFonts w:ascii="Arial" w:cs="Arial" w:eastAsia="Arial" w:hAnsi="Arial"/>
          <w:sz w:val="20"/>
          <w:szCs w:val="20"/>
          <w:u w:val="single" w:color="auto"/>
          <w:color w:val="1F1F1F"/>
        </w:rPr>
        <w:t>Broker</w:t>
      </w:r>
      <w:r>
        <w:rPr>
          <w:rFonts w:ascii="Arial" w:cs="Arial" w:eastAsia="Arial" w:hAnsi="Arial"/>
          <w:sz w:val="20"/>
          <w:szCs w:val="20"/>
          <w:color w:val="1F1F1F"/>
        </w:rPr>
        <w:t>"), and Jim Sadler, agent for Keyser ("</w:t>
      </w:r>
      <w:r>
        <w:rPr>
          <w:rFonts w:ascii="Arial" w:cs="Arial" w:eastAsia="Arial" w:hAnsi="Arial"/>
          <w:sz w:val="20"/>
          <w:szCs w:val="20"/>
          <w:u w:val="single" w:color="auto"/>
          <w:color w:val="1F1F1F"/>
        </w:rPr>
        <w:t>Subtenant's Broker</w:t>
      </w:r>
      <w:r>
        <w:rPr>
          <w:rFonts w:ascii="Arial" w:cs="Arial" w:eastAsia="Arial" w:hAnsi="Arial"/>
          <w:sz w:val="20"/>
          <w:szCs w:val="20"/>
          <w:color w:val="1F1F1F"/>
        </w:rPr>
        <w:t>"). Sublandlord agrees to pay, pursuant to a separate agreement, any commissions due to Broker and Subtenant's Broker arising in connection with this Amendment. Sublandlord and Subtenant hereby represent and warrant each to the other that they have not employed any agents, brokers or other such parties in connection with this Amendment, other than Broker and Subtenant's Broker,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9" w:right="919" w:bottom="1440" w:gutter="0" w:footer="0" w:header="0"/>
        </w:sectPr>
      </w:pPr>
    </w:p>
    <w:bookmarkStart w:id="103" w:name="page104"/>
    <w:bookmarkEnd w:id="103"/>
    <w:p>
      <w:pPr>
        <w:jc w:val="both"/>
        <w:spacing w:after="0" w:line="253" w:lineRule="auto"/>
        <w:rPr>
          <w:sz w:val="20"/>
          <w:szCs w:val="20"/>
          <w:color w:val="auto"/>
        </w:rPr>
      </w:pPr>
      <w:r>
        <w:rPr>
          <w:rFonts w:ascii="Arial" w:cs="Arial" w:eastAsia="Arial" w:hAnsi="Arial"/>
          <w:sz w:val="21"/>
          <w:szCs w:val="21"/>
          <w:color w:val="1F1F1F"/>
        </w:rPr>
        <w:t>and each agrees that they shall indemnity and hold the other harmless from and against any and all claims of all other agents, brokers or other such parties claiming by, through or under the respective indemnifying party in connection with this Amendment.</w:t>
      </w:r>
    </w:p>
    <w:p>
      <w:pPr>
        <w:spacing w:after="0" w:line="203" w:lineRule="exact"/>
        <w:rPr>
          <w:sz w:val="20"/>
          <w:szCs w:val="20"/>
          <w:color w:val="auto"/>
        </w:rPr>
      </w:pPr>
    </w:p>
    <w:p>
      <w:pPr>
        <w:jc w:val="both"/>
        <w:ind w:firstLine="648"/>
        <w:spacing w:after="0" w:line="256" w:lineRule="auto"/>
        <w:tabs>
          <w:tab w:leader="none" w:pos="1335" w:val="left"/>
        </w:tabs>
        <w:numPr>
          <w:ilvl w:val="0"/>
          <w:numId w:val="52"/>
        </w:numPr>
        <w:rPr>
          <w:rFonts w:ascii="Arial" w:cs="Arial" w:eastAsia="Arial" w:hAnsi="Arial"/>
          <w:sz w:val="21"/>
          <w:szCs w:val="21"/>
          <w:color w:val="1F1F1F"/>
        </w:rPr>
      </w:pPr>
      <w:r>
        <w:rPr>
          <w:rFonts w:ascii="Arial" w:cs="Arial" w:eastAsia="Arial" w:hAnsi="Arial"/>
          <w:sz w:val="21"/>
          <w:szCs w:val="21"/>
          <w:b w:val="1"/>
          <w:bCs w:val="1"/>
          <w:u w:val="single" w:color="auto"/>
          <w:color w:val="1F1F1F"/>
        </w:rPr>
        <w:t>Authority</w:t>
      </w:r>
      <w:r>
        <w:rPr>
          <w:rFonts w:ascii="Arial" w:cs="Arial" w:eastAsia="Arial" w:hAnsi="Arial"/>
          <w:sz w:val="21"/>
          <w:szCs w:val="21"/>
          <w:b w:val="1"/>
          <w:bCs w:val="1"/>
          <w:color w:val="1F1F1F"/>
        </w:rPr>
        <w:t xml:space="preserve">. </w:t>
      </w:r>
      <w:r>
        <w:rPr>
          <w:rFonts w:ascii="Arial" w:cs="Arial" w:eastAsia="Arial" w:hAnsi="Arial"/>
          <w:sz w:val="21"/>
          <w:szCs w:val="21"/>
          <w:color w:val="1F1F1F"/>
        </w:rPr>
        <w:t>Each party represents and warrants that it has due power and lawful authority to execute and</w:t>
      </w:r>
      <w:r>
        <w:rPr>
          <w:rFonts w:ascii="Arial" w:cs="Arial" w:eastAsia="Arial" w:hAnsi="Arial"/>
          <w:sz w:val="21"/>
          <w:szCs w:val="21"/>
          <w:b w:val="1"/>
          <w:bCs w:val="1"/>
          <w:color w:val="1F1F1F"/>
        </w:rPr>
        <w:t xml:space="preserve"> </w:t>
      </w:r>
      <w:r>
        <w:rPr>
          <w:rFonts w:ascii="Arial" w:cs="Arial" w:eastAsia="Arial" w:hAnsi="Arial"/>
          <w:sz w:val="21"/>
          <w:szCs w:val="21"/>
          <w:color w:val="1F1F1F"/>
        </w:rPr>
        <w:t>deliver this Amendment and to perform its obligations hereunder; and the Sublease and this Amendment are the valid, binding and enforceable obligations of such patty.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9" w:right="919" w:bottom="1440" w:gutter="0" w:footer="0" w:header="0"/>
        </w:sectPr>
      </w:pPr>
    </w:p>
    <w:bookmarkStart w:id="104" w:name="page105"/>
    <w:bookmarkEnd w:id="104"/>
    <w:p>
      <w:pPr>
        <w:ind w:left="640"/>
        <w:spacing w:after="0"/>
        <w:rPr>
          <w:sz w:val="20"/>
          <w:szCs w:val="20"/>
          <w:color w:val="auto"/>
        </w:rPr>
      </w:pPr>
      <w:r>
        <w:rPr>
          <w:rFonts w:ascii="Arial" w:cs="Arial" w:eastAsia="Arial" w:hAnsi="Arial"/>
          <w:sz w:val="18"/>
          <w:szCs w:val="18"/>
          <w:color w:val="1F1F1F"/>
        </w:rPr>
        <w:t>IN WITNESS WHEREOF, the parties hereto have executed this Amendment as of the Effective Date</w:t>
      </w:r>
      <w:r>
        <w:rPr>
          <w:rFonts w:ascii="Arial" w:cs="Arial" w:eastAsia="Arial" w:hAnsi="Arial"/>
          <w:sz w:val="18"/>
          <w:szCs w:val="18"/>
          <w:color w:val="383838"/>
        </w:rPr>
        <w:t>.</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b w:val="1"/>
          <w:bCs w:val="1"/>
          <w:color w:val="1F1F1F"/>
        </w:rPr>
        <w:t>SUBLANDLORD:</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NXP USA,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227"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By:</w:t>
        <w:tab/>
        <w:t>/s/ Mark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9525</wp:posOffset>
            </wp:positionV>
            <wp:extent cx="26670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Name:Mark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4445</wp:posOffset>
            </wp:positionV>
            <wp:extent cx="26670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1F1F1F"/>
        </w:rPr>
        <w:t xml:space="preserve">Title: </w:t>
      </w:r>
      <w:r>
        <w:rPr>
          <w:rFonts w:ascii="Arial" w:cs="Arial" w:eastAsia="Arial" w:hAnsi="Arial"/>
          <w:sz w:val="21"/>
          <w:szCs w:val="21"/>
          <w:color w:val="000000"/>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4445</wp:posOffset>
            </wp:positionV>
            <wp:extent cx="2667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Date: 10-12-2017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4445</wp:posOffset>
            </wp:positionV>
            <wp:extent cx="26670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1F1F1F"/>
        </w:rPr>
        <w:t>SUBTENANT:</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1F1F1F"/>
        </w:rPr>
        <w:t>EVERSPIN TECHNOLOGIES, INC</w:t>
      </w:r>
      <w:r>
        <w:rPr>
          <w:rFonts w:ascii="Arial" w:cs="Arial" w:eastAsia="Arial" w:hAnsi="Arial"/>
          <w:sz w:val="21"/>
          <w:szCs w:val="21"/>
          <w:color w:val="383838"/>
        </w:rPr>
        <w:t>.</w:t>
      </w:r>
      <w:r>
        <w:rPr>
          <w:rFonts w:ascii="Arial" w:cs="Arial" w:eastAsia="Arial" w:hAnsi="Arial"/>
          <w:sz w:val="21"/>
          <w:szCs w:val="21"/>
          <w:color w:val="1F1F1F"/>
        </w:rPr>
        <w:t>,</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 Delaware corporation</w:t>
      </w:r>
    </w:p>
    <w:p>
      <w:pPr>
        <w:spacing w:after="0" w:line="227"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By:</w:t>
        <w:tab/>
        <w:t>/s/ 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9525</wp:posOffset>
            </wp:positionV>
            <wp:extent cx="26670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Name:Jeff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4445</wp:posOffset>
            </wp:positionV>
            <wp:extent cx="26670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1F1F1F"/>
        </w:rPr>
        <w:t xml:space="preserve">Title: </w:t>
      </w:r>
      <w:r>
        <w:rPr>
          <w:rFonts w:ascii="Arial" w:cs="Arial" w:eastAsia="Arial" w:hAnsi="Arial"/>
          <w:sz w:val="21"/>
          <w:szCs w:val="21"/>
          <w:color w:val="000000"/>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4445</wp:posOffset>
            </wp:positionV>
            <wp:extent cx="26670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Date: 10-17-2017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4445</wp:posOffset>
            </wp:positionV>
            <wp:extent cx="26670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69" w:right="1440" w:bottom="1440" w:gutter="0" w:footer="0" w:header="0"/>
        </w:sectPr>
      </w:pPr>
    </w:p>
    <w:bookmarkStart w:id="105" w:name="page106"/>
    <w:bookmarkEnd w:id="105"/>
    <w:p>
      <w:pPr>
        <w:jc w:val="center"/>
        <w:ind w:right="-520"/>
        <w:spacing w:after="0"/>
        <w:rPr>
          <w:sz w:val="20"/>
          <w:szCs w:val="20"/>
          <w:color w:val="auto"/>
        </w:rPr>
      </w:pPr>
      <w:r>
        <w:rPr>
          <w:rFonts w:ascii="Arial" w:cs="Arial" w:eastAsia="Arial" w:hAnsi="Arial"/>
          <w:sz w:val="20"/>
          <w:szCs w:val="20"/>
          <w:b w:val="1"/>
          <w:bCs w:val="1"/>
          <w:u w:val="single" w:color="auto"/>
          <w:color w:val="1D1D1D"/>
        </w:rPr>
        <w:t>CONSENT OF LANDLORD TO AMENDMENT TO SUBLEASE</w:t>
      </w:r>
    </w:p>
    <w:p>
      <w:pPr>
        <w:spacing w:after="0" w:line="262" w:lineRule="exact"/>
        <w:rPr>
          <w:sz w:val="20"/>
          <w:szCs w:val="20"/>
          <w:color w:val="auto"/>
        </w:rPr>
      </w:pPr>
    </w:p>
    <w:p>
      <w:pPr>
        <w:ind w:left="4480"/>
        <w:spacing w:after="0"/>
        <w:rPr>
          <w:sz w:val="20"/>
          <w:szCs w:val="20"/>
          <w:color w:val="auto"/>
        </w:rPr>
      </w:pPr>
      <w:r>
        <w:rPr>
          <w:rFonts w:ascii="Arial" w:cs="Arial" w:eastAsia="Arial" w:hAnsi="Arial"/>
          <w:sz w:val="21"/>
          <w:szCs w:val="21"/>
          <w:i w:val="1"/>
          <w:iCs w:val="1"/>
          <w:color w:val="1D1D1D"/>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63" w:right="1440" w:bottom="1440" w:gutter="0" w:footer="0" w:header="0"/>
        </w:sectPr>
      </w:pPr>
    </w:p>
    <w:bookmarkStart w:id="106" w:name="page107"/>
    <w:bookmarkEnd w:id="106"/>
    <w:p>
      <w:pPr>
        <w:jc w:val="center"/>
        <w:ind w:right="-520"/>
        <w:spacing w:after="0"/>
        <w:rPr>
          <w:sz w:val="20"/>
          <w:szCs w:val="20"/>
          <w:color w:val="auto"/>
        </w:rPr>
      </w:pPr>
      <w:r>
        <w:rPr>
          <w:rFonts w:ascii="Arial" w:cs="Arial" w:eastAsia="Arial" w:hAnsi="Arial"/>
          <w:sz w:val="21"/>
          <w:szCs w:val="21"/>
          <w:b w:val="1"/>
          <w:bCs w:val="1"/>
          <w:u w:val="single" w:color="auto"/>
          <w:color w:val="1A1A1A"/>
        </w:rPr>
        <w:t>EXHIBIT A</w:t>
      </w:r>
    </w:p>
    <w:p>
      <w:pPr>
        <w:spacing w:after="0" w:line="245" w:lineRule="exact"/>
        <w:rPr>
          <w:sz w:val="20"/>
          <w:szCs w:val="20"/>
          <w:color w:val="auto"/>
        </w:rPr>
      </w:pPr>
    </w:p>
    <w:p>
      <w:pPr>
        <w:ind w:left="3620"/>
        <w:spacing w:after="0"/>
        <w:rPr>
          <w:sz w:val="20"/>
          <w:szCs w:val="20"/>
          <w:color w:val="auto"/>
        </w:rPr>
      </w:pPr>
      <w:r>
        <w:rPr>
          <w:rFonts w:ascii="Arial" w:cs="Arial" w:eastAsia="Arial" w:hAnsi="Arial"/>
          <w:sz w:val="21"/>
          <w:szCs w:val="21"/>
          <w:b w:val="1"/>
          <w:bCs w:val="1"/>
          <w:u w:val="single" w:color="auto"/>
          <w:color w:val="1A1A1A"/>
        </w:rPr>
        <w:t>THE SUBLEASED PREMISES</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1A1A1A"/>
        </w:rPr>
        <w:t>The space identified as "6</w:t>
      </w:r>
      <w:r>
        <w:rPr>
          <w:rFonts w:ascii="Arial" w:cs="Arial" w:eastAsia="Arial" w:hAnsi="Arial"/>
          <w:sz w:val="21"/>
          <w:szCs w:val="21"/>
          <w:color w:val="333333"/>
        </w:rPr>
        <w:t>,</w:t>
      </w:r>
      <w:r>
        <w:rPr>
          <w:rFonts w:ascii="Arial" w:cs="Arial" w:eastAsia="Arial" w:hAnsi="Arial"/>
          <w:sz w:val="21"/>
          <w:szCs w:val="21"/>
          <w:color w:val="1A1A1A"/>
        </w:rPr>
        <w:t>560 RSF" on the attached exhibit is the Lab Premises.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1A1A1A"/>
        </w:rPr>
        <w:t>The space identified as "3,463 RSF" on the attached exhibit is the Existing Office Premises.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A1A1A"/>
        </w:rPr>
        <w:t>The space identified as " 17</w:t>
      </w:r>
      <w:r>
        <w:rPr>
          <w:rFonts w:ascii="Arial" w:cs="Arial" w:eastAsia="Arial" w:hAnsi="Arial"/>
          <w:sz w:val="18"/>
          <w:szCs w:val="18"/>
          <w:color w:val="333333"/>
        </w:rPr>
        <w:t>,</w:t>
      </w:r>
      <w:r>
        <w:rPr>
          <w:rFonts w:ascii="Arial" w:cs="Arial" w:eastAsia="Arial" w:hAnsi="Arial"/>
          <w:sz w:val="18"/>
          <w:szCs w:val="18"/>
          <w:color w:val="1A1A1A"/>
        </w:rPr>
        <w:t>951 RSF" on the attached exhibit is the Expansion Office Premises.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Amendment to Sublease Agreement</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63"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1015365</wp:posOffset>
            </wp:positionH>
            <wp:positionV relativeFrom="page">
              <wp:posOffset>243205</wp:posOffset>
            </wp:positionV>
            <wp:extent cx="5531485" cy="5231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531485" cy="523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Amendment to Sublease Agreement</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440"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21"/>
          <w:szCs w:val="21"/>
          <w:b w:val="1"/>
          <w:bCs w:val="1"/>
          <w:u w:val="single" w:color="auto"/>
          <w:color w:val="1C1C1C"/>
        </w:rPr>
        <w:t>CONSE</w:t>
      </w:r>
      <w:r>
        <w:rPr>
          <w:rFonts w:ascii="Arial" w:cs="Arial" w:eastAsia="Arial" w:hAnsi="Arial"/>
          <w:sz w:val="21"/>
          <w:szCs w:val="21"/>
          <w:b w:val="1"/>
          <w:bCs w:val="1"/>
          <w:u w:val="single" w:color="auto"/>
          <w:color w:val="333336"/>
        </w:rPr>
        <w:t>N</w:t>
      </w:r>
      <w:r>
        <w:rPr>
          <w:rFonts w:ascii="Arial" w:cs="Arial" w:eastAsia="Arial" w:hAnsi="Arial"/>
          <w:sz w:val="21"/>
          <w:szCs w:val="21"/>
          <w:b w:val="1"/>
          <w:bCs w:val="1"/>
          <w:u w:val="single" w:color="auto"/>
          <w:color w:val="1C1C1C"/>
        </w:rPr>
        <w:t>T OF LANDLORD TO T</w:t>
      </w:r>
      <w:r>
        <w:rPr>
          <w:rFonts w:ascii="Arial" w:cs="Arial" w:eastAsia="Arial" w:hAnsi="Arial"/>
          <w:sz w:val="21"/>
          <w:szCs w:val="21"/>
          <w:b w:val="1"/>
          <w:bCs w:val="1"/>
          <w:u w:val="single" w:color="auto"/>
          <w:color w:val="333336"/>
        </w:rPr>
        <w:t>H</w:t>
      </w:r>
      <w:r>
        <w:rPr>
          <w:rFonts w:ascii="Arial" w:cs="Arial" w:eastAsia="Arial" w:hAnsi="Arial"/>
          <w:sz w:val="21"/>
          <w:szCs w:val="21"/>
          <w:b w:val="1"/>
          <w:bCs w:val="1"/>
          <w:u w:val="single" w:color="auto"/>
          <w:color w:val="1C1C1C"/>
        </w:rPr>
        <w:t>IRD AMENDM</w:t>
      </w:r>
      <w:r>
        <w:rPr>
          <w:rFonts w:ascii="Arial" w:cs="Arial" w:eastAsia="Arial" w:hAnsi="Arial"/>
          <w:sz w:val="21"/>
          <w:szCs w:val="21"/>
          <w:b w:val="1"/>
          <w:bCs w:val="1"/>
          <w:u w:val="single" w:color="auto"/>
          <w:color w:val="333336"/>
        </w:rPr>
        <w:t>E</w:t>
      </w:r>
      <w:r>
        <w:rPr>
          <w:rFonts w:ascii="Arial" w:cs="Arial" w:eastAsia="Arial" w:hAnsi="Arial"/>
          <w:sz w:val="21"/>
          <w:szCs w:val="21"/>
          <w:b w:val="1"/>
          <w:bCs w:val="1"/>
          <w:u w:val="single" w:color="auto"/>
          <w:color w:val="1C1C1C"/>
        </w:rPr>
        <w:t xml:space="preserve">NT </w:t>
      </w:r>
      <w:r>
        <w:rPr>
          <w:rFonts w:ascii="Arial" w:cs="Arial" w:eastAsia="Arial" w:hAnsi="Arial"/>
          <w:sz w:val="21"/>
          <w:szCs w:val="21"/>
          <w:b w:val="1"/>
          <w:bCs w:val="1"/>
          <w:u w:val="single" w:color="auto"/>
          <w:color w:val="333336"/>
        </w:rPr>
        <w:t>T</w:t>
      </w:r>
      <w:r>
        <w:rPr>
          <w:rFonts w:ascii="Arial" w:cs="Arial" w:eastAsia="Arial" w:hAnsi="Arial"/>
          <w:sz w:val="21"/>
          <w:szCs w:val="21"/>
          <w:b w:val="1"/>
          <w:bCs w:val="1"/>
          <w:u w:val="single" w:color="auto"/>
          <w:color w:val="1C1C1C"/>
        </w:rPr>
        <w:t>O SUBL</w:t>
      </w:r>
      <w:r>
        <w:rPr>
          <w:rFonts w:ascii="Arial" w:cs="Arial" w:eastAsia="Arial" w:hAnsi="Arial"/>
          <w:sz w:val="21"/>
          <w:szCs w:val="21"/>
          <w:b w:val="1"/>
          <w:bCs w:val="1"/>
          <w:u w:val="single" w:color="auto"/>
          <w:color w:val="333336"/>
        </w:rPr>
        <w:t>E</w:t>
      </w:r>
      <w:r>
        <w:rPr>
          <w:rFonts w:ascii="Arial" w:cs="Arial" w:eastAsia="Arial" w:hAnsi="Arial"/>
          <w:sz w:val="21"/>
          <w:szCs w:val="21"/>
          <w:b w:val="1"/>
          <w:bCs w:val="1"/>
          <w:u w:val="single" w:color="auto"/>
          <w:color w:val="1C1C1C"/>
        </w:rPr>
        <w:t>A</w:t>
      </w:r>
      <w:r>
        <w:rPr>
          <w:rFonts w:ascii="Arial" w:cs="Arial" w:eastAsia="Arial" w:hAnsi="Arial"/>
          <w:sz w:val="21"/>
          <w:szCs w:val="21"/>
          <w:b w:val="1"/>
          <w:bCs w:val="1"/>
          <w:u w:val="single" w:color="auto"/>
          <w:color w:val="333336"/>
        </w:rPr>
        <w:t>S</w:t>
      </w:r>
      <w:r>
        <w:rPr>
          <w:rFonts w:ascii="Arial" w:cs="Arial" w:eastAsia="Arial" w:hAnsi="Arial"/>
          <w:sz w:val="21"/>
          <w:szCs w:val="21"/>
          <w:b w:val="1"/>
          <w:bCs w:val="1"/>
          <w:u w:val="single" w:color="auto"/>
          <w:color w:val="1C1C1C"/>
        </w:rPr>
        <w:t>E</w:t>
      </w:r>
    </w:p>
    <w:p>
      <w:pPr>
        <w:spacing w:after="0" w:line="2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1C1C1C"/>
        </w:rPr>
        <w:t xml:space="preserve">KWC Chandler-Midway LLC, an Arizona limited liability company (" </w:t>
      </w:r>
      <w:r>
        <w:rPr>
          <w:rFonts w:ascii="Arial" w:cs="Arial" w:eastAsia="Arial" w:hAnsi="Arial"/>
          <w:sz w:val="21"/>
          <w:szCs w:val="21"/>
          <w:u w:val="single" w:color="auto"/>
          <w:color w:val="1C1C1C"/>
        </w:rPr>
        <w:t>Ma</w:t>
      </w:r>
      <w:r>
        <w:rPr>
          <w:rFonts w:ascii="Arial" w:cs="Arial" w:eastAsia="Arial" w:hAnsi="Arial"/>
          <w:sz w:val="21"/>
          <w:szCs w:val="21"/>
          <w:u w:val="single" w:color="auto"/>
          <w:color w:val="333336"/>
        </w:rPr>
        <w:t>s</w:t>
      </w:r>
      <w:r>
        <w:rPr>
          <w:rFonts w:ascii="Arial" w:cs="Arial" w:eastAsia="Arial" w:hAnsi="Arial"/>
          <w:sz w:val="21"/>
          <w:szCs w:val="21"/>
          <w:u w:val="single" w:color="auto"/>
          <w:color w:val="1C1C1C"/>
        </w:rPr>
        <w:t>t</w:t>
      </w:r>
      <w:r>
        <w:rPr>
          <w:rFonts w:ascii="Arial" w:cs="Arial" w:eastAsia="Arial" w:hAnsi="Arial"/>
          <w:sz w:val="21"/>
          <w:szCs w:val="21"/>
          <w:u w:val="single" w:color="auto"/>
          <w:color w:val="333336"/>
        </w:rPr>
        <w:t>e</w:t>
      </w:r>
      <w:r>
        <w:rPr>
          <w:rFonts w:ascii="Arial" w:cs="Arial" w:eastAsia="Arial" w:hAnsi="Arial"/>
          <w:sz w:val="21"/>
          <w:szCs w:val="21"/>
          <w:u w:val="single" w:color="auto"/>
          <w:color w:val="1C1C1C"/>
        </w:rPr>
        <w:t>r</w:t>
      </w:r>
      <w:r>
        <w:rPr>
          <w:rFonts w:ascii="Arial" w:cs="Arial" w:eastAsia="Arial" w:hAnsi="Arial"/>
          <w:sz w:val="21"/>
          <w:szCs w:val="21"/>
          <w:color w:val="1C1C1C"/>
        </w:rPr>
        <w:t xml:space="preserve"> </w:t>
      </w:r>
      <w:r>
        <w:rPr>
          <w:rFonts w:ascii="Arial" w:cs="Arial" w:eastAsia="Arial" w:hAnsi="Arial"/>
          <w:sz w:val="21"/>
          <w:szCs w:val="21"/>
          <w:u w:val="single" w:color="auto"/>
          <w:color w:val="333336"/>
        </w:rPr>
        <w:t>L</w:t>
      </w:r>
      <w:r>
        <w:rPr>
          <w:rFonts w:ascii="Arial" w:cs="Arial" w:eastAsia="Arial" w:hAnsi="Arial"/>
          <w:sz w:val="21"/>
          <w:szCs w:val="21"/>
          <w:u w:val="single" w:color="auto"/>
          <w:color w:val="1C1C1C"/>
        </w:rPr>
        <w:t>andlord</w:t>
      </w:r>
      <w:r>
        <w:rPr>
          <w:rFonts w:ascii="Arial" w:cs="Arial" w:eastAsia="Arial" w:hAnsi="Arial"/>
          <w:sz w:val="21"/>
          <w:szCs w:val="21"/>
          <w:color w:val="1C1C1C"/>
        </w:rPr>
        <w:t>"), as successor to VWP-BV CM 5670</w:t>
      </w:r>
      <w:r>
        <w:rPr>
          <w:rFonts w:ascii="Arial" w:cs="Arial" w:eastAsia="Arial" w:hAnsi="Arial"/>
          <w:sz w:val="21"/>
          <w:szCs w:val="21"/>
          <w:color w:val="333336"/>
        </w:rPr>
        <w:t>,</w:t>
      </w:r>
      <w:r>
        <w:rPr>
          <w:rFonts w:ascii="Arial" w:cs="Arial" w:eastAsia="Arial" w:hAnsi="Arial"/>
          <w:sz w:val="21"/>
          <w:szCs w:val="21"/>
          <w:color w:val="1C1C1C"/>
        </w:rPr>
        <w:t xml:space="preserve"> LLC, a Delaware limited liability company (the </w:t>
      </w:r>
      <w:r>
        <w:rPr>
          <w:rFonts w:ascii="Arial" w:cs="Arial" w:eastAsia="Arial" w:hAnsi="Arial"/>
          <w:sz w:val="21"/>
          <w:szCs w:val="21"/>
          <w:color w:val="333336"/>
        </w:rPr>
        <w:t>"</w:t>
      </w:r>
      <w:r>
        <w:rPr>
          <w:rFonts w:ascii="Arial" w:cs="Arial" w:eastAsia="Arial" w:hAnsi="Arial"/>
          <w:sz w:val="21"/>
          <w:szCs w:val="21"/>
          <w:u w:val="single" w:color="auto"/>
          <w:color w:val="1C1C1C"/>
        </w:rPr>
        <w:t>Ori</w:t>
      </w:r>
      <w:r>
        <w:rPr>
          <w:rFonts w:ascii="Arial" w:cs="Arial" w:eastAsia="Arial" w:hAnsi="Arial"/>
          <w:sz w:val="21"/>
          <w:szCs w:val="21"/>
          <w:u w:val="single" w:color="auto"/>
          <w:color w:val="333336"/>
        </w:rPr>
        <w:t>g</w:t>
      </w:r>
      <w:r>
        <w:rPr>
          <w:rFonts w:ascii="Arial" w:cs="Arial" w:eastAsia="Arial" w:hAnsi="Arial"/>
          <w:sz w:val="21"/>
          <w:szCs w:val="21"/>
          <w:u w:val="single" w:color="auto"/>
          <w:color w:val="1C1C1C"/>
        </w:rPr>
        <w:t>inal Landlord</w:t>
      </w:r>
      <w:r>
        <w:rPr>
          <w:rFonts w:ascii="Arial" w:cs="Arial" w:eastAsia="Arial" w:hAnsi="Arial"/>
          <w:sz w:val="21"/>
          <w:szCs w:val="21"/>
          <w:color w:val="333336"/>
        </w:rPr>
        <w:t>"</w:t>
      </w:r>
      <w:r>
        <w:rPr>
          <w:rFonts w:ascii="Arial" w:cs="Arial" w:eastAsia="Arial" w:hAnsi="Arial"/>
          <w:sz w:val="21"/>
          <w:szCs w:val="21"/>
          <w:color w:val="1C1C1C"/>
        </w:rPr>
        <w:t>), hereby consents to the terms and conditions of that certain Third Amendment to Sublease Agreement (the "</w:t>
      </w:r>
      <w:r>
        <w:rPr>
          <w:rFonts w:ascii="Arial" w:cs="Arial" w:eastAsia="Arial" w:hAnsi="Arial"/>
          <w:sz w:val="21"/>
          <w:szCs w:val="21"/>
          <w:u w:val="single" w:color="auto"/>
          <w:color w:val="333336"/>
        </w:rPr>
        <w:t>T</w:t>
      </w:r>
      <w:r>
        <w:rPr>
          <w:rFonts w:ascii="Arial" w:cs="Arial" w:eastAsia="Arial" w:hAnsi="Arial"/>
          <w:sz w:val="21"/>
          <w:szCs w:val="21"/>
          <w:u w:val="single" w:color="auto"/>
          <w:color w:val="1C1C1C"/>
        </w:rPr>
        <w:t>hird Am</w:t>
      </w:r>
      <w:r>
        <w:rPr>
          <w:rFonts w:ascii="Arial" w:cs="Arial" w:eastAsia="Arial" w:hAnsi="Arial"/>
          <w:sz w:val="21"/>
          <w:szCs w:val="21"/>
          <w:u w:val="single" w:color="auto"/>
          <w:color w:val="333336"/>
        </w:rPr>
        <w:t>e</w:t>
      </w:r>
      <w:r>
        <w:rPr>
          <w:rFonts w:ascii="Arial" w:cs="Arial" w:eastAsia="Arial" w:hAnsi="Arial"/>
          <w:sz w:val="21"/>
          <w:szCs w:val="21"/>
          <w:u w:val="single" w:color="auto"/>
          <w:color w:val="1C1C1C"/>
        </w:rPr>
        <w:t>ndm</w:t>
      </w:r>
      <w:r>
        <w:rPr>
          <w:rFonts w:ascii="Arial" w:cs="Arial" w:eastAsia="Arial" w:hAnsi="Arial"/>
          <w:sz w:val="21"/>
          <w:szCs w:val="21"/>
          <w:u w:val="single" w:color="auto"/>
          <w:color w:val="333336"/>
        </w:rPr>
        <w:t>e</w:t>
      </w:r>
      <w:r>
        <w:rPr>
          <w:rFonts w:ascii="Arial" w:cs="Arial" w:eastAsia="Arial" w:hAnsi="Arial"/>
          <w:sz w:val="21"/>
          <w:szCs w:val="21"/>
          <w:u w:val="single" w:color="auto"/>
          <w:color w:val="1C1C1C"/>
        </w:rPr>
        <w:t>nt</w:t>
      </w:r>
      <w:r>
        <w:rPr>
          <w:rFonts w:ascii="Arial" w:cs="Arial" w:eastAsia="Arial" w:hAnsi="Arial"/>
          <w:sz w:val="21"/>
          <w:szCs w:val="21"/>
          <w:color w:val="1C1C1C"/>
        </w:rPr>
        <w:t>") by and between NXP USA, Inc., a Delaware corporation ('</w:t>
      </w:r>
      <w:r>
        <w:rPr>
          <w:rFonts w:ascii="Arial" w:cs="Arial" w:eastAsia="Arial" w:hAnsi="Arial"/>
          <w:sz w:val="21"/>
          <w:szCs w:val="21"/>
          <w:u w:val="single" w:color="auto"/>
          <w:color w:val="333336"/>
        </w:rPr>
        <w:t>S</w:t>
      </w:r>
      <w:r>
        <w:rPr>
          <w:rFonts w:ascii="Arial" w:cs="Arial" w:eastAsia="Arial" w:hAnsi="Arial"/>
          <w:sz w:val="21"/>
          <w:szCs w:val="21"/>
          <w:u w:val="single" w:color="auto"/>
          <w:color w:val="1C1C1C"/>
        </w:rPr>
        <w:t>ubl</w:t>
      </w:r>
      <w:r>
        <w:rPr>
          <w:rFonts w:ascii="Arial" w:cs="Arial" w:eastAsia="Arial" w:hAnsi="Arial"/>
          <w:sz w:val="21"/>
          <w:szCs w:val="21"/>
          <w:u w:val="single" w:color="auto"/>
          <w:color w:val="333336"/>
        </w:rPr>
        <w:t>a</w:t>
      </w:r>
      <w:r>
        <w:rPr>
          <w:rFonts w:ascii="Arial" w:cs="Arial" w:eastAsia="Arial" w:hAnsi="Arial"/>
          <w:sz w:val="21"/>
          <w:szCs w:val="21"/>
          <w:u w:val="single" w:color="auto"/>
          <w:color w:val="1C1C1C"/>
        </w:rPr>
        <w:t>ndlord</w:t>
      </w:r>
      <w:r>
        <w:rPr>
          <w:rFonts w:ascii="Arial" w:cs="Arial" w:eastAsia="Arial" w:hAnsi="Arial"/>
          <w:sz w:val="21"/>
          <w:szCs w:val="21"/>
          <w:color w:val="1C1C1C"/>
        </w:rPr>
        <w:t>") and Everspin Technologies</w:t>
      </w:r>
      <w:r>
        <w:rPr>
          <w:rFonts w:ascii="Arial" w:cs="Arial" w:eastAsia="Arial" w:hAnsi="Arial"/>
          <w:sz w:val="21"/>
          <w:szCs w:val="21"/>
          <w:color w:val="333336"/>
        </w:rPr>
        <w:t>,</w:t>
      </w:r>
      <w:r>
        <w:rPr>
          <w:rFonts w:ascii="Arial" w:cs="Arial" w:eastAsia="Arial" w:hAnsi="Arial"/>
          <w:sz w:val="21"/>
          <w:szCs w:val="21"/>
          <w:color w:val="1C1C1C"/>
        </w:rPr>
        <w:t xml:space="preserve"> Inc., a Delaware corporation (</w:t>
      </w:r>
      <w:r>
        <w:rPr>
          <w:rFonts w:ascii="Arial" w:cs="Arial" w:eastAsia="Arial" w:hAnsi="Arial"/>
          <w:sz w:val="21"/>
          <w:szCs w:val="21"/>
          <w:color w:val="333336"/>
        </w:rPr>
        <w:t>"</w:t>
      </w:r>
      <w:r>
        <w:rPr>
          <w:rFonts w:ascii="Arial" w:cs="Arial" w:eastAsia="Arial" w:hAnsi="Arial"/>
          <w:sz w:val="21"/>
          <w:szCs w:val="21"/>
          <w:u w:val="single" w:color="auto"/>
          <w:color w:val="333336"/>
        </w:rPr>
        <w:t>S</w:t>
      </w:r>
      <w:r>
        <w:rPr>
          <w:rFonts w:ascii="Arial" w:cs="Arial" w:eastAsia="Arial" w:hAnsi="Arial"/>
          <w:sz w:val="21"/>
          <w:szCs w:val="21"/>
          <w:u w:val="single" w:color="auto"/>
          <w:color w:val="1C1C1C"/>
        </w:rPr>
        <w:t>ubt</w:t>
      </w:r>
      <w:r>
        <w:rPr>
          <w:rFonts w:ascii="Arial" w:cs="Arial" w:eastAsia="Arial" w:hAnsi="Arial"/>
          <w:sz w:val="21"/>
          <w:szCs w:val="21"/>
          <w:u w:val="single" w:color="auto"/>
          <w:color w:val="333336"/>
        </w:rPr>
        <w:t>e</w:t>
      </w:r>
      <w:r>
        <w:rPr>
          <w:rFonts w:ascii="Arial" w:cs="Arial" w:eastAsia="Arial" w:hAnsi="Arial"/>
          <w:sz w:val="21"/>
          <w:szCs w:val="21"/>
          <w:u w:val="single" w:color="auto"/>
          <w:color w:val="1C1C1C"/>
        </w:rPr>
        <w:t>nant</w:t>
      </w:r>
      <w:r>
        <w:rPr>
          <w:rFonts w:ascii="Arial" w:cs="Arial" w:eastAsia="Arial" w:hAnsi="Arial"/>
          <w:sz w:val="21"/>
          <w:szCs w:val="21"/>
          <w:color w:val="1C1C1C"/>
        </w:rPr>
        <w:t>")</w:t>
      </w:r>
      <w:r>
        <w:rPr>
          <w:rFonts w:ascii="Arial" w:cs="Arial" w:eastAsia="Arial" w:hAnsi="Arial"/>
          <w:sz w:val="21"/>
          <w:szCs w:val="21"/>
          <w:color w:val="333336"/>
        </w:rPr>
        <w:t>,</w:t>
      </w:r>
      <w:r>
        <w:rPr>
          <w:rFonts w:ascii="Arial" w:cs="Arial" w:eastAsia="Arial" w:hAnsi="Arial"/>
          <w:sz w:val="21"/>
          <w:szCs w:val="21"/>
          <w:color w:val="1C1C1C"/>
        </w:rPr>
        <w:t xml:space="preserve"> subject to the following terms and conditions:</w:t>
      </w:r>
    </w:p>
    <w:p>
      <w:pPr>
        <w:spacing w:after="0" w:line="216" w:lineRule="exact"/>
        <w:rPr>
          <w:sz w:val="20"/>
          <w:szCs w:val="20"/>
          <w:color w:val="auto"/>
        </w:rPr>
      </w:pPr>
    </w:p>
    <w:p>
      <w:pPr>
        <w:ind w:firstLine="648"/>
        <w:spacing w:after="0" w:line="264" w:lineRule="auto"/>
        <w:tabs>
          <w:tab w:leader="none" w:pos="1483" w:val="left"/>
        </w:tabs>
        <w:numPr>
          <w:ilvl w:val="0"/>
          <w:numId w:val="53"/>
        </w:numPr>
        <w:rPr>
          <w:rFonts w:ascii="Arial" w:cs="Arial" w:eastAsia="Arial" w:hAnsi="Arial"/>
          <w:sz w:val="21"/>
          <w:szCs w:val="21"/>
          <w:color w:val="1C1C1C"/>
        </w:rPr>
      </w:pPr>
      <w:r>
        <w:rPr>
          <w:rFonts w:ascii="Arial" w:cs="Arial" w:eastAsia="Arial" w:hAnsi="Arial"/>
          <w:sz w:val="21"/>
          <w:szCs w:val="21"/>
          <w:u w:val="single" w:color="auto"/>
          <w:color w:val="1C1C1C"/>
        </w:rPr>
        <w:t>Incorp</w:t>
      </w:r>
      <w:r>
        <w:rPr>
          <w:rFonts w:ascii="Arial" w:cs="Arial" w:eastAsia="Arial" w:hAnsi="Arial"/>
          <w:sz w:val="21"/>
          <w:szCs w:val="21"/>
          <w:u w:val="single" w:color="auto"/>
          <w:color w:val="333336"/>
        </w:rPr>
        <w:t>o</w:t>
      </w:r>
      <w:r>
        <w:rPr>
          <w:rFonts w:ascii="Arial" w:cs="Arial" w:eastAsia="Arial" w:hAnsi="Arial"/>
          <w:sz w:val="21"/>
          <w:szCs w:val="21"/>
          <w:u w:val="single" w:color="auto"/>
          <w:color w:val="1C1C1C"/>
        </w:rPr>
        <w:t>rati</w:t>
      </w:r>
      <w:r>
        <w:rPr>
          <w:rFonts w:ascii="Arial" w:cs="Arial" w:eastAsia="Arial" w:hAnsi="Arial"/>
          <w:sz w:val="21"/>
          <w:szCs w:val="21"/>
          <w:u w:val="single" w:color="auto"/>
          <w:color w:val="333336"/>
        </w:rPr>
        <w:t>o</w:t>
      </w:r>
      <w:r>
        <w:rPr>
          <w:rFonts w:ascii="Arial" w:cs="Arial" w:eastAsia="Arial" w:hAnsi="Arial"/>
          <w:sz w:val="21"/>
          <w:szCs w:val="21"/>
          <w:u w:val="single" w:color="auto"/>
          <w:color w:val="1C1C1C"/>
        </w:rPr>
        <w:t>n o</w:t>
      </w:r>
      <w:r>
        <w:rPr>
          <w:rFonts w:ascii="Arial" w:cs="Arial" w:eastAsia="Arial" w:hAnsi="Arial"/>
          <w:sz w:val="21"/>
          <w:szCs w:val="21"/>
          <w:u w:val="single" w:color="auto"/>
          <w:color w:val="333336"/>
        </w:rPr>
        <w:t>f Te</w:t>
      </w:r>
      <w:r>
        <w:rPr>
          <w:rFonts w:ascii="Arial" w:cs="Arial" w:eastAsia="Arial" w:hAnsi="Arial"/>
          <w:sz w:val="21"/>
          <w:szCs w:val="21"/>
          <w:u w:val="single" w:color="auto"/>
          <w:color w:val="1C1C1C"/>
        </w:rPr>
        <w:t>rm</w:t>
      </w:r>
      <w:r>
        <w:rPr>
          <w:rFonts w:ascii="Arial" w:cs="Arial" w:eastAsia="Arial" w:hAnsi="Arial"/>
          <w:sz w:val="21"/>
          <w:szCs w:val="21"/>
          <w:u w:val="single" w:color="auto"/>
          <w:color w:val="333336"/>
        </w:rPr>
        <w:t>s</w:t>
      </w:r>
      <w:r>
        <w:rPr>
          <w:rFonts w:ascii="Arial" w:cs="Arial" w:eastAsia="Arial" w:hAnsi="Arial"/>
          <w:sz w:val="21"/>
          <w:szCs w:val="21"/>
          <w:color w:val="1C1C1C"/>
        </w:rPr>
        <w:t>. Capitalized terms used herein and not defined herein shall have the meaning ascribed thereto in the Third Amendment.</w:t>
      </w:r>
    </w:p>
    <w:p>
      <w:pPr>
        <w:spacing w:after="0" w:line="198" w:lineRule="exact"/>
        <w:rPr>
          <w:rFonts w:ascii="Arial" w:cs="Arial" w:eastAsia="Arial" w:hAnsi="Arial"/>
          <w:sz w:val="21"/>
          <w:szCs w:val="21"/>
          <w:color w:val="1C1C1C"/>
        </w:rPr>
      </w:pPr>
    </w:p>
    <w:p>
      <w:pPr>
        <w:jc w:val="both"/>
        <w:ind w:firstLine="648"/>
        <w:spacing w:after="0" w:line="257" w:lineRule="auto"/>
        <w:tabs>
          <w:tab w:leader="none" w:pos="1362" w:val="left"/>
        </w:tabs>
        <w:numPr>
          <w:ilvl w:val="0"/>
          <w:numId w:val="53"/>
        </w:numPr>
        <w:rPr>
          <w:rFonts w:ascii="Arial" w:cs="Arial" w:eastAsia="Arial" w:hAnsi="Arial"/>
          <w:sz w:val="20"/>
          <w:szCs w:val="20"/>
          <w:color w:val="1C1C1C"/>
        </w:rPr>
      </w:pPr>
      <w:r>
        <w:rPr>
          <w:rFonts w:ascii="Arial" w:cs="Arial" w:eastAsia="Arial" w:hAnsi="Arial"/>
          <w:sz w:val="20"/>
          <w:szCs w:val="20"/>
          <w:u w:val="single" w:color="auto"/>
          <w:color w:val="1C1C1C"/>
        </w:rPr>
        <w:t>Monum</w:t>
      </w:r>
      <w:r>
        <w:rPr>
          <w:rFonts w:ascii="Arial" w:cs="Arial" w:eastAsia="Arial" w:hAnsi="Arial"/>
          <w:sz w:val="20"/>
          <w:szCs w:val="20"/>
          <w:u w:val="single" w:color="auto"/>
          <w:color w:val="333336"/>
        </w:rPr>
        <w:t>e</w:t>
      </w:r>
      <w:r>
        <w:rPr>
          <w:rFonts w:ascii="Arial" w:cs="Arial" w:eastAsia="Arial" w:hAnsi="Arial"/>
          <w:sz w:val="20"/>
          <w:szCs w:val="20"/>
          <w:u w:val="single" w:color="auto"/>
          <w:color w:val="1C1C1C"/>
        </w:rPr>
        <w:t>nt Sign</w:t>
      </w:r>
      <w:r>
        <w:rPr>
          <w:rFonts w:ascii="Arial" w:cs="Arial" w:eastAsia="Arial" w:hAnsi="Arial"/>
          <w:sz w:val="20"/>
          <w:szCs w:val="20"/>
          <w:color w:val="333336"/>
        </w:rPr>
        <w:t>.</w:t>
      </w:r>
      <w:r>
        <w:rPr>
          <w:rFonts w:ascii="Arial" w:cs="Arial" w:eastAsia="Arial" w:hAnsi="Arial"/>
          <w:sz w:val="20"/>
          <w:szCs w:val="20"/>
          <w:color w:val="1C1C1C"/>
        </w:rPr>
        <w:t xml:space="preserve"> Attached hereto as </w:t>
      </w:r>
      <w:r>
        <w:rPr>
          <w:rFonts w:ascii="Arial" w:cs="Arial" w:eastAsia="Arial" w:hAnsi="Arial"/>
          <w:sz w:val="20"/>
          <w:szCs w:val="20"/>
          <w:u w:val="single" w:color="auto"/>
          <w:color w:val="333336"/>
        </w:rPr>
        <w:t>Ex</w:t>
      </w:r>
      <w:r>
        <w:rPr>
          <w:rFonts w:ascii="Arial" w:cs="Arial" w:eastAsia="Arial" w:hAnsi="Arial"/>
          <w:sz w:val="20"/>
          <w:szCs w:val="20"/>
          <w:u w:val="single" w:color="auto"/>
          <w:color w:val="1C1C1C"/>
        </w:rPr>
        <w:t>hibi</w:t>
      </w:r>
      <w:r>
        <w:rPr>
          <w:rFonts w:ascii="Arial" w:cs="Arial" w:eastAsia="Arial" w:hAnsi="Arial"/>
          <w:sz w:val="20"/>
          <w:szCs w:val="20"/>
          <w:u w:val="single" w:color="auto"/>
          <w:color w:val="333336"/>
        </w:rPr>
        <w:t>t</w:t>
      </w:r>
      <w:r>
        <w:rPr>
          <w:rFonts w:ascii="Arial" w:cs="Arial" w:eastAsia="Arial" w:hAnsi="Arial"/>
          <w:sz w:val="20"/>
          <w:szCs w:val="20"/>
          <w:color w:val="1C1C1C"/>
        </w:rPr>
        <w:t xml:space="preserve"> </w:t>
      </w:r>
      <w:r>
        <w:rPr>
          <w:rFonts w:ascii="Arial" w:cs="Arial" w:eastAsia="Arial" w:hAnsi="Arial"/>
          <w:sz w:val="20"/>
          <w:szCs w:val="20"/>
          <w:u w:val="single" w:color="auto"/>
          <w:color w:val="1C1C1C"/>
        </w:rPr>
        <w:t>A</w:t>
      </w:r>
      <w:r>
        <w:rPr>
          <w:rFonts w:ascii="Arial" w:cs="Arial" w:eastAsia="Arial" w:hAnsi="Arial"/>
          <w:sz w:val="20"/>
          <w:szCs w:val="20"/>
          <w:color w:val="1C1C1C"/>
        </w:rPr>
        <w:t xml:space="preserve"> is a copy of that certain Sign Panel License Agreement, dated a</w:t>
      </w:r>
      <w:r>
        <w:rPr>
          <w:rFonts w:ascii="Arial" w:cs="Arial" w:eastAsia="Arial" w:hAnsi="Arial"/>
          <w:sz w:val="20"/>
          <w:szCs w:val="20"/>
          <w:color w:val="333336"/>
        </w:rPr>
        <w:t>s</w:t>
      </w:r>
      <w:r>
        <w:rPr>
          <w:rFonts w:ascii="Arial" w:cs="Arial" w:eastAsia="Arial" w:hAnsi="Arial"/>
          <w:sz w:val="20"/>
          <w:szCs w:val="20"/>
          <w:color w:val="1C1C1C"/>
        </w:rPr>
        <w:t xml:space="preserve"> of September 4, 2013, (the "</w:t>
      </w:r>
      <w:r>
        <w:rPr>
          <w:rFonts w:ascii="Arial" w:cs="Arial" w:eastAsia="Arial" w:hAnsi="Arial"/>
          <w:sz w:val="20"/>
          <w:szCs w:val="20"/>
          <w:u w:val="single" w:color="auto"/>
          <w:color w:val="1C1C1C"/>
        </w:rPr>
        <w:t>Lic</w:t>
      </w:r>
      <w:r>
        <w:rPr>
          <w:rFonts w:ascii="Arial" w:cs="Arial" w:eastAsia="Arial" w:hAnsi="Arial"/>
          <w:sz w:val="20"/>
          <w:szCs w:val="20"/>
          <w:u w:val="single" w:color="auto"/>
          <w:color w:val="333336"/>
        </w:rPr>
        <w:t>e</w:t>
      </w:r>
      <w:r>
        <w:rPr>
          <w:rFonts w:ascii="Arial" w:cs="Arial" w:eastAsia="Arial" w:hAnsi="Arial"/>
          <w:sz w:val="20"/>
          <w:szCs w:val="20"/>
          <w:u w:val="single" w:color="auto"/>
          <w:color w:val="1C1C1C"/>
        </w:rPr>
        <w:t>n</w:t>
      </w:r>
      <w:r>
        <w:rPr>
          <w:rFonts w:ascii="Arial" w:cs="Arial" w:eastAsia="Arial" w:hAnsi="Arial"/>
          <w:sz w:val="20"/>
          <w:szCs w:val="20"/>
          <w:u w:val="single" w:color="auto"/>
          <w:color w:val="333336"/>
        </w:rPr>
        <w:t>se</w:t>
      </w:r>
      <w:r>
        <w:rPr>
          <w:rFonts w:ascii="Arial" w:cs="Arial" w:eastAsia="Arial" w:hAnsi="Arial"/>
          <w:sz w:val="20"/>
          <w:szCs w:val="20"/>
          <w:color w:val="1C1C1C"/>
        </w:rPr>
        <w:t xml:space="preserve"> </w:t>
      </w:r>
      <w:r>
        <w:rPr>
          <w:rFonts w:ascii="Arial" w:cs="Arial" w:eastAsia="Arial" w:hAnsi="Arial"/>
          <w:sz w:val="20"/>
          <w:szCs w:val="20"/>
          <w:u w:val="single" w:color="auto"/>
          <w:color w:val="1C1C1C"/>
        </w:rPr>
        <w:t>A</w:t>
      </w:r>
      <w:r>
        <w:rPr>
          <w:rFonts w:ascii="Arial" w:cs="Arial" w:eastAsia="Arial" w:hAnsi="Arial"/>
          <w:sz w:val="20"/>
          <w:szCs w:val="20"/>
          <w:u w:val="single" w:color="auto"/>
          <w:color w:val="333336"/>
        </w:rPr>
        <w:t>g</w:t>
      </w:r>
      <w:r>
        <w:rPr>
          <w:rFonts w:ascii="Arial" w:cs="Arial" w:eastAsia="Arial" w:hAnsi="Arial"/>
          <w:sz w:val="20"/>
          <w:szCs w:val="20"/>
          <w:u w:val="single" w:color="auto"/>
          <w:color w:val="1C1C1C"/>
        </w:rPr>
        <w:t>r</w:t>
      </w:r>
      <w:r>
        <w:rPr>
          <w:rFonts w:ascii="Arial" w:cs="Arial" w:eastAsia="Arial" w:hAnsi="Arial"/>
          <w:sz w:val="20"/>
          <w:szCs w:val="20"/>
          <w:u w:val="single" w:color="auto"/>
          <w:color w:val="333336"/>
        </w:rPr>
        <w:t>ee</w:t>
      </w:r>
      <w:r>
        <w:rPr>
          <w:rFonts w:ascii="Arial" w:cs="Arial" w:eastAsia="Arial" w:hAnsi="Arial"/>
          <w:sz w:val="20"/>
          <w:szCs w:val="20"/>
          <w:u w:val="single" w:color="auto"/>
          <w:color w:val="1C1C1C"/>
        </w:rPr>
        <w:t>m</w:t>
      </w:r>
      <w:r>
        <w:rPr>
          <w:rFonts w:ascii="Arial" w:cs="Arial" w:eastAsia="Arial" w:hAnsi="Arial"/>
          <w:sz w:val="20"/>
          <w:szCs w:val="20"/>
          <w:u w:val="single" w:color="auto"/>
          <w:color w:val="333336"/>
        </w:rPr>
        <w:t>e</w:t>
      </w:r>
      <w:r>
        <w:rPr>
          <w:rFonts w:ascii="Arial" w:cs="Arial" w:eastAsia="Arial" w:hAnsi="Arial"/>
          <w:sz w:val="20"/>
          <w:szCs w:val="20"/>
          <w:u w:val="single" w:color="auto"/>
          <w:color w:val="1C1C1C"/>
        </w:rPr>
        <w:t>nt</w:t>
      </w:r>
      <w:r>
        <w:rPr>
          <w:rFonts w:ascii="Arial" w:cs="Arial" w:eastAsia="Arial" w:hAnsi="Arial"/>
          <w:sz w:val="20"/>
          <w:szCs w:val="20"/>
          <w:color w:val="1C1C1C"/>
        </w:rPr>
        <w:t xml:space="preserve">") by and between Chandler Midway Corporate Center Condominium Association (the </w:t>
      </w:r>
      <w:r>
        <w:rPr>
          <w:rFonts w:ascii="Arial" w:cs="Arial" w:eastAsia="Arial" w:hAnsi="Arial"/>
          <w:sz w:val="20"/>
          <w:szCs w:val="20"/>
          <w:color w:val="333336"/>
        </w:rPr>
        <w:t>"</w:t>
      </w:r>
      <w:r>
        <w:rPr>
          <w:rFonts w:ascii="Arial" w:cs="Arial" w:eastAsia="Arial" w:hAnsi="Arial"/>
          <w:sz w:val="20"/>
          <w:szCs w:val="20"/>
          <w:u w:val="single" w:color="auto"/>
          <w:color w:val="333336"/>
        </w:rPr>
        <w:t>Assoc</w:t>
      </w:r>
      <w:r>
        <w:rPr>
          <w:rFonts w:ascii="Arial" w:cs="Arial" w:eastAsia="Arial" w:hAnsi="Arial"/>
          <w:sz w:val="20"/>
          <w:szCs w:val="20"/>
          <w:u w:val="single" w:color="auto"/>
          <w:color w:val="1C1C1C"/>
        </w:rPr>
        <w:t>i</w:t>
      </w:r>
      <w:r>
        <w:rPr>
          <w:rFonts w:ascii="Arial" w:cs="Arial" w:eastAsia="Arial" w:hAnsi="Arial"/>
          <w:sz w:val="20"/>
          <w:szCs w:val="20"/>
          <w:u w:val="single" w:color="auto"/>
          <w:color w:val="333336"/>
        </w:rPr>
        <w:t>a</w:t>
      </w:r>
      <w:r>
        <w:rPr>
          <w:rFonts w:ascii="Arial" w:cs="Arial" w:eastAsia="Arial" w:hAnsi="Arial"/>
          <w:sz w:val="20"/>
          <w:szCs w:val="20"/>
          <w:u w:val="single" w:color="auto"/>
          <w:color w:val="1C1C1C"/>
        </w:rPr>
        <w:t>t</w:t>
      </w:r>
      <w:r>
        <w:rPr>
          <w:rFonts w:ascii="Arial" w:cs="Arial" w:eastAsia="Arial" w:hAnsi="Arial"/>
          <w:sz w:val="20"/>
          <w:szCs w:val="20"/>
          <w:u w:val="single" w:color="auto"/>
          <w:color w:val="333336"/>
        </w:rPr>
        <w:t>io</w:t>
      </w:r>
      <w:r>
        <w:rPr>
          <w:rFonts w:ascii="Arial" w:cs="Arial" w:eastAsia="Arial" w:hAnsi="Arial"/>
          <w:sz w:val="20"/>
          <w:szCs w:val="20"/>
          <w:u w:val="single" w:color="auto"/>
          <w:color w:val="1C1C1C"/>
        </w:rPr>
        <w:t>n</w:t>
      </w:r>
      <w:r>
        <w:rPr>
          <w:rFonts w:ascii="Arial" w:cs="Arial" w:eastAsia="Arial" w:hAnsi="Arial"/>
          <w:sz w:val="20"/>
          <w:szCs w:val="20"/>
          <w:color w:val="1C1C1C"/>
        </w:rPr>
        <w:t xml:space="preserve">") and the Original Landlord. Attached hereto as </w:t>
      </w:r>
      <w:r>
        <w:rPr>
          <w:rFonts w:ascii="Arial" w:cs="Arial" w:eastAsia="Arial" w:hAnsi="Arial"/>
          <w:sz w:val="20"/>
          <w:szCs w:val="20"/>
          <w:u w:val="single" w:color="auto"/>
          <w:color w:val="333336"/>
        </w:rPr>
        <w:t>Ex</w:t>
      </w:r>
      <w:r>
        <w:rPr>
          <w:rFonts w:ascii="Arial" w:cs="Arial" w:eastAsia="Arial" w:hAnsi="Arial"/>
          <w:sz w:val="20"/>
          <w:szCs w:val="20"/>
          <w:u w:val="single" w:color="auto"/>
          <w:color w:val="1C1C1C"/>
        </w:rPr>
        <w:t>hibit B</w:t>
      </w:r>
      <w:r>
        <w:rPr>
          <w:rFonts w:ascii="Arial" w:cs="Arial" w:eastAsia="Arial" w:hAnsi="Arial"/>
          <w:sz w:val="20"/>
          <w:szCs w:val="20"/>
          <w:color w:val="1C1C1C"/>
        </w:rPr>
        <w:t xml:space="preserve"> is a copy of that certain Monument Sign Agreement, dated December 7, 2016</w:t>
      </w:r>
      <w:r>
        <w:rPr>
          <w:rFonts w:ascii="Arial" w:cs="Arial" w:eastAsia="Arial" w:hAnsi="Arial"/>
          <w:sz w:val="20"/>
          <w:szCs w:val="20"/>
          <w:color w:val="333336"/>
        </w:rPr>
        <w:t>,</w:t>
      </w:r>
      <w:r>
        <w:rPr>
          <w:rFonts w:ascii="Arial" w:cs="Arial" w:eastAsia="Arial" w:hAnsi="Arial"/>
          <w:sz w:val="20"/>
          <w:szCs w:val="20"/>
          <w:color w:val="1C1C1C"/>
        </w:rPr>
        <w:t xml:space="preserve"> by and among the Association, the Original Landlord, VWP</w:t>
      </w:r>
      <w:r>
        <w:rPr>
          <w:rFonts w:ascii="Arial" w:cs="Arial" w:eastAsia="Arial" w:hAnsi="Arial"/>
          <w:sz w:val="20"/>
          <w:szCs w:val="20"/>
          <w:color w:val="333336"/>
        </w:rPr>
        <w:t>-</w:t>
      </w:r>
      <w:r>
        <w:rPr>
          <w:rFonts w:ascii="Arial" w:cs="Arial" w:eastAsia="Arial" w:hAnsi="Arial"/>
          <w:sz w:val="20"/>
          <w:szCs w:val="20"/>
          <w:color w:val="1C1C1C"/>
        </w:rPr>
        <w:t>BV Condos, LLC, a Delaware limited liability company, and VWP</w:t>
      </w:r>
      <w:r>
        <w:rPr>
          <w:rFonts w:ascii="Arial" w:cs="Arial" w:eastAsia="Arial" w:hAnsi="Arial"/>
          <w:sz w:val="20"/>
          <w:szCs w:val="20"/>
          <w:color w:val="333336"/>
        </w:rPr>
        <w:t>-</w:t>
      </w:r>
      <w:r>
        <w:rPr>
          <w:rFonts w:ascii="Arial" w:cs="Arial" w:eastAsia="Arial" w:hAnsi="Arial"/>
          <w:sz w:val="20"/>
          <w:szCs w:val="20"/>
          <w:color w:val="1C1C1C"/>
        </w:rPr>
        <w:t>BV CM 5710, LLC, a Delawar</w:t>
      </w:r>
      <w:r>
        <w:rPr>
          <w:rFonts w:ascii="Arial" w:cs="Arial" w:eastAsia="Arial" w:hAnsi="Arial"/>
          <w:sz w:val="20"/>
          <w:szCs w:val="20"/>
          <w:color w:val="333336"/>
        </w:rPr>
        <w:t>e</w:t>
      </w:r>
      <w:r>
        <w:rPr>
          <w:rFonts w:ascii="Arial" w:cs="Arial" w:eastAsia="Arial" w:hAnsi="Arial"/>
          <w:sz w:val="20"/>
          <w:szCs w:val="20"/>
          <w:color w:val="1C1C1C"/>
        </w:rPr>
        <w:t xml:space="preserve"> limited liability company (the "</w:t>
      </w:r>
      <w:r>
        <w:rPr>
          <w:rFonts w:ascii="Arial" w:cs="Arial" w:eastAsia="Arial" w:hAnsi="Arial"/>
          <w:sz w:val="20"/>
          <w:szCs w:val="20"/>
          <w:u w:val="single" w:color="auto"/>
          <w:color w:val="1C1C1C"/>
        </w:rPr>
        <w:t>Monum</w:t>
      </w:r>
      <w:r>
        <w:rPr>
          <w:rFonts w:ascii="Arial" w:cs="Arial" w:eastAsia="Arial" w:hAnsi="Arial"/>
          <w:sz w:val="20"/>
          <w:szCs w:val="20"/>
          <w:u w:val="single" w:color="auto"/>
          <w:color w:val="333336"/>
        </w:rPr>
        <w:t>e</w:t>
      </w:r>
      <w:r>
        <w:rPr>
          <w:rFonts w:ascii="Arial" w:cs="Arial" w:eastAsia="Arial" w:hAnsi="Arial"/>
          <w:sz w:val="20"/>
          <w:szCs w:val="20"/>
          <w:u w:val="single" w:color="auto"/>
          <w:color w:val="1C1C1C"/>
        </w:rPr>
        <w:t>nt</w:t>
      </w:r>
      <w:r>
        <w:rPr>
          <w:rFonts w:ascii="Arial" w:cs="Arial" w:eastAsia="Arial" w:hAnsi="Arial"/>
          <w:sz w:val="20"/>
          <w:szCs w:val="20"/>
          <w:color w:val="1C1C1C"/>
        </w:rPr>
        <w:t xml:space="preserve"> </w:t>
      </w:r>
      <w:r>
        <w:rPr>
          <w:rFonts w:ascii="Arial" w:cs="Arial" w:eastAsia="Arial" w:hAnsi="Arial"/>
          <w:sz w:val="20"/>
          <w:szCs w:val="20"/>
          <w:u w:val="single" w:color="auto"/>
          <w:color w:val="333336"/>
        </w:rPr>
        <w:t>S</w:t>
      </w:r>
      <w:r>
        <w:rPr>
          <w:rFonts w:ascii="Arial" w:cs="Arial" w:eastAsia="Arial" w:hAnsi="Arial"/>
          <w:sz w:val="20"/>
          <w:szCs w:val="20"/>
          <w:u w:val="single" w:color="auto"/>
          <w:color w:val="1C1C1C"/>
        </w:rPr>
        <w:t>ign</w:t>
      </w:r>
      <w:r>
        <w:rPr>
          <w:rFonts w:ascii="Arial" w:cs="Arial" w:eastAsia="Arial" w:hAnsi="Arial"/>
          <w:sz w:val="20"/>
          <w:szCs w:val="20"/>
          <w:color w:val="1C1C1C"/>
        </w:rPr>
        <w:t xml:space="preserve"> </w:t>
      </w:r>
      <w:r>
        <w:rPr>
          <w:rFonts w:ascii="Arial" w:cs="Arial" w:eastAsia="Arial" w:hAnsi="Arial"/>
          <w:sz w:val="20"/>
          <w:szCs w:val="20"/>
          <w:color w:val="333336"/>
        </w:rPr>
        <w:t>A</w:t>
      </w:r>
      <w:r>
        <w:rPr>
          <w:rFonts w:ascii="Arial" w:cs="Arial" w:eastAsia="Arial" w:hAnsi="Arial"/>
          <w:sz w:val="20"/>
          <w:szCs w:val="20"/>
          <w:u w:val="single" w:color="auto"/>
          <w:color w:val="1C1C1C"/>
        </w:rPr>
        <w:t>g</w:t>
      </w:r>
      <w:r>
        <w:rPr>
          <w:rFonts w:ascii="Arial" w:cs="Arial" w:eastAsia="Arial" w:hAnsi="Arial"/>
          <w:sz w:val="20"/>
          <w:szCs w:val="20"/>
          <w:u w:val="single" w:color="auto"/>
          <w:color w:val="333336"/>
        </w:rPr>
        <w:t>ree</w:t>
      </w:r>
      <w:r>
        <w:rPr>
          <w:rFonts w:ascii="Arial" w:cs="Arial" w:eastAsia="Arial" w:hAnsi="Arial"/>
          <w:sz w:val="20"/>
          <w:szCs w:val="20"/>
          <w:u w:val="single" w:color="auto"/>
          <w:color w:val="1C1C1C"/>
        </w:rPr>
        <w:t>m</w:t>
      </w:r>
      <w:r>
        <w:rPr>
          <w:rFonts w:ascii="Arial" w:cs="Arial" w:eastAsia="Arial" w:hAnsi="Arial"/>
          <w:sz w:val="20"/>
          <w:szCs w:val="20"/>
          <w:u w:val="single" w:color="auto"/>
          <w:color w:val="333336"/>
        </w:rPr>
        <w:t>e</w:t>
      </w:r>
      <w:r>
        <w:rPr>
          <w:rFonts w:ascii="Arial" w:cs="Arial" w:eastAsia="Arial" w:hAnsi="Arial"/>
          <w:sz w:val="20"/>
          <w:szCs w:val="20"/>
          <w:u w:val="single" w:color="auto"/>
          <w:color w:val="1C1C1C"/>
        </w:rPr>
        <w:t>nt</w:t>
      </w:r>
      <w:r>
        <w:rPr>
          <w:rFonts w:ascii="Arial" w:cs="Arial" w:eastAsia="Arial" w:hAnsi="Arial"/>
          <w:sz w:val="20"/>
          <w:szCs w:val="20"/>
          <w:color w:val="1C1C1C"/>
        </w:rPr>
        <w:t>"). "</w:t>
      </w:r>
      <w:r>
        <w:rPr>
          <w:rFonts w:ascii="Arial" w:cs="Arial" w:eastAsia="Arial" w:hAnsi="Arial"/>
          <w:sz w:val="20"/>
          <w:szCs w:val="20"/>
          <w:u w:val="single" w:color="auto"/>
          <w:color w:val="1C1C1C"/>
        </w:rPr>
        <w:t>M</w:t>
      </w:r>
      <w:r>
        <w:rPr>
          <w:rFonts w:ascii="Arial" w:cs="Arial" w:eastAsia="Arial" w:hAnsi="Arial"/>
          <w:sz w:val="20"/>
          <w:szCs w:val="20"/>
          <w:u w:val="single" w:color="auto"/>
          <w:color w:val="333336"/>
        </w:rPr>
        <w:t>o</w:t>
      </w:r>
      <w:r>
        <w:rPr>
          <w:rFonts w:ascii="Arial" w:cs="Arial" w:eastAsia="Arial" w:hAnsi="Arial"/>
          <w:sz w:val="20"/>
          <w:szCs w:val="20"/>
          <w:u w:val="single" w:color="auto"/>
          <w:color w:val="1C1C1C"/>
        </w:rPr>
        <w:t>num</w:t>
      </w:r>
      <w:r>
        <w:rPr>
          <w:rFonts w:ascii="Arial" w:cs="Arial" w:eastAsia="Arial" w:hAnsi="Arial"/>
          <w:sz w:val="20"/>
          <w:szCs w:val="20"/>
          <w:u w:val="single" w:color="auto"/>
          <w:color w:val="333336"/>
        </w:rPr>
        <w:t>e</w:t>
      </w:r>
      <w:r>
        <w:rPr>
          <w:rFonts w:ascii="Arial" w:cs="Arial" w:eastAsia="Arial" w:hAnsi="Arial"/>
          <w:sz w:val="20"/>
          <w:szCs w:val="20"/>
          <w:u w:val="single" w:color="auto"/>
          <w:color w:val="1C1C1C"/>
        </w:rPr>
        <w:t>nt</w:t>
      </w:r>
      <w:r>
        <w:rPr>
          <w:rFonts w:ascii="Arial" w:cs="Arial" w:eastAsia="Arial" w:hAnsi="Arial"/>
          <w:sz w:val="20"/>
          <w:szCs w:val="20"/>
          <w:color w:val="1C1C1C"/>
        </w:rPr>
        <w:t xml:space="preserve"> </w:t>
      </w:r>
      <w:r>
        <w:rPr>
          <w:rFonts w:ascii="Arial" w:cs="Arial" w:eastAsia="Arial" w:hAnsi="Arial"/>
          <w:sz w:val="20"/>
          <w:szCs w:val="20"/>
          <w:u w:val="single" w:color="auto"/>
          <w:color w:val="333336"/>
        </w:rPr>
        <w:t>S</w:t>
      </w:r>
      <w:r>
        <w:rPr>
          <w:rFonts w:ascii="Arial" w:cs="Arial" w:eastAsia="Arial" w:hAnsi="Arial"/>
          <w:sz w:val="20"/>
          <w:szCs w:val="20"/>
          <w:u w:val="single" w:color="auto"/>
          <w:color w:val="1C1C1C"/>
        </w:rPr>
        <w:t>ign</w:t>
      </w:r>
      <w:r>
        <w:rPr>
          <w:rFonts w:ascii="Arial" w:cs="Arial" w:eastAsia="Arial" w:hAnsi="Arial"/>
          <w:sz w:val="20"/>
          <w:szCs w:val="20"/>
          <w:color w:val="333336"/>
        </w:rPr>
        <w:t>"</w:t>
      </w:r>
      <w:r>
        <w:rPr>
          <w:rFonts w:ascii="Arial" w:cs="Arial" w:eastAsia="Arial" w:hAnsi="Arial"/>
          <w:sz w:val="20"/>
          <w:szCs w:val="20"/>
          <w:color w:val="1C1C1C"/>
        </w:rPr>
        <w:t xml:space="preserve"> shall mean that certain monument sign identified as, and defined as</w:t>
      </w:r>
      <w:r>
        <w:rPr>
          <w:rFonts w:ascii="Arial" w:cs="Arial" w:eastAsia="Arial" w:hAnsi="Arial"/>
          <w:sz w:val="20"/>
          <w:szCs w:val="20"/>
          <w:color w:val="333336"/>
        </w:rPr>
        <w:t>,</w:t>
      </w:r>
      <w:r>
        <w:rPr>
          <w:rFonts w:ascii="Arial" w:cs="Arial" w:eastAsia="Arial" w:hAnsi="Arial"/>
          <w:sz w:val="20"/>
          <w:szCs w:val="20"/>
          <w:color w:val="1C1C1C"/>
        </w:rPr>
        <w:t xml:space="preserve"> "Monument Sign" in the Monument Sign Agreement. </w:t>
      </w:r>
      <w:r>
        <w:rPr>
          <w:rFonts w:ascii="Arial" w:cs="Arial" w:eastAsia="Arial" w:hAnsi="Arial"/>
          <w:sz w:val="20"/>
          <w:szCs w:val="20"/>
          <w:color w:val="333336"/>
        </w:rPr>
        <w:t>"</w:t>
      </w:r>
      <w:r>
        <w:rPr>
          <w:rFonts w:ascii="Arial" w:cs="Arial" w:eastAsia="Arial" w:hAnsi="Arial"/>
          <w:sz w:val="20"/>
          <w:szCs w:val="20"/>
          <w:u w:val="single" w:color="auto"/>
          <w:color w:val="1C1C1C"/>
        </w:rPr>
        <w:t>Panel</w:t>
      </w:r>
      <w:r>
        <w:rPr>
          <w:rFonts w:ascii="Arial" w:cs="Arial" w:eastAsia="Arial" w:hAnsi="Arial"/>
          <w:sz w:val="20"/>
          <w:szCs w:val="20"/>
          <w:color w:val="1C1C1C"/>
        </w:rPr>
        <w:t>" shall have the meaning ascribed thereto in the License Agreement. Notwithstanding the final sentence of Section 39</w:t>
      </w:r>
      <w:r>
        <w:rPr>
          <w:rFonts w:ascii="Arial" w:cs="Arial" w:eastAsia="Arial" w:hAnsi="Arial"/>
          <w:sz w:val="20"/>
          <w:szCs w:val="20"/>
          <w:color w:val="333336"/>
        </w:rPr>
        <w:t>.</w:t>
      </w:r>
      <w:r>
        <w:rPr>
          <w:rFonts w:ascii="Arial" w:cs="Arial" w:eastAsia="Arial" w:hAnsi="Arial"/>
          <w:sz w:val="20"/>
          <w:szCs w:val="20"/>
          <w:color w:val="1C1C1C"/>
        </w:rPr>
        <w:t>1 of the Lease, Master Landlord transfers its right to use the Panel pursuant to the Licens</w:t>
      </w:r>
      <w:r>
        <w:rPr>
          <w:rFonts w:ascii="Arial" w:cs="Arial" w:eastAsia="Arial" w:hAnsi="Arial"/>
          <w:sz w:val="20"/>
          <w:szCs w:val="20"/>
          <w:color w:val="333336"/>
        </w:rPr>
        <w:t>e</w:t>
      </w:r>
      <w:r>
        <w:rPr>
          <w:rFonts w:ascii="Arial" w:cs="Arial" w:eastAsia="Arial" w:hAnsi="Arial"/>
          <w:sz w:val="20"/>
          <w:szCs w:val="20"/>
          <w:color w:val="1C1C1C"/>
        </w:rPr>
        <w:t xml:space="preserve"> Agreement to Subtenant (the </w:t>
      </w:r>
      <w:r>
        <w:rPr>
          <w:rFonts w:ascii="Arial" w:cs="Arial" w:eastAsia="Arial" w:hAnsi="Arial"/>
          <w:sz w:val="20"/>
          <w:szCs w:val="20"/>
          <w:color w:val="333336"/>
        </w:rPr>
        <w:t>"</w:t>
      </w:r>
      <w:r>
        <w:rPr>
          <w:rFonts w:ascii="Arial" w:cs="Arial" w:eastAsia="Arial" w:hAnsi="Arial"/>
          <w:sz w:val="20"/>
          <w:szCs w:val="20"/>
          <w:u w:val="single" w:color="auto"/>
          <w:color w:val="1C1C1C"/>
        </w:rPr>
        <w:t>Pan</w:t>
      </w:r>
      <w:r>
        <w:rPr>
          <w:rFonts w:ascii="Arial" w:cs="Arial" w:eastAsia="Arial" w:hAnsi="Arial"/>
          <w:sz w:val="20"/>
          <w:szCs w:val="20"/>
          <w:u w:val="single" w:color="auto"/>
          <w:color w:val="333336"/>
        </w:rPr>
        <w:t>e</w:t>
      </w:r>
      <w:r>
        <w:rPr>
          <w:rFonts w:ascii="Arial" w:cs="Arial" w:eastAsia="Arial" w:hAnsi="Arial"/>
          <w:sz w:val="20"/>
          <w:szCs w:val="20"/>
          <w:u w:val="single" w:color="auto"/>
          <w:color w:val="1C1C1C"/>
        </w:rPr>
        <w:t>l</w:t>
      </w:r>
      <w:r>
        <w:rPr>
          <w:rFonts w:ascii="Arial" w:cs="Arial" w:eastAsia="Arial" w:hAnsi="Arial"/>
          <w:sz w:val="20"/>
          <w:szCs w:val="20"/>
          <w:color w:val="1C1C1C"/>
        </w:rPr>
        <w:t xml:space="preserve"> </w:t>
      </w:r>
      <w:r>
        <w:rPr>
          <w:rFonts w:ascii="Arial" w:cs="Arial" w:eastAsia="Arial" w:hAnsi="Arial"/>
          <w:sz w:val="20"/>
          <w:szCs w:val="20"/>
          <w:u w:val="single" w:color="auto"/>
          <w:color w:val="333336"/>
        </w:rPr>
        <w:t>S</w:t>
      </w:r>
      <w:r>
        <w:rPr>
          <w:rFonts w:ascii="Arial" w:cs="Arial" w:eastAsia="Arial" w:hAnsi="Arial"/>
          <w:sz w:val="20"/>
          <w:szCs w:val="20"/>
          <w:u w:val="single" w:color="auto"/>
          <w:color w:val="1C1C1C"/>
        </w:rPr>
        <w:t>i</w:t>
      </w:r>
      <w:r>
        <w:rPr>
          <w:rFonts w:ascii="Arial" w:cs="Arial" w:eastAsia="Arial" w:hAnsi="Arial"/>
          <w:sz w:val="20"/>
          <w:szCs w:val="20"/>
          <w:u w:val="single" w:color="auto"/>
          <w:color w:val="333336"/>
        </w:rPr>
        <w:t>g</w:t>
      </w:r>
      <w:r>
        <w:rPr>
          <w:rFonts w:ascii="Arial" w:cs="Arial" w:eastAsia="Arial" w:hAnsi="Arial"/>
          <w:sz w:val="20"/>
          <w:szCs w:val="20"/>
          <w:u w:val="single" w:color="auto"/>
          <w:color w:val="1C1C1C"/>
        </w:rPr>
        <w:t>n U</w:t>
      </w:r>
      <w:r>
        <w:rPr>
          <w:rFonts w:ascii="Arial" w:cs="Arial" w:eastAsia="Arial" w:hAnsi="Arial"/>
          <w:sz w:val="20"/>
          <w:szCs w:val="20"/>
          <w:u w:val="single" w:color="auto"/>
          <w:color w:val="333336"/>
        </w:rPr>
        <w:t>s</w:t>
      </w:r>
      <w:r>
        <w:rPr>
          <w:rFonts w:ascii="Arial" w:cs="Arial" w:eastAsia="Arial" w:hAnsi="Arial"/>
          <w:sz w:val="20"/>
          <w:szCs w:val="20"/>
          <w:u w:val="single" w:color="auto"/>
          <w:color w:val="1C1C1C"/>
        </w:rPr>
        <w:t>a</w:t>
      </w:r>
      <w:r>
        <w:rPr>
          <w:rFonts w:ascii="Arial" w:cs="Arial" w:eastAsia="Arial" w:hAnsi="Arial"/>
          <w:sz w:val="20"/>
          <w:szCs w:val="20"/>
          <w:u w:val="single" w:color="auto"/>
          <w:color w:val="333336"/>
        </w:rPr>
        <w:t>ge</w:t>
      </w:r>
      <w:r>
        <w:rPr>
          <w:rFonts w:ascii="Arial" w:cs="Arial" w:eastAsia="Arial" w:hAnsi="Arial"/>
          <w:sz w:val="20"/>
          <w:szCs w:val="20"/>
          <w:color w:val="1C1C1C"/>
        </w:rPr>
        <w:t>"), subject to the following terms and conditions:</w:t>
      </w:r>
    </w:p>
    <w:p>
      <w:pPr>
        <w:spacing w:after="0" w:line="211" w:lineRule="exact"/>
        <w:rPr>
          <w:rFonts w:ascii="Arial" w:cs="Arial" w:eastAsia="Arial" w:hAnsi="Arial"/>
          <w:sz w:val="20"/>
          <w:szCs w:val="20"/>
          <w:color w:val="1C1C1C"/>
        </w:rPr>
      </w:pPr>
    </w:p>
    <w:p>
      <w:pPr>
        <w:jc w:val="both"/>
        <w:ind w:firstLine="1296"/>
        <w:spacing w:after="0" w:line="265" w:lineRule="auto"/>
        <w:tabs>
          <w:tab w:leader="none" w:pos="2266" w:val="left"/>
        </w:tabs>
        <w:numPr>
          <w:ilvl w:val="1"/>
          <w:numId w:val="53"/>
        </w:numPr>
        <w:rPr>
          <w:rFonts w:ascii="Arial" w:cs="Arial" w:eastAsia="Arial" w:hAnsi="Arial"/>
          <w:sz w:val="20"/>
          <w:szCs w:val="20"/>
          <w:color w:val="1C1C1C"/>
        </w:rPr>
      </w:pPr>
      <w:r>
        <w:rPr>
          <w:rFonts w:ascii="Arial" w:cs="Arial" w:eastAsia="Arial" w:hAnsi="Arial"/>
          <w:sz w:val="20"/>
          <w:szCs w:val="20"/>
          <w:color w:val="1C1C1C"/>
        </w:rPr>
        <w:t>The Panel Sign Usage shall only apply during such time as Subtenant is subleasing and occupying one hundred percent (100%) of the Premises leased by Sublandlord from Master Landlord under the Lease (subject to any period of non-occupancy as a result of damage or destruction, in which event the terms and provisions of Article 12 of the Lease shall apply to determine the cessation of the period of non-occupancy).</w:t>
      </w:r>
    </w:p>
    <w:p>
      <w:pPr>
        <w:spacing w:after="0" w:line="199" w:lineRule="exact"/>
        <w:rPr>
          <w:rFonts w:ascii="Arial" w:cs="Arial" w:eastAsia="Arial" w:hAnsi="Arial"/>
          <w:sz w:val="20"/>
          <w:szCs w:val="20"/>
          <w:color w:val="1C1C1C"/>
        </w:rPr>
      </w:pPr>
    </w:p>
    <w:p>
      <w:pPr>
        <w:ind w:firstLine="1296"/>
        <w:spacing w:after="0" w:line="264" w:lineRule="auto"/>
        <w:tabs>
          <w:tab w:leader="none" w:pos="1984" w:val="left"/>
        </w:tabs>
        <w:numPr>
          <w:ilvl w:val="1"/>
          <w:numId w:val="53"/>
        </w:numPr>
        <w:rPr>
          <w:rFonts w:ascii="Arial" w:cs="Arial" w:eastAsia="Arial" w:hAnsi="Arial"/>
          <w:sz w:val="21"/>
          <w:szCs w:val="21"/>
          <w:color w:val="1C1C1C"/>
        </w:rPr>
      </w:pPr>
      <w:r>
        <w:rPr>
          <w:rFonts w:ascii="Arial" w:cs="Arial" w:eastAsia="Arial" w:hAnsi="Arial"/>
          <w:sz w:val="21"/>
          <w:szCs w:val="21"/>
          <w:color w:val="1C1C1C"/>
        </w:rPr>
        <w:t>The Panel Sign Usage shall not be tran</w:t>
      </w:r>
      <w:r>
        <w:rPr>
          <w:rFonts w:ascii="Arial" w:cs="Arial" w:eastAsia="Arial" w:hAnsi="Arial"/>
          <w:sz w:val="21"/>
          <w:szCs w:val="21"/>
          <w:color w:val="333336"/>
        </w:rPr>
        <w:t>s</w:t>
      </w:r>
      <w:r>
        <w:rPr>
          <w:rFonts w:ascii="Arial" w:cs="Arial" w:eastAsia="Arial" w:hAnsi="Arial"/>
          <w:sz w:val="21"/>
          <w:szCs w:val="21"/>
          <w:color w:val="1C1C1C"/>
        </w:rPr>
        <w:t>ferable by Subtenant and shall not apply to or be deemed transferred to any other subtenant of Sublandlord without the consent of Master Landlord</w:t>
      </w:r>
      <w:r>
        <w:rPr>
          <w:rFonts w:ascii="Arial" w:cs="Arial" w:eastAsia="Arial" w:hAnsi="Arial"/>
          <w:sz w:val="21"/>
          <w:szCs w:val="21"/>
          <w:color w:val="333336"/>
        </w:rPr>
        <w:t>.</w:t>
      </w:r>
    </w:p>
    <w:p>
      <w:pPr>
        <w:spacing w:after="0" w:line="198" w:lineRule="exact"/>
        <w:rPr>
          <w:rFonts w:ascii="Arial" w:cs="Arial" w:eastAsia="Arial" w:hAnsi="Arial"/>
          <w:sz w:val="21"/>
          <w:szCs w:val="21"/>
          <w:color w:val="1C1C1C"/>
        </w:rPr>
      </w:pPr>
    </w:p>
    <w:p>
      <w:pPr>
        <w:ind w:firstLine="1296"/>
        <w:spacing w:after="0" w:line="264" w:lineRule="auto"/>
        <w:tabs>
          <w:tab w:leader="none" w:pos="1992" w:val="left"/>
        </w:tabs>
        <w:numPr>
          <w:ilvl w:val="1"/>
          <w:numId w:val="53"/>
        </w:numPr>
        <w:rPr>
          <w:rFonts w:ascii="Arial" w:cs="Arial" w:eastAsia="Arial" w:hAnsi="Arial"/>
          <w:sz w:val="21"/>
          <w:szCs w:val="21"/>
          <w:color w:val="1C1C1C"/>
        </w:rPr>
      </w:pPr>
      <w:r>
        <w:rPr>
          <w:rFonts w:ascii="Arial" w:cs="Arial" w:eastAsia="Arial" w:hAnsi="Arial"/>
          <w:sz w:val="21"/>
          <w:szCs w:val="21"/>
          <w:color w:val="1C1C1C"/>
        </w:rPr>
        <w:t>Subtenant shall comply with all of the terms and provisions of Section 39.1 of the Lease and the License Agreement governing the use of the Panel as set forth therein.</w:t>
      </w:r>
    </w:p>
    <w:p>
      <w:pPr>
        <w:spacing w:after="0" w:line="198" w:lineRule="exact"/>
        <w:rPr>
          <w:rFonts w:ascii="Arial" w:cs="Arial" w:eastAsia="Arial" w:hAnsi="Arial"/>
          <w:sz w:val="21"/>
          <w:szCs w:val="21"/>
          <w:color w:val="1C1C1C"/>
        </w:rPr>
      </w:pPr>
    </w:p>
    <w:p>
      <w:pPr>
        <w:jc w:val="both"/>
        <w:ind w:firstLine="1296"/>
        <w:spacing w:after="0" w:line="275" w:lineRule="auto"/>
        <w:tabs>
          <w:tab w:leader="none" w:pos="2164" w:val="left"/>
        </w:tabs>
        <w:numPr>
          <w:ilvl w:val="1"/>
          <w:numId w:val="53"/>
        </w:numPr>
        <w:rPr>
          <w:rFonts w:ascii="Arial" w:cs="Arial" w:eastAsia="Arial" w:hAnsi="Arial"/>
          <w:sz w:val="19"/>
          <w:szCs w:val="19"/>
          <w:color w:val="1C1C1C"/>
        </w:rPr>
      </w:pPr>
      <w:r>
        <w:rPr>
          <w:rFonts w:ascii="Arial" w:cs="Arial" w:eastAsia="Arial" w:hAnsi="Arial"/>
          <w:sz w:val="19"/>
          <w:szCs w:val="19"/>
          <w:color w:val="1C1C1C"/>
        </w:rPr>
        <w:t>The original term of the License Agreement (referred to therein as the "Duration of Term") expires December 1, 2023</w:t>
      </w:r>
      <w:r>
        <w:rPr>
          <w:rFonts w:ascii="Arial" w:cs="Arial" w:eastAsia="Arial" w:hAnsi="Arial"/>
          <w:sz w:val="19"/>
          <w:szCs w:val="19"/>
          <w:color w:val="333336"/>
        </w:rPr>
        <w:t>.</w:t>
      </w:r>
      <w:r>
        <w:rPr>
          <w:rFonts w:ascii="Arial" w:cs="Arial" w:eastAsia="Arial" w:hAnsi="Arial"/>
          <w:sz w:val="19"/>
          <w:szCs w:val="19"/>
          <w:color w:val="1C1C1C"/>
        </w:rPr>
        <w:t xml:space="preserve"> Section 3</w:t>
      </w:r>
      <w:r>
        <w:rPr>
          <w:rFonts w:ascii="Arial" w:cs="Arial" w:eastAsia="Arial" w:hAnsi="Arial"/>
          <w:sz w:val="19"/>
          <w:szCs w:val="19"/>
          <w:color w:val="333336"/>
        </w:rPr>
        <w:t>.</w:t>
      </w:r>
      <w:r>
        <w:rPr>
          <w:rFonts w:ascii="Arial" w:cs="Arial" w:eastAsia="Arial" w:hAnsi="Arial"/>
          <w:sz w:val="19"/>
          <w:szCs w:val="19"/>
          <w:color w:val="1C1C1C"/>
        </w:rPr>
        <w:t>2 of the License Agreement (as amended pursuant to the Monument Sign Agreement) provides that Master Landlord shall have a right of first refusal (the "ROFR") to extend the term of the License Agreement for four (4) consecutive terms of five (5) years each</w:t>
      </w:r>
      <w:r>
        <w:rPr>
          <w:rFonts w:ascii="Arial" w:cs="Arial" w:eastAsia="Arial" w:hAnsi="Arial"/>
          <w:sz w:val="19"/>
          <w:szCs w:val="19"/>
          <w:color w:val="333336"/>
        </w:rPr>
        <w:t>.</w:t>
      </w:r>
      <w:r>
        <w:rPr>
          <w:rFonts w:ascii="Arial" w:cs="Arial" w:eastAsia="Arial" w:hAnsi="Arial"/>
          <w:sz w:val="19"/>
          <w:szCs w:val="19"/>
          <w:color w:val="1C1C1C"/>
        </w:rPr>
        <w:t xml:space="preserve"> Provided Sublandlord has not exercised its Early Termination Right under Section 2.4 of the Lease to terminate the Lease on May 31</w:t>
      </w:r>
      <w:r>
        <w:rPr>
          <w:rFonts w:ascii="Arial" w:cs="Arial" w:eastAsia="Arial" w:hAnsi="Arial"/>
          <w:sz w:val="19"/>
          <w:szCs w:val="19"/>
          <w:color w:val="333336"/>
        </w:rPr>
        <w:t>,</w:t>
      </w:r>
      <w:r>
        <w:rPr>
          <w:rFonts w:ascii="Arial" w:cs="Arial" w:eastAsia="Arial" w:hAnsi="Arial"/>
          <w:sz w:val="19"/>
          <w:szCs w:val="19"/>
          <w:color w:val="1C1C1C"/>
        </w:rPr>
        <w:t xml:space="preserve"> 2022 and the Association complies with the terms and provisions of Section 3.2 governing the ROFR, Master Landlord shall continue to exercise the ROFR during such period that the Lease remains in full force and effect.</w:t>
      </w:r>
    </w:p>
    <w:p>
      <w:pPr>
        <w:spacing w:after="0" w:line="192" w:lineRule="exact"/>
        <w:rPr>
          <w:rFonts w:ascii="Arial" w:cs="Arial" w:eastAsia="Arial" w:hAnsi="Arial"/>
          <w:sz w:val="19"/>
          <w:szCs w:val="19"/>
          <w:color w:val="1C1C1C"/>
        </w:rPr>
      </w:pPr>
    </w:p>
    <w:p>
      <w:pPr>
        <w:jc w:val="both"/>
        <w:ind w:firstLine="1296"/>
        <w:spacing w:after="0" w:line="246" w:lineRule="auto"/>
        <w:tabs>
          <w:tab w:leader="none" w:pos="1997" w:val="left"/>
        </w:tabs>
        <w:numPr>
          <w:ilvl w:val="1"/>
          <w:numId w:val="53"/>
        </w:numPr>
        <w:rPr>
          <w:rFonts w:ascii="Arial" w:cs="Arial" w:eastAsia="Arial" w:hAnsi="Arial"/>
          <w:sz w:val="21"/>
          <w:szCs w:val="21"/>
          <w:color w:val="1C1C1C"/>
        </w:rPr>
      </w:pPr>
      <w:r>
        <w:rPr>
          <w:rFonts w:ascii="Arial" w:cs="Arial" w:eastAsia="Arial" w:hAnsi="Arial"/>
          <w:sz w:val="21"/>
          <w:szCs w:val="21"/>
          <w:color w:val="1C1C1C"/>
        </w:rPr>
        <w:t>Section 5.1 of the License Agreement (as amended by the Monument Sign Agreement) provides that, commencing December l, 2023, Master Landlord, in its capacity as the Licensee under the License Agreement, pay the Association an annual fee of $2,500.00 (the " Fee")</w:t>
      </w:r>
      <w:r>
        <w:rPr>
          <w:rFonts w:ascii="Arial" w:cs="Arial" w:eastAsia="Arial" w:hAnsi="Arial"/>
          <w:sz w:val="21"/>
          <w:szCs w:val="21"/>
          <w:color w:val="333336"/>
        </w:rPr>
        <w:t>,</w:t>
      </w:r>
      <w:r>
        <w:rPr>
          <w:rFonts w:ascii="Arial" w:cs="Arial" w:eastAsia="Arial" w:hAnsi="Arial"/>
          <w:sz w:val="21"/>
          <w:szCs w:val="21"/>
          <w:color w:val="1C1C1C"/>
        </w:rPr>
        <w:t xml:space="preserve"> due and payable by December 15</w:t>
      </w:r>
      <w:r>
        <w:rPr>
          <w:rFonts w:ascii="Arial" w:cs="Arial" w:eastAsia="Arial" w:hAnsi="Arial"/>
          <w:sz w:val="10"/>
          <w:szCs w:val="10"/>
          <w:color w:val="1C1C1C"/>
        </w:rPr>
        <w:t>th</w:t>
      </w:r>
      <w:r>
        <w:rPr>
          <w:rFonts w:ascii="Arial" w:cs="Arial" w:eastAsia="Arial" w:hAnsi="Arial"/>
          <w:sz w:val="21"/>
          <w:szCs w:val="21"/>
          <w:color w:val="1C1C1C"/>
        </w:rPr>
        <w:t xml:space="preserve"> of each year</w:t>
      </w:r>
      <w:r>
        <w:rPr>
          <w:rFonts w:ascii="Arial" w:cs="Arial" w:eastAsia="Arial" w:hAnsi="Arial"/>
          <w:sz w:val="21"/>
          <w:szCs w:val="21"/>
          <w:color w:val="333336"/>
        </w:rPr>
        <w:t>.</w:t>
      </w:r>
      <w:r>
        <w:rPr>
          <w:rFonts w:ascii="Arial" w:cs="Arial" w:eastAsia="Arial" w:hAnsi="Arial"/>
          <w:sz w:val="21"/>
          <w:szCs w:val="21"/>
          <w:color w:val="1C1C1C"/>
        </w:rPr>
        <w:t xml:space="preserve"> Provided Sublandlord has not exercised its Early Termination Right under Section 2.4 of the Lease to terminate the Lease on May 31</w:t>
      </w:r>
      <w:r>
        <w:rPr>
          <w:rFonts w:ascii="Arial" w:cs="Arial" w:eastAsia="Arial" w:hAnsi="Arial"/>
          <w:sz w:val="21"/>
          <w:szCs w:val="21"/>
          <w:color w:val="333336"/>
        </w:rPr>
        <w:t>,</w:t>
      </w:r>
      <w:r>
        <w:rPr>
          <w:rFonts w:ascii="Arial" w:cs="Arial" w:eastAsia="Arial" w:hAnsi="Arial"/>
          <w:sz w:val="21"/>
          <w:szCs w:val="21"/>
          <w:color w:val="1C1C1C"/>
        </w:rPr>
        <w:t xml:space="preserve"> 2022, on December 1, 2023 and on the first day of December in each succeeding year during the balance of the Term of the Lease, Sublandlord shall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-4664075</wp:posOffset>
            </wp:positionV>
            <wp:extent cx="204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204470" cy="8890"/>
                    </a:xfrm>
                    <a:prstGeom prst="rect">
                      <a:avLst/>
                    </a:prstGeom>
                    <a:noFill/>
                  </pic:spPr>
                </pic:pic>
              </a:graphicData>
            </a:graphic>
          </wp:anchor>
        </w:drawing>
      </w:r>
    </w:p>
    <w:p>
      <w:pPr>
        <w:sectPr>
          <w:pgSz w:w="11900" w:h="16838" w:orient="portrait"/>
          <w:cols w:equalWidth="0" w:num="1">
            <w:col w:w="10060"/>
          </w:cols>
          <w:pgMar w:left="920" w:top="363" w:right="919" w:bottom="1440" w:gutter="0" w:footer="0" w:header="0"/>
        </w:sectPr>
      </w:pPr>
    </w:p>
    <w:bookmarkStart w:id="109" w:name="page110"/>
    <w:bookmarkEnd w:id="109"/>
    <w:p>
      <w:pPr>
        <w:ind w:right="120"/>
        <w:spacing w:after="0" w:line="264" w:lineRule="auto"/>
        <w:rPr>
          <w:sz w:val="20"/>
          <w:szCs w:val="20"/>
          <w:color w:val="auto"/>
        </w:rPr>
      </w:pPr>
      <w:r>
        <w:rPr>
          <w:rFonts w:ascii="Arial" w:cs="Arial" w:eastAsia="Arial" w:hAnsi="Arial"/>
          <w:sz w:val="21"/>
          <w:szCs w:val="21"/>
          <w:color w:val="1C1C1C"/>
        </w:rPr>
        <w:t>Master Landlord the Fee in order that Master Landlord may pay the Association the Fee on or before December 15 th of each such year.</w:t>
      </w:r>
    </w:p>
    <w:p>
      <w:pPr>
        <w:spacing w:after="0" w:line="198" w:lineRule="exact"/>
        <w:rPr>
          <w:sz w:val="20"/>
          <w:szCs w:val="20"/>
          <w:color w:val="auto"/>
        </w:rPr>
      </w:pPr>
    </w:p>
    <w:p>
      <w:pPr>
        <w:jc w:val="both"/>
        <w:ind w:firstLine="648"/>
        <w:spacing w:after="0" w:line="258" w:lineRule="auto"/>
        <w:tabs>
          <w:tab w:leader="none" w:pos="1362" w:val="left"/>
        </w:tabs>
        <w:numPr>
          <w:ilvl w:val="0"/>
          <w:numId w:val="54"/>
        </w:numPr>
        <w:rPr>
          <w:rFonts w:ascii="Arial" w:cs="Arial" w:eastAsia="Arial" w:hAnsi="Arial"/>
          <w:sz w:val="20"/>
          <w:szCs w:val="20"/>
          <w:color w:val="1C1C1C"/>
        </w:rPr>
      </w:pPr>
      <w:r>
        <w:rPr>
          <w:rFonts w:ascii="Arial" w:cs="Arial" w:eastAsia="Arial" w:hAnsi="Arial"/>
          <w:sz w:val="20"/>
          <w:szCs w:val="20"/>
          <w:u w:val="single" w:color="auto"/>
          <w:color w:val="1C1C1C"/>
        </w:rPr>
        <w:t>Building</w:t>
      </w:r>
      <w:r>
        <w:rPr>
          <w:rFonts w:ascii="Arial" w:cs="Arial" w:eastAsia="Arial" w:hAnsi="Arial"/>
          <w:sz w:val="20"/>
          <w:szCs w:val="20"/>
          <w:color w:val="1C1C1C"/>
        </w:rPr>
        <w:t xml:space="preserve"> </w:t>
      </w:r>
      <w:r>
        <w:rPr>
          <w:rFonts w:ascii="Arial" w:cs="Arial" w:eastAsia="Arial" w:hAnsi="Arial"/>
          <w:sz w:val="20"/>
          <w:szCs w:val="20"/>
          <w:u w:val="single" w:color="auto"/>
          <w:color w:val="313134"/>
        </w:rPr>
        <w:t>Fascia Sign</w:t>
      </w:r>
      <w:r>
        <w:rPr>
          <w:rFonts w:ascii="Arial" w:cs="Arial" w:eastAsia="Arial" w:hAnsi="Arial"/>
          <w:sz w:val="20"/>
          <w:szCs w:val="20"/>
          <w:color w:val="313134"/>
        </w:rPr>
        <w:t>.</w:t>
      </w:r>
      <w:r>
        <w:rPr>
          <w:rFonts w:ascii="Arial" w:cs="Arial" w:eastAsia="Arial" w:hAnsi="Arial"/>
          <w:sz w:val="20"/>
          <w:szCs w:val="20"/>
          <w:color w:val="1C1C1C"/>
        </w:rPr>
        <w:t xml:space="preserve"> Pursuant to Section 39.1 of the Lease, Sublandlord has the right to place one sign on the Building fascia. Subtenant shall be entitled to succeed to Sublandlord's right to place one sign on the Building fascia during such period that Subtenant is subleasing and occupying one hundred percent (100%) of the Premises leased by Sublandlord from Master Landlord under the Lease (subject to any period of non-occupancy as a result of damage or destruction, in which event the terms and provisions of Article 12 of the Lease shall apply to determine the cessation of the period of non-occupancy). Subtenant further acknowledges and agrees that the Building fascia signage Subtenant installs shall be subject to the review and consent of Master Landlord and the City of Chandler, all as more fully set forth in Section 39.1 of the Lease.</w:t>
      </w:r>
    </w:p>
    <w:p>
      <w:pPr>
        <w:spacing w:after="0" w:line="210" w:lineRule="exact"/>
        <w:rPr>
          <w:rFonts w:ascii="Arial" w:cs="Arial" w:eastAsia="Arial" w:hAnsi="Arial"/>
          <w:sz w:val="20"/>
          <w:szCs w:val="20"/>
          <w:color w:val="1C1C1C"/>
        </w:rPr>
      </w:pPr>
    </w:p>
    <w:p>
      <w:pPr>
        <w:jc w:val="both"/>
        <w:ind w:firstLine="648"/>
        <w:spacing w:after="0" w:line="253" w:lineRule="auto"/>
        <w:tabs>
          <w:tab w:leader="none" w:pos="1321" w:val="left"/>
        </w:tabs>
        <w:numPr>
          <w:ilvl w:val="0"/>
          <w:numId w:val="54"/>
        </w:numPr>
        <w:rPr>
          <w:rFonts w:ascii="Arial" w:cs="Arial" w:eastAsia="Arial" w:hAnsi="Arial"/>
          <w:sz w:val="21"/>
          <w:szCs w:val="21"/>
          <w:color w:val="1C1C1C"/>
        </w:rPr>
      </w:pPr>
      <w:r>
        <w:rPr>
          <w:rFonts w:ascii="Arial" w:cs="Arial" w:eastAsia="Arial" w:hAnsi="Arial"/>
          <w:sz w:val="21"/>
          <w:szCs w:val="21"/>
          <w:u w:val="single" w:color="auto"/>
          <w:color w:val="1C1C1C"/>
        </w:rPr>
        <w:t>Roofing Antennae.</w:t>
      </w:r>
      <w:r>
        <w:rPr>
          <w:rFonts w:ascii="Arial" w:cs="Arial" w:eastAsia="Arial" w:hAnsi="Arial"/>
          <w:sz w:val="21"/>
          <w:szCs w:val="21"/>
          <w:color w:val="1C1C1C"/>
        </w:rPr>
        <w:t xml:space="preserve"> To the extent Subtenant desires to install Antennae (as such term is defined in Section 1.4 of the Lease) on the roof of the Building, Subtenant shall comply with all of the terms and conditions set forth in Section 1.4 of the Lease governing the Antennae.</w:t>
      </w:r>
    </w:p>
    <w:p>
      <w:pPr>
        <w:spacing w:after="0" w:line="208" w:lineRule="exact"/>
        <w:rPr>
          <w:rFonts w:ascii="Arial" w:cs="Arial" w:eastAsia="Arial" w:hAnsi="Arial"/>
          <w:sz w:val="21"/>
          <w:szCs w:val="21"/>
          <w:color w:val="1C1C1C"/>
        </w:rPr>
      </w:pPr>
    </w:p>
    <w:p>
      <w:pPr>
        <w:ind w:left="1320" w:hanging="672"/>
        <w:spacing w:after="0"/>
        <w:tabs>
          <w:tab w:leader="none" w:pos="1320" w:val="left"/>
        </w:tabs>
        <w:numPr>
          <w:ilvl w:val="0"/>
          <w:numId w:val="54"/>
        </w:numPr>
        <w:rPr>
          <w:rFonts w:ascii="Arial" w:cs="Arial" w:eastAsia="Arial" w:hAnsi="Arial"/>
          <w:sz w:val="21"/>
          <w:szCs w:val="21"/>
          <w:color w:val="1C1C1C"/>
        </w:rPr>
      </w:pPr>
      <w:r>
        <w:rPr>
          <w:rFonts w:ascii="Arial" w:cs="Arial" w:eastAsia="Arial" w:hAnsi="Arial"/>
          <w:sz w:val="21"/>
          <w:szCs w:val="21"/>
          <w:u w:val="single" w:color="auto"/>
          <w:color w:val="1C1C1C"/>
        </w:rPr>
        <w:t>Miscellaneous.</w:t>
      </w:r>
    </w:p>
    <w:p>
      <w:pPr>
        <w:spacing w:after="0" w:line="244" w:lineRule="exact"/>
        <w:rPr>
          <w:rFonts w:ascii="Arial" w:cs="Arial" w:eastAsia="Arial" w:hAnsi="Arial"/>
          <w:sz w:val="21"/>
          <w:szCs w:val="21"/>
          <w:color w:val="1C1C1C"/>
        </w:rPr>
      </w:pPr>
    </w:p>
    <w:p>
      <w:pPr>
        <w:jc w:val="both"/>
        <w:ind w:firstLine="1296"/>
        <w:spacing w:after="0" w:line="253" w:lineRule="auto"/>
        <w:tabs>
          <w:tab w:leader="none" w:pos="2045" w:val="left"/>
        </w:tabs>
        <w:numPr>
          <w:ilvl w:val="1"/>
          <w:numId w:val="54"/>
        </w:numPr>
        <w:rPr>
          <w:rFonts w:ascii="Arial" w:cs="Arial" w:eastAsia="Arial" w:hAnsi="Arial"/>
          <w:sz w:val="21"/>
          <w:szCs w:val="21"/>
          <w:color w:val="1C1C1C"/>
        </w:rPr>
      </w:pPr>
      <w:r>
        <w:rPr>
          <w:rFonts w:ascii="Arial" w:cs="Arial" w:eastAsia="Arial" w:hAnsi="Arial"/>
          <w:sz w:val="21"/>
          <w:szCs w:val="21"/>
          <w:color w:val="1C1C1C"/>
        </w:rPr>
        <w:t xml:space="preserve">By consenting to the Third Amendment, Master Landlord is not relieving Sublandlord of any of its obligations, duties, liabilities or responsibilities under the Lease or </w:t>
      </w:r>
      <w:r>
        <w:rPr>
          <w:rFonts w:ascii="Arial" w:cs="Arial" w:eastAsia="Arial" w:hAnsi="Arial"/>
          <w:sz w:val="21"/>
          <w:szCs w:val="21"/>
          <w:color w:val="313134"/>
        </w:rPr>
        <w:t>waiving</w:t>
      </w:r>
      <w:r>
        <w:rPr>
          <w:rFonts w:ascii="Arial" w:cs="Arial" w:eastAsia="Arial" w:hAnsi="Arial"/>
          <w:sz w:val="21"/>
          <w:szCs w:val="21"/>
          <w:color w:val="1C1C1C"/>
        </w:rPr>
        <w:t xml:space="preserve"> Master Landlord's rights to enforce the Lease as against Sublandlord.</w:t>
      </w:r>
    </w:p>
    <w:p>
      <w:pPr>
        <w:spacing w:after="0" w:line="208" w:lineRule="exact"/>
        <w:rPr>
          <w:rFonts w:ascii="Arial" w:cs="Arial" w:eastAsia="Arial" w:hAnsi="Arial"/>
          <w:sz w:val="21"/>
          <w:szCs w:val="21"/>
          <w:color w:val="1C1C1C"/>
        </w:rPr>
      </w:pPr>
    </w:p>
    <w:p>
      <w:pPr>
        <w:jc w:val="both"/>
        <w:ind w:firstLine="1296"/>
        <w:spacing w:after="0" w:line="253" w:lineRule="auto"/>
        <w:tabs>
          <w:tab w:leader="none" w:pos="1984" w:val="left"/>
        </w:tabs>
        <w:numPr>
          <w:ilvl w:val="1"/>
          <w:numId w:val="54"/>
        </w:numPr>
        <w:rPr>
          <w:rFonts w:ascii="Arial" w:cs="Arial" w:eastAsia="Arial" w:hAnsi="Arial"/>
          <w:sz w:val="21"/>
          <w:szCs w:val="21"/>
          <w:color w:val="1C1C1C"/>
        </w:rPr>
      </w:pPr>
      <w:r>
        <w:rPr>
          <w:rFonts w:ascii="Arial" w:cs="Arial" w:eastAsia="Arial" w:hAnsi="Arial"/>
          <w:sz w:val="21"/>
          <w:szCs w:val="21"/>
          <w:color w:val="1C1C1C"/>
        </w:rPr>
        <w:t>Master Landlord reserves all of its rights under the Lease as against Sublandlord and shall not be required under any condition to pursue remedies against the Subtenant prior to, or in conjunction with any actions against Sublandlord under the Lease.</w:t>
      </w:r>
    </w:p>
    <w:p>
      <w:pPr>
        <w:spacing w:after="0" w:line="208" w:lineRule="exact"/>
        <w:rPr>
          <w:rFonts w:ascii="Arial" w:cs="Arial" w:eastAsia="Arial" w:hAnsi="Arial"/>
          <w:sz w:val="21"/>
          <w:szCs w:val="21"/>
          <w:color w:val="1C1C1C"/>
        </w:rPr>
      </w:pPr>
    </w:p>
    <w:p>
      <w:pPr>
        <w:jc w:val="both"/>
        <w:ind w:firstLine="1296"/>
        <w:spacing w:after="0" w:line="279" w:lineRule="auto"/>
        <w:tabs>
          <w:tab w:leader="none" w:pos="2043" w:val="left"/>
        </w:tabs>
        <w:numPr>
          <w:ilvl w:val="1"/>
          <w:numId w:val="54"/>
        </w:numPr>
        <w:rPr>
          <w:rFonts w:ascii="Arial" w:cs="Arial" w:eastAsia="Arial" w:hAnsi="Arial"/>
          <w:sz w:val="19"/>
          <w:szCs w:val="19"/>
          <w:color w:val="1C1C1C"/>
        </w:rPr>
      </w:pPr>
      <w:r>
        <w:rPr>
          <w:rFonts w:ascii="Arial" w:cs="Arial" w:eastAsia="Arial" w:hAnsi="Arial"/>
          <w:sz w:val="19"/>
          <w:szCs w:val="19"/>
          <w:color w:val="1C1C1C"/>
        </w:rPr>
        <w:t>Contemporaneously with the delivery of this executed Consent, pursuant to Section 14.5 of the Lease Sublandlord will tender to Master Landlord (i) a check in the amount of One Thousand and 00/100 Dollars ($1</w:t>
      </w:r>
      <w:r>
        <w:rPr>
          <w:rFonts w:ascii="Arial" w:cs="Arial" w:eastAsia="Arial" w:hAnsi="Arial"/>
          <w:sz w:val="19"/>
          <w:szCs w:val="19"/>
          <w:color w:val="313134"/>
        </w:rPr>
        <w:t>,000.00),</w:t>
      </w:r>
      <w:r>
        <w:rPr>
          <w:rFonts w:ascii="Arial" w:cs="Arial" w:eastAsia="Arial" w:hAnsi="Arial"/>
          <w:sz w:val="19"/>
          <w:szCs w:val="19"/>
          <w:color w:val="1C1C1C"/>
        </w:rPr>
        <w:t xml:space="preserve"> as and for the administrative fee Landlord is entitled to recover in accordance with Article 14.5 of the Lease and (ii) a check in the amount of Seven Hundred Fifty and 00/100 Dollars ($750.00), as and for the legal costs incurred by Master Landlord in the review and approval of the Panel Sign Usage and Building fascia signage requests.</w:t>
      </w:r>
    </w:p>
    <w:p>
      <w:pPr>
        <w:spacing w:after="0" w:line="188" w:lineRule="exact"/>
        <w:rPr>
          <w:rFonts w:ascii="Arial" w:cs="Arial" w:eastAsia="Arial" w:hAnsi="Arial"/>
          <w:sz w:val="19"/>
          <w:szCs w:val="19"/>
          <w:color w:val="1C1C1C"/>
        </w:rPr>
      </w:pPr>
    </w:p>
    <w:p>
      <w:pPr>
        <w:jc w:val="both"/>
        <w:ind w:firstLine="1296"/>
        <w:spacing w:after="0" w:line="246" w:lineRule="auto"/>
        <w:tabs>
          <w:tab w:leader="none" w:pos="2081" w:val="left"/>
        </w:tabs>
        <w:numPr>
          <w:ilvl w:val="1"/>
          <w:numId w:val="54"/>
        </w:numPr>
        <w:rPr>
          <w:rFonts w:ascii="Arial" w:cs="Arial" w:eastAsia="Arial" w:hAnsi="Arial"/>
          <w:sz w:val="21"/>
          <w:szCs w:val="21"/>
          <w:color w:val="1C1C1C"/>
        </w:rPr>
      </w:pPr>
      <w:r>
        <w:rPr>
          <w:rFonts w:ascii="Arial" w:cs="Arial" w:eastAsia="Arial" w:hAnsi="Arial"/>
          <w:sz w:val="21"/>
          <w:szCs w:val="21"/>
          <w:color w:val="1C1C1C"/>
        </w:rPr>
        <w:t>Sublandlord acknowledges that there exists no default, breach, failure of condition or event of default by Master Landlord under the Lease, nor any event or condition which, with notice or the passage of time, or both, would constitute a default, breach, failure of condition or event of default thereunder, and Master Landlord has, as of the date hereof, complied with all of the terms and conditions of the Lease. In case of any conflict between the provisions of this Consent and the provisions of the Sublease, the provisions of this Consent shall prevail unaffected by the Sublease.</w:t>
      </w:r>
    </w:p>
    <w:p>
      <w:pPr>
        <w:spacing w:after="0" w:line="216" w:lineRule="exact"/>
        <w:rPr>
          <w:rFonts w:ascii="Arial" w:cs="Arial" w:eastAsia="Arial" w:hAnsi="Arial"/>
          <w:sz w:val="21"/>
          <w:szCs w:val="21"/>
          <w:color w:val="1C1C1C"/>
        </w:rPr>
      </w:pPr>
    </w:p>
    <w:p>
      <w:pPr>
        <w:ind w:firstLine="1296"/>
        <w:spacing w:after="0" w:line="317" w:lineRule="auto"/>
        <w:tabs>
          <w:tab w:leader="none" w:pos="2128" w:val="left"/>
        </w:tabs>
        <w:numPr>
          <w:ilvl w:val="1"/>
          <w:numId w:val="54"/>
        </w:numPr>
        <w:rPr>
          <w:rFonts w:ascii="Arial" w:cs="Arial" w:eastAsia="Arial" w:hAnsi="Arial"/>
          <w:sz w:val="19"/>
          <w:szCs w:val="19"/>
          <w:color w:val="1C1C1C"/>
        </w:rPr>
      </w:pPr>
      <w:r>
        <w:rPr>
          <w:rFonts w:ascii="Arial" w:cs="Arial" w:eastAsia="Arial" w:hAnsi="Arial"/>
          <w:sz w:val="19"/>
          <w:szCs w:val="19"/>
          <w:color w:val="1C1C1C"/>
        </w:rPr>
        <w:t>This Consent may be executed in any number or counterparts, all such counterparts shall be deemed to constitute one and the same instrument, and each such counterpart shall be deemed an original 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1C1C1C"/>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9" w:right="919" w:bottom="1440" w:gutter="0" w:footer="0" w:header="0"/>
        </w:sectPr>
      </w:pPr>
    </w:p>
    <w:bookmarkStart w:id="110" w:name="page111"/>
    <w:bookmarkEnd w:id="110"/>
    <w:p>
      <w:pPr>
        <w:ind w:firstLine="648"/>
        <w:spacing w:after="0" w:line="270" w:lineRule="auto"/>
        <w:rPr>
          <w:sz w:val="20"/>
          <w:szCs w:val="20"/>
          <w:color w:val="auto"/>
        </w:rPr>
      </w:pPr>
      <w:r>
        <w:rPr>
          <w:rFonts w:ascii="Arial" w:cs="Arial" w:eastAsia="Arial" w:hAnsi="Arial"/>
          <w:sz w:val="21"/>
          <w:szCs w:val="21"/>
          <w:color w:val="1C1C1C"/>
        </w:rPr>
        <w:t xml:space="preserve">IN </w:t>
      </w:r>
      <w:r>
        <w:rPr>
          <w:rFonts w:ascii="Arial" w:cs="Arial" w:eastAsia="Arial" w:hAnsi="Arial"/>
          <w:sz w:val="21"/>
          <w:szCs w:val="21"/>
          <w:b w:val="1"/>
          <w:bCs w:val="1"/>
          <w:color w:val="1C1C1C"/>
        </w:rPr>
        <w:t>WITNESS WHEREOF,</w:t>
      </w:r>
      <w:r>
        <w:rPr>
          <w:rFonts w:ascii="Arial" w:cs="Arial" w:eastAsia="Arial" w:hAnsi="Arial"/>
          <w:sz w:val="21"/>
          <w:szCs w:val="21"/>
          <w:color w:val="1C1C1C"/>
        </w:rPr>
        <w:t xml:space="preserve"> the undersigned have executed this Consent of Landlord to Third Amendment to Sublease to be effective as of the date first above written</w:t>
      </w:r>
      <w:r>
        <w:rPr>
          <w:rFonts w:ascii="Arial" w:cs="Arial" w:eastAsia="Arial" w:hAnsi="Arial"/>
          <w:sz w:val="21"/>
          <w:szCs w:val="21"/>
          <w:color w:val="4B4B4B"/>
        </w:rPr>
        <w:t>.</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1C1C1C"/>
        </w:rPr>
        <w:t>MASTER LANDLORD:</w:t>
      </w:r>
    </w:p>
    <w:p>
      <w:pPr>
        <w:spacing w:after="0" w:line="251" w:lineRule="exact"/>
        <w:rPr>
          <w:sz w:val="20"/>
          <w:szCs w:val="20"/>
          <w:color w:val="auto"/>
        </w:rPr>
      </w:pPr>
    </w:p>
    <w:p>
      <w:pPr>
        <w:ind w:left="5040"/>
        <w:spacing w:after="0"/>
        <w:rPr>
          <w:sz w:val="20"/>
          <w:szCs w:val="20"/>
          <w:color w:val="auto"/>
        </w:rPr>
      </w:pPr>
      <w:r>
        <w:rPr>
          <w:rFonts w:ascii="Arial" w:cs="Arial" w:eastAsia="Arial" w:hAnsi="Arial"/>
          <w:sz w:val="21"/>
          <w:szCs w:val="21"/>
          <w:color w:val="1C1C1C"/>
        </w:rPr>
        <w:t>KWC CHANDLER-MIDWAY LLC,</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21"/>
          <w:szCs w:val="21"/>
          <w:color w:val="1C1C1C"/>
        </w:rPr>
        <w:t>an Arizona limited liability company</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 Kramer-Wilson Company, Inc.,</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21"/>
          <w:szCs w:val="21"/>
          <w:color w:val="1C1C1C"/>
        </w:rPr>
        <w:t>a Delaware corporation, its Manager</w:t>
      </w:r>
    </w:p>
    <w:p>
      <w:pPr>
        <w:spacing w:after="0" w:line="227"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By: /s/ Kevin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9525</wp:posOffset>
            </wp:positionV>
            <wp:extent cx="27616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4445</wp:posOffset>
            </wp:positionV>
            <wp:extent cx="27616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SUBLANDLORD:</w:t>
      </w:r>
    </w:p>
    <w:p>
      <w:pPr>
        <w:spacing w:after="0" w:line="251"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NXP USA, INC., a Delaware corporation</w:t>
      </w:r>
    </w:p>
    <w:p>
      <w:pPr>
        <w:spacing w:after="0" w:line="245"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 /s/ Mark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9525</wp:posOffset>
            </wp:positionV>
            <wp:extent cx="29756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Print Name: Mark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4445</wp:posOffset>
            </wp:positionV>
            <wp:extent cx="22898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ind w:left="5380"/>
        <w:spacing w:after="0"/>
        <w:tabs>
          <w:tab w:leader="none" w:pos="64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4445</wp:posOffset>
            </wp:positionV>
            <wp:extent cx="22898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1C1C1C"/>
        </w:rPr>
        <w:t>SUBTENANT:</w:t>
      </w:r>
    </w:p>
    <w:p>
      <w:pPr>
        <w:spacing w:after="0" w:line="251" w:lineRule="exact"/>
        <w:rPr>
          <w:sz w:val="20"/>
          <w:szCs w:val="20"/>
          <w:color w:val="auto"/>
        </w:rPr>
      </w:pPr>
    </w:p>
    <w:p>
      <w:pPr>
        <w:ind w:left="5040"/>
        <w:spacing w:after="0"/>
        <w:rPr>
          <w:sz w:val="20"/>
          <w:szCs w:val="20"/>
          <w:color w:val="auto"/>
        </w:rPr>
      </w:pPr>
      <w:r>
        <w:rPr>
          <w:rFonts w:ascii="Arial" w:cs="Arial" w:eastAsia="Arial" w:hAnsi="Arial"/>
          <w:sz w:val="21"/>
          <w:szCs w:val="21"/>
          <w:color w:val="1C1C1C"/>
        </w:rPr>
        <w:t>EVERSPIN TECHNOLOGIES, INC., a Delaware</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21"/>
          <w:szCs w:val="21"/>
          <w:color w:val="1C1C1C"/>
        </w:rPr>
        <w:t>corporation</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 /s/ 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9525</wp:posOffset>
            </wp:positionV>
            <wp:extent cx="29756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Print Name: 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4445</wp:posOffset>
            </wp:positionV>
            <wp:extent cx="22898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ind w:left="5380"/>
        <w:spacing w:after="0"/>
        <w:tabs>
          <w:tab w:leader="none" w:pos="64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4445</wp:posOffset>
            </wp:positionV>
            <wp:extent cx="22898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60"/>
          </w:cols>
          <w:pgMar w:left="920" w:top="363" w:right="121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21"/>
          <w:szCs w:val="21"/>
          <w:color w:val="212121"/>
        </w:rPr>
        <w:t>EXHIBIT A</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12121"/>
        </w:rPr>
        <w:t>Sign Panel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528955</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21"/>
          <w:szCs w:val="21"/>
          <w:color w:val="1F1F1F"/>
        </w:rPr>
        <w:t>EXHIBIT B</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1F1F1F"/>
        </w:rPr>
        <w:t>Monument Sign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528955</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10.40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6 TO LEASE</w:t>
      </w:r>
    </w:p>
    <w:p>
      <w:pPr>
        <w:spacing w:after="0" w:line="229" w:lineRule="exact"/>
        <w:rPr>
          <w:sz w:val="20"/>
          <w:szCs w:val="20"/>
          <w:color w:val="auto"/>
        </w:rPr>
      </w:pPr>
    </w:p>
    <w:p>
      <w:pPr>
        <w:jc w:val="both"/>
        <w:ind w:left="1" w:firstLine="647"/>
        <w:spacing w:after="0" w:line="266"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NO. 6 TO LEASE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Amendment No. 6</w:t>
      </w:r>
      <w:r>
        <w:rPr>
          <w:rFonts w:ascii="Arial" w:cs="Arial" w:eastAsia="Arial" w:hAnsi="Arial"/>
          <w:sz w:val="19"/>
          <w:szCs w:val="19"/>
          <w:color w:val="auto"/>
        </w:rPr>
        <w:t>”), effective as of October 31, 2017, (“</w:t>
      </w:r>
      <w:r>
        <w:rPr>
          <w:rFonts w:ascii="Arial" w:cs="Arial" w:eastAsia="Arial" w:hAnsi="Arial"/>
          <w:sz w:val="19"/>
          <w:szCs w:val="19"/>
          <w:b w:val="1"/>
          <w:bCs w:val="1"/>
          <w:i w:val="1"/>
          <w:iCs w:val="1"/>
          <w:color w:val="auto"/>
        </w:rPr>
        <w:t>Amendment No.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6 Effective Date</w:t>
      </w:r>
      <w:r>
        <w:rPr>
          <w:rFonts w:ascii="Arial" w:cs="Arial" w:eastAsia="Arial" w:hAnsi="Arial"/>
          <w:sz w:val="19"/>
          <w:szCs w:val="19"/>
          <w:color w:val="auto"/>
        </w:rPr>
        <w:t>”) is entered into by and between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NXP USA, Inc.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(formerly FREESCALE SEMICONDUCTOR, INC.),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Delaware corporation and 100% affiliated company of NXP Semiconductors N.V. (“</w:t>
      </w:r>
      <w:r>
        <w:rPr>
          <w:rFonts w:ascii="Arial" w:cs="Arial" w:eastAsia="Arial" w:hAnsi="Arial"/>
          <w:sz w:val="19"/>
          <w:szCs w:val="19"/>
          <w:b w:val="1"/>
          <w:bCs w:val="1"/>
          <w:i w:val="1"/>
          <w:iCs w:val="1"/>
          <w:color w:val="auto"/>
        </w:rPr>
        <w:t>Landlord</w:t>
      </w:r>
      <w:r>
        <w:rPr>
          <w:rFonts w:ascii="Arial" w:cs="Arial" w:eastAsia="Arial" w:hAnsi="Arial"/>
          <w:sz w:val="19"/>
          <w:szCs w:val="19"/>
          <w:i w:val="1"/>
          <w:iCs w:val="1"/>
          <w:color w:val="auto"/>
        </w:rPr>
        <w:t>”</w:t>
      </w:r>
      <w:r>
        <w:rPr>
          <w:rFonts w:ascii="Arial" w:cs="Arial" w:eastAsia="Arial" w:hAnsi="Arial"/>
          <w:sz w:val="19"/>
          <w:szCs w:val="19"/>
          <w:color w:val="auto"/>
        </w:rPr>
        <w:t xml:space="preserve">), and </w:t>
      </w:r>
      <w:r>
        <w:rPr>
          <w:rFonts w:ascii="Arial" w:cs="Arial" w:eastAsia="Arial" w:hAnsi="Arial"/>
          <w:sz w:val="19"/>
          <w:szCs w:val="19"/>
          <w:b w:val="1"/>
          <w:bCs w:val="1"/>
          <w:color w:val="auto"/>
        </w:rPr>
        <w:t>EVERSPIN</w:t>
      </w:r>
      <w:r>
        <w:rPr>
          <w:rFonts w:ascii="Arial" w:cs="Arial" w:eastAsia="Arial" w:hAnsi="Arial"/>
          <w:sz w:val="19"/>
          <w:szCs w:val="19"/>
          <w:color w:val="auto"/>
        </w:rPr>
        <w:t xml:space="preserve"> </w:t>
      </w:r>
      <w:r>
        <w:rPr>
          <w:rFonts w:ascii="Arial" w:cs="Arial" w:eastAsia="Arial" w:hAnsi="Arial"/>
          <w:sz w:val="19"/>
          <w:szCs w:val="19"/>
          <w:b w:val="1"/>
          <w:bCs w:val="1"/>
          <w:color w:val="auto"/>
        </w:rPr>
        <w:t>TECHNOLOGIES, INC.</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Tenant</w:t>
      </w:r>
      <w:r>
        <w:rPr>
          <w:rFonts w:ascii="Arial" w:cs="Arial" w:eastAsia="Arial" w:hAnsi="Arial"/>
          <w:sz w:val="19"/>
          <w:szCs w:val="19"/>
          <w:color w:val="auto"/>
        </w:rPr>
        <w:t>”), with reference to the following facts:</w:t>
      </w:r>
    </w:p>
    <w:p>
      <w:pPr>
        <w:spacing w:after="0" w:line="185" w:lineRule="exact"/>
        <w:rPr>
          <w:sz w:val="20"/>
          <w:szCs w:val="20"/>
          <w:color w:val="auto"/>
        </w:rPr>
      </w:pPr>
    </w:p>
    <w:p>
      <w:pPr>
        <w:jc w:val="both"/>
        <w:ind w:left="1" w:firstLine="648"/>
        <w:spacing w:after="0" w:line="274" w:lineRule="auto"/>
        <w:tabs>
          <w:tab w:leader="none" w:pos="175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Lease dated as of June 6, 2008 (“</w:t>
      </w:r>
      <w:r>
        <w:rPr>
          <w:rFonts w:ascii="Arial" w:cs="Arial" w:eastAsia="Arial" w:hAnsi="Arial"/>
          <w:sz w:val="18"/>
          <w:szCs w:val="18"/>
          <w:b w:val="1"/>
          <w:bCs w:val="1"/>
          <w:i w:val="1"/>
          <w:iCs w:val="1"/>
          <w:color w:val="auto"/>
        </w:rPr>
        <w:t>Original Lease</w:t>
      </w:r>
      <w:r>
        <w:rPr>
          <w:rFonts w:ascii="Arial" w:cs="Arial" w:eastAsia="Arial" w:hAnsi="Arial"/>
          <w:sz w:val="18"/>
          <w:szCs w:val="18"/>
          <w:color w:val="auto"/>
        </w:rPr>
        <w:t>”), as amended by Amendment No. 1 to Lease executed by Tenant on February 2, 2009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Amendment No. 2 to Lease dated March 1, 2010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Amendment No. 3 to Lease dated July 20, 2011 (“</w:t>
      </w:r>
      <w:r>
        <w:rPr>
          <w:rFonts w:ascii="Arial" w:cs="Arial" w:eastAsia="Arial" w:hAnsi="Arial"/>
          <w:sz w:val="18"/>
          <w:szCs w:val="18"/>
          <w:b w:val="1"/>
          <w:bCs w:val="1"/>
          <w:i w:val="1"/>
          <w:iCs w:val="1"/>
          <w:color w:val="auto"/>
        </w:rPr>
        <w:t>Amendment No. 3</w:t>
      </w:r>
      <w:r>
        <w:rPr>
          <w:rFonts w:ascii="Arial" w:cs="Arial" w:eastAsia="Arial" w:hAnsi="Arial"/>
          <w:sz w:val="18"/>
          <w:szCs w:val="18"/>
          <w:color w:val="auto"/>
        </w:rPr>
        <w:t xml:space="preserve">”), Amendment No. 4 to Lease dated June 10, 2014 </w:t>
      </w:r>
      <w:r>
        <w:rPr>
          <w:rFonts w:ascii="Arial" w:cs="Arial" w:eastAsia="Arial" w:hAnsi="Arial"/>
          <w:sz w:val="18"/>
          <w:szCs w:val="18"/>
          <w:b w:val="1"/>
          <w:bCs w:val="1"/>
          <w:color w:val="auto"/>
        </w:rPr>
        <w:t>(“Amendment No. 4”)</w:t>
      </w:r>
      <w:r>
        <w:rPr>
          <w:rFonts w:ascii="Arial" w:cs="Arial" w:eastAsia="Arial" w:hAnsi="Arial"/>
          <w:sz w:val="18"/>
          <w:szCs w:val="18"/>
          <w:color w:val="auto"/>
        </w:rPr>
        <w:t xml:space="preserve">, and Amendment No. 5 dated January 13, 2017 </w:t>
      </w:r>
      <w:r>
        <w:rPr>
          <w:rFonts w:ascii="Arial" w:cs="Arial" w:eastAsia="Arial" w:hAnsi="Arial"/>
          <w:sz w:val="18"/>
          <w:szCs w:val="18"/>
          <w:b w:val="1"/>
          <w:bCs w:val="1"/>
          <w:color w:val="auto"/>
        </w:rPr>
        <w:t>(“Amendment No. 5”) (</w:t>
      </w:r>
      <w:r>
        <w:rPr>
          <w:rFonts w:ascii="Arial" w:cs="Arial" w:eastAsia="Arial" w:hAnsi="Arial"/>
          <w:sz w:val="18"/>
          <w:szCs w:val="18"/>
          <w:color w:val="auto"/>
        </w:rPr>
        <w:t>the Original Lease, as amended by Amendment No. 1, Amendment No. 2, Amendment No. 3,</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4, and Amendment No. 5, is referred to as the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pursuant to which Landlord leases to Tenant certain space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located at 1300 North Alma School Road, Chandler Arizona as further described in the Lease.</w:t>
      </w:r>
    </w:p>
    <w:p>
      <w:pPr>
        <w:spacing w:after="0" w:line="182" w:lineRule="exact"/>
        <w:rPr>
          <w:rFonts w:ascii="Arial" w:cs="Arial" w:eastAsia="Arial" w:hAnsi="Arial"/>
          <w:sz w:val="18"/>
          <w:szCs w:val="18"/>
          <w:b w:val="1"/>
          <w:bCs w:val="1"/>
          <w:color w:val="auto"/>
        </w:rPr>
      </w:pPr>
    </w:p>
    <w:p>
      <w:pPr>
        <w:ind w:left="1" w:firstLine="648"/>
        <w:spacing w:after="0" w:line="260" w:lineRule="auto"/>
        <w:tabs>
          <w:tab w:leader="none" w:pos="1663"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Note each of Amendment No. 1 through Amendment No. 5 incorrectly refer to the date of the Original Lease as June 5, 2017.</w:t>
      </w:r>
    </w:p>
    <w:p>
      <w:pPr>
        <w:spacing w:after="0" w:line="190" w:lineRule="exact"/>
        <w:rPr>
          <w:rFonts w:ascii="Arial" w:cs="Arial" w:eastAsia="Arial" w:hAnsi="Arial"/>
          <w:sz w:val="20"/>
          <w:szCs w:val="20"/>
          <w:b w:val="1"/>
          <w:bCs w:val="1"/>
          <w:color w:val="auto"/>
        </w:rPr>
      </w:pPr>
    </w:p>
    <w:p>
      <w:pPr>
        <w:ind w:left="1481" w:hanging="832"/>
        <w:spacing w:after="0"/>
        <w:tabs>
          <w:tab w:leader="none" w:pos="1481"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As of the Amendment No. 6 Effective Date, the parties desire to amend the Lease to extend the Term.</w:t>
      </w:r>
    </w:p>
    <w:p>
      <w:pPr>
        <w:spacing w:after="0" w:line="235" w:lineRule="exact"/>
        <w:rPr>
          <w:sz w:val="20"/>
          <w:szCs w:val="20"/>
          <w:color w:val="auto"/>
        </w:rPr>
      </w:pPr>
    </w:p>
    <w:p>
      <w:pPr>
        <w:jc w:val="both"/>
        <w:ind w:left="1" w:firstLine="647"/>
        <w:spacing w:after="0" w:line="248"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above recitals which are hereby incorporated herein, the mutual</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and conditions contained herein and other valuable consideration, the receipt and sufficiency of which are hereby acknowledged, Landlord and Tenant agree, effective as of the Amendment No. 6 Effective Date, to amend the Lease as follows:</w:t>
      </w:r>
    </w:p>
    <w:p>
      <w:pPr>
        <w:spacing w:after="0" w:line="197" w:lineRule="exact"/>
        <w:rPr>
          <w:sz w:val="20"/>
          <w:szCs w:val="20"/>
          <w:color w:val="auto"/>
        </w:rPr>
      </w:pPr>
    </w:p>
    <w:p>
      <w:pPr>
        <w:ind w:left="841" w:hanging="841"/>
        <w:spacing w:after="0"/>
        <w:tabs>
          <w:tab w:leader="none" w:pos="841"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color w:val="auto"/>
        </w:rPr>
        <w:t>. Section 2 of the Lease is hereby deleted in its entirety and replaced with the following:</w:t>
      </w:r>
    </w:p>
    <w:p>
      <w:pPr>
        <w:spacing w:after="0" w:line="22" w:lineRule="exact"/>
        <w:rPr>
          <w:sz w:val="20"/>
          <w:szCs w:val="20"/>
          <w:color w:val="auto"/>
        </w:rPr>
      </w:pPr>
    </w:p>
    <w:p>
      <w:pPr>
        <w:jc w:val="both"/>
        <w:ind w:left="1"/>
        <w:spacing w:after="0" w:line="241" w:lineRule="auto"/>
        <w:rPr>
          <w:sz w:val="20"/>
          <w:szCs w:val="20"/>
          <w:color w:val="auto"/>
        </w:rPr>
      </w:pPr>
      <w:r>
        <w:rPr>
          <w:rFonts w:ascii="Arial" w:cs="Arial" w:eastAsia="Arial" w:hAnsi="Arial"/>
          <w:sz w:val="20"/>
          <w:szCs w:val="20"/>
          <w:color w:val="auto"/>
        </w:rPr>
        <w:t>“The term of this Lease shall commence on June 6, 2008 (the “</w:t>
      </w:r>
      <w:r>
        <w:rPr>
          <w:rFonts w:ascii="Arial" w:cs="Arial" w:eastAsia="Arial" w:hAnsi="Arial"/>
          <w:sz w:val="20"/>
          <w:szCs w:val="20"/>
          <w:b w:val="1"/>
          <w:bCs w:val="1"/>
          <w:color w:val="auto"/>
        </w:rPr>
        <w:t>Commencement Date</w:t>
      </w:r>
      <w:r>
        <w:rPr>
          <w:rFonts w:ascii="Arial" w:cs="Arial" w:eastAsia="Arial" w:hAnsi="Arial"/>
          <w:sz w:val="20"/>
          <w:szCs w:val="20"/>
          <w:color w:val="auto"/>
        </w:rPr>
        <w:t>”) and end on January 31, 2020 (the “</w:t>
      </w:r>
      <w:r>
        <w:rPr>
          <w:rFonts w:ascii="Arial" w:cs="Arial" w:eastAsia="Arial" w:hAnsi="Arial"/>
          <w:sz w:val="20"/>
          <w:szCs w:val="20"/>
          <w:b w:val="1"/>
          <w:bCs w:val="1"/>
          <w:color w:val="auto"/>
        </w:rPr>
        <w:t>Term</w:t>
      </w:r>
      <w:r>
        <w:rPr>
          <w:rFonts w:ascii="Arial" w:cs="Arial" w:eastAsia="Arial" w:hAnsi="Arial"/>
          <w:sz w:val="20"/>
          <w:szCs w:val="20"/>
          <w:color w:val="auto"/>
        </w:rPr>
        <w:t>”). On or before June 30, 2018, the Landlord will provide Tenant a notice indicating whether or not the Landlord agrees to extend the Term through January 31, 2021.”</w:t>
      </w:r>
    </w:p>
    <w:p>
      <w:pPr>
        <w:spacing w:after="0" w:line="204" w:lineRule="exact"/>
        <w:rPr>
          <w:sz w:val="20"/>
          <w:szCs w:val="20"/>
          <w:color w:val="auto"/>
        </w:rPr>
      </w:pPr>
    </w:p>
    <w:p>
      <w:pPr>
        <w:jc w:val="both"/>
        <w:ind w:left="1" w:hanging="1"/>
        <w:spacing w:after="0" w:line="266" w:lineRule="auto"/>
        <w:tabs>
          <w:tab w:leader="none" w:pos="1207"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Brokers.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represents to Landlord that Tenant has deal with no broker in connection with this</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No. 6. Tenant agrees to indemnify and hold Landlord harmless from all claims of any brokers claiming to have represented Tenant in connection with this Amendment No. 6. Landlord agrees to indemnify and hold Tenant harmless from all claims of any broker claiming to have represented Landlord in connection with this Amendment No. 6.</w:t>
      </w:r>
    </w:p>
    <w:p>
      <w:pPr>
        <w:spacing w:after="0" w:line="179" w:lineRule="exact"/>
        <w:rPr>
          <w:rFonts w:ascii="Arial" w:cs="Arial" w:eastAsia="Arial" w:hAnsi="Arial"/>
          <w:sz w:val="19"/>
          <w:szCs w:val="19"/>
          <w:b w:val="1"/>
          <w:bCs w:val="1"/>
          <w:color w:val="auto"/>
        </w:rPr>
      </w:pPr>
    </w:p>
    <w:p>
      <w:pPr>
        <w:jc w:val="both"/>
        <w:ind w:left="1" w:hanging="1"/>
        <w:spacing w:after="0" w:line="246" w:lineRule="auto"/>
        <w:tabs>
          <w:tab w:leader="none" w:pos="1085"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This Amendment No. 6 sets forth the entire agreement between the parties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matters set forth herein. There have been no additional oral or written representations or agreements. Except as herein modified or amended, the provisions, conditions and terms of the Lease shall remain unchanged an in full force and effect. In the case of any inconsistency between the provisions of the Lease and this Amendment No. 6, the provisions of this Amendment No. 6 shall govern and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5" w:right="919" w:bottom="1440" w:gutter="0" w:footer="0" w:header="0"/>
        </w:sectPr>
      </w:pPr>
    </w:p>
    <w:bookmarkStart w:id="114" w:name="page115"/>
    <w:bookmarkEnd w:id="114"/>
    <w:p>
      <w:pPr>
        <w:jc w:val="both"/>
        <w:spacing w:after="0" w:line="279" w:lineRule="auto"/>
        <w:rPr>
          <w:sz w:val="20"/>
          <w:szCs w:val="20"/>
          <w:color w:val="auto"/>
        </w:rPr>
      </w:pPr>
      <w:r>
        <w:rPr>
          <w:rFonts w:ascii="Arial" w:cs="Arial" w:eastAsia="Arial" w:hAnsi="Arial"/>
          <w:sz w:val="18"/>
          <w:szCs w:val="18"/>
          <w:color w:val="auto"/>
        </w:rPr>
        <w:t>Each signatory of this Amendment No. 6, represents hereby that he or she has the authority to execute and deliver the same on behalf of the party hereto for which such signatory is acting. This Amendment No. 6 may be executed in multiple counterparts each of which is deemed an original but together constitute one and the same instrument. This Amendment No. 6 may be executed in so-called "PDF" format, and each party has the right to rely upon a PDF counterpart of this Amendment No. 6 signed by the other party to the same extent as if such party had received an original counterpart.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Landlord and Tenant have duly executed this Amendment No. 6.</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SUBLANDLORD: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NXP USA,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Katherine Haight</w:t>
            </w:r>
          </w:p>
        </w:tc>
      </w:tr>
      <w:tr>
        <w:trPr>
          <w:trHeight w:val="213"/>
        </w:trPr>
        <w:tc>
          <w:tcPr>
            <w:tcW w:w="66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4360" w:type="dxa"/>
            <w:vAlign w:val="bottom"/>
          </w:tcPr>
          <w:p>
            <w:pPr>
              <w:spacing w:after="0" w:line="213" w:lineRule="exact"/>
              <w:rPr>
                <w:sz w:val="20"/>
                <w:szCs w:val="20"/>
                <w:color w:val="auto"/>
              </w:rPr>
            </w:pPr>
            <w:r>
              <w:rPr>
                <w:rFonts w:ascii="Arial" w:cs="Arial" w:eastAsia="Arial" w:hAnsi="Arial"/>
                <w:sz w:val="20"/>
                <w:szCs w:val="20"/>
                <w:color w:val="auto"/>
              </w:rPr>
              <w:t>Katherine Haight</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spacing w:after="0"/>
              <w:rPr>
                <w:sz w:val="20"/>
                <w:szCs w:val="20"/>
                <w:color w:val="auto"/>
              </w:rPr>
            </w:pPr>
            <w:r>
              <w:rPr>
                <w:rFonts w:ascii="Arial" w:cs="Arial" w:eastAsia="Arial" w:hAnsi="Arial"/>
                <w:sz w:val="20"/>
                <w:szCs w:val="20"/>
                <w:color w:val="auto"/>
              </w:rPr>
              <w:t>Authorized Representative</w:t>
            </w: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4360" w:type="dxa"/>
            <w:vAlign w:val="bottom"/>
          </w:tcPr>
          <w:p>
            <w:pPr>
              <w:spacing w:after="0"/>
              <w:rPr>
                <w:sz w:val="20"/>
                <w:szCs w:val="20"/>
                <w:color w:val="auto"/>
              </w:rPr>
            </w:pPr>
            <w:r>
              <w:rPr>
                <w:rFonts w:ascii="Arial" w:cs="Arial" w:eastAsia="Arial" w:hAnsi="Arial"/>
                <w:sz w:val="20"/>
                <w:szCs w:val="20"/>
                <w:color w:val="auto"/>
              </w:rPr>
              <w:t>December 19, 2017</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SUBLANDLORD: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NXP USA,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 Winzeler</w:t>
            </w:r>
          </w:p>
        </w:tc>
        <w:tc>
          <w:tcPr>
            <w:tcW w:w="5040" w:type="dxa"/>
            <w:vAlign w:val="bottom"/>
          </w:tcPr>
          <w:p>
            <w:pPr>
              <w:spacing w:after="0"/>
              <w:rPr>
                <w:sz w:val="20"/>
                <w:szCs w:val="20"/>
                <w:color w:val="auto"/>
              </w:rPr>
            </w:pPr>
          </w:p>
        </w:tc>
      </w:tr>
      <w:tr>
        <w:trPr>
          <w:trHeight w:val="213"/>
        </w:trPr>
        <w:tc>
          <w:tcPr>
            <w:tcW w:w="66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4360" w:type="dxa"/>
            <w:vAlign w:val="bottom"/>
          </w:tcPr>
          <w:p>
            <w:pPr>
              <w:spacing w:after="0" w:line="213" w:lineRule="exact"/>
              <w:rPr>
                <w:sz w:val="20"/>
                <w:szCs w:val="20"/>
                <w:color w:val="auto"/>
              </w:rPr>
            </w:pPr>
            <w:r>
              <w:rPr>
                <w:rFonts w:ascii="Arial" w:cs="Arial" w:eastAsia="Arial" w:hAnsi="Arial"/>
                <w:sz w:val="20"/>
                <w:szCs w:val="20"/>
                <w:color w:val="auto"/>
              </w:rPr>
              <w:t>Jeff Winzeler</w:t>
            </w:r>
          </w:p>
        </w:tc>
        <w:tc>
          <w:tcPr>
            <w:tcW w:w="5040" w:type="dxa"/>
            <w:vAlign w:val="bottom"/>
          </w:tcPr>
          <w:p>
            <w:pPr>
              <w:spacing w:after="0"/>
              <w:rPr>
                <w:sz w:val="18"/>
                <w:szCs w:val="18"/>
                <w:color w:val="auto"/>
              </w:rPr>
            </w:pP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spacing w:after="0"/>
              <w:rPr>
                <w:sz w:val="20"/>
                <w:szCs w:val="20"/>
                <w:color w:val="auto"/>
              </w:rPr>
            </w:pPr>
            <w:r>
              <w:rPr>
                <w:rFonts w:ascii="Arial" w:cs="Arial" w:eastAsia="Arial" w:hAnsi="Arial"/>
                <w:sz w:val="20"/>
                <w:szCs w:val="20"/>
                <w:color w:val="auto"/>
              </w:rPr>
              <w:t>CFO</w:t>
            </w:r>
          </w:p>
        </w:tc>
        <w:tc>
          <w:tcPr>
            <w:tcW w:w="5040" w:type="dxa"/>
            <w:vAlign w:val="bottom"/>
          </w:tcPr>
          <w:p>
            <w:pPr>
              <w:spacing w:after="0"/>
              <w:rPr>
                <w:sz w:val="21"/>
                <w:szCs w:val="21"/>
                <w:color w:val="auto"/>
              </w:rPr>
            </w:pP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4360" w:type="dxa"/>
            <w:vAlign w:val="bottom"/>
          </w:tcPr>
          <w:p>
            <w:pPr>
              <w:spacing w:after="0"/>
              <w:rPr>
                <w:sz w:val="20"/>
                <w:szCs w:val="20"/>
                <w:color w:val="auto"/>
              </w:rPr>
            </w:pPr>
            <w:r>
              <w:rPr>
                <w:rFonts w:ascii="Arial" w:cs="Arial" w:eastAsia="Arial" w:hAnsi="Arial"/>
                <w:sz w:val="20"/>
                <w:szCs w:val="20"/>
                <w:color w:val="auto"/>
              </w:rPr>
              <w:t>December 4, 2017</w:t>
            </w:r>
          </w:p>
        </w:tc>
        <w:tc>
          <w:tcPr>
            <w:tcW w:w="5040" w:type="dxa"/>
            <w:vAlign w:val="bottom"/>
          </w:tcPr>
          <w:p>
            <w:pPr>
              <w:spacing w:after="0"/>
              <w:rPr>
                <w:sz w:val="24"/>
                <w:szCs w:val="24"/>
                <w:color w:val="auto"/>
              </w:rPr>
            </w:pPr>
          </w:p>
        </w:tc>
      </w:tr>
      <w:tr>
        <w:trPr>
          <w:trHeight w:val="462"/>
        </w:trPr>
        <w:tc>
          <w:tcPr>
            <w:tcW w:w="6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2" w:right="9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We consent to the incorporation by reference in the following Registration Statements on Form S-3 No. 333-221331 and on Form S-8 Nos. 333-214018 and 333-219938 of our report dated March 15, 2018, with respect to the financial statements of Everspin Technologies, Inc. included in this Annual Report (Form 10-K)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20" w:right="300" w:hanging="317"/>
        <w:spacing w:after="0" w:line="238" w:lineRule="auto"/>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320" w:hanging="317"/>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20" w:right="340" w:hanging="317"/>
        <w:spacing w:after="0" w:line="238"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connection with the Annual Report of Everspin Technologies, Inc. (the “Company”) on Form 10-K for the year ended December 31, 2017 (the “Report”), Kevin Conley, President, Chief Executive Officer and Director of the Company, and Jeffrey Winzeler,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22" w:lineRule="exact"/>
        <w:rPr>
          <w:sz w:val="20"/>
          <w:szCs w:val="20"/>
          <w:color w:val="auto"/>
        </w:rPr>
      </w:pPr>
    </w:p>
    <w:p>
      <w:pPr>
        <w:ind w:left="320" w:hanging="317"/>
        <w:spacing w:after="0"/>
        <w:tabs>
          <w:tab w:leader="none" w:pos="32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Section 15(d) of the Exchange Act; and</w:t>
      </w:r>
    </w:p>
    <w:p>
      <w:pPr>
        <w:spacing w:after="0" w:line="144" w:lineRule="exact"/>
        <w:rPr>
          <w:rFonts w:ascii="Arial" w:cs="Arial" w:eastAsia="Arial" w:hAnsi="Arial"/>
          <w:sz w:val="18"/>
          <w:szCs w:val="18"/>
          <w:b w:val="1"/>
          <w:bCs w:val="1"/>
          <w:color w:val="auto"/>
        </w:rPr>
      </w:pPr>
    </w:p>
    <w:p>
      <w:pPr>
        <w:ind w:left="320" w:right="320" w:hanging="317"/>
        <w:spacing w:after="0" w:line="235" w:lineRule="auto"/>
        <w:tabs>
          <w:tab w:leader="none" w:pos="32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14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754370" cy="797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5754370" cy="797560"/>
                    </a:xfrm>
                    <a:prstGeom prst="rect">
                      <a:avLst/>
                    </a:prstGeom>
                    <a:noFill/>
                  </pic:spPr>
                </pic:pic>
              </a:graphicData>
            </a:graphic>
          </wp:anchor>
        </w:drawing>
      </w:r>
    </w:p>
    <w:p>
      <w:pPr>
        <w:ind w:left="5440"/>
        <w:spacing w:after="0" w:line="203" w:lineRule="auto"/>
        <w:rPr>
          <w:sz w:val="20"/>
          <w:szCs w:val="20"/>
          <w:color w:val="auto"/>
        </w:rPr>
      </w:pPr>
      <w:r>
        <w:rPr>
          <w:rFonts w:ascii="Arial" w:cs="Arial" w:eastAsia="Arial" w:hAnsi="Arial"/>
          <w:sz w:val="18"/>
          <w:szCs w:val="18"/>
          <w:color w:val="auto"/>
        </w:rPr>
        <w:t>Kevin Conley</w:t>
      </w:r>
    </w:p>
    <w:p>
      <w:pPr>
        <w:ind w:left="544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13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03" w:lineRule="auto"/>
        <w:rPr>
          <w:sz w:val="20"/>
          <w:szCs w:val="20"/>
          <w:color w:val="auto"/>
        </w:rPr>
      </w:pPr>
      <w:r>
        <w:rPr>
          <w:rFonts w:ascii="Arial" w:cs="Arial" w:eastAsia="Arial" w:hAnsi="Arial"/>
          <w:sz w:val="18"/>
          <w:szCs w:val="18"/>
          <w:color w:val="auto"/>
        </w:rPr>
        <w:t>Jeffrey Winzeler</w:t>
      </w:r>
    </w:p>
    <w:p>
      <w:pPr>
        <w:ind w:left="5440"/>
        <w:spacing w:after="0"/>
        <w:rPr>
          <w:sz w:val="20"/>
          <w:szCs w:val="20"/>
          <w:color w:val="auto"/>
        </w:rPr>
      </w:pPr>
      <w:r>
        <w:rPr>
          <w:rFonts w:ascii="Arial" w:cs="Arial" w:eastAsia="Arial" w:hAnsi="Arial"/>
          <w:sz w:val="18"/>
          <w:szCs w:val="18"/>
          <w:i w:val="1"/>
          <w:iCs w:val="1"/>
          <w:color w:val="auto"/>
        </w:rPr>
        <w:t>Chief Financial Officer</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
      <w:numFmt w:val="bullet"/>
      <w:start w:val="1"/>
    </w:lvl>
  </w:abstractNum>
  <w:abstractNum w:abstractNumId="1">
    <w:nsid w:val="7C3DBD3D"/>
    <w:multiLevelType w:val="hybridMultilevel"/>
    <w:lvl w:ilvl="0">
      <w:lvlJc w:val="left"/>
      <w:lvlText w:val=" "/>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2"/>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3"/>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lowerLetter"/>
      <w:start w:val="1"/>
    </w:lvl>
    <w:lvl w:ilvl="1">
      <w:lvlJc w:val="left"/>
      <w:lvlText w:val="%2."/>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2"/>
    </w:lvl>
  </w:abstractNum>
  <w:abstractNum w:abstractNumId="38">
    <w:nsid w:val="579478FE"/>
    <w:multiLevelType w:val="hybridMultilevel"/>
    <w:lvl w:ilvl="0">
      <w:lvlJc w:val="left"/>
      <w:lvlText w:val="%1."/>
      <w:numFmt w:val="decimal"/>
      <w:start w:val="3"/>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2"/>
    </w:lvl>
  </w:abstractNum>
  <w:abstractNum w:abstractNumId="42">
    <w:nsid w:val="79A1DEAA"/>
    <w:multiLevelType w:val="hybridMultilevel"/>
    <w:lvl w:ilvl="0">
      <w:lvlJc w:val="left"/>
      <w:lvlText w:val="(%1)"/>
      <w:numFmt w:val="lowerRoman"/>
      <w:start w:val="1"/>
    </w:lvl>
  </w:abstractNum>
  <w:abstractNum w:abstractNumId="43">
    <w:nsid w:val="75C6C33A"/>
    <w:multiLevelType w:val="hybridMultilevel"/>
    <w:lvl w:ilvl="0">
      <w:lvlJc w:val="left"/>
      <w:lvlText w:val="%1."/>
      <w:numFmt w:val="decimal"/>
      <w:start w:val="4"/>
    </w:lvl>
  </w:abstractNum>
  <w:abstractNum w:abstractNumId="44">
    <w:nsid w:val="12E685FB"/>
    <w:multiLevelType w:val="hybridMultilevel"/>
    <w:lvl w:ilvl="0">
      <w:lvlJc w:val="left"/>
      <w:lvlText w:val="%1."/>
      <w:numFmt w:val="decimal"/>
      <w:start w:val="6"/>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1."/>
      <w:numFmt w:val="decimal"/>
      <w:start w:val="9"/>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decimal"/>
      <w:start w:val="4"/>
    </w:lvl>
  </w:abstractNum>
  <w:abstractNum w:abstractNumId="50">
    <w:nsid w:val="649BB77C"/>
    <w:multiLevelType w:val="hybridMultilevel"/>
    <w:lvl w:ilvl="0">
      <w:lvlJc w:val="left"/>
      <w:lvlText w:val="%1."/>
      <w:numFmt w:val="decimal"/>
      <w:start w:val="5"/>
    </w:lvl>
  </w:abstractNum>
  <w:abstractNum w:abstractNumId="51">
    <w:nsid w:val="275AC794"/>
    <w:multiLevelType w:val="hybridMultilevel"/>
    <w:lvl w:ilvl="0">
      <w:lvlJc w:val="left"/>
      <w:lvlText w:val="%1."/>
      <w:numFmt w:val="decimal"/>
      <w:start w:val="13"/>
    </w:lvl>
  </w:abstractNum>
  <w:abstractNum w:abstractNumId="52">
    <w:nsid w:val="39386575"/>
    <w:multiLevelType w:val="hybridMultilevel"/>
    <w:lvl w:ilvl="0">
      <w:lvlJc w:val="left"/>
      <w:lvlText w:val="%1."/>
      <w:numFmt w:val="decimal"/>
      <w:start w:val="1"/>
    </w:lvl>
    <w:lvl w:ilvl="1">
      <w:lvlJc w:val="left"/>
      <w:lvlText w:val="(%2)"/>
      <w:numFmt w:val="lowerLetter"/>
      <w:start w:val="1"/>
    </w:lvl>
  </w:abstractNum>
  <w:abstractNum w:abstractNumId="53">
    <w:nsid w:val="1CF10FD8"/>
    <w:multiLevelType w:val="hybridMultilevel"/>
    <w:lvl w:ilvl="0">
      <w:lvlJc w:val="left"/>
      <w:lvlText w:val="%1."/>
      <w:numFmt w:val="decimal"/>
      <w:start w:val="3"/>
    </w:lvl>
    <w:lvl w:ilvl="1">
      <w:lvlJc w:val="left"/>
      <w:lvlText w:val="(%2)"/>
      <w:numFmt w:val="lowerLetter"/>
      <w:start w:val="1"/>
    </w:lvl>
  </w:abstractNum>
  <w:abstractNum w:abstractNumId="54">
    <w:nsid w:val="180115BE"/>
    <w:multiLevelType w:val="hybridMultilevel"/>
    <w:lvl w:ilvl="0">
      <w:lvlJc w:val="left"/>
      <w:lvlText w:val="%1."/>
      <w:numFmt w:val="upperLetter"/>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4"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jpe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107" Type="http://schemas.openxmlformats.org/officeDocument/2006/relationships/hyperlink" Target="http://www.sec.gov/Archives/edgar/data/1438423/000119312516737688/d271840dex31.htm" TargetMode="External"/><Relationship Id="rId108" Type="http://schemas.openxmlformats.org/officeDocument/2006/relationships/hyperlink" Target="http://www.sec.gov/Archives/edgar/data/1438423/000119312516706479/d180963dex36.htm" TargetMode="External"/><Relationship Id="rId109" Type="http://schemas.openxmlformats.org/officeDocument/2006/relationships/hyperlink" Target="http://www.sec.gov/Archives/edgar/data/1438423/000119312516706479/d180963dex41.htm" TargetMode="External"/><Relationship Id="rId110" Type="http://schemas.openxmlformats.org/officeDocument/2006/relationships/hyperlink" Target="http://www.sec.gov/Archives/edgar/data/1438423/000119312516706479/d180963dex101.htm" TargetMode="External"/><Relationship Id="rId111" Type="http://schemas.openxmlformats.org/officeDocument/2006/relationships/hyperlink" Target="http://www.sec.gov/Archives/edgar/data/1438423/000119312516718974/d180963dex102.htm" TargetMode="External"/><Relationship Id="rId112" Type="http://schemas.openxmlformats.org/officeDocument/2006/relationships/hyperlink" Target="http://www.sec.gov/Archives/edgar/data/1438423/000119312516718974/d180963dex103.htm" TargetMode="External"/><Relationship Id="rId113" Type="http://schemas.openxmlformats.org/officeDocument/2006/relationships/hyperlink" Target="http://www.sec.gov/Archives/edgar/data/1438423/000119312516718974/d180963dex104.htm" TargetMode="External"/><Relationship Id="rId114" Type="http://schemas.openxmlformats.org/officeDocument/2006/relationships/hyperlink" Target="http://www.sec.gov/Archives/edgar/data/1438423/000119312516706479/d180963dex105.htm" TargetMode="External"/><Relationship Id="rId115" Type="http://schemas.openxmlformats.org/officeDocument/2006/relationships/hyperlink" Target="http://www.sec.gov/Archives/edgar/data/1438423/000119312516706479/d180963dex106.htm" TargetMode="External"/><Relationship Id="rId116" Type="http://schemas.openxmlformats.org/officeDocument/2006/relationships/hyperlink" Target="http://www.sec.gov/Archives/edgar/data/1438423/000119312516706479/d180963dex107.htm" TargetMode="External"/><Relationship Id="rId117" Type="http://schemas.openxmlformats.org/officeDocument/2006/relationships/hyperlink" Target="http://www.sec.gov/Archives/edgar/data/1438423/000119312516706479/d180963dex108.htm" TargetMode="External"/><Relationship Id="rId118" Type="http://schemas.openxmlformats.org/officeDocument/2006/relationships/hyperlink" Target="http://www.sec.gov/Archives/edgar/data/1438423/000119312516706479/d180963dex109.htm" TargetMode="External"/><Relationship Id="rId119" Type="http://schemas.openxmlformats.org/officeDocument/2006/relationships/hyperlink" Target="http://www.sec.gov/Archives/edgar/data/1438423/000119312516706479/d180963dex1010.htm" TargetMode="External"/><Relationship Id="rId120" Type="http://schemas.openxmlformats.org/officeDocument/2006/relationships/hyperlink" Target="http://www.sec.gov/Archives/edgar/data/1438423/000119312516706479/d180963dex1011.htm" TargetMode="External"/><Relationship Id="rId121" Type="http://schemas.openxmlformats.org/officeDocument/2006/relationships/hyperlink" Target="http://www.sec.gov/Archives/edgar/data/1438423/000119312516706479/d180963dex1012.htm" TargetMode="External"/><Relationship Id="rId122" Type="http://schemas.openxmlformats.org/officeDocument/2006/relationships/hyperlink" Target="http://www.sec.gov/Archives/edgar/data/1438423/000119312516706479/d180963dex1013.htm" TargetMode="External"/><Relationship Id="rId123" Type="http://schemas.openxmlformats.org/officeDocument/2006/relationships/hyperlink" Target="http://www.sec.gov/Archives/edgar/data/1438423/000119312516706479/d180963dex1014.htm" TargetMode="External"/><Relationship Id="rId125" Type="http://schemas.openxmlformats.org/officeDocument/2006/relationships/hyperlink" Target="http://www.sec.gov/Archives/edgar/data/1438423/000119312516706479/d180963dex1015.htm" TargetMode="External"/><Relationship Id="rId126" Type="http://schemas.openxmlformats.org/officeDocument/2006/relationships/hyperlink" Target="http://www.sec.gov/Archives/edgar/data/1438423/000119312516706479/d180963dex1016.htm" TargetMode="External"/><Relationship Id="rId127" Type="http://schemas.openxmlformats.org/officeDocument/2006/relationships/hyperlink" Target="http://www.sec.gov/Archives/edgar/data/1438423/000119312516706479/d180963dex1017.htm" TargetMode="External"/><Relationship Id="rId128" Type="http://schemas.openxmlformats.org/officeDocument/2006/relationships/hyperlink" Target="http://www.sec.gov/Archives/edgar/data/1438423/000119312516706479/d180963dex1018.htm" TargetMode="External"/><Relationship Id="rId129" Type="http://schemas.openxmlformats.org/officeDocument/2006/relationships/hyperlink" Target="http://www.sec.gov/Archives/edgar/data/1438423/000119312516706479/d180963dex1019.htm" TargetMode="External"/><Relationship Id="rId130" Type="http://schemas.openxmlformats.org/officeDocument/2006/relationships/hyperlink" Target="http://www.sec.gov/Archives/edgar/data/1438423/000119312516706479/d180963dex1020.htm" TargetMode="External"/><Relationship Id="rId131" Type="http://schemas.openxmlformats.org/officeDocument/2006/relationships/hyperlink" Target="http://www.sec.gov/Archives/edgar/data/1438423/000119312516706479/d180963dex1021.htm" TargetMode="External"/><Relationship Id="rId132" Type="http://schemas.openxmlformats.org/officeDocument/2006/relationships/hyperlink" Target="http://www.sec.gov/Archives/edgar/data/1438423/000119312516706479/d180963dex1022.htm" TargetMode="External"/><Relationship Id="rId133" Type="http://schemas.openxmlformats.org/officeDocument/2006/relationships/hyperlink" Target="http://www.sec.gov/Archives/edgar/data/1438423/000119312516718974/d180963dex1023.htm" TargetMode="External"/><Relationship Id="rId134" Type="http://schemas.openxmlformats.org/officeDocument/2006/relationships/hyperlink" Target="http://www.sec.gov/Archives/edgar/data/1438423/000119312516772344/d268751dex104.htm" TargetMode="External"/><Relationship Id="rId135" Type="http://schemas.openxmlformats.org/officeDocument/2006/relationships/hyperlink" Target="http://www.sec.gov/Archives/edgar/data/1438423/000155837017002252/mram-20161231ex1025abf4d.htm" TargetMode="External"/><Relationship Id="rId136" Type="http://schemas.openxmlformats.org/officeDocument/2006/relationships/hyperlink" Target="http://www.sec.gov/Archives/edgar/data/1438423/000119312517015341/d329973d8k.htm" TargetMode="External"/><Relationship Id="rId137" Type="http://schemas.openxmlformats.org/officeDocument/2006/relationships/hyperlink" Target="http://www.sec.gov/Archives/edgar/data/1438423/000119312517099843/d309079dex101.htm" TargetMode="External"/><Relationship Id="rId138" Type="http://schemas.openxmlformats.org/officeDocument/2006/relationships/hyperlink" Target="http://www.sec.gov/Archives/edgar/data/1438423/000119312517099844/d365467dex101.htm" TargetMode="External"/><Relationship Id="rId139" Type="http://schemas.openxmlformats.org/officeDocument/2006/relationships/hyperlink" Target="http://www.sec.gov/Archives/edgar/data/1438423/000119312517099844/d365467dex102.htm" TargetMode="External"/><Relationship Id="rId140" Type="http://schemas.openxmlformats.org/officeDocument/2006/relationships/hyperlink" Target="http://www.sec.gov/Archives/edgar/data/1438423/000119312517099844/d365467dex103.htm" TargetMode="External"/><Relationship Id="rId141" Type="http://schemas.openxmlformats.org/officeDocument/2006/relationships/hyperlink" Target="http://www.sec.gov/Archives/edgar/data/1438423/000119312517164365/d373185d8k.htm" TargetMode="External"/><Relationship Id="rId142" Type="http://schemas.openxmlformats.org/officeDocument/2006/relationships/hyperlink" Target="http://www.sec.gov/Archives/edgar/data/1438423/000155837017006581/mram-20170630ex10243ff3e.htm" TargetMode="External"/><Relationship Id="rId143" Type="http://schemas.openxmlformats.org/officeDocument/2006/relationships/hyperlink" Target="http://www.sec.gov/Archives/edgar/data/1438423/000155837017006581/mram-20170630ex10377ae0d.htm" TargetMode="External"/><Relationship Id="rId144" Type="http://schemas.openxmlformats.org/officeDocument/2006/relationships/hyperlink" Target="http://www.sec.gov/Archives/edgar/data/1438423/000119312517265003/d438753d8k.htm" TargetMode="External"/><Relationship Id="rId145" Type="http://schemas.openxmlformats.org/officeDocument/2006/relationships/hyperlink" Target="http://www.sec.gov/Archives/edgar/data/1438423/000155837017008862/mram-20170930ex102cdba9d.htm" TargetMode="External"/><Relationship Id="rId146" Type="http://schemas.openxmlformats.org/officeDocument/2006/relationships/hyperlink" Target="http://www.sec.gov/Archives/edgar/data/1438423/000155837017008862/mram-20170930ex103cdc87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2019-12-28T23:55:07Z</dcterms:created>
  <dcterms:modified xsi:type="dcterms:W3CDTF">2019-12-28T23:55:07Z</dcterms:modified>
</cp:coreProperties>
</file>