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246380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5"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92710</wp:posOffset>
            </wp:positionV>
            <wp:extent cx="15601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15"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30" w:right="180" w:hanging="430"/>
        <w:spacing w:after="0" w:line="236" w:lineRule="auto"/>
        <w:tabs>
          <w:tab w:leader="none" w:pos="43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1"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30" w:right="180" w:hanging="430"/>
        <w:spacing w:after="0" w:line="256" w:lineRule="auto"/>
        <w:tabs>
          <w:tab w:leader="none" w:pos="43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7" w:lineRule="exact"/>
        <w:rPr>
          <w:sz w:val="24"/>
          <w:szCs w:val="24"/>
          <w:color w:val="auto"/>
        </w:rPr>
      </w:pPr>
    </w:p>
    <w:p>
      <w:pPr>
        <w:ind w:left="3270"/>
        <w:spacing w:after="0"/>
        <w:tabs>
          <w:tab w:leader="none" w:pos="621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3580765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15"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63500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47625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6" w:lineRule="exact"/>
        <w:rPr>
          <w:sz w:val="24"/>
          <w:szCs w:val="24"/>
          <w:color w:val="auto"/>
        </w:rPr>
      </w:pPr>
    </w:p>
    <w:tbl>
      <w:tblPr>
        <w:tblLayout w:type="fixed"/>
        <w:tblInd w:w="1230" w:type="dxa"/>
        <w:tblCellMar>
          <w:top w:w="0" w:type="dxa"/>
          <w:left w:w="0" w:type="dxa"/>
          <w:bottom w:w="0" w:type="dxa"/>
          <w:right w:w="0" w:type="dxa"/>
        </w:tblCellMar>
      </w:tblP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3"/>
              </w:rPr>
              <w:t>Delaware</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(State or other jurisdiction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60" w:type="dxa"/>
            <w:vAlign w:val="bottom"/>
          </w:tcPr>
          <w:p>
            <w:pPr>
              <w:jc w:val="center"/>
              <w:ind w:right="1530"/>
              <w:spacing w:after="0"/>
              <w:rPr>
                <w:sz w:val="20"/>
                <w:szCs w:val="20"/>
                <w:color w:val="auto"/>
              </w:rPr>
            </w:pPr>
            <w:r>
              <w:rPr>
                <w:rFonts w:ascii="Arial" w:cs="Arial" w:eastAsia="Arial" w:hAnsi="Arial"/>
                <w:sz w:val="18"/>
                <w:szCs w:val="18"/>
                <w:b w:val="1"/>
                <w:bCs w:val="1"/>
                <w:color w:val="auto"/>
                <w:w w:val="91"/>
              </w:rPr>
              <w:t>of incorporation or organization)</w:t>
            </w:r>
          </w:p>
        </w:tc>
        <w:tc>
          <w:tcPr>
            <w:tcW w:w="304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0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5670 W. Chandler Boulevard, Suite 100</w:t>
      </w:r>
    </w:p>
    <w:p>
      <w:pPr>
        <w:spacing w:after="0" w:line="2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Chandler, Arizona 85226</w:t>
      </w:r>
    </w:p>
    <w:p>
      <w:pPr>
        <w:spacing w:after="0" w:line="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12" w:lineRule="exact"/>
        <w:rPr>
          <w:sz w:val="24"/>
          <w:szCs w:val="24"/>
          <w:color w:val="auto"/>
        </w:rPr>
      </w:pPr>
    </w:p>
    <w:p>
      <w:pPr>
        <w:ind w:left="2550"/>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85725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9"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23"/>
        </w:trPr>
        <w:tc>
          <w:tcPr>
            <w:tcW w:w="342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of each class</w:t>
            </w:r>
          </w:p>
        </w:tc>
        <w:tc>
          <w:tcPr>
            <w:tcW w:w="340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Trading Symbol(s)</w:t>
            </w:r>
          </w:p>
        </w:tc>
        <w:tc>
          <w:tcPr>
            <w:tcW w:w="342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Name of each exchange on which registered</w:t>
            </w:r>
          </w:p>
        </w:tc>
      </w:tr>
      <w:tr>
        <w:trPr>
          <w:trHeight w:val="210"/>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Common Stock, par value $0.0001</w:t>
            </w:r>
          </w:p>
        </w:tc>
        <w:tc>
          <w:tcPr>
            <w:tcW w:w="3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MRAM</w:t>
            </w:r>
          </w:p>
        </w:tc>
        <w:tc>
          <w:tcPr>
            <w:tcW w:w="3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Nasdaq Stock Market LLC</w:t>
            </w:r>
          </w:p>
        </w:tc>
      </w:tr>
    </w:tbl>
    <w:p>
      <w:pPr>
        <w:spacing w:after="0" w:line="107" w:lineRule="exact"/>
        <w:rPr>
          <w:sz w:val="24"/>
          <w:szCs w:val="24"/>
          <w:color w:val="auto"/>
        </w:rPr>
      </w:pPr>
    </w:p>
    <w:p>
      <w:pPr>
        <w:jc w:val="both"/>
        <w:ind w:left="10"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left="10" w:right="18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0" w:type="dxa"/>
        <w:tblCellMar>
          <w:top w:w="0" w:type="dxa"/>
          <w:left w:w="0" w:type="dxa"/>
          <w:bottom w:w="0" w:type="dxa"/>
          <w:right w:w="0" w:type="dxa"/>
        </w:tblCellMar>
      </w:tblPr>
      <w:tr>
        <w:trPr>
          <w:trHeight w:val="185"/>
        </w:trPr>
        <w:tc>
          <w:tcPr>
            <w:tcW w:w="1780" w:type="dxa"/>
            <w:vAlign w:val="bottom"/>
          </w:tcPr>
          <w:p>
            <w:pPr>
              <w:spacing w:after="0" w:line="185" w:lineRule="exact"/>
              <w:rPr>
                <w:sz w:val="20"/>
                <w:szCs w:val="20"/>
                <w:color w:val="auto"/>
              </w:rPr>
            </w:pPr>
            <w:r>
              <w:rPr>
                <w:rFonts w:ascii="Arial" w:cs="Arial" w:eastAsia="Arial" w:hAnsi="Arial"/>
                <w:sz w:val="18"/>
                <w:szCs w:val="18"/>
                <w:color w:val="auto"/>
                <w:w w:val="98"/>
              </w:rPr>
              <w:t>Large accelerated filer</w:t>
            </w:r>
          </w:p>
        </w:tc>
        <w:tc>
          <w:tcPr>
            <w:tcW w:w="29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600"/>
              <w:spacing w:after="0" w:line="185" w:lineRule="exact"/>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600"/>
              <w:spacing w:after="0"/>
              <w:rPr>
                <w:sz w:val="20"/>
                <w:szCs w:val="20"/>
                <w:color w:val="auto"/>
              </w:rPr>
            </w:pPr>
            <w:r>
              <w:rPr>
                <w:rFonts w:ascii="Arial" w:cs="Arial" w:eastAsia="Arial" w:hAnsi="Arial"/>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60" w:type="dxa"/>
            <w:vAlign w:val="bottom"/>
          </w:tcPr>
          <w:p>
            <w:pPr>
              <w:ind w:left="2600"/>
              <w:spacing w:after="0"/>
              <w:rPr>
                <w:sz w:val="20"/>
                <w:szCs w:val="20"/>
                <w:color w:val="auto"/>
              </w:rPr>
            </w:pPr>
            <w:r>
              <w:rPr>
                <w:rFonts w:ascii="Arial" w:cs="Arial" w:eastAsia="Arial" w:hAnsi="Arial"/>
                <w:sz w:val="18"/>
                <w:szCs w:val="18"/>
                <w:color w:val="auto"/>
                <w:w w:val="99"/>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0"/>
        </w:trPr>
        <w:tc>
          <w:tcPr>
            <w:tcW w:w="9480" w:type="dxa"/>
            <w:vAlign w:val="bottom"/>
            <w:gridSpan w:val="3"/>
          </w:tcPr>
          <w:p>
            <w:pPr>
              <w:spacing w:after="0"/>
              <w:rPr>
                <w:sz w:val="20"/>
                <w:szCs w:val="20"/>
                <w:color w:val="auto"/>
              </w:rPr>
            </w:pPr>
            <w:r>
              <w:rPr>
                <w:rFonts w:ascii="Arial" w:cs="Arial" w:eastAsia="Arial" w:hAnsi="Arial"/>
                <w:sz w:val="18"/>
                <w:szCs w:val="18"/>
                <w:color w:val="auto"/>
                <w:w w:val="92"/>
              </w:rPr>
              <w:t>If an emerging growth company, indicate by check mark if the registrant has elected not to use the extended transition period for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9480" w:type="dxa"/>
            <w:vAlign w:val="bottom"/>
            <w:gridSpan w:val="3"/>
          </w:tcPr>
          <w:p>
            <w:pPr>
              <w:spacing w:after="0"/>
              <w:rPr>
                <w:sz w:val="20"/>
                <w:szCs w:val="20"/>
                <w:color w:val="auto"/>
              </w:rPr>
            </w:pPr>
            <w:r>
              <w:rPr>
                <w:rFonts w:ascii="Arial" w:cs="Arial" w:eastAsia="Arial" w:hAnsi="Arial"/>
                <w:sz w:val="18"/>
                <w:szCs w:val="18"/>
                <w:color w:val="auto"/>
                <w:w w:val="97"/>
              </w:rPr>
              <w:t>complying with any new or revised financial accounting standards provided pursuant to Section 13(a) of the Exchange Act.</w:t>
            </w:r>
          </w:p>
        </w:tc>
        <w:tc>
          <w:tcPr>
            <w:tcW w:w="740" w:type="dxa"/>
            <w:vAlign w:val="bottom"/>
          </w:tcPr>
          <w:p>
            <w:pPr>
              <w:spacing w:after="0"/>
              <w:rPr>
                <w:sz w:val="20"/>
                <w:szCs w:val="20"/>
                <w:color w:val="auto"/>
              </w:rPr>
            </w:pPr>
          </w:p>
        </w:tc>
      </w:tr>
      <w:tr>
        <w:trPr>
          <w:trHeight w:val="384"/>
        </w:trPr>
        <w:tc>
          <w:tcPr>
            <w:tcW w:w="9480" w:type="dxa"/>
            <w:vAlign w:val="bottom"/>
            <w:gridSpan w:val="3"/>
          </w:tcPr>
          <w:p>
            <w:pPr>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7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47"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 number of shares of the Registrant’s Common Stock outstanding as of August 11, 2021 was 19,477,652.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606425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74930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50"/>
          </w:cols>
          <w:pgMar w:left="830" w:top="665" w:right="819" w:bottom="1440" w:gutter="0" w:footer="0" w:header="0"/>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40" w:type="dxa"/>
            <w:vAlign w:val="bottom"/>
            <w:gridSpan w:val="14"/>
            <w:vMerge w:val="restart"/>
          </w:tcPr>
          <w:p>
            <w:pPr>
              <w:jc w:val="center"/>
              <w:ind w:right="21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40" w:type="dxa"/>
            <w:vAlign w:val="bottom"/>
            <w:gridSpan w:val="14"/>
            <w:vMerge w:val="continue"/>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40" w:type="dxa"/>
            <w:vAlign w:val="bottom"/>
            <w:gridSpan w:val="3"/>
          </w:tcPr>
          <w:p>
            <w:pPr>
              <w:spacing w:after="0"/>
              <w:rPr>
                <w:sz w:val="18"/>
                <w:szCs w:val="18"/>
                <w:color w:val="auto"/>
              </w:rPr>
            </w:pPr>
          </w:p>
        </w:tc>
        <w:tc>
          <w:tcPr>
            <w:tcW w:w="3160" w:type="dxa"/>
            <w:vAlign w:val="bottom"/>
            <w:tcBorders>
              <w:top w:val="single" w:sz="8" w:color="0000EE"/>
            </w:tcBorders>
            <w:gridSpan w:val="8"/>
          </w:tcPr>
          <w:p>
            <w:pPr>
              <w:spacing w:after="0"/>
              <w:rPr>
                <w:sz w:val="18"/>
                <w:szCs w:val="18"/>
                <w:color w:val="auto"/>
              </w:rPr>
            </w:pPr>
          </w:p>
        </w:tc>
        <w:tc>
          <w:tcPr>
            <w:tcW w:w="2180" w:type="dxa"/>
            <w:vAlign w:val="bottom"/>
            <w:gridSpan w:val="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6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Balance Sheets as of June 30, 2021 (unaudited) and December 31, 2020</w:t>
              </w:r>
            </w:hyperlink>
          </w:p>
        </w:tc>
        <w:tc>
          <w:tcPr>
            <w:tcW w:w="1160" w:type="dxa"/>
            <w:vAlign w:val="bottom"/>
            <w:gridSpan w:val="5"/>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Condensed Statements of Operations and Comprehensive Income (Loss) for the three and six</w:t>
              </w:r>
            </w:hyperlink>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months ended June 30, 2021 and 2020 (unaudited)</w:t>
              </w:r>
            </w:hyperlink>
          </w:p>
        </w:tc>
        <w:tc>
          <w:tcPr>
            <w:tcW w:w="2820" w:type="dxa"/>
            <w:vAlign w:val="bottom"/>
            <w:tcBorders>
              <w:top w:val="single" w:sz="8" w:color="0000EE"/>
            </w:tcBorders>
            <w:gridSpan w:val="8"/>
          </w:tcPr>
          <w:p>
            <w:pPr>
              <w:spacing w:after="0"/>
              <w:rPr>
                <w:sz w:val="17"/>
                <w:szCs w:val="17"/>
                <w:color w:val="auto"/>
              </w:rPr>
            </w:pPr>
          </w:p>
        </w:tc>
        <w:tc>
          <w:tcPr>
            <w:tcW w:w="48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2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Statements of Stockholders’ Equity for the three and six months ended June 30, 2021</w:t>
              </w:r>
            </w:hyperlink>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and 2020 (unaudited)</w:t>
              </w:r>
            </w:hyperlink>
          </w:p>
        </w:tc>
        <w:tc>
          <w:tcPr>
            <w:tcW w:w="54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4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Statements of Cash Flows for the six months ended June 30, 2021 and 2020</w:t>
              </w:r>
            </w:hyperlink>
          </w:p>
        </w:tc>
        <w:tc>
          <w:tcPr>
            <w:tcW w:w="880" w:type="dxa"/>
            <w:vAlign w:val="bottom"/>
            <w:gridSpan w:val="3"/>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1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1040" w:type="dxa"/>
            <w:vAlign w:val="bottom"/>
            <w:gridSpan w:val="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80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4.</w:t>
              </w:r>
            </w:hyperlink>
          </w:p>
        </w:tc>
        <w:tc>
          <w:tcPr>
            <w:tcW w:w="7660" w:type="dxa"/>
            <w:vAlign w:val="bottom"/>
            <w:gridSpan w:val="27"/>
          </w:tcPr>
          <w:p>
            <w:pPr>
              <w:ind w:left="160"/>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II—OTHER INFORMATION</w:t>
              </w:r>
            </w:hyperlink>
          </w:p>
        </w:tc>
        <w:tc>
          <w:tcPr>
            <w:tcW w:w="23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7660" w:type="dxa"/>
            <w:vAlign w:val="bottom"/>
            <w:gridSpan w:val="27"/>
          </w:tcPr>
          <w:p>
            <w:pPr>
              <w:ind w:left="160"/>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40" w:type="dxa"/>
            <w:vAlign w:val="bottom"/>
            <w:gridSpan w:val="9"/>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Unregistered Sales of Equity Securities and Use of Proceeds</w:t>
              </w:r>
            </w:hyperlink>
          </w:p>
        </w:tc>
        <w:tc>
          <w:tcPr>
            <w:tcW w:w="3140" w:type="dxa"/>
            <w:vAlign w:val="bottom"/>
            <w:gridSpan w:val="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3.</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Defaults Upon Senior Securities</w:t>
              </w:r>
            </w:hyperlink>
          </w:p>
        </w:tc>
        <w:tc>
          <w:tcPr>
            <w:tcW w:w="5160" w:type="dxa"/>
            <w:vAlign w:val="bottom"/>
            <w:gridSpan w:val="12"/>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Mine Safety Disclosures</w:t>
              </w:r>
            </w:hyperlink>
          </w:p>
        </w:tc>
        <w:tc>
          <w:tcPr>
            <w:tcW w:w="5720" w:type="dxa"/>
            <w:vAlign w:val="bottom"/>
            <w:gridSpan w:val="16"/>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5.</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500" w:type="dxa"/>
            <w:vAlign w:val="bottom"/>
            <w:gridSpan w:val="2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6.</w:t>
              </w:r>
            </w:hyperlink>
          </w:p>
        </w:tc>
        <w:tc>
          <w:tcPr>
            <w:tcW w:w="2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6160" w:type="dxa"/>
            <w:vAlign w:val="bottom"/>
            <w:gridSpan w:val="19"/>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900" w:type="dxa"/>
            <w:vAlign w:val="bottom"/>
            <w:gridSpan w:val="2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EXHIBIT INDEX</w:t>
              </w:r>
            </w:hyperlink>
          </w:p>
        </w:tc>
        <w:tc>
          <w:tcPr>
            <w:tcW w:w="7120" w:type="dxa"/>
            <w:vAlign w:val="bottom"/>
            <w:gridSpan w:val="24"/>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8460" w:type="dxa"/>
            <w:vAlign w:val="bottom"/>
            <w:gridSpan w:val="3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right="119"/>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3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14,599</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0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4,242</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r>
      <w:tr>
        <w:trPr>
          <w:trHeight w:val="216"/>
        </w:trPr>
        <w:tc>
          <w:tcPr>
            <w:tcW w:w="6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3,748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income tax liability</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r>
      <w:tr>
        <w:trPr>
          <w:trHeight w:val="210"/>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2"/>
        </w:trPr>
        <w:tc>
          <w:tcPr>
            <w:tcW w:w="6320" w:type="dxa"/>
            <w:vAlign w:val="bottom"/>
          </w:tcPr>
          <w:p>
            <w:pPr>
              <w:ind w:left="120"/>
              <w:spacing w:after="0" w:line="201" w:lineRule="exact"/>
              <w:rPr>
                <w:sz w:val="20"/>
                <w:szCs w:val="20"/>
                <w:color w:val="auto"/>
              </w:rPr>
            </w:pPr>
            <w:r>
              <w:rPr>
                <w:rFonts w:ascii="Arial" w:cs="Arial" w:eastAsia="Arial" w:hAnsi="Arial"/>
                <w:sz w:val="18"/>
                <w:szCs w:val="18"/>
                <w:color w:val="auto"/>
                <w:w w:val="90"/>
              </w:rPr>
              <w:t>Preferred stock, $0.0001 par value per share; 5,000,000 shares authorized; no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6320" w:type="dxa"/>
            <w:vAlign w:val="bottom"/>
          </w:tcPr>
          <w:p>
            <w:pPr>
              <w:ind w:left="120"/>
              <w:spacing w:after="0"/>
              <w:rPr>
                <w:sz w:val="20"/>
                <w:szCs w:val="20"/>
                <w:color w:val="auto"/>
              </w:rPr>
            </w:pPr>
            <w:r>
              <w:rPr>
                <w:rFonts w:ascii="Arial" w:cs="Arial" w:eastAsia="Arial" w:hAnsi="Arial"/>
                <w:sz w:val="18"/>
                <w:szCs w:val="18"/>
                <w:color w:val="auto"/>
              </w:rPr>
              <w:t>issued and outstanding as of June 30, 2021 and December 31, 2020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Common stock, $0.0001 par value per share; 100,000,000 shares authorized;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19,435,274 and 19,031,556 shares issued and outstanding as of June 30, 2021 and</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31, 2020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32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174,584</w:t>
            </w:r>
          </w:p>
        </w:tc>
      </w:tr>
      <w:tr>
        <w:trPr>
          <w:trHeight w:val="216"/>
        </w:trPr>
        <w:tc>
          <w:tcPr>
            <w:tcW w:w="6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(157,378)</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(157,174)</w:t>
            </w:r>
          </w:p>
        </w:tc>
      </w:tr>
      <w:tr>
        <w:trPr>
          <w:trHeight w:val="210"/>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19,312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r>
      <w:tr>
        <w:trPr>
          <w:trHeight w:val="210"/>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0" w:right="59"/>
        <w:spacing w:after="0" w:line="263"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Income (Loss) (In thousands, except share and per share amounts) (Unaudited)</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6"/>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ind w:left="40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royalty, and other revenue</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6,521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licensing, royalty, and other</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Arial" w:cs="Arial" w:eastAsia="Arial" w:hAnsi="Arial"/>
                <w:sz w:val="17"/>
                <w:szCs w:val="17"/>
                <w:color w:val="auto"/>
              </w:rPr>
              <w:t>Operating expenses: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Gain (loss) from operations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201" w:lineRule="exact"/>
              <w:rPr>
                <w:sz w:val="20"/>
                <w:szCs w:val="20"/>
                <w:color w:val="auto"/>
              </w:rPr>
            </w:pPr>
            <w:r>
              <w:rPr>
                <w:rFonts w:ascii="Arial" w:cs="Arial" w:eastAsia="Arial" w:hAnsi="Arial"/>
                <w:sz w:val="18"/>
                <w:szCs w:val="18"/>
                <w:color w:val="auto"/>
              </w:rPr>
              <w:t>Net income (loss) and comprehensive</w:t>
            </w: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00" w:type="dxa"/>
            <w:vAlign w:val="bottom"/>
            <w:vMerge w:val="continue"/>
          </w:tcPr>
          <w:p>
            <w:pPr>
              <w:spacing w:after="0"/>
              <w:rPr>
                <w:sz w:val="15"/>
                <w:szCs w:val="15"/>
                <w:color w:val="auto"/>
              </w:rPr>
            </w:pPr>
          </w:p>
        </w:tc>
        <w:tc>
          <w:tcPr>
            <w:tcW w:w="80" w:type="dxa"/>
            <w:vAlign w:val="bottom"/>
            <w:vMerge w:val="restart"/>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5"/>
                <w:szCs w:val="15"/>
                <w:color w:val="auto"/>
              </w:rPr>
            </w:pPr>
          </w:p>
        </w:tc>
        <w:tc>
          <w:tcPr>
            <w:tcW w:w="400" w:type="dxa"/>
            <w:vAlign w:val="bottom"/>
            <w:gridSpan w:val="2"/>
            <w:vMerge w:val="restart"/>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(1,294)</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(204)</w:t>
            </w:r>
          </w:p>
        </w:tc>
        <w:tc>
          <w:tcPr>
            <w:tcW w:w="8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57"/>
        </w:trPr>
        <w:tc>
          <w:tcPr>
            <w:tcW w:w="3100" w:type="dxa"/>
            <w:vAlign w:val="bottom"/>
          </w:tcPr>
          <w:p>
            <w:pPr>
              <w:spacing w:after="0"/>
              <w:rPr>
                <w:sz w:val="20"/>
                <w:szCs w:val="20"/>
                <w:color w:val="auto"/>
              </w:rPr>
            </w:pPr>
            <w:r>
              <w:rPr>
                <w:rFonts w:ascii="Arial" w:cs="Arial" w:eastAsia="Arial" w:hAnsi="Arial"/>
                <w:sz w:val="18"/>
                <w:szCs w:val="18"/>
                <w:color w:val="auto"/>
              </w:rPr>
              <w:t>income (loss)</w:t>
            </w:r>
          </w:p>
        </w:tc>
        <w:tc>
          <w:tcPr>
            <w:tcW w:w="8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8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1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income (loss) per share attributable</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to common stockholders:</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2"/>
                <w:szCs w:val="22"/>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3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line="195" w:lineRule="exact"/>
              <w:rPr>
                <w:sz w:val="20"/>
                <w:szCs w:val="20"/>
                <w:color w:val="auto"/>
              </w:rPr>
            </w:pPr>
            <w:r>
              <w:rPr>
                <w:rFonts w:ascii="Arial" w:cs="Arial" w:eastAsia="Arial" w:hAnsi="Arial"/>
                <w:sz w:val="18"/>
                <w:szCs w:val="18"/>
                <w:color w:val="auto"/>
                <w:w w:val="89"/>
              </w:rPr>
              <w:t>Weighted average common shares used to</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w w:val="97"/>
              </w:rPr>
              <w:t>compute net income (loss) per common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share attributable to common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stockholders: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19,313,162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18,747,124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19,203,374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18,585,339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19,726,064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18,747,124</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19,203,374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18,585,339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gridSpan w:val="7"/>
          </w:tcPr>
          <w:p>
            <w:pPr>
              <w:spacing w:after="0" w:line="216" w:lineRule="exact"/>
              <w:rPr>
                <w:sz w:val="20"/>
                <w:szCs w:val="20"/>
                <w:color w:val="auto"/>
              </w:rPr>
            </w:pPr>
            <w:r>
              <w:rPr>
                <w:rFonts w:ascii="Arial" w:cs="Arial" w:eastAsia="Arial" w:hAnsi="Arial"/>
                <w:sz w:val="25"/>
                <w:szCs w:val="25"/>
                <w:color w:val="auto"/>
                <w:w w:val="96"/>
                <w:vertAlign w:val="superscript"/>
              </w:rPr>
              <w:t>1</w:t>
            </w:r>
            <w:r>
              <w:rPr>
                <w:rFonts w:ascii="Arial" w:cs="Arial" w:eastAsia="Arial" w:hAnsi="Arial"/>
                <w:sz w:val="17"/>
                <w:szCs w:val="17"/>
                <w:color w:val="auto"/>
                <w:w w:val="96"/>
              </w:rPr>
              <w:t>Operating expenses include stock-based compensation as follows: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Six Months Ended June 30, 2021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2020</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19,031,556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174,584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(157,174)</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54,077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136,709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2021</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19,222,342</w:t>
            </w:r>
          </w:p>
        </w:tc>
        <w:tc>
          <w:tcPr>
            <w:tcW w:w="1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175,835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(157,634)</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0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Exercise of stock options</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23,280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189,652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19,435,274</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176,688</w:t>
            </w: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(157,378)</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7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Six Months Ended June 30, 2020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2019</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18,081,753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167,149</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(148,662)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88,375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20"/>
              <w:spacing w:after="0" w:line="130" w:lineRule="exact"/>
              <w:rPr>
                <w:sz w:val="20"/>
                <w:szCs w:val="20"/>
                <w:color w:val="auto"/>
              </w:rPr>
            </w:pPr>
            <w:r>
              <w:rPr>
                <w:rFonts w:ascii="Arial" w:cs="Arial" w:eastAsia="Arial" w:hAnsi="Arial"/>
                <w:sz w:val="14"/>
                <w:szCs w:val="14"/>
                <w:color w:val="auto"/>
              </w:rPr>
              <w:t>Issuance of common stock in at-the-market offering, net</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220"/>
              <w:spacing w:after="0"/>
              <w:rPr>
                <w:sz w:val="20"/>
                <w:szCs w:val="20"/>
                <w:color w:val="auto"/>
              </w:rPr>
            </w:pPr>
            <w:r>
              <w:rPr>
                <w:rFonts w:ascii="Arial" w:cs="Arial" w:eastAsia="Arial" w:hAnsi="Arial"/>
                <w:sz w:val="14"/>
                <w:szCs w:val="14"/>
                <w:color w:val="auto"/>
              </w:rPr>
              <w:t>of issuance costs</w:t>
            </w:r>
          </w:p>
        </w:tc>
        <w:tc>
          <w:tcPr>
            <w:tcW w:w="900" w:type="dxa"/>
            <w:vAlign w:val="bottom"/>
          </w:tcPr>
          <w:p>
            <w:pPr>
              <w:jc w:val="right"/>
              <w:spacing w:after="0"/>
              <w:rPr>
                <w:sz w:val="20"/>
                <w:szCs w:val="20"/>
                <w:color w:val="auto"/>
              </w:rPr>
            </w:pPr>
            <w:r>
              <w:rPr>
                <w:rFonts w:ascii="Arial" w:cs="Arial" w:eastAsia="Arial" w:hAnsi="Arial"/>
                <w:sz w:val="14"/>
                <w:szCs w:val="14"/>
                <w:color w:val="auto"/>
              </w:rPr>
              <w:t>468,427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7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Balance at March 31, 2020</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18,638,555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170,353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(150,394)</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19,961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700" w:type="dxa"/>
            <w:vAlign w:val="bottom"/>
            <w:shd w:val="clear" w:color="auto" w:fill="CCEEFF"/>
          </w:tcPr>
          <w:p>
            <w:pPr>
              <w:ind w:left="220"/>
              <w:spacing w:after="0" w:line="129" w:lineRule="exact"/>
              <w:rPr>
                <w:sz w:val="20"/>
                <w:szCs w:val="20"/>
                <w:color w:val="auto"/>
              </w:rPr>
            </w:pPr>
            <w:r>
              <w:rPr>
                <w:rFonts w:ascii="Arial" w:cs="Arial" w:eastAsia="Arial" w:hAnsi="Arial"/>
                <w:sz w:val="14"/>
                <w:szCs w:val="14"/>
                <w:color w:val="auto"/>
              </w:rPr>
              <w:t>Issuance of common stock under stock incentive plans</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231,220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line="142" w:lineRule="exact"/>
              <w:rPr>
                <w:sz w:val="20"/>
                <w:szCs w:val="20"/>
                <w:color w:val="auto"/>
              </w:rPr>
            </w:pPr>
            <w:r>
              <w:rPr>
                <w:rFonts w:ascii="Arial" w:cs="Arial" w:eastAsia="Arial" w:hAnsi="Arial"/>
                <w:sz w:val="14"/>
                <w:szCs w:val="14"/>
                <w:color w:val="auto"/>
              </w:rPr>
              <w:t>Balance at June 30, 2020</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18,869,775</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172,098</w:t>
            </w:r>
          </w:p>
        </w:tc>
        <w:tc>
          <w:tcPr>
            <w:tcW w:w="120" w:type="dxa"/>
            <w:vAlign w:val="bottom"/>
          </w:tcPr>
          <w:p>
            <w:pPr>
              <w:spacing w:after="0"/>
              <w:rPr>
                <w:sz w:val="12"/>
                <w:szCs w:val="1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(151,688)</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operating activities</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1040" w:type="dxa"/>
            <w:vAlign w:val="bottom"/>
            <w:gridSpan w:val="2"/>
          </w:tcPr>
          <w:p>
            <w:pPr>
              <w:jc w:val="right"/>
              <w:ind w:right="725"/>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(204)</w:t>
            </w:r>
          </w:p>
        </w:tc>
        <w:tc>
          <w:tcPr>
            <w:tcW w:w="900" w:type="dxa"/>
            <w:vAlign w:val="bottom"/>
            <w:gridSpan w:val="2"/>
          </w:tcPr>
          <w:p>
            <w:pPr>
              <w:jc w:val="right"/>
              <w:ind w:right="771"/>
              <w:spacing w:after="0" w:line="162"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(3,026)</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5"/>
              </w:rPr>
              <w:t>Adjustments to reconcile net loss to net cash provided by (used in) operating activities: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line="162" w:lineRule="exact"/>
              <w:rPr>
                <w:sz w:val="20"/>
                <w:szCs w:val="20"/>
                <w:color w:val="auto"/>
              </w:rPr>
            </w:pPr>
            <w:r>
              <w:rPr>
                <w:rFonts w:ascii="Arial" w:cs="Arial" w:eastAsia="Arial" w:hAnsi="Arial"/>
                <w:sz w:val="15"/>
                <w:szCs w:val="15"/>
                <w:color w:val="auto"/>
              </w:rPr>
              <w:t>Depreciation and amortization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756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813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Stock-based compensation</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1,447</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1,723</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line="162" w:lineRule="exact"/>
              <w:rPr>
                <w:sz w:val="20"/>
                <w:szCs w:val="20"/>
                <w:color w:val="auto"/>
              </w:rPr>
            </w:pPr>
            <w:r>
              <w:rPr>
                <w:rFonts w:ascii="Arial" w:cs="Arial" w:eastAsia="Arial" w:hAnsi="Arial"/>
                <w:sz w:val="15"/>
                <w:szCs w:val="15"/>
                <w:color w:val="auto"/>
              </w:rPr>
              <w:t>Non-cash warrant revaluation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Non-cash interest expense</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147</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Accounts receivable</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(2,776)</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(1,540)</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line="162" w:lineRule="exact"/>
              <w:rPr>
                <w:sz w:val="20"/>
                <w:szCs w:val="20"/>
                <w:color w:val="auto"/>
              </w:rPr>
            </w:pPr>
            <w:r>
              <w:rPr>
                <w:rFonts w:ascii="Arial" w:cs="Arial" w:eastAsia="Arial" w:hAnsi="Arial"/>
                <w:sz w:val="15"/>
                <w:szCs w:val="15"/>
                <w:color w:val="auto"/>
              </w:rPr>
              <w:t>Inventory</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(850)</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(505)</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line="162" w:lineRule="exact"/>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861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(776)</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Accrued liabilities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(126)</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(1,008)</w:t>
            </w:r>
          </w:p>
        </w:tc>
        <w:tc>
          <w:tcPr>
            <w:tcW w:w="0" w:type="dxa"/>
            <w:vAlign w:val="bottom"/>
          </w:tcPr>
          <w:p>
            <w:pPr>
              <w:spacing w:after="0"/>
              <w:rPr>
                <w:sz w:val="1"/>
                <w:szCs w:val="1"/>
                <w:color w:val="auto"/>
              </w:rPr>
            </w:pPr>
          </w:p>
        </w:tc>
      </w:tr>
      <w:tr>
        <w:trPr>
          <w:trHeight w:val="162"/>
        </w:trPr>
        <w:tc>
          <w:tcPr>
            <w:tcW w:w="5480" w:type="dxa"/>
            <w:vAlign w:val="bottom"/>
          </w:tcPr>
          <w:p>
            <w:pPr>
              <w:ind w:left="120"/>
              <w:spacing w:after="0" w:line="162" w:lineRule="exact"/>
              <w:rPr>
                <w:sz w:val="20"/>
                <w:szCs w:val="20"/>
                <w:color w:val="auto"/>
              </w:rPr>
            </w:pPr>
            <w:r>
              <w:rPr>
                <w:rFonts w:ascii="Arial" w:cs="Arial" w:eastAsia="Arial" w:hAnsi="Arial"/>
                <w:sz w:val="15"/>
                <w:szCs w:val="15"/>
                <w:color w:val="auto"/>
              </w:rPr>
              <w:t>Deferred revenue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1,815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Lease liabilities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(64)</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6"/>
        </w:trPr>
        <w:tc>
          <w:tcPr>
            <w:tcW w:w="5480" w:type="dxa"/>
            <w:vAlign w:val="bottom"/>
            <w:tcBorders>
              <w:bottom w:val="single" w:sz="8" w:color="CCEEFF"/>
            </w:tcBorders>
          </w:tcPr>
          <w:p>
            <w:pPr>
              <w:ind w:left="120"/>
              <w:spacing w:after="0" w:line="156" w:lineRule="exact"/>
              <w:rPr>
                <w:sz w:val="20"/>
                <w:szCs w:val="20"/>
                <w:color w:val="auto"/>
              </w:rPr>
            </w:pPr>
            <w:r>
              <w:rPr>
                <w:rFonts w:ascii="Arial" w:cs="Arial" w:eastAsia="Arial" w:hAnsi="Arial"/>
                <w:sz w:val="15"/>
                <w:szCs w:val="15"/>
                <w:color w:val="auto"/>
              </w:rPr>
              <w:t>Net cash provided by (used in) operating activities</w:t>
            </w:r>
          </w:p>
        </w:tc>
        <w:tc>
          <w:tcPr>
            <w:tcW w:w="16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1,081</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(4,200)</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flows from investing activities</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Purchases of property and equipment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(554)</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(277)</w:t>
            </w:r>
          </w:p>
        </w:tc>
        <w:tc>
          <w:tcPr>
            <w:tcW w:w="0" w:type="dxa"/>
            <w:vAlign w:val="bottom"/>
          </w:tcPr>
          <w:p>
            <w:pPr>
              <w:spacing w:after="0"/>
              <w:rPr>
                <w:sz w:val="1"/>
                <w:szCs w:val="1"/>
                <w:color w:val="auto"/>
              </w:rPr>
            </w:pPr>
          </w:p>
        </w:tc>
      </w:tr>
      <w:tr>
        <w:trPr>
          <w:trHeight w:val="155"/>
        </w:trPr>
        <w:tc>
          <w:tcPr>
            <w:tcW w:w="5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investing activities</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(554)</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(277)</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80" w:type="dxa"/>
            <w:vAlign w:val="bottom"/>
          </w:tcPr>
          <w:p>
            <w:pPr>
              <w:spacing w:after="0" w:line="156" w:lineRule="exact"/>
              <w:rPr>
                <w:sz w:val="20"/>
                <w:szCs w:val="20"/>
                <w:color w:val="auto"/>
              </w:rPr>
            </w:pPr>
            <w:r>
              <w:rPr>
                <w:rFonts w:ascii="Arial" w:cs="Arial" w:eastAsia="Arial" w:hAnsi="Arial"/>
                <w:sz w:val="15"/>
                <w:szCs w:val="15"/>
                <w:b w:val="1"/>
                <w:bCs w:val="1"/>
                <w:color w:val="auto"/>
              </w:rPr>
              <w:t>Cash flows from financing activities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Payments on long-term debt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(1,200)</w:t>
            </w: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480" w:type="dxa"/>
            <w:vAlign w:val="bottom"/>
          </w:tcPr>
          <w:p>
            <w:pPr>
              <w:spacing w:after="0" w:line="162" w:lineRule="exact"/>
              <w:rPr>
                <w:sz w:val="20"/>
                <w:szCs w:val="20"/>
                <w:color w:val="auto"/>
              </w:rPr>
            </w:pPr>
            <w:r>
              <w:rPr>
                <w:rFonts w:ascii="Arial" w:cs="Arial" w:eastAsia="Arial" w:hAnsi="Arial"/>
                <w:sz w:val="15"/>
                <w:szCs w:val="15"/>
                <w:color w:val="auto"/>
              </w:rPr>
              <w:t>Payments on finance lease obligation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49"/>
        </w:trPr>
        <w:tc>
          <w:tcPr>
            <w:tcW w:w="54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9"/>
              </w:rPr>
              <w:t>Proceeds from exercise of stock options and purchase of shares in employee stock</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purchase plan</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827</w:t>
            </w: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line="149" w:lineRule="exact"/>
              <w:rPr>
                <w:sz w:val="20"/>
                <w:szCs w:val="20"/>
                <w:color w:val="auto"/>
              </w:rPr>
            </w:pPr>
            <w:r>
              <w:rPr>
                <w:rFonts w:ascii="Arial" w:cs="Arial" w:eastAsia="Arial" w:hAnsi="Arial"/>
                <w:sz w:val="15"/>
                <w:szCs w:val="15"/>
                <w:color w:val="auto"/>
                <w:w w:val="99"/>
              </w:rPr>
              <w:t>Proceeds from issuance of common stock in at-the-market offering, net of issuance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20"/>
                <w:szCs w:val="20"/>
                <w:color w:val="auto"/>
              </w:rPr>
            </w:pPr>
            <w:r>
              <w:rPr>
                <w:rFonts w:ascii="Arial" w:cs="Arial" w:eastAsia="Arial" w:hAnsi="Arial"/>
                <w:sz w:val="15"/>
                <w:szCs w:val="15"/>
                <w:color w:val="auto"/>
              </w:rPr>
              <w:t>costs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2,084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80" w:type="dxa"/>
            <w:vAlign w:val="bottom"/>
            <w:tcBorders>
              <w:top w:val="single" w:sz="8" w:color="CCEEFF"/>
            </w:tcBorders>
            <w:shd w:val="clear" w:color="auto" w:fill="CCEEFF"/>
          </w:tcPr>
          <w:p>
            <w:pPr>
              <w:ind w:left="120"/>
              <w:spacing w:after="0" w:line="156" w:lineRule="exact"/>
              <w:rPr>
                <w:sz w:val="20"/>
                <w:szCs w:val="20"/>
                <w:color w:val="auto"/>
              </w:rPr>
            </w:pPr>
            <w:r>
              <w:rPr>
                <w:rFonts w:ascii="Arial" w:cs="Arial" w:eastAsia="Arial" w:hAnsi="Arial"/>
                <w:sz w:val="15"/>
                <w:szCs w:val="15"/>
                <w:color w:val="auto"/>
              </w:rPr>
              <w:t>Net cash (used in) provided by financing activities</w:t>
            </w:r>
          </w:p>
        </w:tc>
        <w:tc>
          <w:tcPr>
            <w:tcW w:w="1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(907)</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2,906</w:t>
            </w: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Pr>
          <w:p>
            <w:pPr>
              <w:spacing w:after="0" w:line="156" w:lineRule="exact"/>
              <w:rPr>
                <w:sz w:val="20"/>
                <w:szCs w:val="20"/>
                <w:color w:val="auto"/>
              </w:rPr>
            </w:pPr>
            <w:r>
              <w:rPr>
                <w:rFonts w:ascii="Arial" w:cs="Arial" w:eastAsia="Arial" w:hAnsi="Arial"/>
                <w:sz w:val="15"/>
                <w:szCs w:val="15"/>
                <w:color w:val="auto"/>
              </w:rPr>
              <w:t>Net decrease in cash and cash equivalents</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(380)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jc w:val="right"/>
              <w:spacing w:after="0" w:line="156" w:lineRule="exact"/>
              <w:rPr>
                <w:sz w:val="20"/>
                <w:szCs w:val="20"/>
                <w:color w:val="auto"/>
              </w:rPr>
            </w:pPr>
            <w:r>
              <w:rPr>
                <w:rFonts w:ascii="Arial" w:cs="Arial" w:eastAsia="Arial" w:hAnsi="Arial"/>
                <w:sz w:val="15"/>
                <w:szCs w:val="15"/>
                <w:color w:val="auto"/>
              </w:rPr>
              <w:t>(1,571)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beginning of period</w:t>
            </w:r>
          </w:p>
        </w:tc>
        <w:tc>
          <w:tcPr>
            <w:tcW w:w="16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w w:val="95"/>
              </w:rPr>
              <w:t>14,599</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14,487</w:t>
            </w: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4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Cash and cash equivalents at end of period</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25"/>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14,219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12,916</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Supplementary cash flow information:</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line="162" w:lineRule="exact"/>
              <w:rPr>
                <w:sz w:val="20"/>
                <w:szCs w:val="20"/>
                <w:color w:val="auto"/>
              </w:rPr>
            </w:pPr>
            <w:r>
              <w:rPr>
                <w:rFonts w:ascii="Arial" w:cs="Arial" w:eastAsia="Arial" w:hAnsi="Arial"/>
                <w:sz w:val="15"/>
                <w:szCs w:val="15"/>
                <w:color w:val="auto"/>
              </w:rPr>
              <w:t>Interest paid</w:t>
            </w:r>
          </w:p>
        </w:tc>
        <w:tc>
          <w:tcPr>
            <w:tcW w:w="1040" w:type="dxa"/>
            <w:vAlign w:val="bottom"/>
            <w:gridSpan w:val="2"/>
          </w:tcPr>
          <w:p>
            <w:pPr>
              <w:jc w:val="right"/>
              <w:ind w:right="725"/>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128</w:t>
            </w:r>
          </w:p>
        </w:tc>
        <w:tc>
          <w:tcPr>
            <w:tcW w:w="220" w:type="dxa"/>
            <w:vAlign w:val="bottom"/>
          </w:tcPr>
          <w:p>
            <w:pPr>
              <w:spacing w:after="0"/>
              <w:rPr>
                <w:sz w:val="17"/>
                <w:szCs w:val="17"/>
                <w:color w:val="auto"/>
              </w:rPr>
            </w:pPr>
          </w:p>
        </w:tc>
        <w:tc>
          <w:tcPr>
            <w:tcW w:w="900" w:type="dxa"/>
            <w:vAlign w:val="bottom"/>
            <w:gridSpan w:val="2"/>
          </w:tcPr>
          <w:p>
            <w:pPr>
              <w:jc w:val="right"/>
              <w:ind w:right="771"/>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197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Operating cash flows paid for operating leases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25"/>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814</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862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5"/>
                <w:szCs w:val="15"/>
                <w:color w:val="auto"/>
              </w:rPr>
              <w:t>Financing cash flows paid for finance leases</w:t>
            </w:r>
          </w:p>
        </w:tc>
        <w:tc>
          <w:tcPr>
            <w:tcW w:w="10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25"/>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5</w:t>
            </w: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Non-cash investing and financing activities:</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480" w:type="dxa"/>
            <w:vAlign w:val="bottom"/>
          </w:tcPr>
          <w:p>
            <w:pPr>
              <w:spacing w:after="0" w:line="162" w:lineRule="exact"/>
              <w:rPr>
                <w:sz w:val="20"/>
                <w:szCs w:val="20"/>
                <w:color w:val="auto"/>
              </w:rPr>
            </w:pPr>
            <w:r>
              <w:rPr>
                <w:rFonts w:ascii="Arial" w:cs="Arial" w:eastAsia="Arial" w:hAnsi="Arial"/>
                <w:sz w:val="15"/>
                <w:szCs w:val="15"/>
                <w:color w:val="auto"/>
              </w:rPr>
              <w:t>Increase of right-of-use asset and lease liability due to lease modification</w:t>
            </w:r>
          </w:p>
        </w:tc>
        <w:tc>
          <w:tcPr>
            <w:tcW w:w="1040" w:type="dxa"/>
            <w:vAlign w:val="bottom"/>
            <w:gridSpan w:val="2"/>
          </w:tcPr>
          <w:p>
            <w:pPr>
              <w:jc w:val="right"/>
              <w:ind w:right="725"/>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771"/>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545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80" w:type="dxa"/>
            <w:vAlign w:val="bottom"/>
            <w:tcBorders>
              <w:top w:val="single" w:sz="8" w:color="CCEEFF"/>
              <w:bottom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Purchases of property and equipment in accounts payable and accrued liabilities</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25"/>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5"/>
                <w:szCs w:val="15"/>
                <w:color w:val="auto"/>
              </w:rPr>
              <w:t>22</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5"/>
                <w:szCs w:val="15"/>
                <w:color w:val="auto"/>
              </w:rPr>
              <w:t>Bonus settled in shares of common stock</w:t>
            </w:r>
          </w:p>
        </w:tc>
        <w:tc>
          <w:tcPr>
            <w:tcW w:w="10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25"/>
              <w:spacing w:after="0" w:line="143"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364</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5"/>
                <w:szCs w:val="15"/>
                <w:color w:val="auto"/>
              </w:rPr>
              <w:t>315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Everspin Technologies, Inc. (the Company) was incorporated in Delaware on May 16, 2008. The Company’s magnetoresistive random-access memory (MRAM) solutions offer the persistence of non-volatile memory with the speed and endurance of random-access memory (RAM) and enable the protection of mission critical data particularly in the event of power interruption or failure. The Company’s MRAM solutions allow its customers in the industrial, medical, automotive/transportation, aerospace and data center markets to design high performance, power efficient and reliable systems without the need for bulky batteries or capacitors.</w:t>
      </w:r>
    </w:p>
    <w:p>
      <w:pPr>
        <w:spacing w:after="0" w:line="287" w:lineRule="exact"/>
        <w:rPr>
          <w:sz w:val="20"/>
          <w:szCs w:val="20"/>
          <w:color w:val="auto"/>
        </w:rPr>
      </w:pPr>
    </w:p>
    <w:p>
      <w:pPr>
        <w:ind w:left="40" w:right="139" w:firstLine="324"/>
        <w:spacing w:after="0" w:line="289" w:lineRule="auto"/>
        <w:rPr>
          <w:sz w:val="20"/>
          <w:szCs w:val="20"/>
          <w:color w:val="auto"/>
        </w:rPr>
      </w:pPr>
      <w:r>
        <w:rPr>
          <w:rFonts w:ascii="Arial" w:cs="Arial" w:eastAsia="Arial" w:hAnsi="Arial"/>
          <w:sz w:val="16"/>
          <w:szCs w:val="16"/>
          <w:color w:val="auto"/>
        </w:rPr>
        <w:t>The Company believes that its existing cash and cash equivalents as of June 30, 2021, coupled with its anticipated growth and sales levels will be sufficient to meet its anticipated cash requirements for at least the next twelve months from the financial statement issuance date. The Company’s future capital requirements will depend on many factors, including, among other things, its growth rate, the timing and extent of its spending to support research and development activities, the timing and cost of establishing additional sales and marketing capabilities, and the introduction of new products. The Company may be required at some point in the future to seek additional equity or debt financing, to sustain operations beyond that point,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2020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2021 are not necessarily indicative of the results to be expected for the year ending December 31, 2021 or for any other interim period or for any other future year.</w:t>
      </w:r>
    </w:p>
    <w:p>
      <w:pPr>
        <w:spacing w:after="0" w:line="18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2020, included in the Company’s Annual Report on Form 10-K filed with the SEC.</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Certain immaterial prior period amounts have been reclassified to conform to the current period presentation.</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reserves, product warranty reserves, deferred tax assets and related valuation allowances, and stock-based compensation. The Company believes its estimates and assumptions are reasonable; however, actual results may differ from the Company’s estimates.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25"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establishes an allowance for estimated price concessions related to its distributor agreements. The Company estimates credits to distributors based on the historical rate of credits provided to distributors relative to sales.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 net consisted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product returns and price concessions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10"/>
        </w:trPr>
        <w:tc>
          <w:tcPr>
            <w:tcW w:w="51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10,383</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w:t>
            </w:r>
          </w:p>
        </w:tc>
      </w:tr>
      <w:tr>
        <w:trPr>
          <w:trHeight w:val="20"/>
        </w:trPr>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88"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Revenue</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1"/>
              </w:rPr>
              <w:t>Accounts Receivable, net</w:t>
            </w:r>
          </w:p>
        </w:tc>
        <w:tc>
          <w:tcPr>
            <w:tcW w:w="0" w:type="dxa"/>
            <w:vAlign w:val="bottom"/>
          </w:tcPr>
          <w:p>
            <w:pPr>
              <w:spacing w:after="0"/>
              <w:rPr>
                <w:sz w:val="1"/>
                <w:szCs w:val="1"/>
                <w:color w:val="auto"/>
              </w:rPr>
            </w:pPr>
          </w:p>
        </w:tc>
      </w:tr>
      <w:tr>
        <w:trPr>
          <w:trHeight w:val="119"/>
        </w:trPr>
        <w:tc>
          <w:tcPr>
            <w:tcW w:w="7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Borders>
              <w:top w:val="single" w:sz="8" w:color="auto"/>
            </w:tcBorders>
            <w:gridSpan w:val="4"/>
          </w:tcPr>
          <w:p>
            <w:pPr>
              <w:jc w:val="center"/>
              <w:ind w:right="90"/>
              <w:spacing w:after="0" w:line="119" w:lineRule="exact"/>
              <w:rPr>
                <w:sz w:val="20"/>
                <w:szCs w:val="20"/>
                <w:color w:val="auto"/>
              </w:rPr>
            </w:pPr>
            <w:r>
              <w:rPr>
                <w:rFonts w:ascii="Arial" w:cs="Arial" w:eastAsia="Arial" w:hAnsi="Arial"/>
                <w:sz w:val="13"/>
                <w:szCs w:val="13"/>
                <w:b w:val="1"/>
                <w:bCs w:val="1"/>
                <w:color w:val="auto"/>
              </w:rPr>
              <w:t>Three Months Ended</w:t>
            </w: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Six Months Ended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577"/>
              <w:spacing w:after="0" w:line="119" w:lineRule="exact"/>
              <w:rPr>
                <w:sz w:val="20"/>
                <w:szCs w:val="20"/>
                <w:color w:val="auto"/>
              </w:rPr>
            </w:pPr>
            <w:r>
              <w:rPr>
                <w:rFonts w:ascii="Arial" w:cs="Arial" w:eastAsia="Arial" w:hAnsi="Arial"/>
                <w:sz w:val="13"/>
                <w:szCs w:val="13"/>
                <w:b w:val="1"/>
                <w:bCs w:val="1"/>
                <w:color w:val="auto"/>
              </w:rPr>
              <w:t>As of</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4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Customers</w:t>
            </w:r>
          </w:p>
        </w:tc>
        <w:tc>
          <w:tcPr>
            <w:tcW w:w="140" w:type="dxa"/>
            <w:vAlign w:val="bottom"/>
          </w:tcPr>
          <w:p>
            <w:pPr>
              <w:spacing w:after="0"/>
              <w:rPr>
                <w:sz w:val="14"/>
                <w:szCs w:val="14"/>
                <w:color w:val="auto"/>
              </w:rPr>
            </w:pPr>
          </w:p>
        </w:tc>
        <w:tc>
          <w:tcPr>
            <w:tcW w:w="1480" w:type="dxa"/>
            <w:vAlign w:val="bottom"/>
            <w:gridSpan w:val="4"/>
          </w:tcPr>
          <w:p>
            <w:pPr>
              <w:jc w:val="center"/>
              <w:ind w:right="110"/>
              <w:spacing w:after="0"/>
              <w:rPr>
                <w:sz w:val="20"/>
                <w:szCs w:val="20"/>
                <w:color w:val="auto"/>
              </w:rPr>
            </w:pPr>
            <w:r>
              <w:rPr>
                <w:rFonts w:ascii="Arial" w:cs="Arial" w:eastAsia="Arial" w:hAnsi="Arial"/>
                <w:sz w:val="14"/>
                <w:szCs w:val="14"/>
                <w:b w:val="1"/>
                <w:bCs w:val="1"/>
                <w:color w:val="auto"/>
                <w:w w:val="92"/>
              </w:rPr>
              <w:t>June 30,</w:t>
            </w:r>
          </w:p>
        </w:tc>
        <w:tc>
          <w:tcPr>
            <w:tcW w:w="15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43 %</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
        <w:spacing w:after="0"/>
        <w:tabs>
          <w:tab w:leader="none" w:pos="340" w:val="left"/>
        </w:tabs>
        <w:rPr>
          <w:sz w:val="20"/>
          <w:szCs w:val="20"/>
          <w:color w:val="auto"/>
        </w:rPr>
      </w:pPr>
      <w:r>
        <w:rPr>
          <w:rFonts w:ascii="Arial" w:cs="Arial" w:eastAsia="Arial" w:hAnsi="Arial"/>
          <w:sz w:val="18"/>
          <w:szCs w:val="18"/>
          <w:color w:val="auto"/>
        </w:rPr>
        <w:t>*</w:t>
        <w:tab/>
        <w:t>Less than 10%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40" w:right="79" w:firstLine="324"/>
        <w:spacing w:after="0" w:line="286" w:lineRule="auto"/>
        <w:rPr>
          <w:sz w:val="20"/>
          <w:szCs w:val="20"/>
          <w:color w:val="auto"/>
        </w:rPr>
      </w:pPr>
      <w:r>
        <w:rPr>
          <w:rFonts w:ascii="Arial" w:cs="Arial" w:eastAsia="Arial" w:hAnsi="Arial"/>
          <w:sz w:val="17"/>
          <w:szCs w:val="17"/>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360" w:right="419"/>
        <w:spacing w:after="0" w:line="277" w:lineRule="auto"/>
        <w:rPr>
          <w:sz w:val="20"/>
          <w:szCs w:val="20"/>
          <w:color w:val="auto"/>
        </w:rPr>
      </w:pPr>
      <w:r>
        <w:rPr>
          <w:rFonts w:ascii="Arial" w:cs="Arial" w:eastAsia="Arial" w:hAnsi="Arial"/>
          <w:sz w:val="18"/>
          <w:szCs w:val="18"/>
          <w:color w:val="auto"/>
        </w:rPr>
        <w:t>Level 2— Inputs, other than quoted prices for identical assets or liabilities in active markets, which are observable either directly or indirectly; and</w:t>
      </w:r>
    </w:p>
    <w:p>
      <w:pPr>
        <w:spacing w:after="0" w:line="170" w:lineRule="exact"/>
        <w:rPr>
          <w:sz w:val="20"/>
          <w:szCs w:val="20"/>
          <w:color w:val="auto"/>
        </w:rPr>
      </w:pPr>
    </w:p>
    <w:p>
      <w:pPr>
        <w:ind w:left="360" w:right="339"/>
        <w:spacing w:after="0" w:line="277" w:lineRule="auto"/>
        <w:rPr>
          <w:sz w:val="20"/>
          <w:szCs w:val="20"/>
          <w:color w:val="auto"/>
        </w:rPr>
      </w:pPr>
      <w:r>
        <w:rPr>
          <w:rFonts w:ascii="Arial" w:cs="Arial" w:eastAsia="Arial" w:hAnsi="Arial"/>
          <w:sz w:val="18"/>
          <w:szCs w:val="18"/>
          <w:color w:val="auto"/>
        </w:rPr>
        <w:t>Level 3— Unobservable inputs in which there is little or no market data requiring the reporting entity to develop its own assumptions.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As of June 30, 2021, based on Level 2 inputs and the borrowing rates available to the Company for loans with similar terms and consideration of the Company’s credit risk, the carrying value of the Company’s variable interest rate debt, excluding unamortized debt issuance costs, approximates fair value. The Company’s financial instruments consist of Level 1 assets and a Level 3 liability. Level 1 assets consist of highly liquid money market funds that are included in cash equivalents. The Company’s Level 3 liability consists of warrants issued in connection with the Company’s current credit facility (Note 6).</w:t>
      </w:r>
    </w:p>
    <w:p>
      <w:pPr>
        <w:spacing w:after="0" w:line="192" w:lineRule="exact"/>
        <w:rPr>
          <w:sz w:val="20"/>
          <w:szCs w:val="20"/>
          <w:color w:val="auto"/>
        </w:rPr>
      </w:pPr>
    </w:p>
    <w:p>
      <w:pPr>
        <w:ind w:left="40" w:right="119" w:firstLine="324"/>
        <w:spacing w:after="0" w:line="277" w:lineRule="auto"/>
        <w:rPr>
          <w:sz w:val="20"/>
          <w:szCs w:val="20"/>
          <w:color w:val="auto"/>
        </w:rPr>
      </w:pPr>
      <w:r>
        <w:rPr>
          <w:rFonts w:ascii="Arial" w:cs="Arial" w:eastAsia="Arial" w:hAnsi="Arial"/>
          <w:sz w:val="18"/>
          <w:szCs w:val="18"/>
          <w:color w:val="auto"/>
        </w:rPr>
        <w:t>The following tables sets forth the fair value of the Company’s financial assets and liabilities measured at fair value on a recurring basis (in thousands):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14,384</w:t>
            </w:r>
          </w:p>
        </w:tc>
      </w:tr>
      <w:tr>
        <w:trPr>
          <w:trHeight w:val="209"/>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7"/>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14,669</w:t>
            </w: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14,669</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40" w:right="59" w:firstLine="324"/>
        <w:spacing w:after="0" w:line="288"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which amends the incurred loss impairment methodology in current GAAP with a methodology that reflects expected credit losses and requires consideration of a broader range of reasonable and supportable information to inform credit loss estimates. As the Company is a smaller reporting company, ASU 2016-13 is effective for the Company’s annual reporting periods, and interim periods within those years, beginning after December 15, 2022, and requires a cumulative effect adjustment to the balance sheet as of the beginning of the first reporting period in which the guidance is effective. In April 2019, the FASB issued ASU No. 2019-04, </w:t>
      </w:r>
      <w:r>
        <w:rPr>
          <w:rFonts w:ascii="Arial" w:cs="Arial" w:eastAsia="Arial" w:hAnsi="Arial"/>
          <w:sz w:val="16"/>
          <w:szCs w:val="16"/>
          <w:i w:val="1"/>
          <w:iCs w:val="1"/>
          <w:color w:val="auto"/>
        </w:rPr>
        <w:t>Codification Improvements Financial Instruments-Credit Losses (Topic 326)</w:t>
      </w:r>
      <w:r>
        <w:rPr>
          <w:rFonts w:ascii="Arial" w:cs="Arial" w:eastAsia="Arial" w:hAnsi="Arial"/>
          <w:sz w:val="16"/>
          <w:szCs w:val="16"/>
          <w:color w:val="auto"/>
        </w:rPr>
        <w:t>. The new ASU provides narrow-scope amendments to help apply ASU No. 2016-13. The Company is evaluating the impact of the adoption of ASU 2016-13 and ASU 2019-04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jc w:val="both"/>
        <w:ind w:left="40" w:right="419" w:firstLine="324"/>
        <w:spacing w:after="0" w:line="263" w:lineRule="auto"/>
        <w:rPr>
          <w:sz w:val="20"/>
          <w:szCs w:val="20"/>
          <w:color w:val="auto"/>
        </w:rPr>
      </w:pPr>
      <w:r>
        <w:rPr>
          <w:rFonts w:ascii="Arial" w:cs="Arial" w:eastAsia="Arial" w:hAnsi="Arial"/>
          <w:sz w:val="18"/>
          <w:szCs w:val="18"/>
          <w:color w:val="auto"/>
        </w:rPr>
        <w:t>The Company sells the majority of its products to distributors and original equipment manufacturers (OEMs). The Company also recognizes revenue under manufacturing and engineering service agreements and licensing and royalty agreements with some customers.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sales channel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2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Distributor</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Non-distributor</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8,713</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presents the Company’s revenues disaggregated by timing of recognition (in thousands):</w:t>
      </w:r>
    </w:p>
    <w:p>
      <w:pPr>
        <w:spacing w:after="0" w:line="174"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Point in time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21,226</w:t>
            </w:r>
          </w:p>
        </w:tc>
        <w:tc>
          <w:tcPr>
            <w:tcW w:w="120" w:type="dxa"/>
            <w:vAlign w:val="bottom"/>
            <w:shd w:val="clear" w:color="auto" w:fill="CCEEFF"/>
          </w:tcPr>
          <w:p>
            <w:pPr>
              <w:spacing w:after="0"/>
              <w:rPr>
                <w:sz w:val="18"/>
                <w:szCs w:val="18"/>
                <w:color w:val="auto"/>
              </w:rPr>
            </w:pPr>
          </w:p>
        </w:tc>
      </w:tr>
      <w:tr>
        <w:trPr>
          <w:trHeight w:val="216"/>
        </w:trPr>
        <w:tc>
          <w:tcPr>
            <w:tcW w:w="2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Over time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tcPr>
          <w:p>
            <w:pPr>
              <w:spacing w:after="0"/>
              <w:rPr>
                <w:sz w:val="18"/>
                <w:szCs w:val="18"/>
                <w:color w:val="auto"/>
              </w:rPr>
            </w:pPr>
          </w:p>
        </w:tc>
      </w:tr>
      <w:tr>
        <w:trPr>
          <w:trHeight w:val="210"/>
        </w:trPr>
        <w:tc>
          <w:tcPr>
            <w:tcW w:w="2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the Company’s revenues disaggregated by type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04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5"/>
              </w:rPr>
              <w:t>Three Months Ended 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2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Royalties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8"/>
                <w:szCs w:val="18"/>
                <w:color w:val="auto"/>
              </w:rPr>
            </w:pPr>
          </w:p>
        </w:tc>
      </w:tr>
      <w:tr>
        <w:trPr>
          <w:trHeight w:val="209"/>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12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439" w:firstLine="324"/>
        <w:spacing w:after="0" w:line="286" w:lineRule="auto"/>
        <w:rPr>
          <w:sz w:val="20"/>
          <w:szCs w:val="20"/>
          <w:color w:val="auto"/>
        </w:rPr>
      </w:pPr>
      <w:r>
        <w:rPr>
          <w:rFonts w:ascii="Arial" w:cs="Arial" w:eastAsia="Arial" w:hAnsi="Arial"/>
          <w:sz w:val="17"/>
          <w:szCs w:val="17"/>
          <w:color w:val="auto"/>
        </w:rPr>
        <w:t>The Company recognizes revenue in three primary geographic regions: North America; Europe, Middle East and Africa (EMEA); and Asia-Pacific (APAC). The following table presents the Company’s revenues disaggregated by the geographic region to which the product is delivered or licensee is located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200" w:type="dxa"/>
            <w:vAlign w:val="bottom"/>
            <w:gridSpan w:val="10"/>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15,283</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North America</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gridSpan w:val="6"/>
          </w:tcPr>
          <w:p>
            <w:pPr>
              <w:ind w:left="320"/>
              <w:spacing w:after="0"/>
              <w:rPr>
                <w:sz w:val="20"/>
                <w:szCs w:val="20"/>
                <w:color w:val="auto"/>
              </w:rPr>
            </w:pPr>
            <w:r>
              <w:rPr>
                <w:rFonts w:ascii="Arial" w:cs="Arial" w:eastAsia="Arial" w:hAnsi="Arial"/>
                <w:sz w:val="18"/>
                <w:szCs w:val="18"/>
                <w:color w:val="auto"/>
              </w:rPr>
              <w:t>Inventory consisted of the following (in thousands):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Total inventory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6,571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Payroll-related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09"/>
        </w:trPr>
        <w:tc>
          <w:tcPr>
            <w:tcW w:w="5380" w:type="dxa"/>
            <w:vAlign w:val="bottom"/>
          </w:tcPr>
          <w:p>
            <w:pPr>
              <w:ind w:left="200"/>
              <w:spacing w:after="0"/>
              <w:rPr>
                <w:sz w:val="20"/>
                <w:szCs w:val="20"/>
                <w:color w:val="auto"/>
              </w:rPr>
            </w:pPr>
            <w:r>
              <w:rPr>
                <w:rFonts w:ascii="Arial" w:cs="Arial" w:eastAsia="Arial" w:hAnsi="Arial"/>
                <w:sz w:val="18"/>
                <w:szCs w:val="18"/>
                <w:color w:val="auto"/>
              </w:rPr>
              <w:t>Total accrued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w:t>
            </w:r>
          </w:p>
        </w:tc>
      </w:tr>
      <w:tr>
        <w:trPr>
          <w:trHeight w:val="20"/>
        </w:trPr>
        <w:tc>
          <w:tcPr>
            <w:tcW w:w="5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In the six months ended June 30, 2021, the Company executed contractual arrangements with a customer for the development of a RAD-Hard product, consisting of a technology license, design license agreement and development subcontract. The Company does not share in the rights to future revenues or royalties. The total arrangements are for $6.5 million in consideration.</w:t>
      </w:r>
    </w:p>
    <w:p>
      <w:pPr>
        <w:spacing w:after="0" w:line="187" w:lineRule="exact"/>
        <w:rPr>
          <w:sz w:val="20"/>
          <w:szCs w:val="20"/>
          <w:color w:val="auto"/>
        </w:rPr>
      </w:pPr>
    </w:p>
    <w:p>
      <w:pPr>
        <w:ind w:left="40" w:right="99" w:firstLine="324"/>
        <w:spacing w:after="0" w:line="293" w:lineRule="auto"/>
        <w:rPr>
          <w:sz w:val="20"/>
          <w:szCs w:val="20"/>
          <w:color w:val="auto"/>
        </w:rPr>
      </w:pPr>
      <w:r>
        <w:rPr>
          <w:rFonts w:ascii="Arial" w:cs="Arial" w:eastAsia="Arial" w:hAnsi="Arial"/>
          <w:sz w:val="16"/>
          <w:szCs w:val="16"/>
          <w:color w:val="auto"/>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interdependency between the licenses and the development subcontract. Accordingly, the Company determined the licenses were not distinct within the context of the contract and combined the license with other performance obligations.</w:t>
      </w:r>
    </w:p>
    <w:p>
      <w:pPr>
        <w:spacing w:after="0" w:line="164" w:lineRule="exact"/>
        <w:rPr>
          <w:sz w:val="20"/>
          <w:szCs w:val="20"/>
          <w:color w:val="auto"/>
        </w:rPr>
      </w:pPr>
    </w:p>
    <w:p>
      <w:pPr>
        <w:ind w:left="40" w:right="139" w:firstLine="324"/>
        <w:spacing w:after="0" w:line="263" w:lineRule="auto"/>
        <w:rPr>
          <w:sz w:val="20"/>
          <w:szCs w:val="20"/>
          <w:color w:val="auto"/>
        </w:rPr>
      </w:pPr>
      <w:r>
        <w:rPr>
          <w:rFonts w:ascii="Arial" w:cs="Arial" w:eastAsia="Arial" w:hAnsi="Arial"/>
          <w:sz w:val="18"/>
          <w:szCs w:val="18"/>
          <w:color w:val="auto"/>
        </w:rPr>
        <w:t>As a result, the Company is recognizing revenue related to the performance obligations over time using the input method based on costs incurred to date relative to the total expected costs of the contract and began recognizing revenue in the second quarter of 2021 over the performance obligation period.</w:t>
      </w:r>
    </w:p>
    <w:p>
      <w:pPr>
        <w:spacing w:after="0" w:line="184" w:lineRule="exact"/>
        <w:rPr>
          <w:sz w:val="20"/>
          <w:szCs w:val="20"/>
          <w:color w:val="auto"/>
        </w:rPr>
      </w:pPr>
    </w:p>
    <w:p>
      <w:pPr>
        <w:ind w:left="40" w:right="219" w:firstLine="324"/>
        <w:spacing w:after="0" w:line="263" w:lineRule="auto"/>
        <w:rPr>
          <w:sz w:val="20"/>
          <w:szCs w:val="20"/>
          <w:color w:val="auto"/>
        </w:rPr>
      </w:pPr>
      <w:r>
        <w:rPr>
          <w:rFonts w:ascii="Arial" w:cs="Arial" w:eastAsia="Arial" w:hAnsi="Arial"/>
          <w:sz w:val="18"/>
          <w:szCs w:val="18"/>
          <w:color w:val="auto"/>
        </w:rPr>
        <w:t>Under the agreements, we received a non-refundable, upfront payment of $3.0 million in the first quarter of 2021. As of June 30, 2021, $1.8 million was recorded as deferred revenue, current, with $1.2 million recognized as revenue in the second quarter of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Leases</w:t>
      </w:r>
    </w:p>
    <w:p>
      <w:pPr>
        <w:spacing w:after="0" w:line="256" w:lineRule="exact"/>
        <w:rPr>
          <w:sz w:val="20"/>
          <w:szCs w:val="20"/>
          <w:color w:val="auto"/>
        </w:rPr>
      </w:pPr>
    </w:p>
    <w:p>
      <w:pPr>
        <w:ind w:left="40" w:right="139" w:firstLine="324"/>
        <w:spacing w:after="0" w:line="277" w:lineRule="auto"/>
        <w:rPr>
          <w:sz w:val="20"/>
          <w:szCs w:val="20"/>
          <w:color w:val="auto"/>
        </w:rPr>
      </w:pPr>
      <w:r>
        <w:rPr>
          <w:rFonts w:ascii="Arial" w:cs="Arial" w:eastAsia="Arial" w:hAnsi="Arial"/>
          <w:sz w:val="18"/>
          <w:szCs w:val="18"/>
          <w:color w:val="auto"/>
        </w:rPr>
        <w:t>Operating leases consist primarily of office space expiring at various dates through 2023. Our lease agreements do not contain any material residual value guarantees or material restrictive covenants.</w:t>
      </w:r>
    </w:p>
    <w:p>
      <w:pPr>
        <w:spacing w:after="0" w:line="170" w:lineRule="exact"/>
        <w:rPr>
          <w:sz w:val="20"/>
          <w:szCs w:val="20"/>
          <w:color w:val="auto"/>
        </w:rPr>
      </w:pPr>
    </w:p>
    <w:p>
      <w:pPr>
        <w:ind w:left="40" w:right="359" w:firstLine="324"/>
        <w:spacing w:after="0" w:line="277" w:lineRule="auto"/>
        <w:rPr>
          <w:sz w:val="20"/>
          <w:szCs w:val="20"/>
          <w:color w:val="auto"/>
        </w:rPr>
      </w:pPr>
      <w:r>
        <w:rPr>
          <w:rFonts w:ascii="Arial" w:cs="Arial" w:eastAsia="Arial" w:hAnsi="Arial"/>
          <w:sz w:val="18"/>
          <w:szCs w:val="18"/>
          <w:color w:val="auto"/>
        </w:rPr>
        <w:t>The undiscounted future non-cancellable lease payments under the Company’s operating leases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60" w:type="dxa"/>
            <w:vAlign w:val="bottom"/>
            <w:gridSpan w:val="2"/>
          </w:tcPr>
          <w:p>
            <w:pPr>
              <w:ind w:left="880"/>
              <w:spacing w:after="0"/>
              <w:rPr>
                <w:sz w:val="20"/>
                <w:szCs w:val="20"/>
                <w:color w:val="auto"/>
              </w:rPr>
            </w:pPr>
            <w:r>
              <w:rPr>
                <w:rFonts w:ascii="Arial" w:cs="Arial" w:eastAsia="Arial" w:hAnsi="Arial"/>
                <w:sz w:val="14"/>
                <w:szCs w:val="14"/>
                <w:b w:val="1"/>
                <w:bCs w:val="1"/>
                <w:color w:val="auto"/>
              </w:rPr>
              <w:t>As of June 30, 2021</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2022</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imputed interest</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current portion of operating lease liabilities</w:t>
            </w:r>
          </w:p>
        </w:tc>
        <w:tc>
          <w:tcPr>
            <w:tcW w:w="9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Total operating lease liabilities, net of current portion</w:t>
            </w:r>
          </w:p>
        </w:tc>
        <w:tc>
          <w:tcPr>
            <w:tcW w:w="9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jc w:val="right"/>
              <w:ind w:right="1230"/>
              <w:spacing w:after="0"/>
              <w:rPr>
                <w:sz w:val="20"/>
                <w:szCs w:val="20"/>
                <w:color w:val="auto"/>
              </w:rPr>
            </w:pPr>
            <w:r>
              <w:rPr>
                <w:rFonts w:ascii="Arial" w:cs="Arial" w:eastAsia="Arial" w:hAnsi="Arial"/>
                <w:sz w:val="18"/>
                <w:szCs w:val="18"/>
                <w:color w:val="auto"/>
              </w:rPr>
              <w:t>11</w:t>
            </w: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information related to the Company’s operating lease liabilities was as follows:</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50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1.74</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960" w:type="dxa"/>
            <w:vAlign w:val="bottom"/>
          </w:tcPr>
          <w:p>
            <w:pPr>
              <w:ind w:left="420"/>
              <w:spacing w:after="0"/>
              <w:rPr>
                <w:sz w:val="20"/>
                <w:szCs w:val="20"/>
                <w:color w:val="auto"/>
              </w:rPr>
            </w:pPr>
            <w:r>
              <w:rPr>
                <w:rFonts w:ascii="Arial" w:cs="Arial" w:eastAsia="Arial" w:hAnsi="Arial"/>
                <w:sz w:val="18"/>
                <w:szCs w:val="18"/>
                <w:color w:val="auto"/>
                <w:w w:val="92"/>
              </w:rPr>
              <w:t>6.00 %</w:t>
            </w:r>
          </w:p>
        </w:tc>
        <w:tc>
          <w:tcPr>
            <w:tcW w:w="14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8"/>
                <w:szCs w:val="18"/>
                <w:color w:val="auto"/>
                <w:w w:val="89"/>
              </w:rPr>
              <w:t>6.00 %</w:t>
            </w:r>
          </w:p>
        </w:tc>
      </w:tr>
    </w:tbl>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2019 Credit Facility</w:t>
      </w:r>
    </w:p>
    <w:p>
      <w:pPr>
        <w:spacing w:after="0" w:line="225" w:lineRule="exact"/>
        <w:rPr>
          <w:sz w:val="20"/>
          <w:szCs w:val="20"/>
          <w:color w:val="auto"/>
        </w:rPr>
      </w:pPr>
    </w:p>
    <w:p>
      <w:pPr>
        <w:ind w:left="40" w:right="79" w:firstLine="324"/>
        <w:spacing w:after="0" w:line="296" w:lineRule="auto"/>
        <w:rPr>
          <w:sz w:val="20"/>
          <w:szCs w:val="20"/>
          <w:color w:val="auto"/>
        </w:rPr>
      </w:pPr>
      <w:r>
        <w:rPr>
          <w:rFonts w:ascii="Arial" w:cs="Arial" w:eastAsia="Arial" w:hAnsi="Arial"/>
          <w:sz w:val="16"/>
          <w:szCs w:val="16"/>
          <w:color w:val="auto"/>
        </w:rPr>
        <w:t>In August 2019, the Company executed an Amended and Restated Loan and Security Agreement (2019 Credit Facility), which amended and restated the Company’s prior loan and security agreement (2017 Credit Facility), providing for a formula revolving line of credit (Line of Credit) and a term loan (2019 Term Loan) with Silicon Valley Bank (SVB) to refinance in full the outstanding principal balance of $8.0 million under the 2017 Credit Facility. In August 2019, the Company paid the final payment of $0.8 million, which was due upon the refinancing of the 2017 Credit Facility.</w:t>
      </w:r>
    </w:p>
    <w:p>
      <w:pPr>
        <w:spacing w:after="0" w:line="161" w:lineRule="exact"/>
        <w:rPr>
          <w:sz w:val="20"/>
          <w:szCs w:val="20"/>
          <w:color w:val="auto"/>
        </w:rPr>
      </w:pPr>
    </w:p>
    <w:p>
      <w:pPr>
        <w:ind w:left="40" w:right="139" w:firstLine="324"/>
        <w:spacing w:after="0" w:line="259" w:lineRule="auto"/>
        <w:rPr>
          <w:sz w:val="20"/>
          <w:szCs w:val="20"/>
          <w:color w:val="auto"/>
        </w:rPr>
      </w:pPr>
      <w:r>
        <w:rPr>
          <w:rFonts w:ascii="Arial" w:cs="Arial" w:eastAsia="Arial" w:hAnsi="Arial"/>
          <w:sz w:val="18"/>
          <w:szCs w:val="18"/>
          <w:color w:val="auto"/>
        </w:rPr>
        <w:t>In July 2020, the Company executed the first amendment to the 2019 Credit Facility with SVB. The amendment, among other things, extended the initial 12-month interest-only period for the 2019 Term Loan to a 16-month interest-only period and lowered the floor interest rate. The floor interest rates for the 2019 Term Loan and the Line of Credit were reduced from 4.75% and 6.75% to 3.75% and 4.75%, respectively.</w:t>
      </w:r>
    </w:p>
    <w:p>
      <w:pPr>
        <w:spacing w:after="0" w:line="18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The amended Line of Credit allows for a maximum draw of $5.0 million, subject to a formula borrowing base, has a two-year term and bears interest at a floating rate equal to the Wall Street Journal (WSJ) prime rate plus 1.5%, per annum, subject to a floor of 4.75%. As of June 30, 2021, the interest rate was 4.75%. The Line of Credit required a commitment fee of 1.6% of the maximum availability of the Line of Credit, which was paid in August 2019 upon closing, and was accounted for as a debt discount. The Line of Credit also provides for a termination fee equal to 1% of the maximum availability under the Line of Credit, which is due in case of a termination of the Line of Credit prior to the scheduled maturity date, and an unused facility fee equal to 0.125% per annum of the average unused portion of the Line of Credit, which is expensed as incurred. At execution, $2.0 million from the Line of Credit was used to refinance a portion of the outstanding balance of the 2017 Credit Facility, and $3.0 million remains available under the Line of Credit, subject to borrowing base availability. As of June 30, 2021, the effective interest rate under the Line of Credit was 10.18% and the outstanding balance was $2.0 million. The Line of Credit was set to mature on August 5, 2021. Subsequent to June 30, 2021, the Company executed the second amendment to the 2019 Credit Facility with SVB. The second amendment, entered into on July 28, 2021, extended the maturity date of the Line of Credit to August 5, 2022.</w:t>
      </w:r>
    </w:p>
    <w:p>
      <w:pPr>
        <w:spacing w:after="0" w:line="174" w:lineRule="exact"/>
        <w:rPr>
          <w:sz w:val="20"/>
          <w:szCs w:val="20"/>
          <w:color w:val="auto"/>
        </w:rPr>
      </w:pPr>
    </w:p>
    <w:p>
      <w:pPr>
        <w:ind w:left="40" w:right="179" w:firstLine="324"/>
        <w:spacing w:after="0" w:line="286" w:lineRule="auto"/>
        <w:rPr>
          <w:sz w:val="20"/>
          <w:szCs w:val="20"/>
          <w:color w:val="auto"/>
        </w:rPr>
      </w:pPr>
      <w:r>
        <w:rPr>
          <w:rFonts w:ascii="Arial" w:cs="Arial" w:eastAsia="Arial" w:hAnsi="Arial"/>
          <w:sz w:val="16"/>
          <w:szCs w:val="16"/>
          <w:color w:val="auto"/>
        </w:rPr>
        <w:t>The amended 2019 Term Loan provides for a $6.0 million term loan, which was used to refinance the remaining balance of the 2017 Credit Facility. The 2019 Term Loan has a term of 46 months, and a 16-month interest-only period followed by 30 months of equal principal payments, plus accrued interest. The 2019 Term Loan bears interest at a floating rate equal to the WSJ prime rate minus 0.75%, subject to a floor of 3.75%. As of June 30, 2021, the interest rate was</w:t>
      </w:r>
    </w:p>
    <w:p>
      <w:pPr>
        <w:spacing w:after="0" w:line="1" w:lineRule="exact"/>
        <w:rPr>
          <w:sz w:val="20"/>
          <w:szCs w:val="20"/>
          <w:color w:val="auto"/>
        </w:rPr>
      </w:pPr>
    </w:p>
    <w:p>
      <w:pPr>
        <w:ind w:left="40" w:right="159"/>
        <w:spacing w:after="0" w:line="290" w:lineRule="auto"/>
        <w:rPr>
          <w:sz w:val="20"/>
          <w:szCs w:val="20"/>
          <w:color w:val="auto"/>
        </w:rPr>
      </w:pPr>
      <w:r>
        <w:rPr>
          <w:rFonts w:ascii="Arial" w:cs="Arial" w:eastAsia="Arial" w:hAnsi="Arial"/>
          <w:sz w:val="16"/>
          <w:szCs w:val="16"/>
          <w:color w:val="auto"/>
        </w:rPr>
        <w:t>3.75%. A final payment of 7% of the original principal amount of the 2019 Term Loan must be made when the 2019 Term Loan is prepaid or repaid, whether at maturity or as a result of a prepayment or acceleration or otherwise. The additional payment, which is accounted for as a debt discount, is being accreted using the effective interest method. The 2019 Term Loan has a prepayment fee equal to 2% of the total commitment, which is due only if the 2019 Term Loan is prepaid prior to the scheduled maturity date for any reason. As of June 30, 2021, the effective interest rate under the 2019 Term Loan was 7.85% and the outstanding balance was $4.8 million. The 2019 Term Loan matures on June 1, 2023.</w:t>
      </w:r>
    </w:p>
    <w:p>
      <w:pPr>
        <w:spacing w:after="0" w:line="164" w:lineRule="exact"/>
        <w:rPr>
          <w:sz w:val="20"/>
          <w:szCs w:val="20"/>
          <w:color w:val="auto"/>
        </w:rPr>
      </w:pPr>
    </w:p>
    <w:p>
      <w:pPr>
        <w:ind w:left="40" w:right="59" w:firstLine="324"/>
        <w:spacing w:after="0" w:line="290" w:lineRule="auto"/>
        <w:rPr>
          <w:sz w:val="20"/>
          <w:szCs w:val="20"/>
          <w:color w:val="auto"/>
        </w:rPr>
      </w:pPr>
      <w:r>
        <w:rPr>
          <w:rFonts w:ascii="Arial" w:cs="Arial" w:eastAsia="Arial" w:hAnsi="Arial"/>
          <w:sz w:val="16"/>
          <w:szCs w:val="16"/>
          <w:color w:val="auto"/>
        </w:rPr>
        <w:t>In conjunction with entering into the 2019 Credit Facility, on August 5, 2019, the Company and SVB amended and restated the warrant issued to SVB in connection with the first amendment to the 2017 Credit Facility, which was a warrant to purchase 9,375 shares of the Company’s common stock at an exercise price of $8.91 per share, to add an option by SVB to put the warrant back to the Company for $50,000 upon expiration or a liquidity event, to be prorated if SVB exercises a portion of the warrant. The warrant expires on July 6, 2023. The warrant is classified as a liability and recorded at fair value within other liabilities in the Company’s condensed balance sheet. Due to the put right, the warrant is subject to fair value remeasurement at each subsequent reporting date until the exercise or expiration of the warrant. Any resulting change in the fair value of the warrant will be recorded as other (expense) income, net in the Company’s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condensed statement of operations and comprehensive loss. The Company recognized other expense of $1,000 and $5,000 for the three and six months ended June 30, 2021, respectively. The Company recognized other expense of $12,000 and $7,000 for the three and six months ended June 30, 2020, respectively.</w:t>
      </w:r>
    </w:p>
    <w:p>
      <w:pPr>
        <w:spacing w:after="0" w:line="184" w:lineRule="exact"/>
        <w:rPr>
          <w:sz w:val="20"/>
          <w:szCs w:val="20"/>
          <w:color w:val="auto"/>
        </w:rPr>
      </w:pPr>
    </w:p>
    <w:p>
      <w:pPr>
        <w:ind w:left="40" w:right="79" w:firstLine="324"/>
        <w:spacing w:after="0" w:line="272" w:lineRule="auto"/>
        <w:rPr>
          <w:sz w:val="20"/>
          <w:szCs w:val="20"/>
          <w:color w:val="auto"/>
        </w:rPr>
      </w:pPr>
      <w:r>
        <w:rPr>
          <w:rFonts w:ascii="Arial" w:cs="Arial" w:eastAsia="Arial" w:hAnsi="Arial"/>
          <w:sz w:val="17"/>
          <w:szCs w:val="17"/>
          <w:color w:val="auto"/>
        </w:rPr>
        <w:t>In conjunction with entering into the first amendment to the 2019 Credit Facility, on July 15, 2020, the Company issued a warrant to SVB to purchase 21,500 shares of the Company’s common stock at an exercise price of $0.01 per share. The warrant expires on July 15, 2025. The warrant is classified as equity and was recorded as a debt discount that will be amortized to interest expense using the effective interest method. The fair value of the warrant was $152,000 on the date of issuance using the Black-Scholes option-pricing model. Subsequent to June 30, 2021, SVB elected to exercise the warrant associated with the first amendment to the 2019 Credit Facility on July 22, 2021, which resulted in a net cashless exercise of the warrant and the issuance of 21,463 shares of the Company’s common stock.</w:t>
      </w:r>
    </w:p>
    <w:p>
      <w:pPr>
        <w:spacing w:after="0" w:line="393" w:lineRule="exact"/>
        <w:rPr>
          <w:sz w:val="20"/>
          <w:szCs w:val="20"/>
          <w:color w:val="auto"/>
        </w:rPr>
      </w:pPr>
    </w:p>
    <w:p>
      <w:pPr>
        <w:ind w:left="40" w:right="79" w:firstLine="324"/>
        <w:spacing w:after="0" w:line="287" w:lineRule="auto"/>
        <w:rPr>
          <w:sz w:val="20"/>
          <w:szCs w:val="20"/>
          <w:color w:val="auto"/>
        </w:rPr>
      </w:pPr>
      <w:r>
        <w:rPr>
          <w:rFonts w:ascii="Arial" w:cs="Arial" w:eastAsia="Arial" w:hAnsi="Arial"/>
          <w:sz w:val="16"/>
          <w:szCs w:val="16"/>
          <w:color w:val="auto"/>
        </w:rPr>
        <w:t>Collateral for the 2019 Credit Facility includes all of the Company’s assets except for intellectual property. The Company is required to comply with certain covenants under the 2019 Credit Facility, including requirements to maintain a minimum cash balance and availability under the Line of Credit, and restrictions on certain actions without the consent of the lender, such as limitations on its ability to engage in mergers or acquisitions, sell assets, incur indebtedness or grant liens or negative pledges on its assets, make loans or make other investments. Under these covenants, the Company is prohibited from paying cash dividends with respect to its capital stock. The Company was in compliance with all covenants at June 30, 2021. The 2019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2019 Term Loan. As of June 30, 2021, management does not believe that it is probable that the clause will be triggered within the next 12 months, and therefore the 2019 Term Loan is classified as long-term debt.</w:t>
      </w:r>
    </w:p>
    <w:p>
      <w:pPr>
        <w:spacing w:after="0" w:line="172"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The amortization of the debt issuance costs and accretion of the debt discount is included in interest expense within the statement of operations and comprehensive loss and included in non-cash interest expense within the statement of cash flows.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carrying value of the Company’s 2019 Credit Facility as of June 30, 2021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carrying value of the Company’s 2019 Credit Facility as of December 31, 2020 was as follows (in thousands):</w:t>
      </w:r>
    </w:p>
    <w:p>
      <w:pPr>
        <w:spacing w:after="0" w:line="2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Current</w:t>
            </w:r>
          </w:p>
        </w:tc>
        <w:tc>
          <w:tcPr>
            <w:tcW w:w="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4"/>
                <w:szCs w:val="14"/>
                <w:color w:val="auto"/>
              </w:rPr>
            </w:pPr>
          </w:p>
        </w:tc>
        <w:tc>
          <w:tcPr>
            <w:tcW w:w="5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Portion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Debt</w:t>
            </w: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Unamortized debt discounts</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9"/>
        </w:trPr>
        <w:tc>
          <w:tcPr>
            <w:tcW w:w="46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carrying value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includes the principal repayments due under the 2019 Credit Facility (in thousands):</w:t>
      </w:r>
    </w:p>
    <w:p>
      <w:pPr>
        <w:spacing w:after="0" w:line="36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w w:val="90"/>
              </w:rPr>
              <w:t>Principal Repayment</w:t>
            </w:r>
          </w:p>
        </w:tc>
      </w:tr>
      <w:tr>
        <w:trPr>
          <w:trHeight w:val="171"/>
        </w:trPr>
        <w:tc>
          <w:tcPr>
            <w:tcW w:w="5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of June 30, 2021</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2021 (six remaining months)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Total principal repayments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7,220</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Of the $3.2 million in principal repayments noted above for the six remaining months for the year ended December 31, 2021, $1.2 million relates to payments on the Term Loan while $2.0 million relate to payments on the Line of Credit.</w:t>
      </w:r>
    </w:p>
    <w:p>
      <w:pPr>
        <w:ind w:left="40"/>
        <w:spacing w:after="0"/>
        <w:rPr>
          <w:sz w:val="20"/>
          <w:szCs w:val="20"/>
          <w:color w:val="auto"/>
        </w:rPr>
      </w:pPr>
      <w:r>
        <w:rPr>
          <w:rFonts w:ascii="Arial" w:cs="Arial" w:eastAsia="Arial" w:hAnsi="Arial"/>
          <w:sz w:val="18"/>
          <w:szCs w:val="18"/>
          <w:b w:val="1"/>
          <w:bCs w:val="1"/>
          <w:color w:val="auto"/>
        </w:rPr>
        <w:t>7. Stockholders’ Equity</w:t>
      </w:r>
    </w:p>
    <w:p>
      <w:pPr>
        <w:spacing w:after="0" w:line="2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25" w:lineRule="exact"/>
        <w:rPr>
          <w:sz w:val="20"/>
          <w:szCs w:val="20"/>
          <w:color w:val="auto"/>
        </w:rPr>
      </w:pPr>
    </w:p>
    <w:p>
      <w:pPr>
        <w:ind w:left="40" w:right="9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“at-the-market” (ATM) offering under the Securities Act of 1933, as amended. Under the 2019 Sales Agreement, the Company agreed to pay Jefferies a commission of up to 3% of the gross proceeds of any sales made pursuant to the Sales Agreement. During the six months ended June 30,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stock option and award activity for the six months ended June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Options and</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Weighted-</w:t>
            </w: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8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Exercise</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980" w:type="dxa"/>
            <w:vAlign w:val="bottom"/>
            <w:gridSpan w:val="2"/>
            <w:vMerge w:val="continue"/>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Price Per</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Life (years)</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179,219</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2,272,905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Authorized</w:t>
            </w:r>
          </w:p>
        </w:tc>
        <w:tc>
          <w:tcPr>
            <w:tcW w:w="820" w:type="dxa"/>
            <w:vAlign w:val="bottom"/>
          </w:tcPr>
          <w:p>
            <w:pPr>
              <w:jc w:val="right"/>
              <w:spacing w:after="0"/>
              <w:rPr>
                <w:sz w:val="20"/>
                <w:szCs w:val="20"/>
                <w:color w:val="auto"/>
              </w:rPr>
            </w:pPr>
            <w:r>
              <w:rPr>
                <w:rFonts w:ascii="Arial" w:cs="Arial" w:eastAsia="Arial" w:hAnsi="Arial"/>
                <w:sz w:val="18"/>
                <w:szCs w:val="18"/>
                <w:color w:val="auto"/>
              </w:rPr>
              <w:t>570,946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RSUs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(348,759)</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RSUs cancelled/forfeited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104,652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granted</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(77,537)</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750,059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(753,249)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Balance—June 30, 2021</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1,199,867</w:t>
            </w:r>
          </w:p>
        </w:tc>
        <w:tc>
          <w:tcPr>
            <w:tcW w:w="14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1,498,369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5.33</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exercisable—June 30, 2021</w:t>
            </w:r>
          </w:p>
        </w:tc>
        <w:tc>
          <w:tcPr>
            <w:tcW w:w="8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875,575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99" w:firstLine="324"/>
        <w:spacing w:after="0" w:line="263" w:lineRule="auto"/>
        <w:rPr>
          <w:sz w:val="20"/>
          <w:szCs w:val="20"/>
          <w:color w:val="auto"/>
        </w:rPr>
      </w:pPr>
      <w:r>
        <w:rPr>
          <w:rFonts w:ascii="Arial" w:cs="Arial" w:eastAsia="Arial" w:hAnsi="Arial"/>
          <w:sz w:val="18"/>
          <w:szCs w:val="18"/>
          <w:color w:val="auto"/>
        </w:rPr>
        <w:t>The total grant date fair value of options vested was $220,000 and $527,000 during the three months ended June 30, 2021 and 2020, respectively, and $533,000 and $1.3 million during the six months ended June 30, 2021 and 2020, respectively.</w:t>
      </w:r>
    </w:p>
    <w:p>
      <w:pPr>
        <w:spacing w:after="0" w:line="184" w:lineRule="exact"/>
        <w:rPr>
          <w:sz w:val="20"/>
          <w:szCs w:val="20"/>
          <w:color w:val="auto"/>
        </w:rPr>
      </w:pPr>
    </w:p>
    <w:p>
      <w:pPr>
        <w:ind w:left="40" w:right="179" w:firstLine="324"/>
        <w:spacing w:after="0" w:line="263" w:lineRule="auto"/>
        <w:rPr>
          <w:sz w:val="20"/>
          <w:szCs w:val="20"/>
          <w:color w:val="auto"/>
        </w:rPr>
      </w:pPr>
      <w:r>
        <w:rPr>
          <w:rFonts w:ascii="Arial" w:cs="Arial" w:eastAsia="Arial" w:hAnsi="Arial"/>
          <w:sz w:val="18"/>
          <w:szCs w:val="18"/>
          <w:color w:val="auto"/>
        </w:rPr>
        <w:t>The weighted-average grant date fair value of employee options granted was $3.18 and $1.84 per share during the three months ended June 30, 2021 and 2020, respectively, and $3.43 and $1.58 during the six months ended June 30, 2021 and 2020, respectively.</w:t>
      </w:r>
    </w:p>
    <w:p>
      <w:pPr>
        <w:spacing w:after="0" w:line="184" w:lineRule="exact"/>
        <w:rPr>
          <w:sz w:val="20"/>
          <w:szCs w:val="20"/>
          <w:color w:val="auto"/>
        </w:rPr>
      </w:pPr>
    </w:p>
    <w:p>
      <w:pPr>
        <w:ind w:left="40" w:right="259" w:firstLine="324"/>
        <w:spacing w:after="0" w:line="263" w:lineRule="auto"/>
        <w:rPr>
          <w:sz w:val="20"/>
          <w:szCs w:val="20"/>
          <w:color w:val="auto"/>
        </w:rPr>
      </w:pPr>
      <w:r>
        <w:rPr>
          <w:rFonts w:ascii="Arial" w:cs="Arial" w:eastAsia="Arial" w:hAnsi="Arial"/>
          <w:sz w:val="18"/>
          <w:szCs w:val="18"/>
          <w:color w:val="auto"/>
        </w:rPr>
        <w:t>As of the six months ended June 30, 2021, of the 753,249 options cancelled/forfeited, 3,190 of the options relate to a prior stock-based compensation plan that are no longer available for grant under the current stock-based compensation plan.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left="40" w:right="179" w:firstLine="324"/>
        <w:spacing w:after="0" w:line="257" w:lineRule="auto"/>
        <w:rPr>
          <w:sz w:val="20"/>
          <w:szCs w:val="20"/>
          <w:color w:val="auto"/>
        </w:rPr>
      </w:pPr>
      <w:r>
        <w:rPr>
          <w:rFonts w:ascii="Arial" w:cs="Arial" w:eastAsia="Arial" w:hAnsi="Arial"/>
          <w:sz w:val="18"/>
          <w:szCs w:val="18"/>
          <w:color w:val="auto"/>
        </w:rPr>
        <w:t>In January 2021, there was an increase of 190,315 shares reserved for issuance under the Company’s Employee Stock Purchase Plan (ESPP) pursuant to the terms of the ESPP. The Company had 684,996 shares available for future issuance under the Company’s ESPP as of June 30, 2021. Employees purchased 32,186 shares for $92,000 during the three and six months ended June 30, 2021. Employees purchased 22,474 shares for $50,000 during the three and six months ended June 30,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restricted stock units (RSUs) activity for the six months ended June 30, 2021:</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8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RSUs Outstanding</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11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348,759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(294,436)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Cancelled/forfeited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(104,652)</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324"/>
        <w:spacing w:after="0" w:line="263" w:lineRule="auto"/>
        <w:rPr>
          <w:sz w:val="20"/>
          <w:szCs w:val="20"/>
          <w:color w:val="auto"/>
        </w:rPr>
      </w:pPr>
      <w:r>
        <w:rPr>
          <w:rFonts w:ascii="Arial" w:cs="Arial" w:eastAsia="Arial" w:hAnsi="Arial"/>
          <w:sz w:val="18"/>
          <w:szCs w:val="18"/>
          <w:color w:val="auto"/>
        </w:rPr>
        <w:t>The fair value of RSUs is determined on the date of grant based on the market price of the Company’s common stock on that date. As of June 30, 2021, there was $1.5 million of unrecognized stock-based compensation expense related to RSUs to be recognized over a weighted-average period of 1.5 years.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40" w:right="659" w:firstLine="324"/>
        <w:spacing w:after="0" w:line="308" w:lineRule="auto"/>
        <w:rPr>
          <w:sz w:val="20"/>
          <w:szCs w:val="20"/>
          <w:color w:val="auto"/>
        </w:rPr>
      </w:pPr>
      <w:r>
        <w:rPr>
          <w:rFonts w:ascii="Arial" w:cs="Arial" w:eastAsia="Arial" w:hAnsi="Arial"/>
          <w:sz w:val="17"/>
          <w:szCs w:val="17"/>
          <w:color w:val="auto"/>
        </w:rPr>
        <w:t>As of June 30, 2021, there was $1.5 million of total unrecognized stock-based compensation expense related to unvested options which is expected to be recognized over a weighted-average period of 2.5 years.</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Significant Agreements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GLOBALFOUNDRIES, Inc. Joint Development Agreement</w:t>
      </w:r>
    </w:p>
    <w:p>
      <w:pPr>
        <w:spacing w:after="0" w:line="225" w:lineRule="exact"/>
        <w:rPr>
          <w:sz w:val="20"/>
          <w:szCs w:val="20"/>
          <w:color w:val="auto"/>
        </w:rPr>
      </w:pPr>
    </w:p>
    <w:p>
      <w:pPr>
        <w:ind w:left="40" w:right="119" w:firstLine="324"/>
        <w:spacing w:after="0" w:line="272" w:lineRule="auto"/>
        <w:rPr>
          <w:sz w:val="20"/>
          <w:szCs w:val="20"/>
          <w:color w:val="auto"/>
        </w:rPr>
      </w:pPr>
      <w:r>
        <w:rPr>
          <w:rFonts w:ascii="Arial" w:cs="Arial" w:eastAsia="Arial" w:hAnsi="Arial"/>
          <w:sz w:val="17"/>
          <w:szCs w:val="17"/>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agreement is until the completion, termination, or expiration of the last statement of work entered into pursuant to the joint development agreement. The Company entered into a Statement of Work (SOW) and an Amendment to the SOW, under the JDA with GF effective August 2016 and June 2018, respectively. The agreement was extended on December 31, 2019 to include a new phase of support for 12nm MRAM development.</w:t>
      </w:r>
    </w:p>
    <w:p>
      <w:pPr>
        <w:spacing w:after="0" w:line="177" w:lineRule="exact"/>
        <w:rPr>
          <w:sz w:val="20"/>
          <w:szCs w:val="20"/>
          <w:color w:val="auto"/>
        </w:rPr>
      </w:pPr>
    </w:p>
    <w:p>
      <w:pPr>
        <w:ind w:left="40" w:right="59" w:firstLine="324"/>
        <w:spacing w:after="0" w:line="272" w:lineRule="auto"/>
        <w:rPr>
          <w:sz w:val="20"/>
          <w:szCs w:val="20"/>
          <w:color w:val="auto"/>
        </w:rPr>
      </w:pPr>
      <w:r>
        <w:rPr>
          <w:rFonts w:ascii="Arial" w:cs="Arial" w:eastAsia="Arial" w:hAnsi="Arial"/>
          <w:sz w:val="17"/>
          <w:szCs w:val="17"/>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77"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under the JDA. If GF manufactures, sells or transfers to customers wafers containing production quantified STT-MRAM devices that utilize certain design information, GF will be required to pay the Company a royalty.</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project costs were incurred during the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Silterra Malaysia Sdn. Bhd. Joint Collaboration Agreement</w:t>
      </w:r>
    </w:p>
    <w:p>
      <w:pPr>
        <w:spacing w:after="0" w:line="225" w:lineRule="exact"/>
        <w:rPr>
          <w:sz w:val="20"/>
          <w:szCs w:val="20"/>
          <w:color w:val="auto"/>
        </w:rPr>
      </w:pPr>
    </w:p>
    <w:p>
      <w:pPr>
        <w:ind w:left="40" w:right="179" w:firstLine="405"/>
        <w:spacing w:after="0" w:line="272" w:lineRule="auto"/>
        <w:rPr>
          <w:sz w:val="20"/>
          <w:szCs w:val="20"/>
          <w:color w:val="auto"/>
        </w:rPr>
      </w:pPr>
      <w:r>
        <w:rPr>
          <w:rFonts w:ascii="Arial" w:cs="Arial" w:eastAsia="Arial" w:hAnsi="Arial"/>
          <w:sz w:val="17"/>
          <w:szCs w:val="17"/>
          <w:color w:val="auto"/>
        </w:rPr>
        <w:t>In September 2018, the Company entered into a Joint Collaboration Agreement (JCA) with Silterra Malaysia Sdn. Bhd., and another third party. The JCA will create additional manufacturing capacity for the Company’s Toggle MRAM products. The Company had previously anticipated initial production starting in 2020. However, as a result of recent delays, the Company now anticipates initial production to start some time in 2021. Under the JCA, the Company is required to pay non-recurring engineering costs of $1.0 million. As of June 30, 2021, the Company has paid $600,000 of these JCA costs. There were no JCA costs paid during the six months ended June 30, 2021. The Company does not expect to incur additional JCA costs for the remainder of 2021.</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Net Income (Loss) Per Common Share</w:t>
      </w:r>
    </w:p>
    <w:p>
      <w:pPr>
        <w:spacing w:after="0" w:line="229" w:lineRule="exact"/>
        <w:rPr>
          <w:sz w:val="20"/>
          <w:szCs w:val="20"/>
          <w:color w:val="auto"/>
        </w:rPr>
      </w:pPr>
    </w:p>
    <w:p>
      <w:pPr>
        <w:jc w:val="both"/>
        <w:ind w:left="40" w:right="59" w:firstLine="441"/>
        <w:spacing w:after="0" w:line="254" w:lineRule="auto"/>
        <w:rPr>
          <w:sz w:val="20"/>
          <w:szCs w:val="20"/>
          <w:color w:val="auto"/>
        </w:rPr>
      </w:pPr>
      <w:r>
        <w:rPr>
          <w:rFonts w:ascii="Arial" w:cs="Arial" w:eastAsia="Arial" w:hAnsi="Arial"/>
          <w:sz w:val="18"/>
          <w:szCs w:val="18"/>
          <w:color w:val="auto"/>
        </w:rPr>
        <w:t>Basic earnings per share is calculated by dividing net income by the weighted average shares outstanding. Diluted earnings per share is calculated using the treasury stock method by dividing net income by the total weighted average shares of common stock outstanding in addition to the potential impact of dilutive securities including restricted stock units, warrants, and options.</w:t>
      </w:r>
    </w:p>
    <w:p>
      <w:pPr>
        <w:spacing w:after="0" w:line="2" w:lineRule="exact"/>
        <w:rPr>
          <w:sz w:val="20"/>
          <w:szCs w:val="20"/>
          <w:color w:val="auto"/>
        </w:rPr>
      </w:pPr>
    </w:p>
    <w:p>
      <w:pPr>
        <w:jc w:val="both"/>
        <w:ind w:left="40" w:right="59" w:firstLine="441"/>
        <w:spacing w:after="0" w:line="260"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(in thousands, except share and per share data):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income (loss)</w:t>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Weighted-average common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shares outstanding used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calculate net income (loss) per</w:t>
      </w:r>
    </w:p>
    <w:p>
      <w:pPr>
        <w:spacing w:after="0" w:line="3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share, basic</w:t>
      </w:r>
    </w:p>
    <w:p>
      <w:pPr>
        <w:spacing w:after="0" w:line="9" w:lineRule="exact"/>
        <w:rPr>
          <w:sz w:val="20"/>
          <w:szCs w:val="20"/>
          <w:color w:val="auto"/>
        </w:rPr>
      </w:pPr>
    </w:p>
    <w:p>
      <w:pPr>
        <w:ind w:left="940"/>
        <w:spacing w:after="0" w:line="260" w:lineRule="auto"/>
        <w:rPr>
          <w:sz w:val="20"/>
          <w:szCs w:val="20"/>
          <w:color w:val="auto"/>
        </w:rPr>
      </w:pPr>
      <w:r>
        <w:rPr>
          <w:rFonts w:ascii="Arial" w:cs="Arial" w:eastAsia="Arial" w:hAnsi="Arial"/>
          <w:sz w:val="18"/>
          <w:szCs w:val="18"/>
          <w:b w:val="1"/>
          <w:bCs w:val="1"/>
          <w:color w:val="auto"/>
        </w:rPr>
        <w:t>Net income (loss) per common share, basic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income (loss)</w:t>
      </w:r>
    </w:p>
    <w:p>
      <w:pPr>
        <w:spacing w:after="0" w:line="31"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Denominator: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Weighted-average common</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shares outstanding used to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calculate net income (loss) per</w:t>
      </w:r>
    </w:p>
    <w:p>
      <w:pPr>
        <w:spacing w:after="0" w:line="32" w:lineRule="exact"/>
        <w:rPr>
          <w:sz w:val="20"/>
          <w:szCs w:val="20"/>
          <w:color w:val="auto"/>
        </w:rPr>
      </w:pPr>
    </w:p>
    <w:p>
      <w:pPr>
        <w:ind w:left="1040" w:right="20"/>
        <w:spacing w:after="0" w:line="250" w:lineRule="auto"/>
        <w:rPr>
          <w:sz w:val="20"/>
          <w:szCs w:val="20"/>
          <w:color w:val="auto"/>
        </w:rPr>
      </w:pPr>
      <w:r>
        <w:rPr>
          <w:rFonts w:ascii="Arial" w:cs="Arial" w:eastAsia="Arial" w:hAnsi="Arial"/>
          <w:sz w:val="18"/>
          <w:szCs w:val="18"/>
          <w:color w:val="auto"/>
        </w:rPr>
        <w:t>common share, basic Effect of dilutive Weighted-average common shares outstanding used to calculate net income (loss) per common share, diluted</w:t>
      </w:r>
    </w:p>
    <w:p>
      <w:pPr>
        <w:spacing w:after="0" w:line="2" w:lineRule="exact"/>
        <w:rPr>
          <w:sz w:val="20"/>
          <w:szCs w:val="20"/>
          <w:color w:val="auto"/>
        </w:rPr>
      </w:pPr>
    </w:p>
    <w:p>
      <w:pPr>
        <w:ind w:left="940"/>
        <w:spacing w:after="0" w:line="260" w:lineRule="auto"/>
        <w:rPr>
          <w:sz w:val="20"/>
          <w:szCs w:val="20"/>
          <w:color w:val="auto"/>
        </w:rPr>
      </w:pPr>
      <w:r>
        <w:rPr>
          <w:rFonts w:ascii="Arial" w:cs="Arial" w:eastAsia="Arial" w:hAnsi="Arial"/>
          <w:sz w:val="18"/>
          <w:szCs w:val="18"/>
          <w:b w:val="1"/>
          <w:bCs w:val="1"/>
          <w:color w:val="auto"/>
        </w:rPr>
        <w:t>Net income (loss) per common share, diluted</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Three Months Ended June 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42"/>
        </w:trPr>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r>
      <w:tr>
        <w:trPr>
          <w:trHeight w:val="425"/>
        </w:trPr>
        <w:tc>
          <w:tcPr>
            <w:tcW w:w="660" w:type="dxa"/>
            <w:vAlign w:val="bottom"/>
            <w:gridSpan w:val="2"/>
          </w:tcPr>
          <w:p>
            <w:pPr>
              <w:jc w:val="right"/>
              <w:ind w:right="508"/>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256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(1,294)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(3,026)</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-162560</wp:posOffset>
            </wp:positionV>
            <wp:extent cx="45262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26280" cy="14605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137160</wp:posOffset>
            </wp:positionV>
            <wp:extent cx="4526280" cy="548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2628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w w:val="93"/>
              </w:rPr>
              <w:t>19,313,162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18,747,124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19,203,374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18,585,339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180" w:type="dxa"/>
            <w:vAlign w:val="bottom"/>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4"/>
                <w:szCs w:val="24"/>
                <w:color w:val="auto"/>
              </w:rPr>
            </w:pPr>
          </w:p>
        </w:tc>
        <w:tc>
          <w:tcPr>
            <w:tcW w:w="120" w:type="dxa"/>
            <w:vAlign w:val="bottom"/>
          </w:tcPr>
          <w:p>
            <w:pPr>
              <w:jc w:val="center"/>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24"/>
                <w:szCs w:val="24"/>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5"/>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7"/>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060" w:type="dxa"/>
            <w:vAlign w:val="bottom"/>
            <w:tcBorders>
              <w:top w:val="single" w:sz="8" w:color="auto"/>
              <w:bottom w:val="single" w:sz="8" w:color="auto"/>
            </w:tcBorders>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425"/>
        </w:trPr>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(3,026)</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6"/>
        </w:trPr>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19,313,162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18,747,124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19,203,374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18,585,339</w:t>
            </w:r>
          </w:p>
        </w:tc>
        <w:tc>
          <w:tcPr>
            <w:tcW w:w="20" w:type="dxa"/>
            <w:vAlign w:val="bottom"/>
          </w:tcPr>
          <w:p>
            <w:pPr>
              <w:spacing w:after="0"/>
              <w:rPr>
                <w:sz w:val="24"/>
                <w:szCs w:val="24"/>
                <w:color w:val="auto"/>
              </w:rPr>
            </w:pPr>
          </w:p>
        </w:tc>
      </w:tr>
      <w:tr>
        <w:trPr>
          <w:trHeight w:val="230"/>
        </w:trPr>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412,902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830"/>
        </w:trPr>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19,726,064</w:t>
            </w: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0"/>
              </w:rPr>
              <w:t>18,747,124</w:t>
            </w: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0"/>
              </w:rPr>
              <w:t>19,203,374</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3"/>
              </w:rPr>
              <w:t>18,585,339</w:t>
            </w:r>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(0.16)</w:t>
            </w:r>
          </w:p>
        </w:tc>
      </w:tr>
      <w:tr>
        <w:trPr>
          <w:trHeight w:val="20"/>
        </w:trPr>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-1971040</wp:posOffset>
            </wp:positionV>
            <wp:extent cx="45262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26280" cy="14541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-1679575</wp:posOffset>
            </wp:positionV>
            <wp:extent cx="45262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26280" cy="15430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-976630</wp:posOffset>
            </wp:positionV>
            <wp:extent cx="452628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26280" cy="13716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-290830</wp:posOffset>
            </wp:positionV>
            <wp:extent cx="452628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2628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160"/>
            <w:col w:w="5599"/>
          </w:cols>
          <w:pgMar w:left="1440" w:top="517" w:right="1440"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outstanding shares of potentially dilutive securities have been excluded from diluted net income (loss)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 common share for the periods presented, because their inclusion would be anti-dilutive:</w:t>
      </w:r>
    </w:p>
    <w:p>
      <w:pPr>
        <w:spacing w:after="0" w:line="216"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6"/>
        </w:trPr>
        <w:tc>
          <w:tcPr>
            <w:tcW w:w="20" w:type="dxa"/>
            <w:vAlign w:val="bottom"/>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1,078,849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2,416,629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1,498,549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2,416,629</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RSUs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75,042</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439,972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366,413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439,972</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ESPP</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30,136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54,382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30,136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54,382</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1,193,402</w:t>
            </w: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2,938,819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1,944,434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2,938,819</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40" w:right="399"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left="40" w:right="99" w:firstLine="324"/>
        <w:spacing w:after="0" w:line="286" w:lineRule="auto"/>
        <w:rPr>
          <w:sz w:val="20"/>
          <w:szCs w:val="20"/>
          <w:color w:val="auto"/>
        </w:rPr>
      </w:pPr>
      <w:r>
        <w:rPr>
          <w:rFonts w:ascii="Arial" w:cs="Arial" w:eastAsia="Arial" w:hAnsi="Arial"/>
          <w:sz w:val="16"/>
          <w:szCs w:val="16"/>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379" w:firstLine="324"/>
        <w:spacing w:after="0" w:line="272" w:lineRule="auto"/>
        <w:rPr>
          <w:sz w:val="20"/>
          <w:szCs w:val="20"/>
          <w:color w:val="auto"/>
        </w:rPr>
      </w:pPr>
      <w:r>
        <w:rPr>
          <w:rFonts w:ascii="Arial" w:cs="Arial" w:eastAsia="Arial" w:hAnsi="Arial"/>
          <w:sz w:val="17"/>
          <w:szCs w:val="17"/>
          <w:color w:val="auto"/>
        </w:rPr>
        <w:t>Everspin is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10 years of MRAM technology and manufacturing leadership, our memory solutions deliver significant value to our customers in key markets such as industrial, medical, automotive/transportation, aerospace and data center. We are the leading supplier of discrete MRAM components and a successful licensor of our broad portfolio of related technology intellectual property.</w:t>
      </w:r>
    </w:p>
    <w:p>
      <w:pPr>
        <w:spacing w:after="0" w:line="177"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We sell our products directly and through our established distribution channels to industry-leading original equipment manufacturers (OEMs) and original design manufacturers (ODMs).</w:t>
      </w:r>
    </w:p>
    <w:p>
      <w:pPr>
        <w:spacing w:after="0" w:line="170" w:lineRule="exact"/>
        <w:rPr>
          <w:sz w:val="20"/>
          <w:szCs w:val="20"/>
          <w:color w:val="auto"/>
        </w:rPr>
      </w:pPr>
    </w:p>
    <w:p>
      <w:pPr>
        <w:ind w:left="40" w:right="199" w:firstLine="324"/>
        <w:spacing w:after="0" w:line="275" w:lineRule="auto"/>
        <w:rPr>
          <w:sz w:val="20"/>
          <w:szCs w:val="20"/>
          <w:color w:val="auto"/>
        </w:rPr>
      </w:pPr>
      <w:r>
        <w:rPr>
          <w:rFonts w:ascii="Arial" w:cs="Arial" w:eastAsia="Arial" w:hAnsi="Arial"/>
          <w:sz w:val="17"/>
          <w:szCs w:val="17"/>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200mm fabrication facility in Chandler, Arizona. We also manufacture full-flow 300mm CMOS wafers with our STT-MRAM magnetic-bit technology integrated in BEOL as part of our strategic relationship with GLOBALFOUNDRIES.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spacing w:after="0" w:line="164" w:lineRule="exact"/>
        <w:rPr>
          <w:sz w:val="20"/>
          <w:szCs w:val="20"/>
          <w:color w:val="auto"/>
        </w:rPr>
      </w:pPr>
    </w:p>
    <w:p>
      <w:pPr>
        <w:ind w:left="40" w:right="299" w:firstLine="324"/>
        <w:spacing w:after="0" w:line="31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Our management and board of directors use Adjusted EBITDA to understand and evaluate our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performance and trends, to prepare and approve our annual budget and to develop short-term and long-term operating and financing plans. Accordingly, we believe that Adjusted EBITDA provides useful information for investors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299"/>
        <w:spacing w:after="0" w:line="301" w:lineRule="auto"/>
        <w:rPr>
          <w:sz w:val="20"/>
          <w:szCs w:val="20"/>
          <w:color w:val="auto"/>
        </w:rPr>
      </w:pPr>
      <w:r>
        <w:rPr>
          <w:rFonts w:ascii="Arial" w:cs="Arial" w:eastAsia="Arial" w:hAnsi="Arial"/>
          <w:sz w:val="16"/>
          <w:szCs w:val="16"/>
          <w:color w:val="auto"/>
        </w:rPr>
        <w:t>in understanding and evaluating our operating results in the same manner as our management and our board of directors. Adjusted EBITDA is a non-GAAP financial measure and should be considered in addition to, not as superior to, or as a substitute for, net income (loss) reported in accordance with GAAP. The following table presents a reconciliation of net income (loss), the most directly comparable GAAP measure, to Adjusted EBITDA for the periods indicated:</w:t>
      </w:r>
    </w:p>
    <w:p>
      <w:pPr>
        <w:spacing w:after="0" w:line="16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(3,026)</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4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w:t>
            </w:r>
          </w:p>
        </w:tc>
        <w:tc>
          <w:tcPr>
            <w:tcW w:w="14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8"/>
                <w:szCs w:val="18"/>
                <w:color w:val="auto"/>
              </w:rPr>
            </w:pPr>
          </w:p>
        </w:tc>
      </w:tr>
      <w:tr>
        <w:trPr>
          <w:trHeight w:val="216"/>
        </w:trPr>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8"/>
                <w:szCs w:val="18"/>
                <w:color w:val="auto"/>
              </w:rPr>
            </w:pPr>
          </w:p>
        </w:tc>
      </w:tr>
      <w:tr>
        <w:trPr>
          <w:trHeight w:val="209"/>
        </w:trPr>
        <w:tc>
          <w:tcPr>
            <w:tcW w:w="3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39" w:firstLine="324"/>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To continue to grow our revenue, we must continue to achieve design wins for our MRAM products. We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the first and second quarters of 2021 were 40 and 37, respectively, compared to 37 and 43 in the first and second quarters of 2020, respectively.</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Effect of the COVID-19 Pandemic on our Business</w:t>
      </w:r>
    </w:p>
    <w:p>
      <w:pPr>
        <w:spacing w:after="0" w:line="229" w:lineRule="exact"/>
        <w:rPr>
          <w:sz w:val="20"/>
          <w:szCs w:val="20"/>
          <w:color w:val="auto"/>
        </w:rPr>
      </w:pPr>
    </w:p>
    <w:p>
      <w:pPr>
        <w:ind w:left="40" w:right="159" w:firstLine="324"/>
        <w:spacing w:after="0" w:line="290" w:lineRule="auto"/>
        <w:rPr>
          <w:sz w:val="20"/>
          <w:szCs w:val="20"/>
          <w:color w:val="auto"/>
        </w:rPr>
      </w:pPr>
      <w:r>
        <w:rPr>
          <w:rFonts w:ascii="Arial" w:cs="Arial" w:eastAsia="Arial" w:hAnsi="Arial"/>
          <w:sz w:val="16"/>
          <w:szCs w:val="16"/>
          <w:color w:val="auto"/>
        </w:rPr>
        <w:t>The novel coronavirus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many new agencies have reported the spread of new variants of COVID-19, such as the Delta variant, that are more contagious than previous strains. The spread of these new strains are causing many government authorities to reimplement the aforementioned measures to try to reduce the spread that had become less prevalent. The COVID-19 pandemic and its variants have negatively impacted the global economy, disrupted global supply chains and workforce participation, and initially created significant volatility and disruption of financial markets.</w:t>
      </w:r>
    </w:p>
    <w:p>
      <w:pPr>
        <w:spacing w:after="0" w:line="165" w:lineRule="exact"/>
        <w:rPr>
          <w:sz w:val="20"/>
          <w:szCs w:val="20"/>
          <w:color w:val="auto"/>
        </w:rPr>
      </w:pPr>
    </w:p>
    <w:p>
      <w:pPr>
        <w:ind w:left="40" w:right="59" w:firstLine="324"/>
        <w:spacing w:after="0" w:line="289" w:lineRule="auto"/>
        <w:rPr>
          <w:sz w:val="20"/>
          <w:szCs w:val="20"/>
          <w:color w:val="auto"/>
        </w:rPr>
      </w:pPr>
      <w:r>
        <w:rPr>
          <w:rFonts w:ascii="Arial" w:cs="Arial" w:eastAsia="Arial" w:hAnsi="Arial"/>
          <w:sz w:val="16"/>
          <w:szCs w:val="16"/>
          <w:color w:val="auto"/>
        </w:rPr>
        <w:t>Overall, our business remains operational in the midst of the pandemic. However, as a result of the ongoing COVID-19 outbreak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While we are working closely with our manufacturing partners and suppliers to support demand for our products, the full impact on our demand from customers remains unknown. Management is thus planning for a broad range of possible demand outcomes in an effort to ensure the success of our business under a variety of end market conditions.</w:t>
      </w:r>
    </w:p>
    <w:p>
      <w:pPr>
        <w:spacing w:after="0" w:line="166" w:lineRule="exact"/>
        <w:rPr>
          <w:sz w:val="20"/>
          <w:szCs w:val="20"/>
          <w:color w:val="auto"/>
        </w:rPr>
      </w:pPr>
    </w:p>
    <w:p>
      <w:pPr>
        <w:ind w:left="40" w:right="279" w:firstLine="324"/>
        <w:spacing w:after="0" w:line="293" w:lineRule="auto"/>
        <w:rPr>
          <w:sz w:val="20"/>
          <w:szCs w:val="20"/>
          <w:color w:val="auto"/>
        </w:rPr>
      </w:pPr>
      <w:r>
        <w:rPr>
          <w:rFonts w:ascii="Arial" w:cs="Arial" w:eastAsia="Arial" w:hAnsi="Arial"/>
          <w:sz w:val="16"/>
          <w:szCs w:val="16"/>
          <w:color w:val="auto"/>
        </w:rPr>
        <w:t>Further, in an effort to protect the health and safety of our employees, we transitioned most of our office and support employees and contractors to working from home; suspended all non-essential business travel; and implemented social distancing guidelines for our employees and contractors who must 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64" w:lineRule="exact"/>
        <w:rPr>
          <w:sz w:val="20"/>
          <w:szCs w:val="20"/>
          <w:color w:val="auto"/>
        </w:rPr>
      </w:pPr>
    </w:p>
    <w:p>
      <w:pPr>
        <w:ind w:left="40" w:right="279" w:firstLine="324"/>
        <w:spacing w:after="0" w:line="311" w:lineRule="auto"/>
        <w:rPr>
          <w:sz w:val="20"/>
          <w:szCs w:val="20"/>
          <w:color w:val="auto"/>
        </w:rPr>
      </w:pPr>
      <w:r>
        <w:rPr>
          <w:rFonts w:ascii="Arial" w:cs="Arial" w:eastAsia="Arial" w:hAnsi="Arial"/>
          <w:sz w:val="16"/>
          <w:szCs w:val="16"/>
          <w:color w:val="auto"/>
        </w:rPr>
        <w:t>The emergence of the significantly more contagious Delta variant of COVID-19 and the prevalence of breakthrough cases of infection among fully vaccinated people adds additional uncertainty and could result in further impacts to our business and operations, including those discussed above and in “Risk Factors” in Part II, Item 1A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We will continue to monitor the situation and take additional actions as warranted. These actions may include further altering our operations in order to protect the best interests of our employees, customers and suppliers, and to comply with government requirements, while also planning and executing our business to best support our customers, suppliers, and partners.</w:t>
      </w:r>
    </w:p>
    <w:p>
      <w:pPr>
        <w:spacing w:after="0" w:line="187" w:lineRule="exact"/>
        <w:rPr>
          <w:sz w:val="20"/>
          <w:szCs w:val="20"/>
          <w:color w:val="auto"/>
        </w:rPr>
      </w:pPr>
    </w:p>
    <w:p>
      <w:pPr>
        <w:ind w:left="40" w:right="99" w:firstLine="324"/>
        <w:spacing w:after="0" w:line="271" w:lineRule="auto"/>
        <w:rPr>
          <w:sz w:val="20"/>
          <w:szCs w:val="20"/>
          <w:color w:val="auto"/>
        </w:rPr>
      </w:pPr>
      <w:r>
        <w:rPr>
          <w:rFonts w:ascii="Arial" w:cs="Arial" w:eastAsia="Arial" w:hAnsi="Arial"/>
          <w:sz w:val="17"/>
          <w:szCs w:val="17"/>
          <w:color w:val="auto"/>
        </w:rPr>
        <w:t>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emergence and severity of its variants, the actions to contain the virus or treat its impact, such as the availability and efficacy of vaccines (particularly with respect to emerging strains of the virus) and potential hesitancy to use them, and how quickly and to what extent normal economic and operating conditions can resume. Accordingly, our current results and financial condition discussed herein may not be indicative of future operating results and trends. See “Risk Factors” in Part II, Item 1A of this report for additional risks we face due to the COVID-19 pandemic.</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Three Months Ended June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4"/>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(As a percentage of revenue)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4"/>
          </w:tcPr>
          <w:p>
            <w:pPr>
              <w:jc w:val="right"/>
              <w:ind w:right="251"/>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10,187</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$ 10,927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86 %</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Licensing, royalty,</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and other revenue</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1,661</w:t>
            </w: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11,848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22,128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21,934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8"/>
              </w:rPr>
              <w:t>Cost of product sales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4,329</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6,521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11,246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licensing,</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royalty, and 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cost of sales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11,392</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13,181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10,542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w w:val="99"/>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Research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development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tcPr>
          <w:p>
            <w:pPr>
              <w:ind w:left="120"/>
              <w:spacing w:after="0" w:line="201" w:lineRule="exact"/>
              <w:rPr>
                <w:sz w:val="20"/>
                <w:szCs w:val="20"/>
                <w:color w:val="auto"/>
              </w:rPr>
            </w:pPr>
            <w:r>
              <w:rPr>
                <w:rFonts w:ascii="Arial" w:cs="Arial" w:eastAsia="Arial" w:hAnsi="Arial"/>
                <w:sz w:val="18"/>
                <w:szCs w:val="18"/>
                <w:color w:val="auto"/>
              </w:rPr>
              <w:t>General and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2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2,338</w:t>
            </w: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2,448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5,248</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Sales and</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marketing</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ind w:left="220"/>
              <w:spacing w:after="0" w:line="182" w:lineRule="exact"/>
              <w:rPr>
                <w:sz w:val="20"/>
                <w:szCs w:val="20"/>
                <w:color w:val="auto"/>
              </w:rPr>
            </w:pPr>
            <w:r>
              <w:rPr>
                <w:rFonts w:ascii="Arial" w:cs="Arial" w:eastAsia="Arial" w:hAnsi="Arial"/>
                <w:sz w:val="18"/>
                <w:szCs w:val="18"/>
                <w:color w:val="auto"/>
              </w:rPr>
              <w:t>Total operating</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6,740</w:t>
            </w: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6,278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13,009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13,211</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(loss) from</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(172)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(1,244)</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(2,950)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and comprehensive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8"/>
                <w:szCs w:val="18"/>
                <w:color w:val="auto"/>
              </w:rPr>
            </w:pPr>
          </w:p>
        </w:tc>
        <w:tc>
          <w:tcPr>
            <w:tcW w:w="9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 (1,294)</w:t>
            </w: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3 %</w:t>
            </w:r>
          </w:p>
        </w:tc>
        <w:tc>
          <w:tcPr>
            <w:tcW w:w="10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(10)%$</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(204)</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8"/>
              </w:rPr>
              <w:t>(3,026)</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1 %</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20"/>
                <w:szCs w:val="20"/>
                <w:color w:val="auto"/>
              </w:rPr>
            </w:pPr>
            <w:r>
              <w:rPr>
                <w:rFonts w:ascii="Arial" w:cs="Arial" w:eastAsia="Arial" w:hAnsi="Arial"/>
                <w:sz w:val="18"/>
                <w:szCs w:val="18"/>
                <w:color w:val="auto"/>
              </w:rPr>
              <w:t>income (loss)</w:t>
            </w: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471"/>
              <w:spacing w:after="0"/>
              <w:rPr>
                <w:sz w:val="20"/>
                <w:szCs w:val="20"/>
                <w:color w:val="auto"/>
              </w:rPr>
            </w:pPr>
            <w:r>
              <w:rPr>
                <w:rFonts w:ascii="Arial" w:cs="Arial" w:eastAsia="Arial" w:hAnsi="Arial"/>
                <w:sz w:val="18"/>
                <w:szCs w:val="18"/>
                <w:color w:val="auto"/>
                <w:w w:val="99"/>
              </w:rPr>
              <w:t>20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299" w:firstLine="324"/>
        <w:spacing w:after="0" w:line="277" w:lineRule="auto"/>
        <w:rPr>
          <w:sz w:val="20"/>
          <w:szCs w:val="20"/>
          <w:color w:val="auto"/>
        </w:rPr>
      </w:pPr>
      <w:r>
        <w:rPr>
          <w:rFonts w:ascii="Arial" w:cs="Arial" w:eastAsia="Arial" w:hAnsi="Arial"/>
          <w:sz w:val="18"/>
          <w:szCs w:val="18"/>
          <w:color w:val="auto"/>
        </w:rPr>
        <w:t>We generated 77% and 53% of our revenue from products sold through distributors for the three months ended June 30, 2021 and 2020, respectively.</w:t>
      </w:r>
    </w:p>
    <w:p>
      <w:pPr>
        <w:spacing w:after="0" w:line="170" w:lineRule="exact"/>
        <w:rPr>
          <w:sz w:val="20"/>
          <w:szCs w:val="20"/>
          <w:color w:val="auto"/>
        </w:rPr>
      </w:pPr>
    </w:p>
    <w:p>
      <w:pPr>
        <w:ind w:left="40" w:right="199" w:firstLine="324"/>
        <w:spacing w:after="0" w:line="296"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34"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94"/>
              </w:rPr>
              <w:t>Three Months Ended June 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0"/>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11,826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vMerge w:val="restart"/>
          </w:tcPr>
          <w:p>
            <w:pPr>
              <w:jc w:val="right"/>
              <w:ind w:right="10"/>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(Dollars in</w:t>
            </w:r>
          </w:p>
        </w:tc>
        <w:tc>
          <w:tcPr>
            <w:tcW w:w="160" w:type="dxa"/>
            <w:vAlign w:val="bottom"/>
            <w:gridSpan w:val="2"/>
          </w:tcPr>
          <w:p>
            <w:pPr>
              <w:spacing w:after="0"/>
              <w:rPr>
                <w:sz w:val="11"/>
                <w:szCs w:val="11"/>
                <w:color w:val="auto"/>
              </w:rPr>
            </w:pPr>
          </w:p>
        </w:tc>
        <w:tc>
          <w:tcPr>
            <w:tcW w:w="9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84.8 %</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firstLine="324"/>
        <w:spacing w:after="0" w:line="263" w:lineRule="auto"/>
        <w:rPr>
          <w:sz w:val="20"/>
          <w:szCs w:val="20"/>
          <w:color w:val="auto"/>
        </w:rPr>
      </w:pPr>
      <w:r>
        <w:rPr>
          <w:rFonts w:ascii="Arial" w:cs="Arial" w:eastAsia="Arial" w:hAnsi="Arial"/>
          <w:sz w:val="18"/>
          <w:szCs w:val="18"/>
          <w:color w:val="auto"/>
        </w:rPr>
        <w:t>Total revenue remained relatively unchanged increasing by $22,000, or 0.2%, to $11.8 million during both the three months ended June 30, 2021 and 2020. Product sales decreased by $0.7 million, or 6.8%, from $10.9 million to $10.2 million due to a lower volume of units produced and sold.</w:t>
      </w:r>
    </w:p>
    <w:p>
      <w:pPr>
        <w:spacing w:after="0" w:line="184" w:lineRule="exact"/>
        <w:rPr>
          <w:sz w:val="20"/>
          <w:szCs w:val="20"/>
          <w:color w:val="auto"/>
        </w:rPr>
      </w:pPr>
    </w:p>
    <w:p>
      <w:pPr>
        <w:ind w:left="40" w:right="59" w:firstLine="324"/>
        <w:spacing w:after="0" w:line="293" w:lineRule="auto"/>
        <w:rPr>
          <w:sz w:val="20"/>
          <w:szCs w:val="20"/>
          <w:color w:val="auto"/>
        </w:rPr>
      </w:pPr>
      <w:r>
        <w:rPr>
          <w:rFonts w:ascii="Arial" w:cs="Arial" w:eastAsia="Arial" w:hAnsi="Arial"/>
          <w:sz w:val="16"/>
          <w:szCs w:val="16"/>
          <w:color w:val="auto"/>
        </w:rPr>
        <w:t>Licensing, royalty,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and other revenue increased by $0.8 million, from $0.9 million during the three months ended June 30, 2020 to $1.7 million during the three months ended June 30, 2021. The increase was driven by higher licensing revenue from our contracts related to a U.S. Government RAD-Hard program entered into in the first quarter of 2021.</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4"/>
            <w:vMerge w:val="restart"/>
          </w:tcPr>
          <w:p>
            <w:pPr>
              <w:jc w:val="right"/>
              <w:ind w:right="6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70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2"/>
              </w:rPr>
              <w:t>June 30,</w:t>
            </w: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2"/>
          </w:tcPr>
          <w:p>
            <w:pPr>
              <w:jc w:val="right"/>
              <w:ind w:right="90"/>
              <w:spacing w:after="0" w:line="114" w:lineRule="exact"/>
              <w:rPr>
                <w:sz w:val="20"/>
                <w:szCs w:val="20"/>
                <w:color w:val="auto"/>
              </w:rPr>
            </w:pPr>
            <w:r>
              <w:rPr>
                <w:rFonts w:ascii="Arial" w:cs="Arial" w:eastAsia="Arial" w:hAnsi="Arial"/>
                <w:sz w:val="13"/>
                <w:szCs w:val="13"/>
                <w:b w:val="1"/>
                <w:bCs w:val="1"/>
                <w:color w:val="auto"/>
              </w:rPr>
              <w:t>(Dollars in</w:t>
            </w:r>
          </w:p>
        </w:tc>
        <w:tc>
          <w:tcPr>
            <w:tcW w:w="800" w:type="dxa"/>
            <w:vAlign w:val="bottom"/>
            <w:gridSpan w:val="2"/>
          </w:tcPr>
          <w:p>
            <w:pPr>
              <w:jc w:val="right"/>
              <w:ind w:right="280"/>
              <w:spacing w:after="0" w:line="114" w:lineRule="exact"/>
              <w:rPr>
                <w:sz w:val="20"/>
                <w:szCs w:val="20"/>
                <w:color w:val="auto"/>
              </w:rPr>
            </w:pPr>
            <w:r>
              <w:rPr>
                <w:rFonts w:ascii="Arial" w:cs="Arial" w:eastAsia="Arial" w:hAnsi="Arial"/>
                <w:sz w:val="13"/>
                <w:szCs w:val="13"/>
                <w:b w:val="1"/>
                <w:bCs w:val="1"/>
                <w:color w:val="auto"/>
                <w:w w:val="71"/>
              </w:rPr>
              <w:t>thousands)</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Cost of product sales</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$ 4,329</w:t>
            </w:r>
          </w:p>
        </w:tc>
        <w:tc>
          <w:tcPr>
            <w:tcW w:w="2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$ 6,521</w:t>
            </w:r>
          </w:p>
        </w:tc>
        <w:tc>
          <w:tcPr>
            <w:tcW w:w="2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 (2,192)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Cost of licensing, royalty, and other revenue</w:t>
            </w:r>
          </w:p>
        </w:tc>
        <w:tc>
          <w:tcPr>
            <w:tcW w:w="62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183.3 %</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$ 4,652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$ 6,635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(1,983)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Cost of product sales decreased by $2.2 million, or 33.6%, from $6.5 million during the three months ended June 30, 2020, to $4.3 million during the three months ended June 30, 2021. The decrease was due to improved manufacturing yields.</w:t>
      </w:r>
    </w:p>
    <w:p>
      <w:pPr>
        <w:spacing w:after="0" w:line="184"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Cost of licensing, royalty, and other increased by $0.2, or 183.3%, from $0.1 million during the three months ended June 30, 2020, to $0.3 million during the three months ended June 30, 2021. The increase was due primarily to increases in foundry and licensing activities.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319" w:firstLine="324"/>
        <w:spacing w:after="0" w:line="263" w:lineRule="auto"/>
        <w:rPr>
          <w:sz w:val="20"/>
          <w:szCs w:val="20"/>
          <w:color w:val="auto"/>
        </w:rPr>
      </w:pPr>
      <w:r>
        <w:rPr>
          <w:rFonts w:ascii="Arial" w:cs="Arial" w:eastAsia="Arial" w:hAnsi="Arial"/>
          <w:sz w:val="18"/>
          <w:szCs w:val="18"/>
          <w:color w:val="auto"/>
        </w:rPr>
        <w:t>Gross margin increased from 43.9% during the three months ended June 30, 2020 to 60.7% during the three months ended June 30, 2021. The increase in gross margin was due primarily to higher licensing and royalty revenue along with improved manufacturing yields.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7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6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7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320" w:type="dxa"/>
            <w:vAlign w:val="bottom"/>
            <w:gridSpan w:val="4"/>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w w:val="89"/>
              </w:rPr>
              <w:t>$ 3,357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$ 2,774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  583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Research and development as a %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28 %</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23 %</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8"/>
          <w:szCs w:val="18"/>
          <w:color w:val="auto"/>
        </w:rPr>
        <w:t>Research and development expenses increased by $0.6 million, or 21.0%, from $2.8 million during the three months ended June 30, 2020 to $3.4 million during the three months ended June 30, 2021. The increase was primarily due to higher expenses relating to the development of our 28nm product.</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4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$ 2,338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$ 2,448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(110)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99" w:firstLine="324"/>
        <w:spacing w:after="0" w:line="342"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by $0.1 million, or 4.5%, from</w:t>
      </w:r>
      <w:r>
        <w:rPr>
          <w:rFonts w:ascii="Arial" w:cs="Arial" w:eastAsia="Arial" w:hAnsi="Arial"/>
          <w:sz w:val="16"/>
          <w:szCs w:val="16"/>
          <w:i w:val="1"/>
          <w:iCs w:val="1"/>
          <w:color w:val="auto"/>
        </w:rPr>
        <w:t xml:space="preserve"> </w:t>
      </w:r>
      <w:r>
        <w:rPr>
          <w:rFonts w:ascii="Arial" w:cs="Arial" w:eastAsia="Arial" w:hAnsi="Arial"/>
          <w:sz w:val="16"/>
          <w:szCs w:val="16"/>
          <w:color w:val="auto"/>
        </w:rPr>
        <w:t>$2.4 million during the three months ended June 30, 2020 to $2.3 million during the three months ended June 30, 2021.</w:t>
      </w:r>
    </w:p>
    <w:p>
      <w:pPr>
        <w:spacing w:after="0" w:line="11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8"/>
              </w:rPr>
              <w:t>Three Months Ended</w:t>
            </w:r>
          </w:p>
        </w:tc>
        <w:tc>
          <w:tcPr>
            <w:tcW w:w="12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0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gridSpan w:val="4"/>
          </w:tcPr>
          <w:p>
            <w:pPr>
              <w:ind w:lef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$ 1,045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$ 1,056</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99" w:firstLine="324"/>
        <w:spacing w:after="0" w:line="34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remained relatively unchanged decreasing $11,000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$1.1 million during the three months ended June 30, 2020 to $1.0 million during the three months ended June 30, 2021.</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2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2"/>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172</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39" w:firstLine="324"/>
        <w:spacing w:after="0" w:line="263" w:lineRule="auto"/>
        <w:rPr>
          <w:sz w:val="20"/>
          <w:szCs w:val="20"/>
          <w:color w:val="auto"/>
        </w:rPr>
      </w:pPr>
      <w:r>
        <w:rPr>
          <w:rFonts w:ascii="Arial" w:cs="Arial" w:eastAsia="Arial" w:hAnsi="Arial"/>
          <w:sz w:val="18"/>
          <w:szCs w:val="18"/>
          <w:color w:val="auto"/>
        </w:rPr>
        <w:t>Interest expense decreased by $28,000 or 16.3%, from $172,000 during the three months ended June 30, 2020 to $144,000 during the three months ended June 30, 2021. The decrease was partially due to a decrease in outstanding principal on our term loan.</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2020</w:t>
            </w:r>
          </w:p>
        </w:tc>
        <w:tc>
          <w:tcPr>
            <w:tcW w:w="140" w:type="dxa"/>
            <w:vAlign w:val="bottom"/>
          </w:tcPr>
          <w:p>
            <w:pPr>
              <w:spacing w:after="0"/>
              <w:rPr>
                <w:sz w:val="12"/>
                <w:szCs w:val="12"/>
                <w:color w:val="auto"/>
              </w:rPr>
            </w:pPr>
          </w:p>
        </w:tc>
        <w:tc>
          <w:tcPr>
            <w:tcW w:w="7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99"/>
              </w:rPr>
              <w:t>(Dollars in</w:t>
            </w:r>
          </w:p>
        </w:tc>
        <w:tc>
          <w:tcPr>
            <w:tcW w:w="700" w:type="dxa"/>
            <w:vAlign w:val="bottom"/>
          </w:tcPr>
          <w:p>
            <w:pPr>
              <w:spacing w:after="0" w:line="129" w:lineRule="exact"/>
              <w:rPr>
                <w:sz w:val="20"/>
                <w:szCs w:val="20"/>
                <w:color w:val="auto"/>
              </w:rPr>
            </w:pPr>
            <w:r>
              <w:rPr>
                <w:rFonts w:ascii="Arial" w:cs="Arial" w:eastAsia="Arial" w:hAnsi="Arial"/>
                <w:sz w:val="14"/>
                <w:szCs w:val="14"/>
                <w:b w:val="1"/>
                <w:bCs w:val="1"/>
                <w:color w:val="auto"/>
                <w:w w:val="90"/>
              </w:rPr>
              <w:t>thousands)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(12)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219" w:firstLine="324"/>
        <w:spacing w:after="0" w:line="259" w:lineRule="auto"/>
        <w:rPr>
          <w:sz w:val="20"/>
          <w:szCs w:val="20"/>
          <w:color w:val="auto"/>
        </w:rPr>
      </w:pPr>
      <w:r>
        <w:rPr>
          <w:rFonts w:ascii="Arial" w:cs="Arial" w:eastAsia="Arial" w:hAnsi="Arial"/>
          <w:sz w:val="18"/>
          <w:szCs w:val="18"/>
          <w:color w:val="auto"/>
        </w:rPr>
        <w:t>Other (expense) income, net was income of $15,000 during the three months ended June 30, 2020 compared to an expense of $12,000 during the three months ended June 30, 2021. The change was primarily due to a decrease in interest income earned on our cash balances during the quarter from the lower interest rate environment, offset by increases in tax payments.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40" w:right="179" w:firstLine="324"/>
        <w:spacing w:after="0" w:line="277" w:lineRule="auto"/>
        <w:rPr>
          <w:sz w:val="20"/>
          <w:szCs w:val="20"/>
          <w:color w:val="auto"/>
        </w:rPr>
      </w:pPr>
      <w:r>
        <w:rPr>
          <w:rFonts w:ascii="Arial" w:cs="Arial" w:eastAsia="Arial" w:hAnsi="Arial"/>
          <w:sz w:val="18"/>
          <w:szCs w:val="18"/>
          <w:color w:val="auto"/>
        </w:rPr>
        <w:t>We generated 70% and 60% of our revenue from products sold through distributors for the six months ended June 30, 2021 and 2020, respectively.</w:t>
      </w:r>
    </w:p>
    <w:p>
      <w:pPr>
        <w:spacing w:after="0" w:line="170" w:lineRule="exact"/>
        <w:rPr>
          <w:sz w:val="20"/>
          <w:szCs w:val="20"/>
          <w:color w:val="auto"/>
        </w:rPr>
      </w:pPr>
    </w:p>
    <w:p>
      <w:pPr>
        <w:ind w:left="40" w:right="199" w:firstLine="324"/>
        <w:spacing w:after="0" w:line="296" w:lineRule="auto"/>
        <w:rPr>
          <w:sz w:val="20"/>
          <w:szCs w:val="20"/>
          <w:color w:val="auto"/>
        </w:rPr>
      </w:pPr>
      <w:r>
        <w:rPr>
          <w:rFonts w:ascii="Arial" w:cs="Arial" w:eastAsia="Arial" w:hAnsi="Arial"/>
          <w:sz w:val="16"/>
          <w:szCs w:val="16"/>
          <w:color w:val="auto"/>
        </w:rPr>
        <w:t>In addition to selling our products to our distributors, we maintain a direct selling relationship, for strategic purposes, with several key customer accounts. We have organized our sales team and representatives into three primary regions: North America; Europe, Middle East and Africa (EMEA); and Asia-Pacific (APAC). We recognize revenue by geography based on the region in which our products are sold, and not to where the end products in which they are assembled are shipped. Our revenue by region for the periods indicated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15,283</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North America</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09"/>
        </w:trPr>
        <w:tc>
          <w:tcPr>
            <w:tcW w:w="284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21,934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5"/>
            <w:vMerge w:val="restart"/>
          </w:tcPr>
          <w:p>
            <w:pPr>
              <w:jc w:val="right"/>
              <w:ind w:right="27"/>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9"/>
              </w:rPr>
              <w:t>(Dollars in</w:t>
            </w:r>
          </w:p>
        </w:tc>
        <w:tc>
          <w:tcPr>
            <w:tcW w:w="160" w:type="dxa"/>
            <w:vAlign w:val="bottom"/>
            <w:gridSpan w:val="2"/>
          </w:tcPr>
          <w:p>
            <w:pPr>
              <w:spacing w:after="0"/>
              <w:rPr>
                <w:sz w:val="11"/>
                <w:szCs w:val="11"/>
                <w:color w:val="auto"/>
              </w:rPr>
            </w:pPr>
          </w:p>
        </w:tc>
        <w:tc>
          <w:tcPr>
            <w:tcW w:w="8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Licensing, royalty, and other revenue</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109.4 %</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40" w:right="359" w:firstLine="324"/>
        <w:spacing w:after="0" w:line="263" w:lineRule="auto"/>
        <w:rPr>
          <w:sz w:val="20"/>
          <w:szCs w:val="20"/>
          <w:color w:val="auto"/>
        </w:rPr>
      </w:pPr>
      <w:r>
        <w:rPr>
          <w:rFonts w:ascii="Arial" w:cs="Arial" w:eastAsia="Arial" w:hAnsi="Arial"/>
          <w:sz w:val="18"/>
          <w:szCs w:val="18"/>
          <w:color w:val="auto"/>
        </w:rPr>
        <w:t>Total revenue increased by $0.2 million, or 0.9%, from $21.9 million during the six months ended June 30, 2020 to $22.1 million during the six months ended June 30, 2021. Product sales decreased by $1.3 million, or 6.4%, from $20.6 million to $19.3 million due to a lower volume of units produced and sold.</w:t>
      </w:r>
    </w:p>
    <w:p>
      <w:pPr>
        <w:spacing w:after="0" w:line="184" w:lineRule="exact"/>
        <w:rPr>
          <w:sz w:val="20"/>
          <w:szCs w:val="20"/>
          <w:color w:val="auto"/>
        </w:rPr>
      </w:pPr>
    </w:p>
    <w:p>
      <w:pPr>
        <w:ind w:left="40" w:right="99" w:firstLine="324"/>
        <w:spacing w:after="0" w:line="255" w:lineRule="auto"/>
        <w:rPr>
          <w:sz w:val="20"/>
          <w:szCs w:val="20"/>
          <w:color w:val="auto"/>
        </w:rPr>
      </w:pPr>
      <w:r>
        <w:rPr>
          <w:rFonts w:ascii="Arial" w:cs="Arial" w:eastAsia="Arial" w:hAnsi="Arial"/>
          <w:sz w:val="18"/>
          <w:szCs w:val="18"/>
          <w:color w:val="auto"/>
        </w:rPr>
        <w:t>Licensing, royalty, and other revenue is a highly variable revenue item characterized by a small number of transactions annually with revenue based on size and terms of each transaction. Our best estimate of royalty revenue earned is made through the year, with an annual adjustment recognized for actual sales in the first quarter of each fiscal year. Licensing, royalty and other revenue increased by $1.5 million, from $1.4 million during the six months ended June 30, 2020 to $2.9 million during the six months ended June 30, 2021. The increase was driven by the increase in RAD-Hard revenue recognition.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5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(Dollars in thousands)</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Cost of product sales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$ 8,586</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$ 11,246</w:t>
            </w: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 (2,660)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w w:val="99"/>
              </w:rPr>
              <w:t>Cost of licensing, royalty, and other revenue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147.3 %</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$ 8,947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$ 11,392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52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32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59.6</w:t>
            </w:r>
          </w:p>
        </w:tc>
        <w:tc>
          <w:tcPr>
            <w:tcW w:w="240" w:type="dxa"/>
            <w:vAlign w:val="bottom"/>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48.1</w:t>
            </w:r>
          </w:p>
        </w:tc>
        <w:tc>
          <w:tcPr>
            <w:tcW w:w="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139" w:firstLine="324"/>
        <w:spacing w:after="0" w:line="342" w:lineRule="auto"/>
        <w:rPr>
          <w:sz w:val="20"/>
          <w:szCs w:val="20"/>
          <w:color w:val="auto"/>
        </w:rPr>
      </w:pPr>
      <w:r>
        <w:rPr>
          <w:rFonts w:ascii="Arial" w:cs="Arial" w:eastAsia="Arial" w:hAnsi="Arial"/>
          <w:sz w:val="16"/>
          <w:szCs w:val="16"/>
          <w:color w:val="auto"/>
        </w:rPr>
        <w:t>Cost of product sales decreased by $2.6 million, or 23.7%, from $11.2 million during the six months ended June 30, 2020, to $8.6 million during the six months ended June 30, 2021. The decrease was due to improved manufacturing yields.</w:t>
      </w:r>
    </w:p>
    <w:p>
      <w:pPr>
        <w:spacing w:after="0" w:line="124" w:lineRule="exact"/>
        <w:rPr>
          <w:sz w:val="20"/>
          <w:szCs w:val="20"/>
          <w:color w:val="auto"/>
        </w:rPr>
      </w:pPr>
    </w:p>
    <w:p>
      <w:pPr>
        <w:ind w:left="40" w:right="99" w:firstLine="324"/>
        <w:spacing w:after="0" w:line="263" w:lineRule="auto"/>
        <w:rPr>
          <w:sz w:val="20"/>
          <w:szCs w:val="20"/>
          <w:color w:val="auto"/>
        </w:rPr>
      </w:pPr>
      <w:r>
        <w:rPr>
          <w:rFonts w:ascii="Arial" w:cs="Arial" w:eastAsia="Arial" w:hAnsi="Arial"/>
          <w:sz w:val="18"/>
          <w:szCs w:val="18"/>
          <w:color w:val="auto"/>
        </w:rPr>
        <w:t>Cost of licensing, royalty, and other increased by $0.3, or 147.3%, from $0.1 million during the six months ended June 30, 2020, to $0.4 million during the six months ended June 30, 2021. The increase was due primarily to increases in foundry and licensing activities.</w:t>
      </w:r>
    </w:p>
    <w:p>
      <w:pPr>
        <w:spacing w:after="0" w:line="184" w:lineRule="exact"/>
        <w:rPr>
          <w:sz w:val="20"/>
          <w:szCs w:val="20"/>
          <w:color w:val="auto"/>
        </w:rPr>
      </w:pPr>
    </w:p>
    <w:p>
      <w:pPr>
        <w:jc w:val="both"/>
        <w:ind w:left="40" w:right="59" w:firstLine="324"/>
        <w:spacing w:after="0" w:line="263" w:lineRule="auto"/>
        <w:rPr>
          <w:sz w:val="20"/>
          <w:szCs w:val="20"/>
          <w:color w:val="auto"/>
        </w:rPr>
      </w:pPr>
      <w:r>
        <w:rPr>
          <w:rFonts w:ascii="Arial" w:cs="Arial" w:eastAsia="Arial" w:hAnsi="Arial"/>
          <w:sz w:val="18"/>
          <w:szCs w:val="18"/>
          <w:color w:val="auto"/>
        </w:rPr>
        <w:t>Gross margin increased from 48.1% during the six months ended June 30, 2020 to 59.6% during the six months ended June 30, 2021. The increase in gross margin was due primarily to higher licensing and royalty revenue along with improved manufacturing yields.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40" w:right="239" w:firstLine="324"/>
        <w:spacing w:after="0" w:line="263"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184" w:lineRule="exact"/>
        <w:rPr>
          <w:sz w:val="20"/>
          <w:szCs w:val="20"/>
          <w:color w:val="auto"/>
        </w:rPr>
      </w:pPr>
    </w:p>
    <w:p>
      <w:pPr>
        <w:ind w:left="40" w:right="179" w:firstLine="324"/>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consist primarily of personnel-related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the design and development of our products and technologies, development wafers required to validate and characterize our technology, and expenses associated with our joint development activities. Research and development expenses also include consulting services, circuit design costs, materials and laboratory supplies, fabrication and new packaging technology, and an allocation of related facilities and equipment costs. We recognize research and development expenses as they are incurred.</w:t>
      </w:r>
    </w:p>
    <w:p>
      <w:pPr>
        <w:spacing w:after="0" w:line="18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4"/>
          </w:tcPr>
          <w:p>
            <w:pPr>
              <w:ind w:lef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5,796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5,804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5"/>
              </w:rPr>
              <w:t>Research and development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ind w:left="40" w:right="479" w:firstLine="324"/>
        <w:spacing w:after="0" w:line="277" w:lineRule="auto"/>
        <w:rPr>
          <w:sz w:val="20"/>
          <w:szCs w:val="20"/>
          <w:color w:val="auto"/>
        </w:rPr>
      </w:pPr>
      <w:r>
        <w:rPr>
          <w:rFonts w:ascii="Arial" w:cs="Arial" w:eastAsia="Arial" w:hAnsi="Arial"/>
          <w:sz w:val="18"/>
          <w:szCs w:val="18"/>
          <w:color w:val="auto"/>
        </w:rPr>
        <w:t>Research and development expenses remained relatively unchanged decreasing by $8,000, or 0.1%, and was $5.8 million during both the six months ended June 30, 2020 and 2021.</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00" w:type="dxa"/>
            <w:vAlign w:val="bottom"/>
            <w:gridSpan w:val="4"/>
          </w:tcPr>
          <w:p>
            <w:pPr>
              <w:ind w:lef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5,181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5,248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w w:val="96"/>
              </w:rPr>
              <w:t>General and administrative as a % of revenue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24 %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40" w:right="119" w:firstLine="324"/>
        <w:spacing w:after="0" w:line="308"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remained relatively unchanged decreasing</w:t>
      </w:r>
      <w:r>
        <w:rPr>
          <w:rFonts w:ascii="Arial" w:cs="Arial" w:eastAsia="Arial" w:hAnsi="Arial"/>
          <w:sz w:val="17"/>
          <w:szCs w:val="17"/>
          <w:i w:val="1"/>
          <w:iCs w:val="1"/>
          <w:color w:val="auto"/>
        </w:rPr>
        <w:t xml:space="preserve"> </w:t>
      </w:r>
      <w:r>
        <w:rPr>
          <w:rFonts w:ascii="Arial" w:cs="Arial" w:eastAsia="Arial" w:hAnsi="Arial"/>
          <w:sz w:val="17"/>
          <w:szCs w:val="17"/>
          <w:color w:val="auto"/>
        </w:rPr>
        <w:t>by $67,000, or 1.3%, and was $5.2 million during both the six months ended June 30, 2020 and 2021.</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Six Months Ended June 30,</w:t>
            </w: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rPr>
              <w:t>Change</w:t>
            </w:r>
          </w:p>
        </w:tc>
      </w:tr>
      <w:tr>
        <w:trPr>
          <w:trHeight w:val="142"/>
        </w:trPr>
        <w:tc>
          <w:tcPr>
            <w:tcW w:w="3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00" w:type="dxa"/>
            <w:vAlign w:val="bottom"/>
            <w:gridSpan w:val="4"/>
          </w:tcPr>
          <w:p>
            <w:pPr>
              <w:ind w:left="9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432"/>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2,032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2,159</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 (127)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Sales and marketing as a % of 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3" w:lineRule="exact"/>
        <w:rPr>
          <w:sz w:val="20"/>
          <w:szCs w:val="20"/>
          <w:color w:val="auto"/>
        </w:rPr>
      </w:pPr>
    </w:p>
    <w:p>
      <w:pPr>
        <w:jc w:val="both"/>
        <w:ind w:left="40" w:right="279"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by $0.1 million or 5.9%, from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2020 to $2.0 million during the six months ended June 30, 2021. The decrease was primarily due to a decrease in employee and contract-labor-related costs due to a decrease in headcount as a result of our corporate restructuring plan completed in January 2020.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62"/>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13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344</w:t>
            </w: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(48)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Interest expense decreased by $48,000 or 14.0%, from $344,000 during the six months ended June 30, 2020 to</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$296,000 during the six months ended June 30, 2021. The decrease was partially due to a decrease in outstanding principal</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our term loan.</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(Expense) Income, Net</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gridSpan w:val="3"/>
          </w:tcPr>
          <w:p>
            <w:pPr>
              <w:jc w:val="right"/>
              <w:ind w:right="138"/>
              <w:spacing w:after="0"/>
              <w:rPr>
                <w:sz w:val="20"/>
                <w:szCs w:val="20"/>
                <w:color w:val="auto"/>
              </w:rPr>
            </w:pPr>
            <w:r>
              <w:rPr>
                <w:rFonts w:ascii="Arial" w:cs="Arial" w:eastAsia="Arial" w:hAnsi="Arial"/>
                <w:sz w:val="14"/>
                <w:szCs w:val="14"/>
                <w:b w:val="1"/>
                <w:bCs w:val="1"/>
                <w:color w:val="auto"/>
                <w:w w:val="95"/>
              </w:rPr>
              <w:t>Six Months Ended</w:t>
            </w: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b w:val="1"/>
                <w:bCs w:val="1"/>
                <w:color w:val="auto"/>
              </w:rPr>
              <w:t>June 30,</w:t>
            </w:r>
          </w:p>
        </w:tc>
        <w:tc>
          <w:tcPr>
            <w:tcW w:w="146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74"/>
              </w:rPr>
              <w:t>in</w:t>
            </w:r>
          </w:p>
        </w:tc>
        <w:tc>
          <w:tcPr>
            <w:tcW w:w="7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4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84"/>
              </w:rPr>
              <w:t>thousands)</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439" w:firstLine="324"/>
        <w:spacing w:after="0" w:line="311" w:lineRule="auto"/>
        <w:rPr>
          <w:sz w:val="20"/>
          <w:szCs w:val="20"/>
          <w:color w:val="auto"/>
        </w:rPr>
      </w:pPr>
      <w:r>
        <w:rPr>
          <w:rFonts w:ascii="Arial" w:cs="Arial" w:eastAsia="Arial" w:hAnsi="Arial"/>
          <w:sz w:val="16"/>
          <w:szCs w:val="16"/>
          <w:color w:val="auto"/>
        </w:rPr>
        <w:t>Other (expense) income, net was income of $63,000 during the six months ended June 30, 2020 compared to an expense of $27,000 during the six months ended June 30, 2021. The change was primarily due to a decrease in interest income earned on our cash balances during the quarter from the lower interest rate environment.</w:t>
      </w:r>
    </w:p>
    <w:p>
      <w:pPr>
        <w:spacing w:after="0" w:line="3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239" w:firstLine="324"/>
        <w:spacing w:after="0" w:line="273" w:lineRule="auto"/>
        <w:rPr>
          <w:sz w:val="20"/>
          <w:szCs w:val="20"/>
          <w:color w:val="auto"/>
        </w:rPr>
      </w:pPr>
      <w:r>
        <w:rPr>
          <w:rFonts w:ascii="Arial" w:cs="Arial" w:eastAsia="Arial" w:hAnsi="Arial"/>
          <w:sz w:val="17"/>
          <w:szCs w:val="17"/>
          <w:color w:val="auto"/>
        </w:rPr>
        <w:t>We have generated significant losses since our inception and had an accumulated deficit of $157.4 million as of June 30, 2021, compared to $157.2 million as of December 31, 2020. We have historically financed our operations primarily through the sale of our common stock in our initial public offering (IPO) and follow-on public offering, sales of our common stock under our at-the-market (ATM) program (which was terminated in November 2020), sales of our redeemable convertible preferred stock, debt financing and the sale of our products. As of June 30, 2021, we had $14.2 million of cash and cash equivalents, compared to $14.6 million as of December 31, 2020.</w:t>
      </w:r>
    </w:p>
    <w:p>
      <w:pPr>
        <w:spacing w:after="0" w:line="178" w:lineRule="exact"/>
        <w:rPr>
          <w:sz w:val="20"/>
          <w:szCs w:val="20"/>
          <w:color w:val="auto"/>
        </w:rPr>
      </w:pPr>
    </w:p>
    <w:p>
      <w:pPr>
        <w:ind w:left="40" w:right="159" w:firstLine="324"/>
        <w:spacing w:after="0" w:line="296" w:lineRule="auto"/>
        <w:rPr>
          <w:sz w:val="20"/>
          <w:szCs w:val="20"/>
          <w:color w:val="auto"/>
        </w:rPr>
      </w:pPr>
      <w:r>
        <w:rPr>
          <w:rFonts w:ascii="Arial" w:cs="Arial" w:eastAsia="Arial" w:hAnsi="Arial"/>
          <w:sz w:val="16"/>
          <w:szCs w:val="16"/>
          <w:color w:val="auto"/>
        </w:rPr>
        <w:t>We believe that our existing cash and cash equivalents as of June 30, 2021, coupled with the amount available under our 2019 Credit Facility and our anticipated growth and sales levels, will be sufficient to meet our anticipated cash requirement for at least the next twelve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spacing w:after="0" w:line="161" w:lineRule="exact"/>
        <w:rPr>
          <w:sz w:val="20"/>
          <w:szCs w:val="20"/>
          <w:color w:val="auto"/>
        </w:rPr>
      </w:pPr>
    </w:p>
    <w:p>
      <w:pPr>
        <w:ind w:left="40" w:right="279" w:firstLine="324"/>
        <w:spacing w:after="0" w:line="277" w:lineRule="auto"/>
        <w:rPr>
          <w:sz w:val="20"/>
          <w:szCs w:val="20"/>
          <w:color w:val="auto"/>
        </w:rPr>
      </w:pPr>
      <w:r>
        <w:rPr>
          <w:rFonts w:ascii="Arial" w:cs="Arial" w:eastAsia="Arial" w:hAnsi="Arial"/>
          <w:sz w:val="18"/>
          <w:szCs w:val="18"/>
          <w:color w:val="auto"/>
        </w:rPr>
        <w:t>For additional information about the 2019 Credit Facility, see Note 6 to our condensed financial statements in Part I, Item 1 of this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At-the-Market Sales Agreement</w:t>
      </w:r>
    </w:p>
    <w:p>
      <w:pPr>
        <w:spacing w:after="0" w:line="239"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In August 2019, the Company entered into an Open Market Sale Agreement (2019 Sales Agreement) with Jefferies, LLC (Jefferies) for the offer and sale of shares of its common stock having an aggregate offering of up to $25.0 million from time to time through Jefferies, acting as the Company’s sales agent. The issuance and sale of these shares by the Company pursuant to the 2019 Sales Agreement are deemed an ATM offering under the Securities Act of 1933, as amended. Under the 2019 Sales Agreement, the Company agreed to pay Jefferies a commission of up to 3% of the gross proceeds of any sales made pursuant to the 2019 Sales Agreement. During the six months ended June 30, 2020, the Company received net proceeds of $2.1 million after deducting commissions and expenses payable by the Company, from the sale of 468,427 shares of common stock pursuant to the 2019 Sales Agreement. The Company suspended sales under the 2019 Sales Agreement in March 2020 and terminated the ATM program in November 2020.</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Six Months Ended</w:t>
      </w:r>
    </w:p>
    <w:p>
      <w:pPr>
        <w:ind w:left="67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94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r>
      <w:tr>
        <w:trPr>
          <w:trHeight w:val="128"/>
        </w:trPr>
        <w:tc>
          <w:tcPr>
            <w:tcW w:w="4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left="40" w:right="79" w:firstLine="324"/>
        <w:spacing w:after="0" w:line="270" w:lineRule="auto"/>
        <w:rPr>
          <w:sz w:val="20"/>
          <w:szCs w:val="20"/>
          <w:color w:val="auto"/>
        </w:rPr>
      </w:pPr>
      <w:r>
        <w:rPr>
          <w:rFonts w:ascii="Arial" w:cs="Arial" w:eastAsia="Arial" w:hAnsi="Arial"/>
          <w:sz w:val="17"/>
          <w:szCs w:val="17"/>
          <w:color w:val="auto"/>
        </w:rPr>
        <w:t>During the six months ended June 30, 2021, cash provided by operating activities was $1.1 million, which consisted of a net loss of $0.2 million, cash provided by non-cash charges of $2.4 million and cash used in changes of net operating assets and liabilities of $1.1 million. The non-cash charges primarily consisted of stock-based compensation of $1.4 million, depreciation and amortization of $0.8 million, and interest expense related to the amortization of debt issuance costs of $0.2 million. The use of cash due to the change in our net operating assets and liabilities was primarily due to an increase in accounts receivable of $2.8 million due to timing of cash receipts for outstanding balances, an increase of $.09 million in inventory due to increased inventory levels, and a decrease of $0.1 million in accrued liabilities due to the timing of payments. These uses were partially offset by an increase in deferred revenue of $1.8 million and an increase in accounts payable of $0.9 million.</w:t>
      </w:r>
    </w:p>
    <w:p>
      <w:pPr>
        <w:spacing w:after="0" w:line="181" w:lineRule="exact"/>
        <w:rPr>
          <w:sz w:val="20"/>
          <w:szCs w:val="20"/>
          <w:color w:val="auto"/>
        </w:rPr>
      </w:pPr>
    </w:p>
    <w:p>
      <w:pPr>
        <w:ind w:left="40" w:right="59" w:firstLine="324"/>
        <w:spacing w:after="0" w:line="271" w:lineRule="auto"/>
        <w:rPr>
          <w:sz w:val="20"/>
          <w:szCs w:val="20"/>
          <w:color w:val="auto"/>
        </w:rPr>
      </w:pPr>
      <w:r>
        <w:rPr>
          <w:rFonts w:ascii="Arial" w:cs="Arial" w:eastAsia="Arial" w:hAnsi="Arial"/>
          <w:sz w:val="17"/>
          <w:szCs w:val="17"/>
          <w:color w:val="auto"/>
        </w:rPr>
        <w:t>During the six months ended June 30, 2020, cash used in operating activities was $4.2 million, which consisted of a net loss of $3.0 million, adjusted by non-cash charges of $2.7 million and a change of $3.9 million in our net operating assets and liabilities. The non-cash charges primarily consisted of stock-based compensation of $1.7 million, depreciation and amortization of $0.8 million, and interest expense related to the amortization of debt issuance costs of $0.1 million. The use of cash due to the change in our net operating assets and liabilities was primarily due to a decrease of $1.8 million in accounts payable and accrued liabilities due to the timing of payments, an increase in accounts receivable of $1.5 million due to timing of cash receipts for outstanding balances, and an increase of $0.5 million in inventory due to adjusting purchasing practices to meet expected sales volumes.</w:t>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Cash used in investing activities during the six months ended June 30, 2021 and 2020 was $0.6 million and $0.3 million, respectively, for the purchase of manufacturing and computer equipment.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40" w:right="459" w:firstLine="324"/>
        <w:spacing w:after="0" w:line="342" w:lineRule="auto"/>
        <w:rPr>
          <w:sz w:val="20"/>
          <w:szCs w:val="20"/>
          <w:color w:val="auto"/>
        </w:rPr>
      </w:pPr>
      <w:r>
        <w:rPr>
          <w:rFonts w:ascii="Arial" w:cs="Arial" w:eastAsia="Arial" w:hAnsi="Arial"/>
          <w:sz w:val="16"/>
          <w:szCs w:val="16"/>
          <w:color w:val="auto"/>
        </w:rPr>
        <w:t>Cash used in financing activities during the six months ended June 30, 2021 was $0.9 million, consisting of $1.2 million of payments of term loan installments, partially offset by $0.3 million in proceeds from stock option exercises.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firstLine="324"/>
        <w:spacing w:after="0" w:line="263" w:lineRule="auto"/>
        <w:rPr>
          <w:sz w:val="20"/>
          <w:szCs w:val="20"/>
          <w:color w:val="auto"/>
        </w:rPr>
      </w:pPr>
      <w:r>
        <w:rPr>
          <w:rFonts w:ascii="Arial" w:cs="Arial" w:eastAsia="Arial" w:hAnsi="Arial"/>
          <w:sz w:val="18"/>
          <w:szCs w:val="18"/>
          <w:color w:val="auto"/>
        </w:rPr>
        <w:t>Cash provided by financing activities during the six months ended June 30, 2020 was $2.9 million, consisting primarily of net proceeds from the sale of our common stock through our previous ATM program, which was terminated in November 2020, and exercises of stock options.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29" w:lineRule="exact"/>
        <w:rPr>
          <w:sz w:val="20"/>
          <w:szCs w:val="20"/>
          <w:color w:val="auto"/>
        </w:rPr>
      </w:pPr>
    </w:p>
    <w:p>
      <w:pPr>
        <w:ind w:left="40"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jc w:val="both"/>
        <w:ind w:left="40" w:right="179" w:firstLine="324"/>
        <w:spacing w:after="0" w:line="263" w:lineRule="auto"/>
        <w:rPr>
          <w:sz w:val="20"/>
          <w:szCs w:val="20"/>
          <w:color w:val="auto"/>
        </w:rPr>
      </w:pPr>
      <w:r>
        <w:rPr>
          <w:rFonts w:ascii="Arial" w:cs="Arial" w:eastAsia="Arial" w:hAnsi="Arial"/>
          <w:sz w:val="18"/>
          <w:szCs w:val="18"/>
          <w:color w:val="auto"/>
        </w:rPr>
        <w:t>There have been no changes to our critical accounting policies and estimates described in the Annual Report on Form 10-K for the year ended December 31, 2020, filed with the SEC on March 4, 2021, that have had a material impact on our condensed financial statements and related notes.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required for a smaller reporting company.</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Our management, including our Interim Chief Executive Officer (CEO) and Interim Chief Financial Officer (CFO), evaluated the effectiveness of the design and operation of our disclosure controls and procedures (as defined in Rules 13a-15(e) and 15d-15(e) under the Exchange Act), as of June 30, 2021, the end of the period covered by this quarterly report on Form 10-Q.</w:t>
      </w:r>
    </w:p>
    <w:p>
      <w:pPr>
        <w:spacing w:after="0" w:line="187" w:lineRule="exact"/>
        <w:rPr>
          <w:sz w:val="20"/>
          <w:szCs w:val="20"/>
          <w:color w:val="auto"/>
        </w:rPr>
      </w:pPr>
    </w:p>
    <w:p>
      <w:pPr>
        <w:ind w:left="40" w:right="579" w:firstLine="324"/>
        <w:spacing w:after="0" w:line="277" w:lineRule="auto"/>
        <w:rPr>
          <w:sz w:val="20"/>
          <w:szCs w:val="20"/>
          <w:color w:val="auto"/>
        </w:rPr>
      </w:pPr>
      <w:r>
        <w:rPr>
          <w:rFonts w:ascii="Arial" w:cs="Arial" w:eastAsia="Arial" w:hAnsi="Arial"/>
          <w:sz w:val="18"/>
          <w:szCs w:val="18"/>
          <w:color w:val="auto"/>
        </w:rPr>
        <w:t>Based on this evaluation, our interim CEO and CFO concluded that our disclosure controls and procedures were effective at the reasonable assurance level as of June 30, 2021.</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left="40" w:right="59" w:firstLine="324"/>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(as defined in Rules 13a-15(f) and 15d-15(f) under the Exchange Act) such that there is a reasonable possibility that a material misstatement of the annual or interim financial statements will not be prevented or detected on a timely basis. In connection with the preparation of our audited annual financial statements for the year ended December 31, 2020, we determined our controls around inventory, including unit reconciliations and communication protocols between operations and accounting were not sufficiently designed to prevent and detect a material misstatement. This error was the result of a material weakness in our internal control over financial reporting, which we are in process of remediating as of June 30, 2021 through the plan outlined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Management’s steps taken to remediate the material weakness.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remediate this material weakness, we are taking the following actions:</w:t>
      </w:r>
    </w:p>
    <w:p>
      <w:pPr>
        <w:spacing w:after="0" w:line="225" w:lineRule="exact"/>
        <w:rPr>
          <w:sz w:val="20"/>
          <w:szCs w:val="20"/>
          <w:color w:val="auto"/>
        </w:rPr>
      </w:pPr>
    </w:p>
    <w:p>
      <w:pPr>
        <w:ind w:left="640" w:right="99" w:hanging="245"/>
        <w:spacing w:after="0" w:line="263"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updated our information technology tools, including implementing a new ERP system as of January 1, 2020, to enhance our ability to monitor inventory and its movement through our manufacturing process and to provide checks and balances to third-party reports.</w:t>
      </w:r>
    </w:p>
    <w:p>
      <w:pPr>
        <w:spacing w:after="0" w:line="183"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put in place management dashboard tools to alert all involved as to the performance of inventory against our business goals.</w:t>
      </w:r>
    </w:p>
    <w:p>
      <w:pPr>
        <w:spacing w:after="0" w:line="170" w:lineRule="exact"/>
        <w:rPr>
          <w:rFonts w:ascii="Arial" w:cs="Arial" w:eastAsia="Arial" w:hAnsi="Arial"/>
          <w:sz w:val="18"/>
          <w:szCs w:val="18"/>
          <w:color w:val="auto"/>
        </w:rPr>
      </w:pPr>
    </w:p>
    <w:p>
      <w:pPr>
        <w:ind w:left="640" w:right="57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established multi-discipline processes to actively manage and make decisions regarding our inventory to support our business objectives.</w:t>
      </w:r>
    </w:p>
    <w:p>
      <w:pPr>
        <w:spacing w:after="0" w:line="170" w:lineRule="exact"/>
        <w:rPr>
          <w:rFonts w:ascii="Arial" w:cs="Arial" w:eastAsia="Arial" w:hAnsi="Arial"/>
          <w:sz w:val="18"/>
          <w:szCs w:val="18"/>
          <w:color w:val="auto"/>
        </w:rPr>
      </w:pPr>
    </w:p>
    <w:p>
      <w:pPr>
        <w:ind w:left="640" w:right="23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provided additional training to our Operations Teams and updating procedures with our third-party Assembly Houses.</w:t>
      </w:r>
    </w:p>
    <w:p>
      <w:pPr>
        <w:spacing w:after="0" w:line="170" w:lineRule="exact"/>
        <w:rPr>
          <w:rFonts w:ascii="Arial" w:cs="Arial" w:eastAsia="Arial" w:hAnsi="Arial"/>
          <w:sz w:val="18"/>
          <w:szCs w:val="18"/>
          <w:color w:val="auto"/>
        </w:rPr>
      </w:pPr>
    </w:p>
    <w:p>
      <w:pPr>
        <w:ind w:left="640" w:right="59" w:hanging="245"/>
        <w:spacing w:after="0" w:line="27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hired additional qualified personnel to assist management with its financial statement close process and provide oversight of our financial reporting.</w:t>
      </w:r>
    </w:p>
    <w:p>
      <w:pPr>
        <w:spacing w:after="0" w:line="170" w:lineRule="exact"/>
        <w:rPr>
          <w:sz w:val="20"/>
          <w:szCs w:val="20"/>
          <w:color w:val="auto"/>
        </w:rPr>
      </w:pPr>
    </w:p>
    <w:p>
      <w:pPr>
        <w:ind w:left="40" w:right="339" w:firstLine="324"/>
        <w:spacing w:after="0" w:line="257" w:lineRule="auto"/>
        <w:rPr>
          <w:sz w:val="20"/>
          <w:szCs w:val="20"/>
          <w:color w:val="auto"/>
        </w:rPr>
      </w:pPr>
      <w:r>
        <w:rPr>
          <w:rFonts w:ascii="Arial" w:cs="Arial" w:eastAsia="Arial" w:hAnsi="Arial"/>
          <w:sz w:val="18"/>
          <w:szCs w:val="18"/>
          <w:color w:val="auto"/>
        </w:rPr>
        <w:t>We will continue to monitor stability of the platform and further enhance the business controls around inventory management. We continue to assess our accounting policies and internal controls documentation to ensure they are effective in helping us manage the business. Our management has concluded that the financial statements included elsewhere in this Quarterly Report on Form 10-Q present fairly, in all material respects, our financial position, results of operations and cash flows in conformity with GAAP.</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40" w:right="99" w:firstLine="324"/>
        <w:spacing w:after="0" w:line="263" w:lineRule="auto"/>
        <w:rPr>
          <w:sz w:val="20"/>
          <w:szCs w:val="20"/>
          <w:color w:val="auto"/>
        </w:rPr>
      </w:pPr>
      <w:r>
        <w:rPr>
          <w:rFonts w:ascii="Arial" w:cs="Arial" w:eastAsia="Arial" w:hAnsi="Arial"/>
          <w:sz w:val="18"/>
          <w:szCs w:val="18"/>
          <w:color w:val="auto"/>
        </w:rPr>
        <w:t>Except with respect to the remediation efforts described above, there have been no changes in our internal control over financial reporting that occurred during the six months ended June 30, 2021 that have materially affected, or are reasonably likely to materially affect, our internal control over financial reporting.</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99"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79" w:firstLine="324"/>
        <w:spacing w:after="0" w:line="301"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439"/>
        <w:spacing w:after="0" w:line="286" w:lineRule="auto"/>
        <w:rPr>
          <w:sz w:val="20"/>
          <w:szCs w:val="20"/>
          <w:color w:val="auto"/>
        </w:rPr>
      </w:pPr>
      <w:r>
        <w:rPr>
          <w:rFonts w:ascii="Arial" w:cs="Arial" w:eastAsia="Arial" w:hAnsi="Arial"/>
          <w:sz w:val="17"/>
          <w:szCs w:val="17"/>
          <w:i w:val="1"/>
          <w:iCs w:val="1"/>
          <w:color w:val="auto"/>
        </w:rPr>
        <w:t>financial condition, results of operations and cash flows could be harmed. In addition, many of the following risks and uncertainties may be exacerbated by the ongoing COVID-19 pandemic, including any new variants that may become predominant, and any worsening of the global business and economic environment as a result.</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40" w:right="79" w:firstLine="324"/>
        <w:spacing w:after="0" w:line="257" w:lineRule="auto"/>
        <w:rPr>
          <w:sz w:val="20"/>
          <w:szCs w:val="20"/>
          <w:color w:val="auto"/>
        </w:rPr>
      </w:pPr>
      <w:r>
        <w:rPr>
          <w:rFonts w:ascii="Arial" w:cs="Arial" w:eastAsia="Arial" w:hAnsi="Arial"/>
          <w:sz w:val="18"/>
          <w:szCs w:val="18"/>
          <w:color w:val="auto"/>
        </w:rPr>
        <w:t>We are subject to a variety of risks and uncertainties, including risks related to our financial condition and our indebtedness, risks related to our business and our industry, risks related to our intellectual property and technology, risks related to regulatory matters and compliance, risks related to our common stock and certain general risks, which could have a material adverse effect on our business, financial condition, results of operations and cash flows. These risks include, but are not limited to, the following principal risks:</w:t>
      </w:r>
    </w:p>
    <w:p>
      <w:pPr>
        <w:spacing w:after="0" w:line="80" w:lineRule="exact"/>
        <w:rPr>
          <w:sz w:val="20"/>
          <w:szCs w:val="20"/>
          <w:color w:val="auto"/>
        </w:rPr>
      </w:pPr>
    </w:p>
    <w:p>
      <w:pPr>
        <w:ind w:left="640" w:right="2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need additional funding and may be unable to raise capital when needed, which could force us to delay, reduce, or eliminate planned activities.</w:t>
      </w:r>
    </w:p>
    <w:p>
      <w:pPr>
        <w:spacing w:after="0" w:line="62" w:lineRule="exact"/>
        <w:rPr>
          <w:rFonts w:ascii="Arial" w:cs="Arial" w:eastAsia="Arial" w:hAnsi="Arial"/>
          <w:sz w:val="18"/>
          <w:szCs w:val="18"/>
          <w:color w:val="auto"/>
        </w:rPr>
      </w:pPr>
    </w:p>
    <w:p>
      <w:pPr>
        <w:ind w:left="640" w:right="43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which may continue in the future, and we cannot be certain that we will achieve or sustain profitability.</w:t>
      </w:r>
    </w:p>
    <w:p>
      <w:pPr>
        <w:spacing w:after="0" w:line="62" w:lineRule="exact"/>
        <w:rPr>
          <w:rFonts w:ascii="Arial" w:cs="Arial" w:eastAsia="Arial" w:hAnsi="Arial"/>
          <w:sz w:val="18"/>
          <w:szCs w:val="18"/>
          <w:color w:val="auto"/>
        </w:rPr>
      </w:pPr>
    </w:p>
    <w:p>
      <w:pPr>
        <w:ind w:left="640" w:right="479" w:hanging="245"/>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40" w:lineRule="exact"/>
        <w:rPr>
          <w:rFonts w:ascii="Arial" w:cs="Arial" w:eastAsia="Arial" w:hAnsi="Arial"/>
          <w:sz w:val="16"/>
          <w:szCs w:val="16"/>
          <w:color w:val="auto"/>
        </w:rPr>
      </w:pPr>
    </w:p>
    <w:p>
      <w:pPr>
        <w:ind w:left="640" w:right="7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history of STT-MRAM adoption makes it difficult to evaluate our current business and future prospects.</w:t>
      </w:r>
    </w:p>
    <w:p>
      <w:pPr>
        <w:spacing w:after="0" w:line="62" w:lineRule="exact"/>
        <w:rPr>
          <w:rFonts w:ascii="Arial" w:cs="Arial" w:eastAsia="Arial" w:hAnsi="Arial"/>
          <w:sz w:val="18"/>
          <w:szCs w:val="18"/>
          <w:color w:val="auto"/>
        </w:rPr>
      </w:pPr>
    </w:p>
    <w:p>
      <w:pPr>
        <w:ind w:left="640" w:right="15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75" w:lineRule="exact"/>
        <w:rPr>
          <w:rFonts w:ascii="Arial" w:cs="Arial" w:eastAsia="Arial" w:hAnsi="Arial"/>
          <w:sz w:val="18"/>
          <w:szCs w:val="18"/>
          <w:color w:val="auto"/>
        </w:rPr>
      </w:pPr>
    </w:p>
    <w:p>
      <w:pPr>
        <w:ind w:left="640" w:right="79" w:hanging="245"/>
        <w:spacing w:after="0" w:line="308"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we expand into new potential markets, we expect to face intense competition, including from our customers and potential customers, and may not be able to compete effectively, which could harm our business.</w:t>
      </w:r>
    </w:p>
    <w:p>
      <w:pPr>
        <w:spacing w:after="0" w:line="38" w:lineRule="exact"/>
        <w:rPr>
          <w:rFonts w:ascii="Arial" w:cs="Arial" w:eastAsia="Arial" w:hAnsi="Arial"/>
          <w:sz w:val="17"/>
          <w:szCs w:val="17"/>
          <w:color w:val="auto"/>
        </w:rPr>
      </w:pPr>
    </w:p>
    <w:p>
      <w:pPr>
        <w:jc w:val="both"/>
        <w:ind w:left="640" w:right="13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75" w:lineRule="exact"/>
        <w:rPr>
          <w:rFonts w:ascii="Arial" w:cs="Arial" w:eastAsia="Arial" w:hAnsi="Arial"/>
          <w:sz w:val="18"/>
          <w:szCs w:val="18"/>
          <w:color w:val="auto"/>
        </w:rPr>
      </w:pPr>
    </w:p>
    <w:p>
      <w:pPr>
        <w:ind w:left="640" w:right="29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 may adversely impact our ability to fulfill customer demand which, in turn, may adversely impact our business, results of operations and financial condition.</w:t>
      </w:r>
    </w:p>
    <w:p>
      <w:pPr>
        <w:spacing w:after="0" w:line="62" w:lineRule="exact"/>
        <w:rPr>
          <w:rFonts w:ascii="Arial" w:cs="Arial" w:eastAsia="Arial" w:hAnsi="Arial"/>
          <w:sz w:val="18"/>
          <w:szCs w:val="18"/>
          <w:color w:val="auto"/>
        </w:rPr>
      </w:pPr>
    </w:p>
    <w:p>
      <w:pPr>
        <w:ind w:left="640" w:hanging="245"/>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joint development agreement and strategic relationships involve numerous risks.</w:t>
      </w:r>
    </w:p>
    <w:p>
      <w:pPr>
        <w:spacing w:after="0" w:line="117" w:lineRule="exact"/>
        <w:rPr>
          <w:rFonts w:ascii="Arial" w:cs="Arial" w:eastAsia="Arial" w:hAnsi="Arial"/>
          <w:sz w:val="18"/>
          <w:szCs w:val="18"/>
          <w:color w:val="auto"/>
        </w:rPr>
      </w:pPr>
    </w:p>
    <w:p>
      <w:pPr>
        <w:ind w:left="640" w:right="2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semiconductor memory products is characterized by declines in average selling prices, which we expect to continue, and which could negatively affect our revenue and margins.</w:t>
      </w:r>
    </w:p>
    <w:p>
      <w:pPr>
        <w:spacing w:after="0" w:line="62" w:lineRule="exact"/>
        <w:rPr>
          <w:rFonts w:ascii="Arial" w:cs="Arial" w:eastAsia="Arial" w:hAnsi="Arial"/>
          <w:sz w:val="18"/>
          <w:szCs w:val="18"/>
          <w:color w:val="auto"/>
        </w:rPr>
      </w:pPr>
    </w:p>
    <w:p>
      <w:pPr>
        <w:ind w:left="640" w:right="21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75" w:lineRule="exact"/>
        <w:rPr>
          <w:rFonts w:ascii="Arial" w:cs="Arial" w:eastAsia="Arial" w:hAnsi="Arial"/>
          <w:sz w:val="18"/>
          <w:szCs w:val="18"/>
          <w:color w:val="auto"/>
        </w:rPr>
      </w:pPr>
    </w:p>
    <w:p>
      <w:pPr>
        <w:ind w:left="640" w:right="459" w:hanging="245"/>
        <w:spacing w:after="0" w:line="31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40" w:lineRule="exact"/>
        <w:rPr>
          <w:rFonts w:ascii="Arial" w:cs="Arial" w:eastAsia="Arial" w:hAnsi="Arial"/>
          <w:sz w:val="16"/>
          <w:szCs w:val="16"/>
          <w:color w:val="auto"/>
        </w:rPr>
      </w:pPr>
    </w:p>
    <w:p>
      <w:pPr>
        <w:ind w:left="640" w:right="57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one or several of our customers or reduced orders or pricing from existing customers may have a significant adverse effect on our operations and financial results.</w:t>
      </w:r>
    </w:p>
    <w:p>
      <w:pPr>
        <w:spacing w:after="0" w:line="62" w:lineRule="exact"/>
        <w:rPr>
          <w:rFonts w:ascii="Arial" w:cs="Arial" w:eastAsia="Arial" w:hAnsi="Arial"/>
          <w:sz w:val="18"/>
          <w:szCs w:val="18"/>
          <w:color w:val="auto"/>
        </w:rPr>
      </w:pPr>
    </w:p>
    <w:p>
      <w:pPr>
        <w:ind w:left="640" w:right="13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may increase substantially if we or our third-party manufacturing contractors do not achieve satisfactory product yields or quality.</w:t>
      </w:r>
    </w:p>
    <w:p>
      <w:pPr>
        <w:spacing w:after="0" w:line="62" w:lineRule="exact"/>
        <w:rPr>
          <w:rFonts w:ascii="Arial" w:cs="Arial" w:eastAsia="Arial" w:hAnsi="Arial"/>
          <w:sz w:val="18"/>
          <w:szCs w:val="18"/>
          <w:color w:val="auto"/>
        </w:rPr>
      </w:pPr>
    </w:p>
    <w:p>
      <w:pPr>
        <w:ind w:left="640" w:right="159" w:hanging="245"/>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may lead to defects, which could negatively impact our reputation with customers and result in liability.</w:t>
      </w:r>
    </w:p>
    <w:p>
      <w:pPr>
        <w:spacing w:after="0" w:line="62" w:lineRule="exact"/>
        <w:rPr>
          <w:rFonts w:ascii="Arial" w:cs="Arial" w:eastAsia="Arial" w:hAnsi="Arial"/>
          <w:sz w:val="18"/>
          <w:szCs w:val="18"/>
          <w:color w:val="auto"/>
        </w:rPr>
      </w:pPr>
    </w:p>
    <w:p>
      <w:pPr>
        <w:ind w:left="640" w:right="159" w:hanging="245"/>
        <w:spacing w:after="0" w:line="26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40" w:right="539" w:hanging="245"/>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maintain and are seeking to expand operations outside of the United States which exposes us to significant risks.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 more complete discussion of the material risk factors applicable to us, see below.</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Financial Condition and Our Indebtedness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could force us to delay, reduce, or eliminate planned activities.</w:t>
      </w:r>
    </w:p>
    <w:p>
      <w:pPr>
        <w:spacing w:after="0" w:line="170"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Our total revenue was approximately $22.1 million for the six months ended June 30, 2021, and $42.0 million for the year ended December 31, 2020. As of June 30, 2021, we had cash and cash equivalents of approximately $14.2 million. Based on our current operating plan, we believe our existing cash and cash equivalents, coupled with availability under our credit facility and our anticipated growth and sales levels, will be sufficient to meet our anticipated cash requirements for at least the next 12 months. However, our existing capital may be insufficient to meet our long-term requirements. We have no committed sources of funding other than our revolving line of credit facility and there is no assurance that additional funding will be available to us in the future or be secured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In such event, our stockholders may lose their entire investment in our company.</w:t>
      </w:r>
    </w:p>
    <w:p>
      <w:pPr>
        <w:spacing w:after="0" w:line="168"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spacing w:after="0" w:line="188" w:lineRule="exact"/>
        <w:rPr>
          <w:sz w:val="20"/>
          <w:szCs w:val="20"/>
          <w:color w:val="auto"/>
        </w:rPr>
      </w:pPr>
    </w:p>
    <w:p>
      <w:pPr>
        <w:ind w:left="40" w:right="79" w:firstLine="324"/>
        <w:spacing w:after="0" w:line="273" w:lineRule="auto"/>
        <w:rPr>
          <w:sz w:val="20"/>
          <w:szCs w:val="20"/>
          <w:color w:val="auto"/>
        </w:rPr>
      </w:pPr>
      <w:r>
        <w:rPr>
          <w:rFonts w:ascii="Arial" w:cs="Arial" w:eastAsia="Arial" w:hAnsi="Arial"/>
          <w:sz w:val="17"/>
          <w:szCs w:val="17"/>
          <w:color w:val="auto"/>
        </w:rPr>
        <w:t>In addition, if we do not meet our payment obligations to third parties as they become due, we may be subject to litigation claims and our creditworthiness would be adversely affected. Even if we are successful in defending against these claims, litigation could result in substantial costs and would be a distraction to management, and may have other unfavorable results that could further adversely impact our financial condition. Stockholders should not rely on our balance sheet as an indication of the amount of proceeds that would be available to satisfy claims of creditors, and potentially be available for distribution to stockholders, in the event of liquidation.</w:t>
      </w:r>
    </w:p>
    <w:p>
      <w:pPr>
        <w:spacing w:after="0" w:line="17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left="40" w:right="119" w:firstLine="324"/>
        <w:spacing w:after="0" w:line="287" w:lineRule="auto"/>
        <w:rPr>
          <w:sz w:val="20"/>
          <w:szCs w:val="20"/>
          <w:color w:val="auto"/>
        </w:rPr>
      </w:pPr>
      <w:r>
        <w:rPr>
          <w:rFonts w:ascii="Arial" w:cs="Arial" w:eastAsia="Arial" w:hAnsi="Arial"/>
          <w:sz w:val="16"/>
          <w:szCs w:val="16"/>
          <w:color w:val="auto"/>
        </w:rPr>
        <w:t>We have incurred net losses since our inception. We incurred net losses of $8.5 million and $0.2 million for the year ended December 31, 2020 and the six months ended June 30, 2021, respectively. As of June 30, 2021, we had an accumulated deficit of $157.4 million. 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the COVID-19 pandemic, increased competition,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controlling expenses to transition to profitability and generate consistent positive cash flows is uncertain.</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7"/>
          <w:szCs w:val="17"/>
          <w:color w:val="auto"/>
        </w:rPr>
        <w:t>Borrowings under our existing credit facility are secured by substantially all of our assets, except for intellectual property. Additionally, the operating restrictions and covenants relating to our existing credit facility restrict, and any future financing agreements that we may enter into may further restrict, our ability to finance our operations, engage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business activities or expand or fully pursue our business strategies. For example, our existing credit facility prohibits our ability to, among other things:</w:t>
      </w:r>
    </w:p>
    <w:p>
      <w:pPr>
        <w:spacing w:after="0" w:line="170"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consolidate or merge with other entities;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left="40" w:right="79" w:firstLine="324"/>
        <w:spacing w:after="0" w:line="290"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maintaining a minimum cash balance and availability under our revolving line of credit facility. Our ability to comply with these covenants may be affected by events beyond our control, and we may not be able to meet those covenants. A breach of any of these covenants could result in an event of default under the credit facility. We are required to make mandatory prepayments of the outstanding loan upon the acceleration by lender following the occurrence of an event of default, along with a payment of the end of term fee, the prepayment fee and any other obligations that are due and payable at the time of prepayment. In the event of default, the interest rate in effect will increase by 5.0% per annum.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left="40" w:right="459"/>
        <w:spacing w:after="0" w:line="259" w:lineRule="auto"/>
        <w:rPr>
          <w:sz w:val="20"/>
          <w:szCs w:val="20"/>
          <w:color w:val="auto"/>
        </w:rPr>
      </w:pPr>
      <w:r>
        <w:rPr>
          <w:rFonts w:ascii="Arial" w:cs="Arial" w:eastAsia="Arial" w:hAnsi="Arial"/>
          <w:sz w:val="18"/>
          <w:szCs w:val="18"/>
          <w:b w:val="1"/>
          <w:bCs w:val="1"/>
          <w:i w:val="1"/>
          <w:iCs w:val="1"/>
          <w:color w:val="auto"/>
        </w:rPr>
        <w:t>The ongoing novel coronavirus (COVID-19) global pandemic has adversely affected, and is expected to continue to adversely affect, our business, results of operations and financial condition. The widespread outbreak of any other illnesses or communicable diseases could also adversely affect our business, results of operations and financial condition.</w:t>
      </w:r>
    </w:p>
    <w:p>
      <w:pPr>
        <w:spacing w:after="0" w:line="187" w:lineRule="exact"/>
        <w:rPr>
          <w:sz w:val="20"/>
          <w:szCs w:val="20"/>
          <w:color w:val="auto"/>
        </w:rPr>
      </w:pPr>
    </w:p>
    <w:p>
      <w:pPr>
        <w:ind w:left="40" w:right="99" w:firstLine="324"/>
        <w:spacing w:after="0" w:line="287" w:lineRule="auto"/>
        <w:rPr>
          <w:sz w:val="20"/>
          <w:szCs w:val="20"/>
          <w:color w:val="auto"/>
        </w:rPr>
      </w:pPr>
      <w:r>
        <w:rPr>
          <w:rFonts w:ascii="Arial" w:cs="Arial" w:eastAsia="Arial" w:hAnsi="Arial"/>
          <w:sz w:val="16"/>
          <w:szCs w:val="16"/>
          <w:color w:val="auto"/>
        </w:rPr>
        <w:t>We could be negatively impacted by the widespread outbreak of an illness, any other communicable disease or any other public health crisis that results in economic and trade disruptions, including the disruption of global supply chains. In late 2019, there was an outbreak of a new strain of coronavirus, COVID-19, which has since spread globally. On March 11, 2020, the World Health Organization declared COVID-19 a pandemic. Further, the COVID-19 outbreak has resulted in government authorities around the world implementing numerous measures to try to reduce the spread of COVID-19, such as travel bans and restrictions, quarantines, “shelter-in-place,” “stay-at-home,” total lock-down orders, business limitations or shutdowns and similar orders. More recently, many news agencies have reported the spread of new variants of COVID-19, such as the Delta variant, that are more contagious than previous strains. The spread of these new strains are causing many government authorities to reimplement the aforementioned measures to try to reduce the spread that had become less prevalent. The COVID-19 pandemic and its variants have negatively impacted the global economy, disrupted global supply chains and workforce participation, and initially created significant volatility and disruption of financial markets.</w:t>
      </w:r>
    </w:p>
    <w:p>
      <w:pPr>
        <w:spacing w:after="0" w:line="172" w:lineRule="exact"/>
        <w:rPr>
          <w:sz w:val="20"/>
          <w:szCs w:val="20"/>
          <w:color w:val="auto"/>
        </w:rPr>
      </w:pPr>
    </w:p>
    <w:p>
      <w:pPr>
        <w:ind w:left="40" w:right="139" w:firstLine="324"/>
        <w:spacing w:after="0" w:line="290" w:lineRule="auto"/>
        <w:rPr>
          <w:sz w:val="20"/>
          <w:szCs w:val="20"/>
          <w:color w:val="auto"/>
        </w:rPr>
      </w:pPr>
      <w:r>
        <w:rPr>
          <w:rFonts w:ascii="Arial" w:cs="Arial" w:eastAsia="Arial" w:hAnsi="Arial"/>
          <w:sz w:val="16"/>
          <w:szCs w:val="16"/>
          <w:color w:val="auto"/>
        </w:rPr>
        <w:t>As a result of the COVID-19 pandemic and the related responses from government authorities, our business, results of operations and financial condition have been, and continue to be, adversely impacted. For example, we have experienced electronics supply chain and demand disruptions from extended factory shutdowns, particularly in some Asian countries, which created unusual order patterns, and subsequently slowed Toggle MRAM demand, particularly from our industrial customers. We continue to see an impact as reflected in reduced demand from some customers and distributors. Further, in an effort to protect the health and safety of our employees, we took the following actions: transitioned most of our office and support employees and contractors to working from home; suspended all non-essential business travel; and implemented social distancing guidelines for our employees and contractors who must</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work in our manufacturing and laboratory locations. Consequently, the remote working environment we have implemented for our employees has adversely impacted manufacturing operations given delays in data gathering, analysis and inefficiencies of teams solving technical problems via remote-only means, which has impacted, and continues to impact, our cost of sales.</w:t>
      </w:r>
    </w:p>
    <w:p>
      <w:pPr>
        <w:spacing w:after="0" w:line="187"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 xml:space="preserve">Additionally, our business, results of operations and financial condition </w:t>
      </w:r>
      <w:r>
        <w:rPr>
          <w:rFonts w:ascii="Arial" w:cs="Arial" w:eastAsia="Arial" w:hAnsi="Arial"/>
          <w:sz w:val="18"/>
          <w:szCs w:val="18"/>
          <w:color w:val="212529"/>
        </w:rPr>
        <w:t>have been and may be further impacted in</w:t>
      </w:r>
      <w:r>
        <w:rPr>
          <w:rFonts w:ascii="Arial" w:cs="Arial" w:eastAsia="Arial" w:hAnsi="Arial"/>
          <w:sz w:val="18"/>
          <w:szCs w:val="18"/>
          <w:color w:val="auto"/>
        </w:rPr>
        <w:t xml:space="preserve"> </w:t>
      </w:r>
      <w:r>
        <w:rPr>
          <w:rFonts w:ascii="Arial" w:cs="Arial" w:eastAsia="Arial" w:hAnsi="Arial"/>
          <w:sz w:val="18"/>
          <w:szCs w:val="18"/>
          <w:color w:val="212529"/>
        </w:rPr>
        <w:t>several ways, including, but not limited to, the following:</w:t>
      </w:r>
    </w:p>
    <w:p>
      <w:pPr>
        <w:spacing w:after="0" w:line="170" w:lineRule="exact"/>
        <w:rPr>
          <w:sz w:val="20"/>
          <w:szCs w:val="20"/>
          <w:color w:val="auto"/>
        </w:rPr>
      </w:pPr>
    </w:p>
    <w:p>
      <w:pPr>
        <w:ind w:left="1040" w:right="159" w:hanging="321"/>
        <w:spacing w:after="0" w:line="263"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disruptions to our operations, including due to additional facility closures, restrictions on our operations and sales, marketing and distribution efforts and/or interruptions to our research and development activities, product development and other important business activities;</w:t>
      </w:r>
    </w:p>
    <w:p>
      <w:pPr>
        <w:spacing w:after="0" w:line="183" w:lineRule="exact"/>
        <w:rPr>
          <w:rFonts w:ascii="Arial" w:cs="Arial" w:eastAsia="Arial" w:hAnsi="Arial"/>
          <w:sz w:val="18"/>
          <w:szCs w:val="18"/>
          <w:color w:val="auto"/>
        </w:rPr>
      </w:pPr>
    </w:p>
    <w:p>
      <w:pPr>
        <w:ind w:left="1040" w:right="25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reduced demand for our products, particularly due to disruptions to the businesses and operations of our customers;</w:t>
      </w:r>
    </w:p>
    <w:p>
      <w:pPr>
        <w:spacing w:after="0" w:line="170"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interruptions, availability or delays in global shipping to transport our products;</w:t>
      </w:r>
    </w:p>
    <w:p>
      <w:pPr>
        <w:spacing w:after="0" w:line="225" w:lineRule="exact"/>
        <w:rPr>
          <w:rFonts w:ascii="Arial" w:cs="Arial" w:eastAsia="Arial" w:hAnsi="Arial"/>
          <w:sz w:val="18"/>
          <w:szCs w:val="18"/>
          <w:color w:val="auto"/>
        </w:rPr>
      </w:pPr>
    </w:p>
    <w:p>
      <w:pPr>
        <w:ind w:left="1040" w:right="23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slowdowns, stoppages or other limitations in the supply chain for our products, in addition to higher costs, such as due to suppliers opportunistically raising prices;</w:t>
      </w:r>
    </w:p>
    <w:p>
      <w:pPr>
        <w:spacing w:after="0" w:line="170" w:lineRule="exact"/>
        <w:rPr>
          <w:rFonts w:ascii="Arial" w:cs="Arial" w:eastAsia="Arial" w:hAnsi="Arial"/>
          <w:sz w:val="18"/>
          <w:szCs w:val="18"/>
          <w:color w:val="auto"/>
        </w:rPr>
      </w:pPr>
    </w:p>
    <w:p>
      <w:pPr>
        <w:ind w:left="1040" w:right="359" w:hanging="321"/>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limitations on employee resources and availability, including due to sickness, government restrictions, the desire of employees to avoid contact with large groups of people or mass transit disruptions;</w:t>
      </w:r>
    </w:p>
    <w:p>
      <w:pPr>
        <w:spacing w:after="0" w:line="123" w:lineRule="exact"/>
        <w:rPr>
          <w:rFonts w:ascii="Arial" w:cs="Arial" w:eastAsia="Arial" w:hAnsi="Arial"/>
          <w:sz w:val="16"/>
          <w:szCs w:val="16"/>
          <w:color w:val="auto"/>
        </w:rPr>
      </w:pPr>
    </w:p>
    <w:p>
      <w:pPr>
        <w:ind w:left="1040" w:hanging="321"/>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collecting customer receivables;</w:t>
      </w:r>
    </w:p>
    <w:p>
      <w:pPr>
        <w:spacing w:after="0" w:line="225" w:lineRule="exact"/>
        <w:rPr>
          <w:rFonts w:ascii="Arial" w:cs="Arial" w:eastAsia="Arial" w:hAnsi="Arial"/>
          <w:sz w:val="18"/>
          <w:szCs w:val="18"/>
          <w:color w:val="auto"/>
        </w:rPr>
      </w:pPr>
    </w:p>
    <w:p>
      <w:pPr>
        <w:ind w:left="1040" w:hanging="321"/>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fluctuation in foreign currency exchange rates or interest rates could result from market uncertainties; and</w:t>
      </w:r>
    </w:p>
    <w:p>
      <w:pPr>
        <w:spacing w:after="0" w:line="248" w:lineRule="exact"/>
        <w:rPr>
          <w:rFonts w:ascii="Arial" w:cs="Arial" w:eastAsia="Arial" w:hAnsi="Arial"/>
          <w:sz w:val="16"/>
          <w:szCs w:val="16"/>
          <w:color w:val="auto"/>
        </w:rPr>
      </w:pPr>
    </w:p>
    <w:p>
      <w:pPr>
        <w:ind w:left="1040" w:right="179" w:hanging="321"/>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the cost or the difficulty to obtain debt or equity financing could affect our financial condition or our ability to fund operations or future investment opportunities.</w:t>
      </w:r>
    </w:p>
    <w:p>
      <w:pPr>
        <w:spacing w:after="0" w:line="170" w:lineRule="exact"/>
        <w:rPr>
          <w:sz w:val="20"/>
          <w:szCs w:val="20"/>
          <w:color w:val="auto"/>
        </w:rPr>
      </w:pPr>
    </w:p>
    <w:p>
      <w:pPr>
        <w:ind w:left="40" w:right="99" w:firstLine="324"/>
        <w:spacing w:after="0" w:line="259" w:lineRule="auto"/>
        <w:rPr>
          <w:sz w:val="20"/>
          <w:szCs w:val="20"/>
          <w:color w:val="auto"/>
        </w:rPr>
      </w:pPr>
      <w:r>
        <w:rPr>
          <w:rFonts w:ascii="Arial" w:cs="Arial" w:eastAsia="Arial" w:hAnsi="Arial"/>
          <w:sz w:val="18"/>
          <w:szCs w:val="18"/>
          <w:color w:val="auto"/>
        </w:rPr>
        <w:t>Additionally, COVID-19 could impact our internal controls over financial reporting as a portion of our workforce is required to work from home and therefore new processes, procedures, and controls could be required to respond to changes in our business environment. Further, should any key employees become ill from COVID-19 and unable to work, the attention of the management team could be diverted.</w:t>
      </w:r>
    </w:p>
    <w:p>
      <w:pPr>
        <w:spacing w:after="0" w:line="187" w:lineRule="exact"/>
        <w:rPr>
          <w:sz w:val="20"/>
          <w:szCs w:val="20"/>
          <w:color w:val="auto"/>
        </w:rPr>
      </w:pPr>
    </w:p>
    <w:p>
      <w:pPr>
        <w:jc w:val="both"/>
        <w:ind w:left="40" w:right="399" w:firstLine="324"/>
        <w:spacing w:after="0" w:line="263" w:lineRule="auto"/>
        <w:rPr>
          <w:sz w:val="20"/>
          <w:szCs w:val="20"/>
          <w:color w:val="auto"/>
        </w:rPr>
      </w:pPr>
      <w:r>
        <w:rPr>
          <w:rFonts w:ascii="Arial" w:cs="Arial" w:eastAsia="Arial" w:hAnsi="Arial"/>
          <w:sz w:val="18"/>
          <w:szCs w:val="18"/>
          <w:color w:val="auto"/>
        </w:rPr>
        <w:t>he emergence of the significantly more contagious Delta variant of COVID-19 and the prevalence of breakthrough cases of infection among fully vaccinated people adds additional uncertainty and could result in further impacts to our business and operations, including those discussed above.</w:t>
      </w:r>
    </w:p>
    <w:p>
      <w:pPr>
        <w:spacing w:after="0" w:line="184" w:lineRule="exact"/>
        <w:rPr>
          <w:sz w:val="20"/>
          <w:szCs w:val="20"/>
          <w:color w:val="auto"/>
        </w:rPr>
      </w:pPr>
    </w:p>
    <w:p>
      <w:pPr>
        <w:ind w:left="40" w:right="319" w:firstLine="324"/>
        <w:spacing w:after="0" w:line="259" w:lineRule="auto"/>
        <w:rPr>
          <w:sz w:val="20"/>
          <w:szCs w:val="20"/>
          <w:color w:val="auto"/>
        </w:rPr>
      </w:pPr>
      <w:r>
        <w:rPr>
          <w:rFonts w:ascii="Arial" w:cs="Arial" w:eastAsia="Arial" w:hAnsi="Arial"/>
          <w:sz w:val="18"/>
          <w:szCs w:val="18"/>
          <w:color w:val="auto"/>
        </w:rPr>
        <w:t>Although we will continue to monitor the situation and take further actions, which may include further altering our operations, in order to protect the best interests of our employees, customers and suppliers and comply with government requirements, there is no certainty that such measures will be enough to mitigate the risks posed by the virus, and our ability to perform critical functions could be harmed.</w:t>
      </w:r>
    </w:p>
    <w:p>
      <w:pPr>
        <w:spacing w:after="0" w:line="187" w:lineRule="exact"/>
        <w:rPr>
          <w:sz w:val="20"/>
          <w:szCs w:val="20"/>
          <w:color w:val="auto"/>
        </w:rPr>
      </w:pPr>
    </w:p>
    <w:p>
      <w:pPr>
        <w:ind w:left="40" w:right="139" w:firstLine="324"/>
        <w:spacing w:after="0" w:line="254" w:lineRule="auto"/>
        <w:rPr>
          <w:sz w:val="20"/>
          <w:szCs w:val="20"/>
          <w:color w:val="auto"/>
        </w:rPr>
      </w:pPr>
      <w:r>
        <w:rPr>
          <w:rFonts w:ascii="Arial" w:cs="Arial" w:eastAsia="Arial" w:hAnsi="Arial"/>
          <w:sz w:val="18"/>
          <w:szCs w:val="18"/>
          <w:color w:val="auto"/>
        </w:rPr>
        <w:t>Any of the foregoing could adversely affect our business, results of operations and financial condition. The potential effects of COVID-19 may also impact many of our other risk factors discussed in this “Risk Factors” section. The ultimate extent of the impact of the COVID-19 pandemic on our business, results of operations and financial condition will depend on future developments, which are highly uncertain, continuously evolving and cannot be predicted, including, but not limited to, the duration and spread of the COVID-19 outbreak, its severity, the actions to contain the virus or treat its impact, such as the availability and efficacy of vaccines (particularly with respect to emerging strains of the virus) and potential hesitancy to utilize them, and how quickly and to what extent normal economic and operating conditions can resume.</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limited history of STT-MRAM adoption makes it difficult to evaluate our current business and future prospects.</w:t>
      </w:r>
    </w:p>
    <w:p>
      <w:pPr>
        <w:spacing w:after="0" w:line="248" w:lineRule="exact"/>
        <w:rPr>
          <w:sz w:val="20"/>
          <w:szCs w:val="20"/>
          <w:color w:val="auto"/>
        </w:rPr>
      </w:pPr>
    </w:p>
    <w:p>
      <w:pPr>
        <w:ind w:left="40" w:right="279" w:firstLine="324"/>
        <w:spacing w:after="0" w:line="381" w:lineRule="auto"/>
        <w:rPr>
          <w:sz w:val="20"/>
          <w:szCs w:val="20"/>
          <w:color w:val="auto"/>
        </w:rPr>
      </w:pPr>
      <w:r>
        <w:rPr>
          <w:rFonts w:ascii="Arial" w:cs="Arial" w:eastAsia="Arial" w:hAnsi="Arial"/>
          <w:sz w:val="15"/>
          <w:szCs w:val="15"/>
          <w:color w:val="auto"/>
        </w:rPr>
        <w:t>We have been in existence as a stand-alone company since 2008, when Freescale Semiconductor, Inc. (subsequently acquired by NXP Semiconductor) spun-out its MRAM business as Everspin. We have been shipping magnetoresistive</w:t>
      </w:r>
    </w:p>
    <w:p>
      <w:pPr>
        <w:sectPr>
          <w:pgSz w:w="11900" w:h="16838" w:orient="portrait"/>
          <w:cols w:equalWidth="0" w:num="1">
            <w:col w:w="9019"/>
          </w:cols>
          <w:pgMar w:left="1440" w:top="517" w:right="1440" w:bottom="1440" w:gutter="0" w:footer="0" w:header="0"/>
        </w:sect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random-access memory (MRAM) products since our incorporation in 2008. However, we only began to manufacture and ship our Spin Transfer Torque MRAM (STT-MRAM) products in the fourth quarter of 2017.</w:t>
      </w:r>
    </w:p>
    <w:p>
      <w:pPr>
        <w:spacing w:after="0" w:line="170" w:lineRule="exact"/>
        <w:rPr>
          <w:sz w:val="20"/>
          <w:szCs w:val="20"/>
          <w:color w:val="auto"/>
        </w:rPr>
      </w:pPr>
    </w:p>
    <w:p>
      <w:pPr>
        <w:ind w:left="40" w:right="79" w:firstLine="324"/>
        <w:spacing w:after="0" w:line="253" w:lineRule="auto"/>
        <w:rPr>
          <w:sz w:val="20"/>
          <w:szCs w:val="20"/>
          <w:color w:val="auto"/>
        </w:rPr>
      </w:pPr>
      <w:r>
        <w:rPr>
          <w:rFonts w:ascii="Arial" w:cs="Arial" w:eastAsia="Arial" w:hAnsi="Arial"/>
          <w:sz w:val="18"/>
          <w:szCs w:val="18"/>
          <w:color w:val="auto"/>
        </w:rPr>
        <w:t>Our limited experience selling our STT-MRAM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transportation, and data center market segments and changes in macroeconomic conditions. If we do not manage these risks and overcome these difficulties successfully, our business will suffer.</w:t>
      </w:r>
    </w:p>
    <w:p>
      <w:pPr>
        <w:spacing w:after="0" w:line="129" w:lineRule="exact"/>
        <w:rPr>
          <w:sz w:val="20"/>
          <w:szCs w:val="20"/>
          <w:color w:val="auto"/>
        </w:rPr>
      </w:pPr>
    </w:p>
    <w:p>
      <w:pPr>
        <w:ind w:left="40" w:right="499"/>
        <w:spacing w:after="0" w:line="263"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4" w:lineRule="exact"/>
        <w:rPr>
          <w:sz w:val="20"/>
          <w:szCs w:val="20"/>
          <w:color w:val="auto"/>
        </w:rPr>
      </w:pPr>
    </w:p>
    <w:p>
      <w:pPr>
        <w:ind w:left="40" w:right="119"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4" w:lineRule="exact"/>
        <w:rPr>
          <w:sz w:val="20"/>
          <w:szCs w:val="20"/>
          <w:color w:val="auto"/>
        </w:rPr>
      </w:pPr>
    </w:p>
    <w:p>
      <w:pPr>
        <w:ind w:left="40" w:right="479"/>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459"/>
        <w:spacing w:after="0" w:line="286" w:lineRule="auto"/>
        <w:rPr>
          <w:sz w:val="20"/>
          <w:szCs w:val="20"/>
          <w:color w:val="auto"/>
        </w:rPr>
      </w:pPr>
      <w:r>
        <w:rPr>
          <w:rFonts w:ascii="Arial" w:cs="Arial" w:eastAsia="Arial" w:hAnsi="Arial"/>
          <w:sz w:val="17"/>
          <w:szCs w:val="17"/>
          <w:b w:val="1"/>
          <w:bCs w:val="1"/>
          <w:i w:val="1"/>
          <w:iCs w:val="1"/>
          <w:color w:val="auto"/>
        </w:rPr>
        <w:t>We rely on third parties to distribute,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65" w:lineRule="exact"/>
        <w:rPr>
          <w:sz w:val="20"/>
          <w:szCs w:val="20"/>
          <w:color w:val="auto"/>
        </w:rPr>
      </w:pPr>
    </w:p>
    <w:p>
      <w:pPr>
        <w:ind w:left="40" w:right="119"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left="40" w:right="639" w:firstLine="324"/>
        <w:spacing w:after="0" w:line="277" w:lineRule="auto"/>
        <w:rPr>
          <w:sz w:val="20"/>
          <w:szCs w:val="20"/>
          <w:color w:val="auto"/>
        </w:rPr>
      </w:pPr>
      <w:r>
        <w:rPr>
          <w:rFonts w:ascii="Arial" w:cs="Arial" w:eastAsia="Arial" w:hAnsi="Arial"/>
          <w:sz w:val="18"/>
          <w:szCs w:val="18"/>
          <w:color w:val="auto"/>
        </w:rPr>
        <w:t>Relying on third-party distribution, manufacturing, assembly, packaging and testing presents a number of risks, including but not limited to:</w:t>
      </w:r>
    </w:p>
    <w:p>
      <w:pPr>
        <w:spacing w:after="0" w:line="184" w:lineRule="exact"/>
        <w:rPr>
          <w:sz w:val="20"/>
          <w:szCs w:val="20"/>
          <w:color w:val="auto"/>
        </w:rPr>
      </w:pPr>
    </w:p>
    <w:p>
      <w:pPr>
        <w:ind w:left="620" w:right="219" w:hanging="252"/>
        <w:spacing w:after="0" w:line="263"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capacity and materials shortages during periods of high demand;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control over delivery schedules, inventories and quality;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misappropriation of our intellectual property;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exclusive representatives for certain customer engagements;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warranties on wafers or products supplied to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 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spacing w:after="0" w:line="168" w:lineRule="exact"/>
        <w:rPr>
          <w:sz w:val="20"/>
          <w:szCs w:val="20"/>
          <w:color w:val="auto"/>
        </w:rPr>
      </w:pPr>
    </w:p>
    <w:p>
      <w:pPr>
        <w:ind w:left="40" w:right="1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99" w:firstLine="324"/>
        <w:spacing w:after="0" w:line="275" w:lineRule="auto"/>
        <w:rPr>
          <w:sz w:val="20"/>
          <w:szCs w:val="20"/>
          <w:color w:val="auto"/>
        </w:rPr>
      </w:pPr>
      <w:r>
        <w:rPr>
          <w:rFonts w:ascii="Arial" w:cs="Arial" w:eastAsia="Arial" w:hAnsi="Arial"/>
          <w:sz w:val="17"/>
          <w:szCs w:val="17"/>
          <w:color w:val="auto"/>
        </w:rPr>
        <w:t>If any of our current or future foundries or packaging, assembly and testing subcontractors significantly increases the costs of wafers or other materials or services, interrupts or reduces our supply, including for reasons outside of their control, such as due to the COVID-19 pandemic,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7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Disruptions in our supply chain may adversely impact our ability to fulfill customer demand which, in turn, may adversely impact our business, results of operations and financial condition.</w:t>
      </w:r>
    </w:p>
    <w:p>
      <w:pPr>
        <w:spacing w:after="0" w:line="170" w:lineRule="exact"/>
        <w:rPr>
          <w:sz w:val="20"/>
          <w:szCs w:val="20"/>
          <w:color w:val="auto"/>
        </w:rPr>
      </w:pPr>
    </w:p>
    <w:p>
      <w:pPr>
        <w:ind w:left="40" w:right="339" w:firstLine="324"/>
        <w:spacing w:after="0" w:line="257" w:lineRule="auto"/>
        <w:rPr>
          <w:sz w:val="20"/>
          <w:szCs w:val="20"/>
          <w:color w:val="auto"/>
        </w:rPr>
      </w:pPr>
      <w:r>
        <w:rPr>
          <w:rFonts w:ascii="Arial" w:cs="Arial" w:eastAsia="Arial" w:hAnsi="Arial"/>
          <w:sz w:val="18"/>
          <w:szCs w:val="18"/>
          <w:color w:val="auto"/>
        </w:rPr>
        <w:t>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or other supply disruption were to occur, including as a result of the COVID-19 pandemic, at any of our main suppliers.</w:t>
      </w:r>
    </w:p>
    <w:p>
      <w:pPr>
        <w:spacing w:after="0" w:line="188" w:lineRule="exact"/>
        <w:rPr>
          <w:sz w:val="20"/>
          <w:szCs w:val="20"/>
          <w:color w:val="auto"/>
        </w:rPr>
      </w:pPr>
    </w:p>
    <w:p>
      <w:pPr>
        <w:ind w:left="40" w:right="119" w:firstLine="324"/>
        <w:spacing w:after="0" w:line="269" w:lineRule="auto"/>
        <w:rPr>
          <w:sz w:val="20"/>
          <w:szCs w:val="20"/>
          <w:color w:val="auto"/>
        </w:rPr>
      </w:pPr>
      <w:r>
        <w:rPr>
          <w:rFonts w:ascii="Arial" w:cs="Arial" w:eastAsia="Arial" w:hAnsi="Arial"/>
          <w:sz w:val="17"/>
          <w:szCs w:val="17"/>
          <w:color w:val="auto"/>
        </w:rPr>
        <w:t>In particular, the post-COVID-19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significantly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We do not have any guarantees of supply from our third-party suppliers,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spacing w:after="0" w:line="185" w:lineRule="exact"/>
        <w:rPr>
          <w:sz w:val="20"/>
          <w:szCs w:val="20"/>
          <w:color w:val="auto"/>
        </w:rPr>
      </w:pPr>
    </w:p>
    <w:p>
      <w:pPr>
        <w:ind w:left="620" w:right="219" w:hanging="252"/>
        <w:spacing w:after="0" w:line="263"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in transferring technology to a foundry;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control over the operations of foundries is limited;</w:t>
      </w:r>
    </w:p>
    <w:p>
      <w:pPr>
        <w:spacing w:after="0" w:line="225" w:lineRule="exact"/>
        <w:rPr>
          <w:rFonts w:ascii="Arial" w:cs="Arial" w:eastAsia="Arial" w:hAnsi="Arial"/>
          <w:sz w:val="18"/>
          <w:szCs w:val="18"/>
          <w:color w:val="auto"/>
        </w:rPr>
      </w:pPr>
    </w:p>
    <w:p>
      <w:pPr>
        <w:ind w:left="620" w:right="299" w:hanging="252"/>
        <w:spacing w:after="0" w:line="277" w:lineRule="auto"/>
        <w:tabs>
          <w:tab w:leader="none" w:pos="6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rFonts w:ascii="Arial" w:cs="Arial" w:eastAsia="Arial" w:hAnsi="Arial"/>
          <w:sz w:val="18"/>
          <w:szCs w:val="18"/>
          <w:color w:val="auto"/>
        </w:rPr>
      </w:pPr>
    </w:p>
    <w:p>
      <w:pPr>
        <w:ind w:left="620" w:right="639" w:hanging="252"/>
        <w:spacing w:after="0" w:line="30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due to differing business models or long-term business goals, our collaborators may decide not to join us in funding capital investment, which may result in higher levels of cash expenditures by us;</w:t>
      </w:r>
    </w:p>
    <w:p>
      <w:pPr>
        <w:spacing w:after="0" w:line="146" w:lineRule="exact"/>
        <w:rPr>
          <w:rFonts w:ascii="Arial" w:cs="Arial" w:eastAsia="Arial" w:hAnsi="Arial"/>
          <w:sz w:val="17"/>
          <w:szCs w:val="17"/>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flows may be inadequate to fund increased capital requirements;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our arrangements may turn out to be unfavorable;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79" w:hanging="252"/>
        <w:spacing w:after="0" w:line="277" w:lineRule="auto"/>
        <w:tabs>
          <w:tab w:leader="none" w:pos="6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ind w:left="40" w:right="439" w:firstLine="324"/>
        <w:spacing w:after="0" w:line="277" w:lineRule="auto"/>
        <w:rPr>
          <w:sz w:val="20"/>
          <w:szCs w:val="20"/>
          <w:color w:val="auto"/>
        </w:rPr>
      </w:pPr>
      <w:r>
        <w:rPr>
          <w:rFonts w:ascii="Arial" w:cs="Arial" w:eastAsia="Arial" w:hAnsi="Arial"/>
          <w:sz w:val="18"/>
          <w:szCs w:val="18"/>
          <w:color w:val="auto"/>
        </w:rPr>
        <w:t>The term of the agreement, as amended, is the completion, termination, or expiration of the last statement of work entered into pursuant to the joint development agreement.</w:t>
      </w:r>
    </w:p>
    <w:p>
      <w:pPr>
        <w:spacing w:after="0" w:line="170" w:lineRule="exact"/>
        <w:rPr>
          <w:sz w:val="20"/>
          <w:szCs w:val="20"/>
          <w:color w:val="auto"/>
        </w:rPr>
      </w:pPr>
    </w:p>
    <w:p>
      <w:pPr>
        <w:ind w:left="40" w:right="659"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Our customers for some of our products may see the average selling price of competitive products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84" w:lineRule="exact"/>
        <w:rPr>
          <w:sz w:val="20"/>
          <w:szCs w:val="20"/>
          <w:color w:val="auto"/>
        </w:rPr>
      </w:pPr>
    </w:p>
    <w:p>
      <w:pPr>
        <w:ind w:left="40" w:right="119"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2"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4" w:lineRule="exact"/>
        <w:rPr>
          <w:sz w:val="20"/>
          <w:szCs w:val="20"/>
          <w:color w:val="auto"/>
        </w:rPr>
      </w:pPr>
    </w:p>
    <w:p>
      <w:pPr>
        <w:ind w:left="40" w:right="59" w:firstLine="324"/>
        <w:spacing w:after="0" w:line="268" w:lineRule="auto"/>
        <w:rPr>
          <w:sz w:val="20"/>
          <w:szCs w:val="20"/>
          <w:color w:val="auto"/>
        </w:rPr>
      </w:pPr>
      <w:r>
        <w:rPr>
          <w:rFonts w:ascii="Arial" w:cs="Arial" w:eastAsia="Arial" w:hAnsi="Arial"/>
          <w:sz w:val="17"/>
          <w:szCs w:val="17"/>
          <w:color w:val="auto"/>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our new products, our revenue could decline and our business, financial condition, results of operations and cash flows would be negatively affected. For example, if we are unable to generate more customer adoption of our 1Gb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879"/>
        <w:spacing w:after="0" w:line="340" w:lineRule="auto"/>
        <w:rPr>
          <w:sz w:val="20"/>
          <w:szCs w:val="20"/>
          <w:color w:val="auto"/>
        </w:rPr>
      </w:pPr>
      <w:r>
        <w:rPr>
          <w:rFonts w:ascii="Arial" w:cs="Arial" w:eastAsia="Arial" w:hAnsi="Arial"/>
          <w:sz w:val="15"/>
          <w:szCs w:val="15"/>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31"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We sell to customers, including OEMs and ODMs, that incorporate MRAM into their products. A design win occurs after a customer has tested our product, verified that it meets the customer’s requirements and qualified our solutions for their products. We believe we are dependent, among other things,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spacing w:after="0" w:line="182" w:lineRule="exact"/>
        <w:rPr>
          <w:sz w:val="20"/>
          <w:szCs w:val="20"/>
          <w:color w:val="auto"/>
        </w:rPr>
      </w:pPr>
    </w:p>
    <w:p>
      <w:pPr>
        <w:ind w:left="40" w:right="79" w:firstLine="324"/>
        <w:spacing w:after="0" w:line="291" w:lineRule="auto"/>
        <w:rPr>
          <w:sz w:val="20"/>
          <w:szCs w:val="20"/>
          <w:color w:val="auto"/>
        </w:rPr>
      </w:pPr>
      <w:r>
        <w:rPr>
          <w:rFonts w:ascii="Arial" w:cs="Arial" w:eastAsia="Arial" w:hAnsi="Arial"/>
          <w:sz w:val="16"/>
          <w:szCs w:val="16"/>
          <w:color w:val="auto"/>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66"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left="40" w:right="179" w:firstLine="324"/>
        <w:spacing w:after="0" w:line="289"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four largest end customers together accounted for 47% of our total revenue for the six months ended June 30, 2021, and one of these customers accounted for more than 10% of our revenue during that period. Our four largest end customers together accounted for 45% of our total revenue for the year ended December 31, 2020, and 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66"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Fujitsu, Infineon, Integrated Silicon Solution, Intel, Macronix, Microchip, Micron, Renesas, Samsung, and Toshiba. In addition, as the MRAM market opportunity grows, we expect new entrants may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3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functionality and performance of our products and those of our competitors;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relationships with our customers and other industry participants;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prices of our products and prices of our competitors’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innovative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competitors’ greater resources to make acquisitions;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adequate capital to finance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2"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left="40" w:right="139"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spacing w:after="0" w:line="192" w:lineRule="exact"/>
        <w:rPr>
          <w:sz w:val="20"/>
          <w:szCs w:val="20"/>
          <w:color w:val="auto"/>
        </w:rPr>
      </w:pPr>
    </w:p>
    <w:p>
      <w:pPr>
        <w:ind w:left="40" w:right="159" w:firstLine="324"/>
        <w:spacing w:after="0" w:line="269" w:lineRule="auto"/>
        <w:rPr>
          <w:sz w:val="20"/>
          <w:szCs w:val="20"/>
          <w:color w:val="auto"/>
        </w:rPr>
      </w:pPr>
      <w:r>
        <w:rPr>
          <w:rFonts w:ascii="Arial" w:cs="Arial" w:eastAsia="Arial" w:hAnsi="Arial"/>
          <w:sz w:val="17"/>
          <w:szCs w:val="17"/>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spacing w:after="0" w:line="182"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left="40" w:right="239" w:firstLine="324"/>
        <w:spacing w:after="0" w:line="290" w:lineRule="auto"/>
        <w:rPr>
          <w:sz w:val="20"/>
          <w:szCs w:val="20"/>
          <w:color w:val="auto"/>
        </w:rPr>
      </w:pPr>
      <w:r>
        <w:rPr>
          <w:rFonts w:ascii="Arial" w:cs="Arial" w:eastAsia="Arial" w:hAnsi="Arial"/>
          <w:sz w:val="16"/>
          <w:szCs w:val="16"/>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our stockholders that problems will not be found in new products, both before and after commencement of commercial production, despite testing by us, our suppliers or our customers. Any such problems could result 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development, manufacture and roll-out of new products;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development costs;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or delays in, market acceptance;</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technical and other resources from our other development efforts;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claims for damages by our customers or others against us;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ind w:left="40" w:right="399"/>
        <w:spacing w:after="0" w:line="263"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4" w:lineRule="exact"/>
        <w:rPr>
          <w:sz w:val="20"/>
          <w:szCs w:val="20"/>
          <w:color w:val="auto"/>
        </w:rPr>
      </w:pPr>
    </w:p>
    <w:p>
      <w:pPr>
        <w:ind w:left="40" w:right="59" w:firstLine="324"/>
        <w:spacing w:after="0" w:line="301" w:lineRule="auto"/>
        <w:rPr>
          <w:sz w:val="20"/>
          <w:szCs w:val="20"/>
          <w:color w:val="auto"/>
        </w:rPr>
      </w:pPr>
      <w:r>
        <w:rPr>
          <w:rFonts w:ascii="Arial" w:cs="Arial" w:eastAsia="Arial" w:hAnsi="Arial"/>
          <w:sz w:val="16"/>
          <w:szCs w:val="16"/>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w:t>
      </w:r>
    </w:p>
    <w:p>
      <w:pPr>
        <w:spacing w:after="0" w:line="157" w:lineRule="exact"/>
        <w:rPr>
          <w:sz w:val="20"/>
          <w:szCs w:val="20"/>
          <w:color w:val="auto"/>
        </w:rPr>
      </w:pPr>
    </w:p>
    <w:p>
      <w:pPr>
        <w:ind w:left="40" w:right="159" w:firstLine="324"/>
        <w:spacing w:after="0" w:line="259" w:lineRule="auto"/>
        <w:rPr>
          <w:sz w:val="20"/>
          <w:szCs w:val="20"/>
          <w:color w:val="auto"/>
        </w:rPr>
      </w:pPr>
      <w:r>
        <w:rPr>
          <w:rFonts w:ascii="Arial" w:cs="Arial" w:eastAsia="Arial" w:hAnsi="Arial"/>
          <w:sz w:val="18"/>
          <w:szCs w:val="18"/>
          <w:color w:val="auto"/>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spacing w:after="0" w:line="187" w:lineRule="exact"/>
        <w:rPr>
          <w:sz w:val="20"/>
          <w:szCs w:val="20"/>
          <w:color w:val="auto"/>
        </w:rPr>
      </w:pPr>
    </w:p>
    <w:p>
      <w:pPr>
        <w:ind w:left="40" w:right="139" w:firstLine="324"/>
        <w:spacing w:after="0" w:line="291" w:lineRule="auto"/>
        <w:rPr>
          <w:sz w:val="20"/>
          <w:szCs w:val="20"/>
          <w:color w:val="auto"/>
        </w:rPr>
      </w:pPr>
      <w:r>
        <w:rPr>
          <w:rFonts w:ascii="Arial" w:cs="Arial" w:eastAsia="Arial" w:hAnsi="Arial"/>
          <w:sz w:val="16"/>
          <w:szCs w:val="16"/>
          <w:color w:val="auto"/>
        </w:rPr>
        <w:t>We may face difficulties, delays and increased expense as we transition our products to new processes, and potentially to new foundries. We will depend on our third-party foundries as we transition to new processes. We cannot assure our stockholders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96" w:lineRule="exact"/>
        <w:rPr>
          <w:sz w:val="20"/>
          <w:szCs w:val="20"/>
          <w:color w:val="auto"/>
        </w:rPr>
      </w:pPr>
    </w:p>
    <w:p>
      <w:pPr>
        <w:ind w:left="40" w:right="59" w:firstLine="324"/>
        <w:spacing w:after="0" w:line="291" w:lineRule="auto"/>
        <w:rPr>
          <w:sz w:val="20"/>
          <w:szCs w:val="20"/>
          <w:color w:val="auto"/>
        </w:rPr>
      </w:pPr>
      <w:r>
        <w:rPr>
          <w:rFonts w:ascii="Arial" w:cs="Arial" w:eastAsia="Arial" w:hAnsi="Arial"/>
          <w:sz w:val="16"/>
          <w:szCs w:val="16"/>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259"/>
        <w:spacing w:after="0" w:line="308" w:lineRule="auto"/>
        <w:rPr>
          <w:sz w:val="20"/>
          <w:szCs w:val="20"/>
          <w:color w:val="auto"/>
        </w:rPr>
      </w:pPr>
      <w:r>
        <w:rPr>
          <w:rFonts w:ascii="Arial" w:cs="Arial" w:eastAsia="Arial" w:hAnsi="Arial"/>
          <w:sz w:val="17"/>
          <w:szCs w:val="17"/>
          <w:color w:val="auto"/>
        </w:rPr>
        <w:t>crucial design wins, our revenue may decline and we may incur significant expenses to redesign our products to meet the relevant standards, which could adversely affect our business, results of operations and prospects.</w:t>
      </w:r>
    </w:p>
    <w:p>
      <w:pPr>
        <w:spacing w:after="0" w:line="14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left="40" w:right="79" w:firstLine="324"/>
        <w:spacing w:after="0" w:line="269"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2" w:lineRule="exact"/>
        <w:rPr>
          <w:sz w:val="20"/>
          <w:szCs w:val="20"/>
          <w:color w:val="auto"/>
        </w:rPr>
      </w:pPr>
    </w:p>
    <w:p>
      <w:pPr>
        <w:ind w:left="40" w:right="879"/>
        <w:spacing w:after="0" w:line="277" w:lineRule="auto"/>
        <w:rPr>
          <w:sz w:val="20"/>
          <w:szCs w:val="20"/>
          <w:color w:val="auto"/>
        </w:rPr>
      </w:pPr>
      <w:r>
        <w:rPr>
          <w:rFonts w:ascii="Arial" w:cs="Arial" w:eastAsia="Arial" w:hAnsi="Arial"/>
          <w:sz w:val="18"/>
          <w:szCs w:val="18"/>
          <w:b w:val="1"/>
          <w:bCs w:val="1"/>
          <w:i w:val="1"/>
          <w:iCs w:val="1"/>
          <w:color w:val="auto"/>
        </w:rPr>
        <w:t>We currently maintain, and are seeking to expand operations outside of the United States which exposes us to significant risks.</w:t>
      </w:r>
    </w:p>
    <w:p>
      <w:pPr>
        <w:spacing w:after="0" w:line="170" w:lineRule="exact"/>
        <w:rPr>
          <w:sz w:val="20"/>
          <w:szCs w:val="20"/>
          <w:color w:val="auto"/>
        </w:rPr>
      </w:pPr>
    </w:p>
    <w:p>
      <w:pPr>
        <w:ind w:left="40" w:right="99" w:firstLine="324"/>
        <w:spacing w:after="0" w:line="254" w:lineRule="auto"/>
        <w:rPr>
          <w:sz w:val="20"/>
          <w:szCs w:val="20"/>
          <w:color w:val="auto"/>
        </w:rPr>
      </w:pPr>
      <w:r>
        <w:rPr>
          <w:rFonts w:ascii="Arial" w:cs="Arial" w:eastAsia="Arial" w:hAnsi="Arial"/>
          <w:sz w:val="18"/>
          <w:szCs w:val="18"/>
          <w:color w:val="auto"/>
        </w:rPr>
        <w:t>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95" w:lineRule="exact"/>
        <w:rPr>
          <w:sz w:val="20"/>
          <w:szCs w:val="20"/>
          <w:color w:val="auto"/>
        </w:rPr>
      </w:pPr>
    </w:p>
    <w:p>
      <w:pPr>
        <w:jc w:val="both"/>
        <w:ind w:left="620" w:right="599" w:hanging="252"/>
        <w:spacing w:after="0" w:line="263"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such as the COVID-19 pandemic, which can result in varying impacts to our business, employees, partners, customers, distributors or suppliers internationally as discussed elsewhere in this “Risk Factors” section;</w:t>
      </w:r>
    </w:p>
    <w:p>
      <w:pPr>
        <w:spacing w:after="0" w:line="183"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customer qualification and credit checks;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need for various local approvals to operate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import/export laws, trade restrictions, regulations and customs and duties and tariffs (foreign and domestic);</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rFonts w:ascii="Arial" w:cs="Arial" w:eastAsia="Arial" w:hAnsi="Arial"/>
          <w:sz w:val="16"/>
          <w:szCs w:val="16"/>
          <w:color w:val="auto"/>
        </w:rPr>
      </w:pPr>
    </w:p>
    <w:p>
      <w:pPr>
        <w:ind w:left="620" w:right="519" w:hanging="252"/>
        <w:spacing w:after="0" w:line="277" w:lineRule="auto"/>
        <w:tabs>
          <w:tab w:leader="none" w:pos="6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right="139" w:hanging="252"/>
        <w:spacing w:after="0" w:line="277"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rFonts w:ascii="Arial" w:cs="Arial" w:eastAsia="Arial" w:hAnsi="Arial"/>
          <w:sz w:val="18"/>
          <w:szCs w:val="18"/>
          <w:color w:val="auto"/>
        </w:rPr>
      </w:pPr>
    </w:p>
    <w:p>
      <w:pPr>
        <w:ind w:left="620" w:right="119" w:hanging="252"/>
        <w:spacing w:after="0" w:line="259" w:lineRule="auto"/>
        <w:tabs>
          <w:tab w:leader="none" w:pos="6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6"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and different sources of competition; and</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25"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b w:val="1"/>
          <w:bCs w:val="1"/>
          <w:i w:val="1"/>
          <w:iCs w:val="1"/>
          <w:color w:val="auto"/>
        </w:rPr>
        <w:t>We may not successfully manage the transitions associated with certain of our executive officers, which could have an adverse impact on us.</w:t>
      </w:r>
    </w:p>
    <w:p>
      <w:pPr>
        <w:spacing w:after="0" w:line="170" w:lineRule="exact"/>
        <w:rPr>
          <w:sz w:val="20"/>
          <w:szCs w:val="20"/>
          <w:color w:val="auto"/>
        </w:rPr>
      </w:pPr>
    </w:p>
    <w:p>
      <w:pPr>
        <w:ind w:left="40" w:right="159" w:firstLine="324"/>
        <w:spacing w:after="0" w:line="291" w:lineRule="auto"/>
        <w:rPr>
          <w:sz w:val="20"/>
          <w:szCs w:val="20"/>
          <w:color w:val="auto"/>
        </w:rPr>
      </w:pPr>
      <w:r>
        <w:rPr>
          <w:rFonts w:ascii="Arial" w:cs="Arial" w:eastAsia="Arial" w:hAnsi="Arial"/>
          <w:sz w:val="16"/>
          <w:szCs w:val="16"/>
          <w:color w:val="auto"/>
        </w:rPr>
        <w:t>In December 2020, Kevin Conley notified our board of directors of his decision to resign as President and Chief Executive Officer of the Company. In connection with Mr. Conley’s resignation, our board of directors appointed Darin Billerbeck to serve as Interim Chief Executive Officer of the Company until a permanent successor can be named. Additionally, in March 2021, Daniel Berenbaum notified our board of directors of his decision to resign as Chief Financial Officer of the Company. On April 30, 2021, our board of directors appointed Anuj Aggarwal to serve as Interim Chief Financial Officer of the Company until a permanent successor can be named. Our board of directors intends to initiate a search process to select the Company’s next Chief Executive Officer and next Chief Financial Officer.</w:t>
      </w:r>
    </w:p>
    <w:p>
      <w:pPr>
        <w:spacing w:after="0" w:line="166" w:lineRule="exact"/>
        <w:rPr>
          <w:sz w:val="20"/>
          <w:szCs w:val="20"/>
          <w:color w:val="auto"/>
        </w:rPr>
      </w:pPr>
    </w:p>
    <w:p>
      <w:pPr>
        <w:ind w:left="40" w:right="219" w:firstLine="324"/>
        <w:spacing w:after="0" w:line="273" w:lineRule="auto"/>
        <w:rPr>
          <w:sz w:val="20"/>
          <w:szCs w:val="20"/>
          <w:color w:val="auto"/>
        </w:rPr>
      </w:pPr>
      <w:r>
        <w:rPr>
          <w:rFonts w:ascii="Arial" w:cs="Arial" w:eastAsia="Arial" w:hAnsi="Arial"/>
          <w:sz w:val="17"/>
          <w:szCs w:val="17"/>
          <w:color w:val="auto"/>
        </w:rPr>
        <w:t>Although our board of directors is confident in the interim leadership of Mr. Billerbeck, leadership transitions can be inherently difficult to manage. An inadequate transition to a permanent Chief Executive Officer or permanent Chief Financial Officer may cause disruption within the Company. In addition, if we are unable to attract and retain a qualified candidate to become the permanent Chief Executive Officer or permanent Chief Financial Officer in a timely manner, our financial performance and ability to meet operational goals and strategic plans may be adversely impacted. This may also impact our ability to retain and hire other key members of management.</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Our Intellectual Property and Technology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left="40" w:right="59"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2" w:lineRule="exact"/>
        <w:rPr>
          <w:sz w:val="20"/>
          <w:szCs w:val="20"/>
          <w:color w:val="auto"/>
        </w:rPr>
      </w:pPr>
    </w:p>
    <w:p>
      <w:pPr>
        <w:ind w:left="40" w:right="79" w:firstLine="324"/>
        <w:spacing w:after="0" w:line="275" w:lineRule="auto"/>
        <w:rPr>
          <w:sz w:val="20"/>
          <w:szCs w:val="20"/>
          <w:color w:val="auto"/>
        </w:rPr>
      </w:pPr>
      <w:r>
        <w:rPr>
          <w:rFonts w:ascii="Arial" w:cs="Arial" w:eastAsia="Arial" w:hAnsi="Arial"/>
          <w:sz w:val="17"/>
          <w:szCs w:val="17"/>
          <w:color w:val="auto"/>
        </w:rPr>
        <w:t>In addition to patents, we also rely on contractual protections with our customers, suppliers, distributors, employees and consultants, and we implement security measures designed to protect our trade secrets and know-how. However, we cannot assure our stockholders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76"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We may initiate claims against third parties to protect our intellectual property rights if we are unable to resolve</w:t>
      </w:r>
    </w:p>
    <w:p>
      <w:pPr>
        <w:spacing w:after="0" w:line="3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matters satisfactorily through negotiation. Litigation brought to protect and enforce our intellectual property rights could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40" w:right="199"/>
        <w:spacing w:after="0" w:line="296" w:lineRule="auto"/>
        <w:rPr>
          <w:sz w:val="20"/>
          <w:szCs w:val="20"/>
          <w:color w:val="auto"/>
        </w:rPr>
      </w:pPr>
      <w:r>
        <w:rPr>
          <w:rFonts w:ascii="Arial" w:cs="Arial" w:eastAsia="Arial" w:hAnsi="Arial"/>
          <w:sz w:val="16"/>
          <w:szCs w:val="16"/>
          <w:color w:val="auto"/>
        </w:rPr>
        <w:t>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spacing w:after="0" w:line="161" w:lineRule="exact"/>
        <w:rPr>
          <w:sz w:val="20"/>
          <w:szCs w:val="20"/>
          <w:color w:val="auto"/>
        </w:rPr>
      </w:pPr>
    </w:p>
    <w:p>
      <w:pPr>
        <w:ind w:left="40" w:right="399"/>
        <w:spacing w:after="0" w:line="311" w:lineRule="auto"/>
        <w:rPr>
          <w:sz w:val="20"/>
          <w:szCs w:val="20"/>
          <w:color w:val="auto"/>
        </w:rPr>
      </w:pPr>
      <w:r>
        <w:rPr>
          <w:rFonts w:ascii="Arial" w:cs="Arial" w:eastAsia="Arial" w:hAnsi="Arial"/>
          <w:sz w:val="16"/>
          <w:szCs w:val="16"/>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49" w:lineRule="exact"/>
        <w:rPr>
          <w:sz w:val="20"/>
          <w:szCs w:val="20"/>
          <w:color w:val="auto"/>
        </w:rPr>
      </w:pPr>
    </w:p>
    <w:p>
      <w:pPr>
        <w:ind w:left="40" w:right="179"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2"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2" w:lineRule="exact"/>
        <w:rPr>
          <w:sz w:val="20"/>
          <w:szCs w:val="20"/>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for infringement;</w:t>
      </w:r>
    </w:p>
    <w:p>
      <w:pPr>
        <w:spacing w:after="0" w:line="225" w:lineRule="exact"/>
        <w:rPr>
          <w:rFonts w:ascii="Arial" w:cs="Arial" w:eastAsia="Arial" w:hAnsi="Arial"/>
          <w:sz w:val="18"/>
          <w:szCs w:val="18"/>
          <w:color w:val="auto"/>
        </w:rPr>
      </w:pPr>
    </w:p>
    <w:p>
      <w:pPr>
        <w:ind w:left="620" w:right="57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rFonts w:ascii="Arial" w:cs="Arial" w:eastAsia="Arial" w:hAnsi="Arial"/>
          <w:sz w:val="18"/>
          <w:szCs w:val="18"/>
          <w:color w:val="auto"/>
        </w:rPr>
      </w:pPr>
    </w:p>
    <w:p>
      <w:pPr>
        <w:ind w:left="620" w:right="105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rFonts w:ascii="Arial" w:cs="Arial" w:eastAsia="Arial" w:hAnsi="Arial"/>
          <w:sz w:val="18"/>
          <w:szCs w:val="18"/>
          <w:color w:val="auto"/>
        </w:rPr>
      </w:pPr>
    </w:p>
    <w:p>
      <w:pPr>
        <w:ind w:left="620" w:right="23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rFonts w:ascii="Arial" w:cs="Arial" w:eastAsia="Arial" w:hAnsi="Arial"/>
          <w:sz w:val="18"/>
          <w:szCs w:val="18"/>
          <w:color w:val="auto"/>
        </w:rPr>
      </w:pPr>
    </w:p>
    <w:p>
      <w:pPr>
        <w:ind w:left="620" w:right="379" w:hanging="252"/>
        <w:spacing w:after="0" w:line="277" w:lineRule="auto"/>
        <w:tabs>
          <w:tab w:leader="none" w:pos="6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left="40" w:right="79"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2" w:lineRule="exact"/>
        <w:rPr>
          <w:sz w:val="20"/>
          <w:szCs w:val="20"/>
          <w:color w:val="auto"/>
        </w:rPr>
      </w:pPr>
    </w:p>
    <w:p>
      <w:pPr>
        <w:ind w:left="40" w:right="439"/>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left="40" w:right="59"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left="40" w:right="419" w:firstLine="324"/>
        <w:spacing w:after="0" w:line="311" w:lineRule="auto"/>
        <w:rPr>
          <w:sz w:val="20"/>
          <w:szCs w:val="20"/>
          <w:color w:val="auto"/>
        </w:rPr>
      </w:pPr>
      <w:r>
        <w:rPr>
          <w:rFonts w:ascii="Arial" w:cs="Arial" w:eastAsia="Arial" w:hAnsi="Arial"/>
          <w:sz w:val="16"/>
          <w:szCs w:val="16"/>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 realize substantial revenue from our significant investments in research and development could harm our operating results and distract management, harming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left="40" w:right="199"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18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76" w:lineRule="exact"/>
        <w:rPr>
          <w:sz w:val="20"/>
          <w:szCs w:val="20"/>
          <w:color w:val="auto"/>
        </w:rPr>
      </w:pPr>
    </w:p>
    <w:p>
      <w:pPr>
        <w:ind w:left="40" w:right="299"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 Related to Regulatory Matters and Compliance</w:t>
      </w:r>
    </w:p>
    <w:p>
      <w:pPr>
        <w:spacing w:after="0" w:line="229"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4"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4" w:lineRule="exact"/>
        <w:rPr>
          <w:sz w:val="20"/>
          <w:szCs w:val="20"/>
          <w:color w:val="auto"/>
        </w:rPr>
      </w:pPr>
    </w:p>
    <w:p>
      <w:pPr>
        <w:ind w:left="40" w:right="159" w:firstLine="324"/>
        <w:spacing w:after="0" w:line="301" w:lineRule="auto"/>
        <w:rPr>
          <w:sz w:val="20"/>
          <w:szCs w:val="20"/>
          <w:color w:val="auto"/>
        </w:rPr>
      </w:pPr>
      <w:r>
        <w:rPr>
          <w:rFonts w:ascii="Arial" w:cs="Arial" w:eastAsia="Arial" w:hAnsi="Arial"/>
          <w:sz w:val="16"/>
          <w:szCs w:val="16"/>
          <w:color w:val="auto"/>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79"/>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left="40" w:right="79"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left="40" w:right="59" w:firstLine="324"/>
        <w:spacing w:after="0" w:line="286" w:lineRule="auto"/>
        <w:rPr>
          <w:sz w:val="20"/>
          <w:szCs w:val="20"/>
          <w:color w:val="auto"/>
        </w:rPr>
      </w:pPr>
      <w:r>
        <w:rPr>
          <w:rFonts w:ascii="Arial" w:cs="Arial" w:eastAsia="Arial" w:hAnsi="Arial"/>
          <w:sz w:val="16"/>
          <w:szCs w:val="16"/>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2020, we had gross federal net operating loss carryforwards of approximately $140.5 million, of which $99.7 million will expire in 2028 through 2037 if not utilized, and $40.8 million will carryover indefinitely. As of December 31, 2020, we had state net operating loss carryforwards of approximately $54.1 million, of which $51.5 million will expire in 2023 through 2040 if not utilized, and $2.6 million will carryover indefinitely. The federal NOLs generated prior to 2018 will continue to be governed by the NOL tax rules as they existed prior to the adoption of the 2017 Tax Cuts and Jobs Act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There is no current impact to us as we continue to be in a loss position for U.S. income tax purposes. Future changes in our stock ownership, many of which are outside of our control, could result in an ownership change under Section 382 of the Code. The ability to utilize our net operating losses and tax credits could also be impaired under state law. As a result, we might not be able to utilize a material portion of our state NOLs and tax credits.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left="40" w:right="519"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right="11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duration and severity of the COVID-19 pandemic and its effects on our business, financial condition, results of operations and cash flows;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rFonts w:ascii="Arial" w:cs="Arial" w:eastAsia="Arial" w:hAnsi="Arial"/>
          <w:sz w:val="18"/>
          <w:szCs w:val="18"/>
          <w:color w:val="auto"/>
        </w:rPr>
      </w:pPr>
    </w:p>
    <w:p>
      <w:pPr>
        <w:ind w:left="620" w:right="259" w:hanging="252"/>
        <w:spacing w:after="0" w:line="277" w:lineRule="auto"/>
        <w:tabs>
          <w:tab w:leader="none" w:pos="64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restructurings;</w:t>
      </w:r>
    </w:p>
    <w:p>
      <w:pPr>
        <w:spacing w:after="0" w:line="170"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hanging="29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others in our industry;</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660" w:hanging="29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and</w:t>
      </w:r>
    </w:p>
    <w:p>
      <w:pPr>
        <w:spacing w:after="0" w:line="225" w:lineRule="exact"/>
        <w:rPr>
          <w:rFonts w:ascii="Arial" w:cs="Arial" w:eastAsia="Arial" w:hAnsi="Arial"/>
          <w:sz w:val="18"/>
          <w:szCs w:val="18"/>
          <w:color w:val="auto"/>
        </w:rPr>
      </w:pPr>
    </w:p>
    <w:p>
      <w:pPr>
        <w:jc w:val="both"/>
        <w:ind w:left="620" w:right="559" w:hanging="252"/>
        <w:spacing w:after="0" w:line="263" w:lineRule="auto"/>
        <w:tabs>
          <w:tab w:leader="none" w:pos="6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including those due to the duration and severity of the COVID-19 pandemic.</w:t>
      </w:r>
    </w:p>
    <w:p>
      <w:pPr>
        <w:spacing w:after="0" w:line="184" w:lineRule="exact"/>
        <w:rPr>
          <w:sz w:val="20"/>
          <w:szCs w:val="20"/>
          <w:color w:val="auto"/>
        </w:rPr>
      </w:pPr>
    </w:p>
    <w:p>
      <w:pPr>
        <w:ind w:left="40" w:right="119" w:firstLine="324"/>
        <w:spacing w:after="0" w:line="257" w:lineRule="auto"/>
        <w:rPr>
          <w:sz w:val="20"/>
          <w:szCs w:val="20"/>
          <w:color w:val="auto"/>
        </w:rPr>
      </w:pPr>
      <w:r>
        <w:rPr>
          <w:rFonts w:ascii="Arial" w:cs="Arial" w:eastAsia="Arial" w:hAnsi="Arial"/>
          <w:sz w:val="18"/>
          <w:szCs w:val="18"/>
          <w:color w:val="auto"/>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spacing w:after="0" w:line="188" w:lineRule="exact"/>
        <w:rPr>
          <w:sz w:val="20"/>
          <w:szCs w:val="20"/>
          <w:color w:val="auto"/>
        </w:rPr>
      </w:pPr>
    </w:p>
    <w:p>
      <w:pPr>
        <w:ind w:left="40" w:right="379" w:firstLine="324"/>
        <w:spacing w:after="0" w:line="257"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left="40" w:right="179"/>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6" w:lineRule="exact"/>
        <w:rPr>
          <w:sz w:val="20"/>
          <w:szCs w:val="20"/>
          <w:color w:val="auto"/>
        </w:rPr>
      </w:pPr>
    </w:p>
    <w:p>
      <w:pPr>
        <w:ind w:left="40" w:right="99"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1" w:lineRule="exact"/>
        <w:rPr>
          <w:sz w:val="20"/>
          <w:szCs w:val="20"/>
          <w:color w:val="auto"/>
        </w:rPr>
      </w:pPr>
    </w:p>
    <w:p>
      <w:pPr>
        <w:ind w:left="620" w:right="139" w:hanging="252"/>
        <w:spacing w:after="0" w:line="263"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p>
      <w:pPr>
        <w:spacing w:after="0" w:line="187" w:lineRule="exact"/>
        <w:rPr>
          <w:rFonts w:ascii="Arial" w:cs="Arial" w:eastAsia="Arial" w:hAnsi="Arial"/>
          <w:sz w:val="18"/>
          <w:szCs w:val="18"/>
          <w:color w:val="auto"/>
        </w:rPr>
      </w:pPr>
    </w:p>
    <w:p>
      <w:pPr>
        <w:ind w:left="620" w:right="539" w:hanging="252"/>
        <w:spacing w:after="0" w:line="277"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20" w:right="179" w:hanging="252"/>
        <w:spacing w:after="0" w:line="257" w:lineRule="auto"/>
        <w:tabs>
          <w:tab w:leader="none" w:pos="6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right="219" w:hanging="252"/>
        <w:spacing w:after="0" w:line="279" w:lineRule="auto"/>
        <w:tabs>
          <w:tab w:leader="none" w:pos="6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71" w:lineRule="exact"/>
        <w:rPr>
          <w:rFonts w:ascii="Arial" w:cs="Arial" w:eastAsia="Arial" w:hAnsi="Arial"/>
          <w:sz w:val="17"/>
          <w:szCs w:val="17"/>
          <w:color w:val="auto"/>
        </w:rPr>
      </w:pPr>
    </w:p>
    <w:p>
      <w:pPr>
        <w:ind w:left="620" w:right="159" w:hanging="252"/>
        <w:spacing w:after="0" w:line="286" w:lineRule="auto"/>
        <w:tabs>
          <w:tab w:leader="none" w:pos="6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5"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40" w:right="199" w:firstLine="324"/>
        <w:spacing w:after="0" w:line="291"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ind w:left="660" w:hanging="29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9" w:lineRule="exact"/>
        <w:rPr>
          <w:rFonts w:ascii="Arial" w:cs="Arial" w:eastAsia="Arial" w:hAnsi="Arial"/>
          <w:sz w:val="18"/>
          <w:szCs w:val="18"/>
          <w:color w:val="auto"/>
        </w:rPr>
      </w:pPr>
    </w:p>
    <w:p>
      <w:pPr>
        <w:ind w:left="620" w:right="199" w:hanging="252"/>
        <w:spacing w:after="0" w:line="250"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w:t>
      </w:r>
    </w:p>
    <w:p>
      <w:pPr>
        <w:ind w:left="620" w:right="399" w:hanging="252"/>
        <w:spacing w:after="0" w:line="250" w:lineRule="auto"/>
        <w:tabs>
          <w:tab w:leader="none" w:pos="6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ind w:left="660" w:hanging="29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11" w:lineRule="exact"/>
        <w:rPr>
          <w:sz w:val="20"/>
          <w:szCs w:val="20"/>
          <w:color w:val="auto"/>
        </w:rPr>
      </w:pPr>
    </w:p>
    <w:p>
      <w:pPr>
        <w:ind w:left="40" w:right="159" w:firstLine="324"/>
        <w:spacing w:after="0" w:line="287" w:lineRule="auto"/>
        <w:rPr>
          <w:sz w:val="20"/>
          <w:szCs w:val="20"/>
          <w:color w:val="auto"/>
        </w:rPr>
      </w:pPr>
      <w:r>
        <w:rPr>
          <w:rFonts w:ascii="Arial" w:cs="Arial" w:eastAsia="Arial" w:hAnsi="Arial"/>
          <w:sz w:val="16"/>
          <w:szCs w:val="16"/>
          <w:color w:val="auto"/>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w:t>
      </w:r>
      <w:r>
        <w:rPr>
          <w:rFonts w:ascii="Arial" w:cs="Arial" w:eastAsia="Arial" w:hAnsi="Arial"/>
          <w:sz w:val="16"/>
          <w:szCs w:val="16"/>
          <w:color w:val="212529"/>
        </w:rPr>
        <w:t>that, unless we consent in</w:t>
      </w:r>
      <w:r>
        <w:rPr>
          <w:rFonts w:ascii="Arial" w:cs="Arial" w:eastAsia="Arial" w:hAnsi="Arial"/>
          <w:sz w:val="16"/>
          <w:szCs w:val="16"/>
          <w:color w:val="auto"/>
        </w:rPr>
        <w:t xml:space="preserve"> </w:t>
      </w:r>
      <w:r>
        <w:rPr>
          <w:rFonts w:ascii="Arial" w:cs="Arial" w:eastAsia="Arial" w:hAnsi="Arial"/>
          <w:sz w:val="16"/>
          <w:szCs w:val="16"/>
          <w:color w:val="212529"/>
        </w:rPr>
        <w:t>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8" w:lineRule="exact"/>
        <w:rPr>
          <w:sz w:val="20"/>
          <w:szCs w:val="20"/>
          <w:color w:val="auto"/>
        </w:rPr>
      </w:pPr>
    </w:p>
    <w:p>
      <w:pPr>
        <w:ind w:left="40" w:right="139" w:firstLine="324"/>
        <w:spacing w:after="0" w:line="296" w:lineRule="auto"/>
        <w:rPr>
          <w:sz w:val="20"/>
          <w:szCs w:val="20"/>
          <w:color w:val="auto"/>
        </w:rPr>
      </w:pPr>
      <w:r>
        <w:rPr>
          <w:rFonts w:ascii="Arial" w:cs="Arial" w:eastAsia="Arial" w:hAnsi="Arial"/>
          <w:sz w:val="16"/>
          <w:szCs w:val="16"/>
          <w:color w:val="212529"/>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w:t>
      </w:r>
      <w:r>
        <w:rPr>
          <w:rFonts w:ascii="Arial" w:cs="Arial" w:eastAsia="Arial" w:hAnsi="Arial"/>
          <w:sz w:val="16"/>
          <w:szCs w:val="16"/>
          <w:color w:val="000000"/>
        </w:rPr>
        <w:t>further significant</w:t>
      </w:r>
      <w:r>
        <w:rPr>
          <w:rFonts w:ascii="Arial" w:cs="Arial" w:eastAsia="Arial" w:hAnsi="Arial"/>
          <w:sz w:val="16"/>
          <w:szCs w:val="16"/>
          <w:color w:val="212529"/>
        </w:rPr>
        <w:t xml:space="preserve"> additional costs associated with resolving the dispute in other jurisdictions, </w:t>
      </w:r>
      <w:r>
        <w:rPr>
          <w:rFonts w:ascii="Arial" w:cs="Arial" w:eastAsia="Arial" w:hAnsi="Arial"/>
          <w:sz w:val="16"/>
          <w:szCs w:val="16"/>
          <w:color w:val="000000"/>
        </w:rPr>
        <w:t>all of</w:t>
      </w:r>
      <w:r>
        <w:rPr>
          <w:rFonts w:ascii="Arial" w:cs="Arial" w:eastAsia="Arial" w:hAnsi="Arial"/>
          <w:sz w:val="16"/>
          <w:szCs w:val="16"/>
          <w:color w:val="212529"/>
        </w:rPr>
        <w:t xml:space="preserve"> which could seriously harm our business.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12529"/>
        </w:rPr>
        <w:t>General Risk Factors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left="40" w:right="219" w:firstLine="324"/>
        <w:spacing w:after="0" w:line="254" w:lineRule="auto"/>
        <w:rPr>
          <w:sz w:val="20"/>
          <w:szCs w:val="20"/>
          <w:color w:val="auto"/>
        </w:rPr>
      </w:pPr>
      <w:r>
        <w:rPr>
          <w:rFonts w:ascii="Arial" w:cs="Arial" w:eastAsia="Arial" w:hAnsi="Arial"/>
          <w:sz w:val="18"/>
          <w:szCs w:val="18"/>
          <w:color w:val="auto"/>
        </w:rPr>
        <w:t>We have significant customer sales both in the United States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slowdowns in their business, serious financial difficulties or cease operations, including as a result of the COVID-19 pandemic, our business will be adversely affected. In addition, the adverse impact of an unfavorable economy may adversely impact consumer spending, which may adversely impact our customers’ spending and demand for our products.</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business may be adversely impacted by natural disasters and other catastrophic events.</w:t>
      </w:r>
    </w:p>
    <w:p>
      <w:pPr>
        <w:spacing w:after="0" w:line="225" w:lineRule="exact"/>
        <w:rPr>
          <w:sz w:val="20"/>
          <w:szCs w:val="20"/>
          <w:color w:val="auto"/>
        </w:rPr>
      </w:pPr>
    </w:p>
    <w:p>
      <w:pPr>
        <w:ind w:left="40" w:right="59" w:firstLine="324"/>
        <w:spacing w:after="0" w:line="269" w:lineRule="auto"/>
        <w:rPr>
          <w:sz w:val="20"/>
          <w:szCs w:val="20"/>
          <w:color w:val="auto"/>
        </w:rPr>
      </w:pPr>
      <w:r>
        <w:rPr>
          <w:rFonts w:ascii="Arial" w:cs="Arial" w:eastAsia="Arial" w:hAnsi="Arial"/>
          <w:sz w:val="17"/>
          <w:szCs w:val="17"/>
          <w:color w:val="auto"/>
        </w:rPr>
        <w:t>Our operations and business, and those of our manufacturing partners, customers, distributors or suppliers, can be disrupted by natural disasters; industrial accidents; public health issues, such as the COVID-19 pandemic;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4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Incorporation By Reference</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20" w:type="dxa"/>
            <w:vAlign w:val="bottom"/>
            <w:gridSpan w:val="29"/>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5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SEC File No.</w:t>
            </w:r>
          </w:p>
        </w:tc>
        <w:tc>
          <w:tcPr>
            <w:tcW w:w="1040" w:type="dxa"/>
            <w:vAlign w:val="bottom"/>
          </w:tcPr>
          <w:p>
            <w:pPr>
              <w:jc w:val="center"/>
              <w:ind w:left="54"/>
              <w:spacing w:after="0" w:line="119" w:lineRule="exact"/>
              <w:rPr>
                <w:sz w:val="20"/>
                <w:szCs w:val="20"/>
                <w:color w:val="auto"/>
              </w:rPr>
            </w:pPr>
            <w:r>
              <w:rPr>
                <w:rFonts w:ascii="Arial" w:cs="Arial" w:eastAsia="Arial" w:hAnsi="Arial"/>
                <w:sz w:val="13"/>
                <w:szCs w:val="13"/>
                <w:b w:val="1"/>
                <w:bCs w:val="1"/>
                <w:color w:val="auto"/>
              </w:rPr>
              <w:t>Exhibit/</w:t>
            </w:r>
          </w:p>
        </w:tc>
        <w:tc>
          <w:tcPr>
            <w:tcW w:w="14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9"/>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4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88"/>
              </w:rPr>
              <w:t>Reference</w:t>
            </w: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tcPr>
          <w:p>
            <w:pPr>
              <w:ind w:left="100"/>
              <w:spacing w:after="0" w:line="169" w:lineRule="exact"/>
              <w:rPr>
                <w:sz w:val="20"/>
                <w:szCs w:val="20"/>
                <w:color w:val="auto"/>
              </w:rPr>
            </w:pPr>
            <w:r>
              <w:rPr>
                <w:rFonts w:ascii="Arial" w:cs="Arial" w:eastAsia="Arial" w:hAnsi="Arial"/>
                <w:sz w:val="18"/>
                <w:szCs w:val="18"/>
                <w:color w:val="auto"/>
              </w:rPr>
              <w:t>3.1</w:t>
            </w:r>
          </w:p>
        </w:tc>
        <w:tc>
          <w:tcPr>
            <w:tcW w:w="2480" w:type="dxa"/>
            <w:vAlign w:val="bottom"/>
            <w:tcBorders>
              <w:bottom w:val="single" w:sz="8" w:color="0000EE"/>
            </w:tcBorders>
            <w:gridSpan w:val="30"/>
          </w:tcPr>
          <w:p>
            <w:pPr>
              <w:spacing w:after="0" w:line="169"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Amended and Restated Certificate</w:t>
              </w:r>
            </w:hyperlink>
          </w:p>
        </w:tc>
        <w:tc>
          <w:tcPr>
            <w:tcW w:w="260" w:type="dxa"/>
            <w:vAlign w:val="bottom"/>
            <w:gridSpan w:val="3"/>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line="169" w:lineRule="exact"/>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line="169" w:lineRule="exact"/>
              <w:rPr>
                <w:sz w:val="20"/>
                <w:szCs w:val="20"/>
                <w:color w:val="auto"/>
              </w:rPr>
            </w:pPr>
            <w:r>
              <w:rPr>
                <w:rFonts w:ascii="Arial" w:cs="Arial" w:eastAsia="Arial" w:hAnsi="Arial"/>
                <w:sz w:val="18"/>
                <w:szCs w:val="18"/>
                <w:color w:val="auto"/>
                <w:w w:val="95"/>
              </w:rPr>
              <w:t>3.1</w:t>
            </w:r>
          </w:p>
        </w:tc>
        <w:tc>
          <w:tcPr>
            <w:tcW w:w="1400" w:type="dxa"/>
            <w:vAlign w:val="bottom"/>
          </w:tcPr>
          <w:p>
            <w:pPr>
              <w:jc w:val="center"/>
              <w:ind w:left="212"/>
              <w:spacing w:after="0" w:line="169" w:lineRule="exact"/>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of Incorporation</w:t>
              </w:r>
            </w:hyperlink>
          </w:p>
        </w:tc>
        <w:tc>
          <w:tcPr>
            <w:tcW w:w="1560" w:type="dxa"/>
            <w:vAlign w:val="bottom"/>
            <w:gridSpan w:val="26"/>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ind w:left="100"/>
              <w:spacing w:after="0" w:line="196" w:lineRule="exact"/>
              <w:rPr>
                <w:sz w:val="20"/>
                <w:szCs w:val="20"/>
                <w:color w:val="auto"/>
              </w:rPr>
            </w:pPr>
            <w:r>
              <w:rPr>
                <w:rFonts w:ascii="Arial" w:cs="Arial" w:eastAsia="Arial" w:hAnsi="Arial"/>
                <w:sz w:val="18"/>
                <w:szCs w:val="18"/>
                <w:color w:val="auto"/>
              </w:rPr>
              <w:t>3.1.1</w:t>
            </w:r>
          </w:p>
        </w:tc>
        <w:tc>
          <w:tcPr>
            <w:tcW w:w="2740" w:type="dxa"/>
            <w:vAlign w:val="bottom"/>
            <w:gridSpan w:val="3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 xml:space="preserve">Amendment </w:t>
              </w:r>
              <w:r>
                <w:rPr>
                  <w:rFonts w:ascii="Arial" w:cs="Arial" w:eastAsia="Arial" w:hAnsi="Arial"/>
                  <w:sz w:val="18"/>
                  <w:szCs w:val="18"/>
                  <w:color w:val="0000EE"/>
                  <w:highlight w:val="white"/>
                </w:rPr>
                <w:t>to Amended and</w:t>
              </w:r>
            </w:hyperlink>
          </w:p>
        </w:tc>
        <w:tc>
          <w:tcPr>
            <w:tcW w:w="22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line="196" w:lineRule="exact"/>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line="196" w:lineRule="exact"/>
              <w:rPr>
                <w:sz w:val="20"/>
                <w:szCs w:val="20"/>
                <w:color w:val="auto"/>
              </w:rPr>
            </w:pPr>
            <w:r>
              <w:rPr>
                <w:rFonts w:ascii="Arial" w:cs="Arial" w:eastAsia="Arial" w:hAnsi="Arial"/>
                <w:sz w:val="18"/>
                <w:szCs w:val="18"/>
                <w:color w:val="auto"/>
                <w:w w:val="95"/>
              </w:rPr>
              <w:t>3.1</w:t>
            </w:r>
          </w:p>
        </w:tc>
        <w:tc>
          <w:tcPr>
            <w:tcW w:w="1400" w:type="dxa"/>
            <w:vAlign w:val="bottom"/>
          </w:tcPr>
          <w:p>
            <w:pPr>
              <w:jc w:val="center"/>
              <w:ind w:left="212"/>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Restated Certificate of</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Incorporation</w:t>
              </w:r>
            </w:hyperlink>
          </w:p>
        </w:tc>
        <w:tc>
          <w:tcPr>
            <w:tcW w:w="112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3.1.2</w:t>
            </w:r>
          </w:p>
        </w:tc>
        <w:tc>
          <w:tcPr>
            <w:tcW w:w="2740" w:type="dxa"/>
            <w:vAlign w:val="bottom"/>
            <w:gridSpan w:val="33"/>
          </w:tcPr>
          <w:p>
            <w:pPr>
              <w:spacing w:after="0"/>
              <w:rPr>
                <w:rFonts w:ascii="Arial" w:cs="Arial" w:eastAsia="Arial" w:hAnsi="Arial"/>
                <w:sz w:val="18"/>
                <w:szCs w:val="18"/>
                <w:color w:val="0000EE"/>
              </w:rPr>
            </w:pPr>
            <w:hyperlink r:id="rId71">
              <w:r>
                <w:rPr>
                  <w:rFonts w:ascii="Arial" w:cs="Arial" w:eastAsia="Arial" w:hAnsi="Arial"/>
                  <w:sz w:val="18"/>
                  <w:szCs w:val="18"/>
                  <w:color w:val="0000EE"/>
                </w:rPr>
                <w:t>Amendment to Amended and</w:t>
              </w:r>
            </w:hyperlink>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5"/>
              </w:rPr>
              <w:t>3.1</w:t>
            </w:r>
          </w:p>
        </w:tc>
        <w:tc>
          <w:tcPr>
            <w:tcW w:w="1400" w:type="dxa"/>
            <w:vAlign w:val="bottom"/>
          </w:tcPr>
          <w:p>
            <w:pPr>
              <w:jc w:val="center"/>
              <w:ind w:left="212"/>
              <w:spacing w:after="0"/>
              <w:rPr>
                <w:sz w:val="20"/>
                <w:szCs w:val="20"/>
                <w:color w:val="auto"/>
              </w:rPr>
            </w:pPr>
            <w:r>
              <w:rPr>
                <w:rFonts w:ascii="Arial" w:cs="Arial" w:eastAsia="Arial" w:hAnsi="Arial"/>
                <w:sz w:val="18"/>
                <w:szCs w:val="18"/>
                <w:color w:val="auto"/>
                <w:w w:val="92"/>
              </w:rPr>
              <w:t>5/27/2020</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Restated Certificate of</w:t>
              </w:r>
            </w:hyperlink>
          </w:p>
        </w:tc>
        <w:tc>
          <w:tcPr>
            <w:tcW w:w="620" w:type="dxa"/>
            <w:vAlign w:val="bottom"/>
            <w:gridSpan w:val="17"/>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Incorporation</w:t>
              </w:r>
            </w:hyperlink>
          </w:p>
        </w:tc>
        <w:tc>
          <w:tcPr>
            <w:tcW w:w="1120" w:type="dxa"/>
            <w:vAlign w:val="bottom"/>
            <w:gridSpan w:val="24"/>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ind w:left="100"/>
              <w:spacing w:after="0" w:line="196" w:lineRule="exact"/>
              <w:rPr>
                <w:sz w:val="20"/>
                <w:szCs w:val="20"/>
                <w:color w:val="auto"/>
              </w:rPr>
            </w:pPr>
            <w:r>
              <w:rPr>
                <w:rFonts w:ascii="Arial" w:cs="Arial" w:eastAsia="Arial" w:hAnsi="Arial"/>
                <w:sz w:val="18"/>
                <w:szCs w:val="18"/>
                <w:color w:val="auto"/>
              </w:rPr>
              <w:t>3.2</w:t>
            </w:r>
          </w:p>
        </w:tc>
        <w:tc>
          <w:tcPr>
            <w:tcW w:w="226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Amended and Restated Bylaws</w:t>
              </w:r>
            </w:hyperlink>
          </w:p>
        </w:tc>
        <w:tc>
          <w:tcPr>
            <w:tcW w:w="48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line="196" w:lineRule="exact"/>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line="196" w:lineRule="exact"/>
              <w:rPr>
                <w:sz w:val="20"/>
                <w:szCs w:val="20"/>
                <w:color w:val="auto"/>
              </w:rPr>
            </w:pPr>
            <w:r>
              <w:rPr>
                <w:rFonts w:ascii="Arial" w:cs="Arial" w:eastAsia="Arial" w:hAnsi="Arial"/>
                <w:sz w:val="18"/>
                <w:szCs w:val="18"/>
                <w:color w:val="auto"/>
                <w:w w:val="95"/>
              </w:rPr>
              <w:t>3.2</w:t>
            </w:r>
          </w:p>
        </w:tc>
        <w:tc>
          <w:tcPr>
            <w:tcW w:w="1400" w:type="dxa"/>
            <w:vAlign w:val="bottom"/>
          </w:tcPr>
          <w:p>
            <w:pPr>
              <w:jc w:val="center"/>
              <w:ind w:left="212"/>
              <w:spacing w:after="0" w:line="196" w:lineRule="exact"/>
              <w:rPr>
                <w:sz w:val="20"/>
                <w:szCs w:val="20"/>
                <w:color w:val="auto"/>
              </w:rPr>
            </w:pPr>
            <w:r>
              <w:rPr>
                <w:rFonts w:ascii="Arial" w:cs="Arial" w:eastAsia="Arial" w:hAnsi="Arial"/>
                <w:sz w:val="18"/>
                <w:szCs w:val="18"/>
                <w:color w:val="auto"/>
                <w:w w:val="92"/>
              </w:rPr>
              <w:t>5/22/2019</w:t>
            </w: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10.1</w:t>
            </w:r>
          </w:p>
        </w:tc>
        <w:tc>
          <w:tcPr>
            <w:tcW w:w="254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Separation Agreement, dated April</w:t>
              </w:r>
            </w:hyperlink>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500" w:type="dxa"/>
            <w:vAlign w:val="bottom"/>
          </w:tcPr>
          <w:p>
            <w:pPr>
              <w:ind w:left="440"/>
              <w:spacing w:after="0"/>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1"/>
              </w:rPr>
              <w:t>10.1</w:t>
            </w:r>
          </w:p>
        </w:tc>
        <w:tc>
          <w:tcPr>
            <w:tcW w:w="1400" w:type="dxa"/>
            <w:vAlign w:val="bottom"/>
          </w:tcPr>
          <w:p>
            <w:pPr>
              <w:jc w:val="center"/>
              <w:ind w:left="192"/>
              <w:spacing w:after="0"/>
              <w:rPr>
                <w:sz w:val="20"/>
                <w:szCs w:val="20"/>
                <w:color w:val="auto"/>
              </w:rPr>
            </w:pPr>
            <w:r>
              <w:rPr>
                <w:rFonts w:ascii="Arial" w:cs="Arial" w:eastAsia="Arial" w:hAnsi="Arial"/>
                <w:sz w:val="18"/>
                <w:szCs w:val="18"/>
                <w:color w:val="auto"/>
                <w:w w:val="91"/>
              </w:rPr>
              <w:t>5/7/2021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7, 2021, by and between the</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4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registrant and Daniel Berenbaum</w:t>
              </w:r>
            </w:hyperlink>
          </w:p>
        </w:tc>
        <w:tc>
          <w:tcPr>
            <w:tcW w:w="340" w:type="dxa"/>
            <w:vAlign w:val="bottom"/>
            <w:gridSpan w:val="6"/>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10.2</w:t>
            </w:r>
          </w:p>
        </w:tc>
        <w:tc>
          <w:tcPr>
            <w:tcW w:w="2420" w:type="dxa"/>
            <w:vAlign w:val="bottom"/>
            <w:tcBorders>
              <w:bottom w:val="single" w:sz="8" w:color="0000EE"/>
            </w:tcBorders>
            <w:gridSpan w:val="28"/>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First Amendment to the Everspin</w:t>
              </w:r>
            </w:hyperlink>
          </w:p>
        </w:tc>
        <w:tc>
          <w:tcPr>
            <w:tcW w:w="3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1"/>
              </w:rPr>
              <w:t>10.1</w:t>
            </w:r>
          </w:p>
        </w:tc>
        <w:tc>
          <w:tcPr>
            <w:tcW w:w="1400" w:type="dxa"/>
            <w:vAlign w:val="bottom"/>
          </w:tcPr>
          <w:p>
            <w:pPr>
              <w:jc w:val="center"/>
              <w:ind w:left="212"/>
              <w:spacing w:after="0"/>
              <w:rPr>
                <w:sz w:val="20"/>
                <w:szCs w:val="20"/>
                <w:color w:val="auto"/>
              </w:rPr>
            </w:pPr>
            <w:r>
              <w:rPr>
                <w:rFonts w:ascii="Arial" w:cs="Arial" w:eastAsia="Arial" w:hAnsi="Arial"/>
                <w:sz w:val="18"/>
                <w:szCs w:val="18"/>
                <w:color w:val="auto"/>
                <w:w w:val="92"/>
              </w:rPr>
              <w:t>5/25/2021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38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Technologies, Inc. Amended and</w:t>
              </w:r>
            </w:hyperlink>
          </w:p>
        </w:tc>
        <w:tc>
          <w:tcPr>
            <w:tcW w:w="36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Restated 2016 Equity Incentive</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2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Plan</w:t>
              </w:r>
            </w:hyperlink>
          </w:p>
        </w:tc>
        <w:tc>
          <w:tcPr>
            <w:tcW w:w="480" w:type="dxa"/>
            <w:vAlign w:val="bottom"/>
            <w:gridSpan w:val="11"/>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10.3</w:t>
            </w:r>
          </w:p>
        </w:tc>
        <w:tc>
          <w:tcPr>
            <w:tcW w:w="1700" w:type="dxa"/>
            <w:vAlign w:val="bottom"/>
            <w:tcBorders>
              <w:bottom w:val="single" w:sz="8" w:color="0000EE"/>
            </w:tcBorders>
            <w:gridSpan w:val="10"/>
          </w:tcPr>
          <w:p>
            <w:pPr>
              <w:spacing w:after="0"/>
              <w:rPr>
                <w:rFonts w:ascii="Arial" w:cs="Arial" w:eastAsia="Arial" w:hAnsi="Arial"/>
                <w:sz w:val="18"/>
                <w:szCs w:val="18"/>
                <w:color w:val="0000EE"/>
                <w:w w:val="91"/>
              </w:rPr>
            </w:pPr>
            <w:hyperlink r:id="rId74">
              <w:r>
                <w:rPr>
                  <w:rFonts w:ascii="Arial" w:cs="Arial" w:eastAsia="Arial" w:hAnsi="Arial"/>
                  <w:sz w:val="18"/>
                  <w:szCs w:val="18"/>
                  <w:color w:val="0000EE"/>
                  <w:w w:val="91"/>
                </w:rPr>
                <w:t>Executive Employment</w:t>
              </w:r>
            </w:hyperlink>
          </w:p>
        </w:tc>
        <w:tc>
          <w:tcPr>
            <w:tcW w:w="1040" w:type="dxa"/>
            <w:vAlign w:val="bottom"/>
            <w:gridSpan w:val="23"/>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1"/>
              </w:rPr>
              <w:t>10.1</w:t>
            </w:r>
          </w:p>
        </w:tc>
        <w:tc>
          <w:tcPr>
            <w:tcW w:w="1400" w:type="dxa"/>
            <w:vAlign w:val="bottom"/>
          </w:tcPr>
          <w:p>
            <w:pPr>
              <w:jc w:val="center"/>
              <w:ind w:left="212"/>
              <w:spacing w:after="0"/>
              <w:rPr>
                <w:sz w:val="20"/>
                <w:szCs w:val="20"/>
                <w:color w:val="auto"/>
              </w:rPr>
            </w:pPr>
            <w:r>
              <w:rPr>
                <w:rFonts w:ascii="Arial" w:cs="Arial" w:eastAsia="Arial" w:hAnsi="Arial"/>
                <w:sz w:val="18"/>
                <w:szCs w:val="18"/>
                <w:color w:val="auto"/>
                <w:w w:val="92"/>
              </w:rPr>
              <w:t>7/22/2021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52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Agreement, effective as of April 3,</w:t>
              </w:r>
            </w:hyperlink>
          </w:p>
        </w:tc>
        <w:tc>
          <w:tcPr>
            <w:tcW w:w="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2021, between Everspin</w:t>
              </w:r>
            </w:hyperlink>
          </w:p>
        </w:tc>
        <w:tc>
          <w:tcPr>
            <w:tcW w:w="98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Technologies, Inc. and Sanjeev</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Aggarwal</w:t>
              </w:r>
            </w:hyperlink>
          </w:p>
        </w:tc>
        <w:tc>
          <w:tcPr>
            <w:tcW w:w="1520" w:type="dxa"/>
            <w:vAlign w:val="bottom"/>
            <w:tcBorders>
              <w:top w:val="single" w:sz="8" w:color="0000EE"/>
            </w:tcBorders>
            <w:gridSpan w:val="17"/>
          </w:tcPr>
          <w:p>
            <w:pPr>
              <w:spacing w:after="0"/>
              <w:rPr>
                <w:sz w:val="17"/>
                <w:szCs w:val="17"/>
                <w:color w:val="auto"/>
              </w:rPr>
            </w:pPr>
          </w:p>
        </w:tc>
        <w:tc>
          <w:tcPr>
            <w:tcW w:w="5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10.4</w:t>
            </w:r>
          </w:p>
        </w:tc>
        <w:tc>
          <w:tcPr>
            <w:tcW w:w="1700" w:type="dxa"/>
            <w:vAlign w:val="bottom"/>
            <w:tcBorders>
              <w:bottom w:val="single" w:sz="8" w:color="0000EE"/>
            </w:tcBorders>
            <w:gridSpan w:val="10"/>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Executive Employment</w:t>
              </w:r>
            </w:hyperlink>
          </w:p>
        </w:tc>
        <w:tc>
          <w:tcPr>
            <w:tcW w:w="1040" w:type="dxa"/>
            <w:vAlign w:val="bottom"/>
            <w:gridSpan w:val="23"/>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500" w:type="dxa"/>
            <w:vAlign w:val="bottom"/>
          </w:tcPr>
          <w:p>
            <w:pPr>
              <w:ind w:left="440"/>
              <w:spacing w:after="0"/>
              <w:rPr>
                <w:sz w:val="20"/>
                <w:szCs w:val="20"/>
                <w:color w:val="auto"/>
              </w:rPr>
            </w:pPr>
            <w:r>
              <w:rPr>
                <w:rFonts w:ascii="Arial" w:cs="Arial" w:eastAsia="Arial" w:hAnsi="Arial"/>
                <w:sz w:val="18"/>
                <w:szCs w:val="18"/>
                <w:color w:val="auto"/>
              </w:rPr>
              <w:t>001-37900</w:t>
            </w:r>
          </w:p>
        </w:tc>
        <w:tc>
          <w:tcPr>
            <w:tcW w:w="1040" w:type="dxa"/>
            <w:vAlign w:val="bottom"/>
          </w:tcPr>
          <w:p>
            <w:pPr>
              <w:jc w:val="center"/>
              <w:ind w:left="74"/>
              <w:spacing w:after="0"/>
              <w:rPr>
                <w:sz w:val="20"/>
                <w:szCs w:val="20"/>
                <w:color w:val="auto"/>
              </w:rPr>
            </w:pPr>
            <w:r>
              <w:rPr>
                <w:rFonts w:ascii="Arial" w:cs="Arial" w:eastAsia="Arial" w:hAnsi="Arial"/>
                <w:sz w:val="18"/>
                <w:szCs w:val="18"/>
                <w:color w:val="auto"/>
                <w:w w:val="91"/>
              </w:rPr>
              <w:t>10.2</w:t>
            </w:r>
          </w:p>
        </w:tc>
        <w:tc>
          <w:tcPr>
            <w:tcW w:w="1400" w:type="dxa"/>
            <w:vAlign w:val="bottom"/>
          </w:tcPr>
          <w:p>
            <w:pPr>
              <w:jc w:val="center"/>
              <w:ind w:left="212"/>
              <w:spacing w:after="0"/>
              <w:rPr>
                <w:sz w:val="20"/>
                <w:szCs w:val="20"/>
                <w:color w:val="auto"/>
              </w:rPr>
            </w:pPr>
            <w:r>
              <w:rPr>
                <w:rFonts w:ascii="Arial" w:cs="Arial" w:eastAsia="Arial" w:hAnsi="Arial"/>
                <w:sz w:val="18"/>
                <w:szCs w:val="18"/>
                <w:color w:val="auto"/>
                <w:w w:val="92"/>
              </w:rPr>
              <w:t>7/22/2021</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44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Agreement, effective as of July 2,</w:t>
              </w:r>
            </w:hyperlink>
          </w:p>
        </w:tc>
        <w:tc>
          <w:tcPr>
            <w:tcW w:w="3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2021, between Everspin</w:t>
              </w:r>
            </w:hyperlink>
          </w:p>
        </w:tc>
        <w:tc>
          <w:tcPr>
            <w:tcW w:w="980" w:type="dxa"/>
            <w:vAlign w:val="bottom"/>
            <w:gridSpan w:val="21"/>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0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Technologies, Inc. and Anuj</w:t>
              </w:r>
            </w:hyperlink>
          </w:p>
        </w:tc>
        <w:tc>
          <w:tcPr>
            <w:tcW w:w="700" w:type="dxa"/>
            <w:vAlign w:val="bottom"/>
            <w:gridSpan w:val="18"/>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75">
              <w:r>
                <w:rPr>
                  <w:rFonts w:ascii="Arial" w:cs="Arial" w:eastAsia="Arial" w:hAnsi="Arial"/>
                  <w:sz w:val="18"/>
                  <w:szCs w:val="18"/>
                  <w:color w:val="0000EE"/>
                  <w:w w:val="93"/>
                </w:rPr>
                <w:t>Aggarwal</w:t>
              </w:r>
            </w:hyperlink>
          </w:p>
        </w:tc>
        <w:tc>
          <w:tcPr>
            <w:tcW w:w="2020" w:type="dxa"/>
            <w:vAlign w:val="bottom"/>
            <w:gridSpan w:val="29"/>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10.5*</w:t>
            </w:r>
          </w:p>
        </w:tc>
        <w:tc>
          <w:tcPr>
            <w:tcW w:w="240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Second Amendment to Amended</w:t>
              </w:r>
            </w:hyperlink>
          </w:p>
        </w:tc>
        <w:tc>
          <w:tcPr>
            <w:tcW w:w="34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3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and Restated Loan and Security</w:t>
              </w:r>
            </w:hyperlink>
          </w:p>
        </w:tc>
        <w:tc>
          <w:tcPr>
            <w:tcW w:w="440" w:type="dxa"/>
            <w:vAlign w:val="bottom"/>
            <w:gridSpan w:val="9"/>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Agreement, dated as of July 28,</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2021, between the Company and</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3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Silicon Valley Bank</w:t>
              </w:r>
            </w:hyperlink>
          </w:p>
        </w:tc>
        <w:tc>
          <w:tcPr>
            <w:tcW w:w="380" w:type="dxa"/>
            <w:vAlign w:val="bottom"/>
            <w:gridSpan w:val="8"/>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31.1*</w:t>
            </w:r>
          </w:p>
        </w:tc>
        <w:tc>
          <w:tcPr>
            <w:tcW w:w="2740" w:type="dxa"/>
            <w:vAlign w:val="bottom"/>
            <w:gridSpan w:val="33"/>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Certification of Principal</w:t>
              </w:r>
            </w:hyperlink>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Officer Pursuant to</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22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Rules 13a-14(a) and 15d-14(a)</w:t>
              </w:r>
            </w:hyperlink>
          </w:p>
        </w:tc>
        <w:tc>
          <w:tcPr>
            <w:tcW w:w="520" w:type="dxa"/>
            <w:vAlign w:val="bottom"/>
            <w:gridSpan w:val="13"/>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17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under the Exchange Act</w:t>
              </w:r>
            </w:hyperlink>
          </w:p>
        </w:tc>
        <w:tc>
          <w:tcPr>
            <w:tcW w:w="1000" w:type="dxa"/>
            <w:vAlign w:val="bottom"/>
            <w:gridSpan w:val="22"/>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20" w:type="dxa"/>
            <w:vAlign w:val="bottom"/>
          </w:tcPr>
          <w:p>
            <w:pPr>
              <w:ind w:left="100"/>
              <w:spacing w:after="0"/>
              <w:rPr>
                <w:sz w:val="20"/>
                <w:szCs w:val="20"/>
                <w:color w:val="auto"/>
              </w:rPr>
            </w:pPr>
            <w:r>
              <w:rPr>
                <w:rFonts w:ascii="Arial" w:cs="Arial" w:eastAsia="Arial" w:hAnsi="Arial"/>
                <w:sz w:val="18"/>
                <w:szCs w:val="18"/>
                <w:color w:val="auto"/>
              </w:rPr>
              <w:t>31.2*</w:t>
            </w:r>
          </w:p>
        </w:tc>
        <w:tc>
          <w:tcPr>
            <w:tcW w:w="252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64">
              <w:r>
                <w:rPr>
                  <w:rFonts w:ascii="Arial" w:cs="Arial" w:eastAsia="Arial" w:hAnsi="Arial"/>
                  <w:sz w:val="18"/>
                  <w:szCs w:val="18"/>
                  <w:color w:val="0000EE"/>
                  <w:w w:val="93"/>
                </w:rPr>
                <w:t>Certification of Principal Financial</w:t>
              </w:r>
            </w:hyperlink>
          </w:p>
        </w:tc>
        <w:tc>
          <w:tcPr>
            <w:tcW w:w="2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2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Officer Pursuant to Rules 13a-</w:t>
              </w:r>
            </w:hyperlink>
          </w:p>
        </w:tc>
        <w:tc>
          <w:tcPr>
            <w:tcW w:w="540" w:type="dxa"/>
            <w:vAlign w:val="bottom"/>
            <w:gridSpan w:val="14"/>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740" w:type="dxa"/>
            <w:vAlign w:val="bottom"/>
            <w:gridSpan w:val="3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14(a) and 15d-14(a) under the</w:t>
              </w:r>
            </w:hyperlink>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Exchange Act</w:t>
              </w:r>
            </w:hyperlink>
          </w:p>
        </w:tc>
        <w:tc>
          <w:tcPr>
            <w:tcW w:w="580" w:type="dxa"/>
            <w:vAlign w:val="bottom"/>
            <w:gridSpan w:val="15"/>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4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49</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Arial" w:cs="Arial" w:eastAsia="Arial" w:hAnsi="Arial"/>
                <w:sz w:val="18"/>
                <w:szCs w:val="18"/>
                <w:color w:val="auto"/>
              </w:rPr>
              <w:t>32.1**</w:t>
            </w:r>
          </w:p>
        </w:tc>
        <w:tc>
          <w:tcPr>
            <w:tcW w:w="252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Certification of Principal</w:t>
              </w:r>
            </w:hyperlink>
          </w:p>
        </w:tc>
      </w:tr>
      <w:tr>
        <w:trPr>
          <w:trHeight w:val="20"/>
        </w:trPr>
        <w:tc>
          <w:tcPr>
            <w:tcW w:w="13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52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Officer and Principal</w:t>
              </w:r>
            </w:hyperlink>
          </w:p>
        </w:tc>
      </w:tr>
      <w:tr>
        <w:trPr>
          <w:trHeight w:val="20"/>
        </w:trPr>
        <w:tc>
          <w:tcPr>
            <w:tcW w:w="132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65">
              <w:r>
                <w:rPr>
                  <w:rFonts w:ascii="Arial" w:cs="Arial" w:eastAsia="Arial" w:hAnsi="Arial"/>
                  <w:sz w:val="18"/>
                  <w:szCs w:val="18"/>
                  <w:color w:val="0000EE"/>
                  <w:w w:val="91"/>
                </w:rPr>
                <w:t>Financial Officer Pursuant to 18</w:t>
              </w:r>
            </w:hyperlink>
          </w:p>
        </w:tc>
        <w:tc>
          <w:tcPr>
            <w:tcW w:w="200" w:type="dxa"/>
            <w:vAlign w:val="bottom"/>
            <w:gridSpan w:val="2"/>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520" w:type="dxa"/>
            <w:vAlign w:val="bottom"/>
            <w:gridSpan w:val="7"/>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U.S.C. Section 1350, as Adopted</w:t>
              </w:r>
            </w:hyperlink>
          </w:p>
        </w:tc>
      </w:tr>
      <w:tr>
        <w:trPr>
          <w:trHeight w:val="196"/>
        </w:trPr>
        <w:tc>
          <w:tcPr>
            <w:tcW w:w="13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Pursuant to Section 906 of the</w:t>
              </w:r>
            </w:hyperlink>
          </w:p>
        </w:tc>
        <w:tc>
          <w:tcPr>
            <w:tcW w:w="200" w:type="dxa"/>
            <w:vAlign w:val="bottom"/>
            <w:tcBorders>
              <w:top w:val="single" w:sz="8" w:color="0000EE"/>
            </w:tcBorders>
            <w:gridSpan w:val="3"/>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132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Sarbanes-Oxley Act of 2002</w:t>
              </w:r>
            </w:hyperlink>
          </w:p>
        </w:tc>
        <w:tc>
          <w:tcPr>
            <w:tcW w:w="460" w:type="dxa"/>
            <w:vAlign w:val="bottom"/>
            <w:gridSpan w:val="5"/>
          </w:tcPr>
          <w:p>
            <w:pPr>
              <w:spacing w:after="0"/>
              <w:rPr>
                <w:sz w:val="17"/>
                <w:szCs w:val="17"/>
                <w:color w:val="auto"/>
              </w:rPr>
            </w:pPr>
          </w:p>
        </w:tc>
      </w:tr>
      <w:tr>
        <w:trPr>
          <w:trHeight w:val="222"/>
        </w:trPr>
        <w:tc>
          <w:tcPr>
            <w:tcW w:w="1320" w:type="dxa"/>
            <w:vAlign w:val="bottom"/>
          </w:tcPr>
          <w:p>
            <w:pPr>
              <w:spacing w:after="0"/>
              <w:rPr>
                <w:sz w:val="20"/>
                <w:szCs w:val="20"/>
                <w:color w:val="auto"/>
              </w:rPr>
            </w:pPr>
            <w:r>
              <w:rPr>
                <w:rFonts w:ascii="Arial" w:cs="Arial" w:eastAsia="Arial" w:hAnsi="Arial"/>
                <w:sz w:val="18"/>
                <w:szCs w:val="18"/>
                <w:color w:val="auto"/>
              </w:rPr>
              <w:t>101.INS*</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Instance Document -</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w w:val="97"/>
              </w:rPr>
              <w:t>the instance document does not</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w w:val="92"/>
              </w:rPr>
              <w:t>appear in the Interactive Data File</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because its XBRL tags are</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embedded within the Inline XBRL</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101.SCH*</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Taxonomy Extension</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Schema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101.CAL*</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Taxonomy Extension</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w w:val="98"/>
              </w:rPr>
              <w:t>Calculation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101.DEF*</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Taxonomy Extension</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Definition Linkbase Document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101.LAB*</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Taxonomy Extension</w:t>
            </w:r>
          </w:p>
        </w:tc>
      </w:tr>
      <w:tr>
        <w:trPr>
          <w:trHeight w:val="230"/>
        </w:trPr>
        <w:tc>
          <w:tcPr>
            <w:tcW w:w="132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Label Linkbase Document</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101.PRE*</w:t>
            </w:r>
          </w:p>
        </w:tc>
        <w:tc>
          <w:tcPr>
            <w:tcW w:w="2520" w:type="dxa"/>
            <w:vAlign w:val="bottom"/>
            <w:gridSpan w:val="7"/>
          </w:tcPr>
          <w:p>
            <w:pPr>
              <w:spacing w:after="0"/>
              <w:rPr>
                <w:sz w:val="20"/>
                <w:szCs w:val="20"/>
                <w:color w:val="auto"/>
              </w:rPr>
            </w:pPr>
            <w:r>
              <w:rPr>
                <w:rFonts w:ascii="Arial" w:cs="Arial" w:eastAsia="Arial" w:hAnsi="Arial"/>
                <w:sz w:val="18"/>
                <w:szCs w:val="18"/>
                <w:color w:val="auto"/>
                <w:w w:val="93"/>
              </w:rPr>
              <w:t>Inline XBRL Taxonomy Extension</w:t>
            </w:r>
          </w:p>
        </w:tc>
      </w:tr>
      <w:tr>
        <w:trPr>
          <w:trHeight w:val="230"/>
        </w:trPr>
        <w:tc>
          <w:tcPr>
            <w:tcW w:w="132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w w:val="94"/>
              </w:rPr>
              <w:t>Presentation Linkbase Document</w:t>
            </w:r>
          </w:p>
        </w:tc>
      </w:tr>
      <w:tr>
        <w:trPr>
          <w:trHeight w:val="418"/>
        </w:trPr>
        <w:tc>
          <w:tcPr>
            <w:tcW w:w="1320" w:type="dxa"/>
            <w:vAlign w:val="bottom"/>
          </w:tcPr>
          <w:p>
            <w:pPr>
              <w:spacing w:after="0"/>
              <w:rPr>
                <w:sz w:val="20"/>
                <w:szCs w:val="20"/>
                <w:color w:val="auto"/>
              </w:rPr>
            </w:pPr>
            <w:r>
              <w:rPr>
                <w:rFonts w:ascii="Arial" w:cs="Arial" w:eastAsia="Arial" w:hAnsi="Arial"/>
                <w:sz w:val="18"/>
                <w:szCs w:val="18"/>
                <w:color w:val="auto"/>
              </w:rPr>
              <w:t>104*</w:t>
            </w:r>
          </w:p>
        </w:tc>
        <w:tc>
          <w:tcPr>
            <w:tcW w:w="2520" w:type="dxa"/>
            <w:vAlign w:val="bottom"/>
            <w:gridSpan w:val="7"/>
          </w:tcPr>
          <w:p>
            <w:pPr>
              <w:spacing w:after="0"/>
              <w:rPr>
                <w:sz w:val="20"/>
                <w:szCs w:val="20"/>
                <w:color w:val="auto"/>
              </w:rPr>
            </w:pPr>
            <w:r>
              <w:rPr>
                <w:rFonts w:ascii="Arial" w:cs="Arial" w:eastAsia="Arial" w:hAnsi="Arial"/>
                <w:sz w:val="18"/>
                <w:szCs w:val="18"/>
                <w:color w:val="auto"/>
                <w:w w:val="96"/>
              </w:rPr>
              <w:t>Cover Page Interactive Data File</w:t>
            </w:r>
          </w:p>
        </w:tc>
      </w:tr>
      <w:tr>
        <w:trPr>
          <w:trHeight w:val="216"/>
        </w:trPr>
        <w:tc>
          <w:tcPr>
            <w:tcW w:w="1320" w:type="dxa"/>
            <w:vAlign w:val="bottom"/>
          </w:tcPr>
          <w:p>
            <w:pPr>
              <w:spacing w:after="0"/>
              <w:rPr>
                <w:sz w:val="18"/>
                <w:szCs w:val="18"/>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(formatted as Inline XBRL and</w:t>
            </w:r>
          </w:p>
        </w:tc>
      </w:tr>
      <w:tr>
        <w:trPr>
          <w:trHeight w:val="230"/>
        </w:trPr>
        <w:tc>
          <w:tcPr>
            <w:tcW w:w="1320" w:type="dxa"/>
            <w:vAlign w:val="bottom"/>
          </w:tcPr>
          <w:p>
            <w:pPr>
              <w:spacing w:after="0"/>
              <w:rPr>
                <w:sz w:val="20"/>
                <w:szCs w:val="20"/>
                <w:color w:val="auto"/>
              </w:rPr>
            </w:pPr>
          </w:p>
        </w:tc>
        <w:tc>
          <w:tcPr>
            <w:tcW w:w="2520" w:type="dxa"/>
            <w:vAlign w:val="bottom"/>
            <w:gridSpan w:val="7"/>
          </w:tcPr>
          <w:p>
            <w:pPr>
              <w:spacing w:after="0"/>
              <w:rPr>
                <w:sz w:val="20"/>
                <w:szCs w:val="20"/>
                <w:color w:val="auto"/>
              </w:rPr>
            </w:pPr>
            <w:r>
              <w:rPr>
                <w:rFonts w:ascii="Arial" w:cs="Arial" w:eastAsia="Arial" w:hAnsi="Arial"/>
                <w:sz w:val="18"/>
                <w:szCs w:val="18"/>
                <w:color w:val="auto"/>
              </w:rPr>
              <w:t>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2" w:lineRule="exact"/>
        <w:rPr>
          <w:sz w:val="20"/>
          <w:szCs w:val="20"/>
          <w:color w:val="auto"/>
        </w:rPr>
      </w:pPr>
    </w:p>
    <w:p>
      <w:pPr>
        <w:ind w:left="360" w:hanging="316"/>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60" w:right="99" w:hanging="316"/>
        <w:spacing w:after="0" w:line="253" w:lineRule="auto"/>
        <w:tabs>
          <w:tab w:leader="none" w:pos="3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31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5920" w:type="dxa"/>
            <w:vAlign w:val="bottom"/>
            <w:gridSpan w:val="2"/>
          </w:tcPr>
          <w:p>
            <w:pPr>
              <w:ind w:left="212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Date: August 12, 2021</w:t>
            </w:r>
          </w:p>
        </w:tc>
        <w:tc>
          <w:tcPr>
            <w:tcW w:w="5920" w:type="dxa"/>
            <w:vAlign w:val="bottom"/>
            <w:gridSpan w:val="2"/>
          </w:tcPr>
          <w:p>
            <w:pPr>
              <w:ind w:left="2120"/>
              <w:spacing w:after="0"/>
              <w:rPr>
                <w:sz w:val="20"/>
                <w:szCs w:val="20"/>
                <w:color w:val="auto"/>
              </w:rPr>
            </w:pPr>
            <w:r>
              <w:rPr>
                <w:rFonts w:ascii="Arial" w:cs="Arial" w:eastAsia="Arial" w:hAnsi="Arial"/>
                <w:sz w:val="18"/>
                <w:szCs w:val="18"/>
                <w:color w:val="auto"/>
              </w:rPr>
              <w:t>By:/s/ Darin Billerbeck</w:t>
            </w:r>
          </w:p>
        </w:tc>
      </w:tr>
      <w:tr>
        <w:trPr>
          <w:trHeight w:val="195"/>
        </w:trPr>
        <w:tc>
          <w:tcPr>
            <w:tcW w:w="3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Darin Billerbeck</w:t>
            </w:r>
          </w:p>
        </w:tc>
      </w:tr>
      <w:tr>
        <w:trPr>
          <w:trHeight w:val="216"/>
        </w:trPr>
        <w:tc>
          <w:tcPr>
            <w:tcW w:w="3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000" w:type="dxa"/>
            <w:vAlign w:val="bottom"/>
          </w:tcPr>
          <w:p>
            <w:pPr>
              <w:spacing w:after="0"/>
              <w:rPr>
                <w:sz w:val="20"/>
                <w:szCs w:val="20"/>
                <w:color w:val="auto"/>
              </w:rPr>
            </w:pPr>
            <w:r>
              <w:rPr>
                <w:rFonts w:ascii="Arial" w:cs="Arial" w:eastAsia="Arial" w:hAnsi="Arial"/>
                <w:sz w:val="18"/>
                <w:szCs w:val="18"/>
                <w:color w:val="auto"/>
              </w:rPr>
              <w:t>Date: August 12, 2021</w:t>
            </w:r>
          </w:p>
        </w:tc>
        <w:tc>
          <w:tcPr>
            <w:tcW w:w="5920" w:type="dxa"/>
            <w:vAlign w:val="bottom"/>
            <w:gridSpan w:val="2"/>
          </w:tcPr>
          <w:p>
            <w:pPr>
              <w:ind w:left="2120"/>
              <w:spacing w:after="0"/>
              <w:rPr>
                <w:sz w:val="20"/>
                <w:szCs w:val="20"/>
                <w:color w:val="auto"/>
              </w:rPr>
            </w:pPr>
            <w:r>
              <w:rPr>
                <w:rFonts w:ascii="Arial" w:cs="Arial" w:eastAsia="Arial" w:hAnsi="Arial"/>
                <w:sz w:val="18"/>
                <w:szCs w:val="18"/>
                <w:color w:val="auto"/>
              </w:rPr>
              <w:t>By:/s/ Anuj Aggarwal</w:t>
            </w:r>
          </w:p>
        </w:tc>
      </w:tr>
      <w:tr>
        <w:trPr>
          <w:trHeight w:val="195"/>
        </w:trPr>
        <w:tc>
          <w:tcPr>
            <w:tcW w:w="30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Anuj Aggarwal</w:t>
            </w:r>
          </w:p>
        </w:tc>
      </w:tr>
      <w:tr>
        <w:trPr>
          <w:trHeight w:val="216"/>
        </w:trPr>
        <w:tc>
          <w:tcPr>
            <w:tcW w:w="30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0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675"/>
        </w:trPr>
        <w:tc>
          <w:tcPr>
            <w:tcW w:w="3000" w:type="dxa"/>
            <w:vAlign w:val="bottom"/>
          </w:tcPr>
          <w:p>
            <w:pPr>
              <w:spacing w:after="0"/>
              <w:rPr>
                <w:sz w:val="24"/>
                <w:szCs w:val="24"/>
                <w:color w:val="auto"/>
              </w:rPr>
            </w:pPr>
          </w:p>
        </w:tc>
        <w:tc>
          <w:tcPr>
            <w:tcW w:w="2400" w:type="dxa"/>
            <w:vAlign w:val="bottom"/>
          </w:tcPr>
          <w:p>
            <w:pPr>
              <w:jc w:val="right"/>
              <w:ind w:right="770"/>
              <w:spacing w:after="0"/>
              <w:rPr>
                <w:sz w:val="20"/>
                <w:szCs w:val="20"/>
                <w:color w:val="auto"/>
              </w:rPr>
            </w:pPr>
            <w:r>
              <w:rPr>
                <w:rFonts w:ascii="Arial" w:cs="Arial" w:eastAsia="Arial" w:hAnsi="Arial"/>
                <w:sz w:val="18"/>
                <w:szCs w:val="18"/>
                <w:color w:val="auto"/>
              </w:rPr>
              <w:t>51</w:t>
            </w:r>
          </w:p>
        </w:tc>
        <w:tc>
          <w:tcPr>
            <w:tcW w:w="352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1517015"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151701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262626"/>
        </w:rPr>
        <w:t>April 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62626"/>
        </w:rPr>
        <w:t>Daniel Berenbaum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 xml:space="preserve">11404 </w:t>
      </w:r>
      <w:r>
        <w:rPr>
          <w:rFonts w:ascii="Arial" w:cs="Arial" w:eastAsia="Arial" w:hAnsi="Arial"/>
          <w:sz w:val="18"/>
          <w:szCs w:val="18"/>
          <w:color w:val="383838"/>
        </w:rPr>
        <w:t>E</w:t>
      </w:r>
      <w:r>
        <w:rPr>
          <w:rFonts w:ascii="Arial" w:cs="Arial" w:eastAsia="Arial" w:hAnsi="Arial"/>
          <w:sz w:val="18"/>
          <w:szCs w:val="18"/>
          <w:color w:val="262626"/>
        </w:rPr>
        <w:t xml:space="preserve"> Autumn Sage Dr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62626"/>
        </w:rPr>
        <w:t>Scottsdale</w:t>
      </w:r>
      <w:r>
        <w:rPr>
          <w:rFonts w:ascii="Arial" w:cs="Arial" w:eastAsia="Arial" w:hAnsi="Arial"/>
          <w:sz w:val="18"/>
          <w:szCs w:val="18"/>
          <w:color w:val="5B5B5D"/>
        </w:rPr>
        <w:t>,</w:t>
      </w:r>
      <w:r>
        <w:rPr>
          <w:rFonts w:ascii="Arial" w:cs="Arial" w:eastAsia="Arial" w:hAnsi="Arial"/>
          <w:sz w:val="18"/>
          <w:szCs w:val="18"/>
          <w:color w:val="262626"/>
        </w:rPr>
        <w:t xml:space="preserve"> AZ 85255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262626"/>
        </w:rPr>
        <w:t>Dear Dan:</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262626"/>
        </w:rPr>
        <w:t xml:space="preserve">We accept </w:t>
      </w:r>
      <w:r>
        <w:rPr>
          <w:rFonts w:ascii="Arial" w:cs="Arial" w:eastAsia="Arial" w:hAnsi="Arial"/>
          <w:sz w:val="18"/>
          <w:szCs w:val="18"/>
          <w:color w:val="383838"/>
        </w:rPr>
        <w:t>your</w:t>
      </w:r>
      <w:r>
        <w:rPr>
          <w:rFonts w:ascii="Arial" w:cs="Arial" w:eastAsia="Arial" w:hAnsi="Arial"/>
          <w:sz w:val="18"/>
          <w:szCs w:val="18"/>
          <w:color w:val="262626"/>
        </w:rPr>
        <w:t xml:space="preserve"> resignation, and this letter sets forth </w:t>
      </w:r>
      <w:r>
        <w:rPr>
          <w:rFonts w:ascii="Arial" w:cs="Arial" w:eastAsia="Arial" w:hAnsi="Arial"/>
          <w:sz w:val="18"/>
          <w:szCs w:val="18"/>
          <w:color w:val="383838"/>
        </w:rPr>
        <w:t>the</w:t>
      </w:r>
      <w:r>
        <w:rPr>
          <w:rFonts w:ascii="Arial" w:cs="Arial" w:eastAsia="Arial" w:hAnsi="Arial"/>
          <w:sz w:val="18"/>
          <w:szCs w:val="18"/>
          <w:color w:val="262626"/>
        </w:rPr>
        <w:t xml:space="preserve"> substance of the separation agreement </w:t>
      </w:r>
      <w:r>
        <w:rPr>
          <w:rFonts w:ascii="Arial" w:cs="Arial" w:eastAsia="Arial" w:hAnsi="Arial"/>
          <w:sz w:val="18"/>
          <w:szCs w:val="18"/>
          <w:color w:val="383838"/>
        </w:rPr>
        <w:t>(the</w:t>
      </w:r>
      <w:r>
        <w:rPr>
          <w:rFonts w:ascii="Arial" w:cs="Arial" w:eastAsia="Arial" w:hAnsi="Arial"/>
          <w:sz w:val="18"/>
          <w:szCs w:val="18"/>
          <w:color w:val="262626"/>
        </w:rPr>
        <w:t xml:space="preserv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Agreement”</w:t>
      </w:r>
      <w:r>
        <w:rPr>
          <w:rFonts w:ascii="Arial" w:cs="Arial" w:eastAsia="Arial" w:hAnsi="Arial"/>
          <w:sz w:val="18"/>
          <w:szCs w:val="18"/>
          <w:b w:val="1"/>
          <w:bCs w:val="1"/>
          <w:color w:val="383838"/>
        </w:rPr>
        <w:t>)</w:t>
      </w:r>
      <w:r>
        <w:rPr>
          <w:rFonts w:ascii="Arial" w:cs="Arial" w:eastAsia="Arial" w:hAnsi="Arial"/>
          <w:sz w:val="18"/>
          <w:szCs w:val="18"/>
          <w:color w:val="262626"/>
        </w:rPr>
        <w:t xml:space="preserve"> between </w:t>
      </w:r>
      <w:r>
        <w:rPr>
          <w:rFonts w:ascii="Arial" w:cs="Arial" w:eastAsia="Arial" w:hAnsi="Arial"/>
          <w:sz w:val="18"/>
          <w:szCs w:val="18"/>
          <w:color w:val="383838"/>
        </w:rPr>
        <w:t>you</w:t>
      </w:r>
      <w:r>
        <w:rPr>
          <w:rFonts w:ascii="Arial" w:cs="Arial" w:eastAsia="Arial" w:hAnsi="Arial"/>
          <w:sz w:val="18"/>
          <w:szCs w:val="18"/>
          <w:color w:val="262626"/>
        </w:rPr>
        <w:t xml:space="preserve"> and Everspin Technologies</w:t>
      </w:r>
      <w:r>
        <w:rPr>
          <w:rFonts w:ascii="Arial" w:cs="Arial" w:eastAsia="Arial" w:hAnsi="Arial"/>
          <w:sz w:val="18"/>
          <w:szCs w:val="18"/>
          <w:color w:val="5B5B5D"/>
        </w:rPr>
        <w:t>,</w:t>
      </w:r>
      <w:r>
        <w:rPr>
          <w:rFonts w:ascii="Arial" w:cs="Arial" w:eastAsia="Arial" w:hAnsi="Arial"/>
          <w:sz w:val="18"/>
          <w:szCs w:val="18"/>
          <w:color w:val="262626"/>
        </w:rPr>
        <w:t xml:space="preserve"> Inc. </w:t>
      </w:r>
      <w:r>
        <w:rPr>
          <w:rFonts w:ascii="Arial" w:cs="Arial" w:eastAsia="Arial" w:hAnsi="Arial"/>
          <w:sz w:val="18"/>
          <w:szCs w:val="18"/>
          <w:color w:val="383838"/>
        </w:rPr>
        <w:t>(the</w:t>
      </w:r>
      <w:r>
        <w:rPr>
          <w:rFonts w:ascii="Arial" w:cs="Arial" w:eastAsia="Arial" w:hAnsi="Arial"/>
          <w:sz w:val="18"/>
          <w:szCs w:val="18"/>
          <w:color w:val="262626"/>
        </w:rPr>
        <w:t xml:space="preserv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Company).</w:t>
      </w:r>
    </w:p>
    <w:p>
      <w:pPr>
        <w:spacing w:after="0" w:line="162" w:lineRule="exact"/>
        <w:rPr>
          <w:sz w:val="20"/>
          <w:szCs w:val="20"/>
          <w:color w:val="auto"/>
        </w:rPr>
      </w:pPr>
    </w:p>
    <w:p>
      <w:pPr>
        <w:ind w:left="340" w:hanging="332"/>
        <w:spacing w:after="0" w:line="282" w:lineRule="auto"/>
        <w:tabs>
          <w:tab w:leader="none" w:pos="340" w:val="left"/>
        </w:tabs>
        <w:numPr>
          <w:ilvl w:val="0"/>
          <w:numId w:val="2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SEPARATION </w:t>
      </w:r>
      <w:r>
        <w:rPr>
          <w:rFonts w:ascii="Arial" w:cs="Arial" w:eastAsia="Arial" w:hAnsi="Arial"/>
          <w:sz w:val="18"/>
          <w:szCs w:val="18"/>
          <w:color w:val="262626"/>
        </w:rPr>
        <w:t>- Your last day of work with the Company and your employment termination date will be April 16</w:t>
      </w:r>
      <w:r>
        <w:rPr>
          <w:rFonts w:ascii="Arial" w:cs="Arial" w:eastAsia="Arial" w:hAnsi="Arial"/>
          <w:sz w:val="18"/>
          <w:szCs w:val="18"/>
          <w:color w:val="5B5B5D"/>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2021</w:t>
      </w:r>
      <w:r>
        <w:rPr>
          <w:rFonts w:ascii="Arial" w:cs="Arial" w:eastAsia="Arial" w:hAnsi="Arial"/>
          <w:sz w:val="18"/>
          <w:szCs w:val="18"/>
          <w:b w:val="1"/>
          <w:bCs w:val="1"/>
          <w:color w:val="262626"/>
        </w:rPr>
        <w:t xml:space="preserve"> </w:t>
      </w:r>
      <w:r>
        <w:rPr>
          <w:rFonts w:ascii="Arial" w:cs="Arial" w:eastAsia="Arial" w:hAnsi="Arial"/>
          <w:sz w:val="18"/>
          <w:szCs w:val="18"/>
          <w:color w:val="383838"/>
        </w:rPr>
        <w:t xml:space="preserve">(the </w:t>
      </w:r>
      <w:r>
        <w:rPr>
          <w:rFonts w:ascii="Arial" w:cs="Arial" w:eastAsia="Arial" w:hAnsi="Arial"/>
          <w:sz w:val="18"/>
          <w:szCs w:val="18"/>
          <w:b w:val="1"/>
          <w:bCs w:val="1"/>
          <w:color w:val="494849"/>
        </w:rPr>
        <w:t>“</w:t>
      </w:r>
      <w:r>
        <w:rPr>
          <w:rFonts w:ascii="Arial" w:cs="Arial" w:eastAsia="Arial" w:hAnsi="Arial"/>
          <w:sz w:val="18"/>
          <w:szCs w:val="18"/>
          <w:b w:val="1"/>
          <w:bCs w:val="1"/>
          <w:color w:val="262626"/>
        </w:rPr>
        <w:t>Separation Date”</w:t>
      </w:r>
      <w:r>
        <w:rPr>
          <w:rFonts w:ascii="Arial" w:cs="Arial" w:eastAsia="Arial" w:hAnsi="Arial"/>
          <w:sz w:val="18"/>
          <w:szCs w:val="18"/>
          <w:b w:val="1"/>
          <w:bCs w:val="1"/>
          <w:color w:val="494849"/>
        </w:rPr>
        <w:t>).</w:t>
      </w:r>
    </w:p>
    <w:p>
      <w:pPr>
        <w:spacing w:after="0" w:line="161" w:lineRule="exact"/>
        <w:rPr>
          <w:rFonts w:ascii="Arial" w:cs="Arial" w:eastAsia="Arial" w:hAnsi="Arial"/>
          <w:sz w:val="18"/>
          <w:szCs w:val="18"/>
          <w:b w:val="1"/>
          <w:bCs w:val="1"/>
          <w:color w:val="262626"/>
        </w:rPr>
      </w:pPr>
    </w:p>
    <w:p>
      <w:pPr>
        <w:jc w:val="both"/>
        <w:ind w:left="340" w:hanging="332"/>
        <w:spacing w:after="0" w:line="266" w:lineRule="auto"/>
        <w:tabs>
          <w:tab w:leader="none" w:pos="340" w:val="left"/>
        </w:tabs>
        <w:numPr>
          <w:ilvl w:val="0"/>
          <w:numId w:val="2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ACCRUED SALARY </w:t>
      </w:r>
      <w:r>
        <w:rPr>
          <w:rFonts w:ascii="Arial" w:cs="Arial" w:eastAsia="Arial" w:hAnsi="Arial"/>
          <w:sz w:val="18"/>
          <w:szCs w:val="18"/>
          <w:color w:val="262626"/>
        </w:rPr>
        <w:t>- Regardless of whether</w:t>
      </w:r>
      <w:r>
        <w:rPr>
          <w:rFonts w:ascii="Arial" w:cs="Arial" w:eastAsia="Arial" w:hAnsi="Arial"/>
          <w:sz w:val="18"/>
          <w:szCs w:val="18"/>
          <w:b w:val="1"/>
          <w:bCs w:val="1"/>
          <w:color w:val="262626"/>
        </w:rPr>
        <w:t xml:space="preserve"> </w:t>
      </w:r>
      <w:r>
        <w:rPr>
          <w:rFonts w:ascii="Arial" w:cs="Arial" w:eastAsia="Arial" w:hAnsi="Arial"/>
          <w:sz w:val="18"/>
          <w:szCs w:val="18"/>
          <w:color w:val="383838"/>
        </w:rPr>
        <w:t>you</w:t>
      </w:r>
      <w:r>
        <w:rPr>
          <w:rFonts w:ascii="Arial" w:cs="Arial" w:eastAsia="Arial" w:hAnsi="Arial"/>
          <w:sz w:val="18"/>
          <w:szCs w:val="18"/>
          <w:b w:val="1"/>
          <w:bCs w:val="1"/>
          <w:color w:val="262626"/>
        </w:rPr>
        <w:t xml:space="preserve"> </w:t>
      </w:r>
      <w:r>
        <w:rPr>
          <w:rFonts w:ascii="Arial" w:cs="Arial" w:eastAsia="Arial" w:hAnsi="Arial"/>
          <w:sz w:val="18"/>
          <w:szCs w:val="18"/>
          <w:color w:val="262626"/>
        </w:rPr>
        <w:t>sign this Agreement, as of the Separation Date</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the Company will pay you all</w:t>
      </w:r>
      <w:r>
        <w:rPr>
          <w:rFonts w:ascii="Arial" w:cs="Arial" w:eastAsia="Arial" w:hAnsi="Arial"/>
          <w:sz w:val="18"/>
          <w:szCs w:val="18"/>
          <w:b w:val="1"/>
          <w:bCs w:val="1"/>
          <w:color w:val="262626"/>
        </w:rPr>
        <w:t xml:space="preserve"> </w:t>
      </w:r>
      <w:r>
        <w:rPr>
          <w:rFonts w:ascii="Arial" w:cs="Arial" w:eastAsia="Arial" w:hAnsi="Arial"/>
          <w:sz w:val="18"/>
          <w:szCs w:val="18"/>
          <w:color w:val="262626"/>
        </w:rPr>
        <w:t>accrued salary earned through the Separation Date</w:t>
      </w:r>
      <w:r>
        <w:rPr>
          <w:rFonts w:ascii="Arial" w:cs="Arial" w:eastAsia="Arial" w:hAnsi="Arial"/>
          <w:sz w:val="18"/>
          <w:szCs w:val="18"/>
          <w:color w:val="494849"/>
        </w:rPr>
        <w:t>,</w:t>
      </w:r>
      <w:r>
        <w:rPr>
          <w:rFonts w:ascii="Arial" w:cs="Arial" w:eastAsia="Arial" w:hAnsi="Arial"/>
          <w:sz w:val="18"/>
          <w:szCs w:val="18"/>
          <w:color w:val="262626"/>
        </w:rPr>
        <w:t xml:space="preserve"> subject to standard payroll deductions and withholdings on the following payroll </w:t>
      </w:r>
      <w:r>
        <w:rPr>
          <w:rFonts w:ascii="Arial" w:cs="Arial" w:eastAsia="Arial" w:hAnsi="Arial"/>
          <w:sz w:val="18"/>
          <w:szCs w:val="18"/>
          <w:color w:val="383838"/>
        </w:rPr>
        <w:t xml:space="preserve">which </w:t>
      </w:r>
      <w:r>
        <w:rPr>
          <w:rFonts w:ascii="Arial" w:cs="Arial" w:eastAsia="Arial" w:hAnsi="Arial"/>
          <w:sz w:val="18"/>
          <w:szCs w:val="18"/>
          <w:color w:val="262626"/>
        </w:rPr>
        <w:t>is April 16</w:t>
      </w:r>
      <w:r>
        <w:rPr>
          <w:rFonts w:ascii="Arial" w:cs="Arial" w:eastAsia="Arial" w:hAnsi="Arial"/>
          <w:sz w:val="18"/>
          <w:szCs w:val="18"/>
          <w:color w:val="494849"/>
        </w:rPr>
        <w:t>,</w:t>
      </w:r>
      <w:r>
        <w:rPr>
          <w:rFonts w:ascii="Arial" w:cs="Arial" w:eastAsia="Arial" w:hAnsi="Arial"/>
          <w:sz w:val="18"/>
          <w:szCs w:val="18"/>
          <w:color w:val="383838"/>
        </w:rPr>
        <w:t xml:space="preserve"> </w:t>
      </w:r>
      <w:r>
        <w:rPr>
          <w:rFonts w:ascii="Arial" w:cs="Arial" w:eastAsia="Arial" w:hAnsi="Arial"/>
          <w:sz w:val="18"/>
          <w:szCs w:val="18"/>
          <w:color w:val="262626"/>
        </w:rPr>
        <w:t>2021.</w:t>
      </w:r>
    </w:p>
    <w:p>
      <w:pPr>
        <w:spacing w:after="0" w:line="175" w:lineRule="exact"/>
        <w:rPr>
          <w:rFonts w:ascii="Arial" w:cs="Arial" w:eastAsia="Arial" w:hAnsi="Arial"/>
          <w:sz w:val="18"/>
          <w:szCs w:val="18"/>
          <w:b w:val="1"/>
          <w:bCs w:val="1"/>
          <w:color w:val="262626"/>
        </w:rPr>
      </w:pPr>
    </w:p>
    <w:p>
      <w:pPr>
        <w:ind w:left="340" w:right="20" w:hanging="332"/>
        <w:spacing w:after="0" w:line="282" w:lineRule="auto"/>
        <w:tabs>
          <w:tab w:leader="none" w:pos="340" w:val="left"/>
        </w:tabs>
        <w:numPr>
          <w:ilvl w:val="0"/>
          <w:numId w:val="2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Bonus/Profit Sharing </w:t>
      </w:r>
      <w:r>
        <w:rPr>
          <w:rFonts w:ascii="Arial" w:cs="Arial" w:eastAsia="Arial" w:hAnsi="Arial"/>
          <w:sz w:val="18"/>
          <w:szCs w:val="18"/>
          <w:color w:val="262626"/>
        </w:rPr>
        <w:t>- According to the terms of the Company’ s bonus program</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you are not eligible for any bonus related to</w:t>
      </w:r>
      <w:r>
        <w:rPr>
          <w:rFonts w:ascii="Arial" w:cs="Arial" w:eastAsia="Arial" w:hAnsi="Arial"/>
          <w:sz w:val="18"/>
          <w:szCs w:val="18"/>
          <w:b w:val="1"/>
          <w:bCs w:val="1"/>
          <w:color w:val="262626"/>
        </w:rPr>
        <w:t xml:space="preserve"> </w:t>
      </w:r>
      <w:r>
        <w:rPr>
          <w:rFonts w:ascii="Arial" w:cs="Arial" w:eastAsia="Arial" w:hAnsi="Arial"/>
          <w:sz w:val="18"/>
          <w:szCs w:val="18"/>
          <w:color w:val="262626"/>
        </w:rPr>
        <w:t>2021 because you will not be employed on the date of the bonus payment</w:t>
      </w:r>
      <w:r>
        <w:rPr>
          <w:rFonts w:ascii="Arial" w:cs="Arial" w:eastAsia="Arial" w:hAnsi="Arial"/>
          <w:sz w:val="18"/>
          <w:szCs w:val="18"/>
          <w:color w:val="494849"/>
        </w:rPr>
        <w:t>.</w:t>
      </w:r>
    </w:p>
    <w:p>
      <w:pPr>
        <w:spacing w:after="0" w:line="165" w:lineRule="exact"/>
        <w:rPr>
          <w:rFonts w:ascii="Arial" w:cs="Arial" w:eastAsia="Arial" w:hAnsi="Arial"/>
          <w:sz w:val="18"/>
          <w:szCs w:val="18"/>
          <w:b w:val="1"/>
          <w:bCs w:val="1"/>
          <w:color w:val="262626"/>
        </w:rPr>
      </w:pPr>
    </w:p>
    <w:p>
      <w:pPr>
        <w:ind w:left="340" w:right="20"/>
        <w:spacing w:after="0" w:line="277" w:lineRule="auto"/>
        <w:rPr>
          <w:rFonts w:ascii="Arial" w:cs="Arial" w:eastAsia="Arial" w:hAnsi="Arial"/>
          <w:sz w:val="18"/>
          <w:szCs w:val="18"/>
          <w:b w:val="1"/>
          <w:bCs w:val="1"/>
          <w:color w:val="262626"/>
        </w:rPr>
      </w:pPr>
      <w:r>
        <w:rPr>
          <w:rFonts w:ascii="Arial" w:cs="Arial" w:eastAsia="Arial" w:hAnsi="Arial"/>
          <w:sz w:val="18"/>
          <w:szCs w:val="18"/>
          <w:color w:val="383838"/>
        </w:rPr>
        <w:t xml:space="preserve">According </w:t>
      </w:r>
      <w:r>
        <w:rPr>
          <w:rFonts w:ascii="Arial" w:cs="Arial" w:eastAsia="Arial" w:hAnsi="Arial"/>
          <w:sz w:val="18"/>
          <w:szCs w:val="18"/>
          <w:color w:val="262626"/>
        </w:rPr>
        <w:t>to the</w:t>
      </w:r>
      <w:r>
        <w:rPr>
          <w:rFonts w:ascii="Arial" w:cs="Arial" w:eastAsia="Arial" w:hAnsi="Arial"/>
          <w:sz w:val="18"/>
          <w:szCs w:val="18"/>
          <w:color w:val="383838"/>
        </w:rPr>
        <w:t xml:space="preserve"> terms </w:t>
      </w:r>
      <w:r>
        <w:rPr>
          <w:rFonts w:ascii="Arial" w:cs="Arial" w:eastAsia="Arial" w:hAnsi="Arial"/>
          <w:sz w:val="18"/>
          <w:szCs w:val="18"/>
          <w:color w:val="262626"/>
        </w:rPr>
        <w:t>of the</w:t>
      </w:r>
      <w:r>
        <w:rPr>
          <w:rFonts w:ascii="Arial" w:cs="Arial" w:eastAsia="Arial" w:hAnsi="Arial"/>
          <w:sz w:val="18"/>
          <w:szCs w:val="18"/>
          <w:color w:val="383838"/>
        </w:rPr>
        <w:t xml:space="preserve"> Company</w:t>
      </w:r>
      <w:r>
        <w:rPr>
          <w:rFonts w:ascii="Arial" w:cs="Arial" w:eastAsia="Arial" w:hAnsi="Arial"/>
          <w:sz w:val="18"/>
          <w:szCs w:val="18"/>
          <w:color w:val="5B5B5D"/>
        </w:rPr>
        <w:t>'</w:t>
      </w:r>
      <w:r>
        <w:rPr>
          <w:rFonts w:ascii="Arial" w:cs="Arial" w:eastAsia="Arial" w:hAnsi="Arial"/>
          <w:sz w:val="18"/>
          <w:szCs w:val="18"/>
          <w:color w:val="383838"/>
        </w:rPr>
        <w:t xml:space="preserve"> </w:t>
      </w:r>
      <w:r>
        <w:rPr>
          <w:rFonts w:ascii="Arial" w:cs="Arial" w:eastAsia="Arial" w:hAnsi="Arial"/>
          <w:sz w:val="18"/>
          <w:szCs w:val="18"/>
          <w:color w:val="262626"/>
        </w:rPr>
        <w:t>s Profit Sharing for Q121</w:t>
      </w:r>
      <w:r>
        <w:rPr>
          <w:rFonts w:ascii="Arial" w:cs="Arial" w:eastAsia="Arial" w:hAnsi="Arial"/>
          <w:sz w:val="18"/>
          <w:szCs w:val="18"/>
          <w:color w:val="383838"/>
        </w:rPr>
        <w:t xml:space="preserve"> you </w:t>
      </w:r>
      <w:r>
        <w:rPr>
          <w:rFonts w:ascii="Arial" w:cs="Arial" w:eastAsia="Arial" w:hAnsi="Arial"/>
          <w:sz w:val="18"/>
          <w:szCs w:val="18"/>
          <w:color w:val="262626"/>
        </w:rPr>
        <w:t>are not eligible for any profit sharing related to Q1 2021</w:t>
      </w:r>
      <w:r>
        <w:rPr>
          <w:rFonts w:ascii="Arial" w:cs="Arial" w:eastAsia="Arial" w:hAnsi="Arial"/>
          <w:sz w:val="18"/>
          <w:szCs w:val="18"/>
          <w:color w:val="383838"/>
        </w:rPr>
        <w:t xml:space="preserve"> </w:t>
      </w:r>
      <w:r>
        <w:rPr>
          <w:rFonts w:ascii="Arial" w:cs="Arial" w:eastAsia="Arial" w:hAnsi="Arial"/>
          <w:sz w:val="18"/>
          <w:szCs w:val="18"/>
          <w:color w:val="262626"/>
        </w:rPr>
        <w:t>because you will not be employed on the date the Profit Sharing is paid out.</w:t>
      </w:r>
    </w:p>
    <w:p>
      <w:pPr>
        <w:spacing w:after="0" w:line="166" w:lineRule="exact"/>
        <w:rPr>
          <w:rFonts w:ascii="Arial" w:cs="Arial" w:eastAsia="Arial" w:hAnsi="Arial"/>
          <w:sz w:val="18"/>
          <w:szCs w:val="18"/>
          <w:b w:val="1"/>
          <w:bCs w:val="1"/>
          <w:color w:val="262626"/>
        </w:rPr>
      </w:pPr>
    </w:p>
    <w:p>
      <w:pPr>
        <w:jc w:val="both"/>
        <w:ind w:left="340" w:hanging="332"/>
        <w:spacing w:after="0" w:line="261" w:lineRule="auto"/>
        <w:tabs>
          <w:tab w:leader="none" w:pos="340" w:val="left"/>
        </w:tabs>
        <w:numPr>
          <w:ilvl w:val="0"/>
          <w:numId w:val="23"/>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Sign-on Bonus </w:t>
      </w:r>
      <w:r>
        <w:rPr>
          <w:rFonts w:ascii="Arial" w:cs="Arial" w:eastAsia="Arial" w:hAnsi="Arial"/>
          <w:sz w:val="18"/>
          <w:szCs w:val="18"/>
          <w:color w:val="262626"/>
        </w:rPr>
        <w:t>-</w:t>
      </w:r>
      <w:r>
        <w:rPr>
          <w:rFonts w:ascii="Arial" w:cs="Arial" w:eastAsia="Arial" w:hAnsi="Arial"/>
          <w:sz w:val="18"/>
          <w:szCs w:val="18"/>
          <w:b w:val="1"/>
          <w:bCs w:val="1"/>
          <w:color w:val="262626"/>
        </w:rPr>
        <w:t xml:space="preserve"> </w:t>
      </w:r>
      <w:r>
        <w:rPr>
          <w:rFonts w:ascii="Arial" w:cs="Arial" w:eastAsia="Arial" w:hAnsi="Arial"/>
          <w:sz w:val="18"/>
          <w:szCs w:val="18"/>
          <w:color w:val="383838"/>
        </w:rPr>
        <w:t>You</w:t>
      </w:r>
      <w:r>
        <w:rPr>
          <w:rFonts w:ascii="Arial" w:cs="Arial" w:eastAsia="Arial" w:hAnsi="Arial"/>
          <w:sz w:val="18"/>
          <w:szCs w:val="18"/>
          <w:b w:val="1"/>
          <w:bCs w:val="1"/>
          <w:color w:val="262626"/>
        </w:rPr>
        <w:t xml:space="preserve"> </w:t>
      </w:r>
      <w:r>
        <w:rPr>
          <w:rFonts w:ascii="Arial" w:cs="Arial" w:eastAsia="Arial" w:hAnsi="Arial"/>
          <w:sz w:val="18"/>
          <w:szCs w:val="18"/>
          <w:color w:val="262626"/>
        </w:rPr>
        <w:t>received a</w:t>
      </w:r>
      <w:r>
        <w:rPr>
          <w:rFonts w:ascii="Arial" w:cs="Arial" w:eastAsia="Arial" w:hAnsi="Arial"/>
          <w:sz w:val="18"/>
          <w:szCs w:val="18"/>
          <w:b w:val="1"/>
          <w:bCs w:val="1"/>
          <w:color w:val="262626"/>
        </w:rPr>
        <w:t xml:space="preserve"> </w:t>
      </w:r>
      <w:r>
        <w:rPr>
          <w:rFonts w:ascii="Arial" w:cs="Arial" w:eastAsia="Arial" w:hAnsi="Arial"/>
          <w:sz w:val="18"/>
          <w:szCs w:val="18"/>
          <w:color w:val="383838"/>
        </w:rPr>
        <w:t>sign-on</w:t>
      </w:r>
      <w:r>
        <w:rPr>
          <w:rFonts w:ascii="Arial" w:cs="Arial" w:eastAsia="Arial" w:hAnsi="Arial"/>
          <w:sz w:val="18"/>
          <w:szCs w:val="18"/>
          <w:b w:val="1"/>
          <w:bCs w:val="1"/>
          <w:color w:val="262626"/>
        </w:rPr>
        <w:t xml:space="preserve"> </w:t>
      </w:r>
      <w:r>
        <w:rPr>
          <w:rFonts w:ascii="Arial" w:cs="Arial" w:eastAsia="Arial" w:hAnsi="Arial"/>
          <w:sz w:val="18"/>
          <w:szCs w:val="18"/>
          <w:color w:val="262626"/>
        </w:rPr>
        <w:t>bonus of $30</w:t>
      </w:r>
      <w:r>
        <w:rPr>
          <w:rFonts w:ascii="Arial" w:cs="Arial" w:eastAsia="Arial" w:hAnsi="Arial"/>
          <w:sz w:val="18"/>
          <w:szCs w:val="18"/>
          <w:color w:val="494849"/>
        </w:rPr>
        <w:t>,</w:t>
      </w:r>
      <w:r>
        <w:rPr>
          <w:rFonts w:ascii="Arial" w:cs="Arial" w:eastAsia="Arial" w:hAnsi="Arial"/>
          <w:sz w:val="18"/>
          <w:szCs w:val="18"/>
          <w:color w:val="262626"/>
        </w:rPr>
        <w:t>000</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which will need to be repaid to the Company. However</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262626"/>
        </w:rPr>
        <w:t>conditioned</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expressly on </w:t>
      </w:r>
      <w:r>
        <w:rPr>
          <w:rFonts w:ascii="Arial" w:cs="Arial" w:eastAsia="Arial" w:hAnsi="Arial"/>
          <w:sz w:val="18"/>
          <w:szCs w:val="18"/>
          <w:color w:val="383838"/>
        </w:rPr>
        <w:t>your</w:t>
      </w:r>
      <w:r>
        <w:rPr>
          <w:rFonts w:ascii="Arial" w:cs="Arial" w:eastAsia="Arial" w:hAnsi="Arial"/>
          <w:sz w:val="18"/>
          <w:szCs w:val="18"/>
          <w:color w:val="262626"/>
        </w:rPr>
        <w:t xml:space="preserve"> acceptance of this Agreement</w:t>
      </w:r>
      <w:r>
        <w:rPr>
          <w:rFonts w:ascii="Arial" w:cs="Arial" w:eastAsia="Arial" w:hAnsi="Arial"/>
          <w:sz w:val="18"/>
          <w:szCs w:val="18"/>
          <w:color w:val="494849"/>
        </w:rPr>
        <w:t>,</w:t>
      </w:r>
      <w:r>
        <w:rPr>
          <w:rFonts w:ascii="Arial" w:cs="Arial" w:eastAsia="Arial" w:hAnsi="Arial"/>
          <w:sz w:val="18"/>
          <w:szCs w:val="18"/>
          <w:color w:val="262626"/>
        </w:rPr>
        <w:t xml:space="preserve"> and serving as valuable consideration that supports your release of claims and promises in this Agreement, the Company </w:t>
      </w:r>
      <w:r>
        <w:rPr>
          <w:rFonts w:ascii="Arial" w:cs="Arial" w:eastAsia="Arial" w:hAnsi="Arial"/>
          <w:sz w:val="18"/>
          <w:szCs w:val="18"/>
          <w:color w:val="383838"/>
        </w:rPr>
        <w:t>will</w:t>
      </w:r>
      <w:r>
        <w:rPr>
          <w:rFonts w:ascii="Arial" w:cs="Arial" w:eastAsia="Arial" w:hAnsi="Arial"/>
          <w:sz w:val="18"/>
          <w:szCs w:val="18"/>
          <w:color w:val="262626"/>
        </w:rPr>
        <w:t xml:space="preserve"> reduce the amount owed to $20</w:t>
      </w:r>
      <w:r>
        <w:rPr>
          <w:rFonts w:ascii="Arial" w:cs="Arial" w:eastAsia="Arial" w:hAnsi="Arial"/>
          <w:sz w:val="18"/>
          <w:szCs w:val="18"/>
          <w:color w:val="494849"/>
        </w:rPr>
        <w:t>,</w:t>
      </w:r>
      <w:r>
        <w:rPr>
          <w:rFonts w:ascii="Arial" w:cs="Arial" w:eastAsia="Arial" w:hAnsi="Arial"/>
          <w:sz w:val="18"/>
          <w:szCs w:val="18"/>
          <w:color w:val="262626"/>
        </w:rPr>
        <w:t xml:space="preserve">000 </w:t>
      </w:r>
      <w:r>
        <w:rPr>
          <w:rFonts w:ascii="Arial" w:cs="Arial" w:eastAsia="Arial" w:hAnsi="Arial"/>
          <w:sz w:val="18"/>
          <w:szCs w:val="18"/>
          <w:color w:val="383838"/>
        </w:rPr>
        <w:t>which</w:t>
      </w:r>
      <w:r>
        <w:rPr>
          <w:rFonts w:ascii="Arial" w:cs="Arial" w:eastAsia="Arial" w:hAnsi="Arial"/>
          <w:sz w:val="18"/>
          <w:szCs w:val="18"/>
          <w:color w:val="262626"/>
        </w:rPr>
        <w:t xml:space="preserve"> must be paid no later than April 16</w:t>
      </w:r>
      <w:r>
        <w:rPr>
          <w:rFonts w:ascii="Arial" w:cs="Arial" w:eastAsia="Arial" w:hAnsi="Arial"/>
          <w:sz w:val="18"/>
          <w:szCs w:val="18"/>
          <w:color w:val="494849"/>
        </w:rPr>
        <w:t>,</w:t>
      </w:r>
      <w:r>
        <w:rPr>
          <w:rFonts w:ascii="Arial" w:cs="Arial" w:eastAsia="Arial" w:hAnsi="Arial"/>
          <w:sz w:val="18"/>
          <w:szCs w:val="18"/>
          <w:color w:val="262626"/>
        </w:rPr>
        <w:t xml:space="preserve"> 2021. Please </w:t>
      </w:r>
      <w:r>
        <w:rPr>
          <w:rFonts w:ascii="Arial" w:cs="Arial" w:eastAsia="Arial" w:hAnsi="Arial"/>
          <w:sz w:val="18"/>
          <w:szCs w:val="18"/>
          <w:color w:val="383838"/>
        </w:rPr>
        <w:t>see</w:t>
      </w:r>
      <w:r>
        <w:rPr>
          <w:rFonts w:ascii="Arial" w:cs="Arial" w:eastAsia="Arial" w:hAnsi="Arial"/>
          <w:sz w:val="18"/>
          <w:szCs w:val="18"/>
          <w:color w:val="262626"/>
        </w:rPr>
        <w:t xml:space="preserve"> below clause.</w:t>
      </w:r>
    </w:p>
    <w:p>
      <w:pPr>
        <w:spacing w:after="0" w:line="184"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262626"/>
        </w:rPr>
        <w:t xml:space="preserve">“Should you voluntarily </w:t>
      </w:r>
      <w:r>
        <w:rPr>
          <w:rFonts w:ascii="Arial" w:cs="Arial" w:eastAsia="Arial" w:hAnsi="Arial"/>
          <w:sz w:val="18"/>
          <w:szCs w:val="18"/>
          <w:color w:val="383838"/>
        </w:rPr>
        <w:t>vacate</w:t>
      </w:r>
      <w:r>
        <w:rPr>
          <w:rFonts w:ascii="Arial" w:cs="Arial" w:eastAsia="Arial" w:hAnsi="Arial"/>
          <w:sz w:val="18"/>
          <w:szCs w:val="18"/>
          <w:color w:val="262626"/>
        </w:rPr>
        <w:t xml:space="preserve"> your position within a one-year period, you will be required to refund the Company the $30</w:t>
      </w:r>
      <w:r>
        <w:rPr>
          <w:rFonts w:ascii="Arial" w:cs="Arial" w:eastAsia="Arial" w:hAnsi="Arial"/>
          <w:sz w:val="18"/>
          <w:szCs w:val="18"/>
          <w:color w:val="494849"/>
        </w:rPr>
        <w:t>,</w:t>
      </w:r>
      <w:r>
        <w:rPr>
          <w:rFonts w:ascii="Arial" w:cs="Arial" w:eastAsia="Arial" w:hAnsi="Arial"/>
          <w:sz w:val="18"/>
          <w:szCs w:val="18"/>
          <w:color w:val="262626"/>
        </w:rPr>
        <w:t>000 bonus in full.”</w:t>
      </w:r>
    </w:p>
    <w:p>
      <w:pPr>
        <w:spacing w:after="0" w:line="166" w:lineRule="exact"/>
        <w:rPr>
          <w:sz w:val="20"/>
          <w:szCs w:val="20"/>
          <w:color w:val="auto"/>
        </w:rPr>
      </w:pPr>
    </w:p>
    <w:p>
      <w:pPr>
        <w:jc w:val="both"/>
        <w:ind w:left="340" w:hanging="332"/>
        <w:spacing w:after="0" w:line="266" w:lineRule="auto"/>
        <w:tabs>
          <w:tab w:leader="none" w:pos="340" w:val="left"/>
        </w:tabs>
        <w:numPr>
          <w:ilvl w:val="0"/>
          <w:numId w:val="24"/>
        </w:numPr>
        <w:rPr>
          <w:rFonts w:ascii="Arial" w:cs="Arial" w:eastAsia="Arial" w:hAnsi="Arial"/>
          <w:sz w:val="18"/>
          <w:szCs w:val="18"/>
          <w:b w:val="1"/>
          <w:bCs w:val="1"/>
          <w:color w:val="262626"/>
        </w:rPr>
      </w:pPr>
      <w:r>
        <w:rPr>
          <w:rFonts w:ascii="Arial" w:cs="Arial" w:eastAsia="Arial" w:hAnsi="Arial"/>
          <w:sz w:val="18"/>
          <w:szCs w:val="18"/>
          <w:b w:val="1"/>
          <w:bCs w:val="1"/>
          <w:color w:val="262626"/>
        </w:rPr>
        <w:t xml:space="preserve">Stock Options </w:t>
      </w:r>
      <w:r>
        <w:rPr>
          <w:rFonts w:ascii="Arial" w:cs="Arial" w:eastAsia="Arial" w:hAnsi="Arial"/>
          <w:sz w:val="18"/>
          <w:szCs w:val="18"/>
          <w:color w:val="262626"/>
        </w:rPr>
        <w:t>-</w:t>
      </w:r>
      <w:r>
        <w:rPr>
          <w:rFonts w:ascii="Arial" w:cs="Arial" w:eastAsia="Arial" w:hAnsi="Arial"/>
          <w:sz w:val="18"/>
          <w:szCs w:val="18"/>
          <w:b w:val="1"/>
          <w:bCs w:val="1"/>
          <w:color w:val="262626"/>
        </w:rPr>
        <w:t xml:space="preserve"> </w:t>
      </w:r>
      <w:r>
        <w:rPr>
          <w:rFonts w:ascii="Arial" w:cs="Arial" w:eastAsia="Arial" w:hAnsi="Arial"/>
          <w:sz w:val="18"/>
          <w:szCs w:val="18"/>
          <w:color w:val="494849"/>
        </w:rPr>
        <w:t>U</w:t>
      </w:r>
      <w:r>
        <w:rPr>
          <w:rFonts w:ascii="Arial" w:cs="Arial" w:eastAsia="Arial" w:hAnsi="Arial"/>
          <w:sz w:val="18"/>
          <w:szCs w:val="18"/>
          <w:color w:val="262626"/>
        </w:rPr>
        <w:t>nder the terms of</w:t>
      </w:r>
      <w:r>
        <w:rPr>
          <w:rFonts w:ascii="Arial" w:cs="Arial" w:eastAsia="Arial" w:hAnsi="Arial"/>
          <w:sz w:val="18"/>
          <w:szCs w:val="18"/>
          <w:b w:val="1"/>
          <w:bCs w:val="1"/>
          <w:color w:val="262626"/>
        </w:rPr>
        <w:t xml:space="preserve"> </w:t>
      </w:r>
      <w:r>
        <w:rPr>
          <w:rFonts w:ascii="Arial" w:cs="Arial" w:eastAsia="Arial" w:hAnsi="Arial"/>
          <w:sz w:val="18"/>
          <w:szCs w:val="18"/>
          <w:color w:val="383838"/>
        </w:rPr>
        <w:t>your stock</w:t>
      </w:r>
      <w:r>
        <w:rPr>
          <w:rFonts w:ascii="Arial" w:cs="Arial" w:eastAsia="Arial" w:hAnsi="Arial"/>
          <w:sz w:val="18"/>
          <w:szCs w:val="18"/>
          <w:b w:val="1"/>
          <w:bCs w:val="1"/>
          <w:color w:val="262626"/>
        </w:rPr>
        <w:t xml:space="preserve"> </w:t>
      </w:r>
      <w:r>
        <w:rPr>
          <w:rFonts w:ascii="Arial" w:cs="Arial" w:eastAsia="Arial" w:hAnsi="Arial"/>
          <w:sz w:val="18"/>
          <w:szCs w:val="18"/>
          <w:color w:val="262626"/>
        </w:rPr>
        <w:t>option agreement and the applicable plan documents</w:t>
      </w:r>
      <w:r>
        <w:rPr>
          <w:rFonts w:ascii="Arial" w:cs="Arial" w:eastAsia="Arial" w:hAnsi="Arial"/>
          <w:sz w:val="18"/>
          <w:szCs w:val="18"/>
          <w:color w:val="494849"/>
        </w:rPr>
        <w:t>,</w:t>
      </w:r>
      <w:r>
        <w:rPr>
          <w:rFonts w:ascii="Arial" w:cs="Arial" w:eastAsia="Arial" w:hAnsi="Arial"/>
          <w:sz w:val="18"/>
          <w:szCs w:val="18"/>
          <w:b w:val="1"/>
          <w:bCs w:val="1"/>
          <w:color w:val="262626"/>
        </w:rPr>
        <w:t xml:space="preserve"> </w:t>
      </w:r>
      <w:r>
        <w:rPr>
          <w:rFonts w:ascii="Arial" w:cs="Arial" w:eastAsia="Arial" w:hAnsi="Arial"/>
          <w:sz w:val="18"/>
          <w:szCs w:val="18"/>
          <w:color w:val="383838"/>
        </w:rPr>
        <w:t>vesting</w:t>
      </w:r>
      <w:r>
        <w:rPr>
          <w:rFonts w:ascii="Arial" w:cs="Arial" w:eastAsia="Arial" w:hAnsi="Arial"/>
          <w:sz w:val="18"/>
          <w:szCs w:val="18"/>
          <w:b w:val="1"/>
          <w:bCs w:val="1"/>
          <w:color w:val="262626"/>
        </w:rPr>
        <w:t xml:space="preserve"> </w:t>
      </w:r>
      <w:r>
        <w:rPr>
          <w:rFonts w:ascii="Arial" w:cs="Arial" w:eastAsia="Arial" w:hAnsi="Arial"/>
          <w:sz w:val="18"/>
          <w:szCs w:val="18"/>
          <w:color w:val="262626"/>
        </w:rPr>
        <w:t>of</w:t>
      </w:r>
      <w:r>
        <w:rPr>
          <w:rFonts w:ascii="Arial" w:cs="Arial" w:eastAsia="Arial" w:hAnsi="Arial"/>
          <w:sz w:val="18"/>
          <w:szCs w:val="18"/>
          <w:b w:val="1"/>
          <w:bCs w:val="1"/>
          <w:color w:val="262626"/>
        </w:rPr>
        <w:t xml:space="preserve"> </w:t>
      </w:r>
      <w:r>
        <w:rPr>
          <w:rFonts w:ascii="Arial" w:cs="Arial" w:eastAsia="Arial" w:hAnsi="Arial"/>
          <w:sz w:val="18"/>
          <w:szCs w:val="18"/>
          <w:color w:val="383838"/>
        </w:rPr>
        <w:t>your</w:t>
      </w:r>
      <w:r>
        <w:rPr>
          <w:rFonts w:ascii="Arial" w:cs="Arial" w:eastAsia="Arial" w:hAnsi="Arial"/>
          <w:sz w:val="18"/>
          <w:szCs w:val="18"/>
          <w:b w:val="1"/>
          <w:bCs w:val="1"/>
          <w:color w:val="262626"/>
        </w:rPr>
        <w:t xml:space="preserve"> </w:t>
      </w:r>
      <w:r>
        <w:rPr>
          <w:rFonts w:ascii="Arial" w:cs="Arial" w:eastAsia="Arial" w:hAnsi="Arial"/>
          <w:sz w:val="18"/>
          <w:szCs w:val="18"/>
          <w:color w:val="262626"/>
        </w:rPr>
        <w:t>stock options</w:t>
      </w:r>
      <w:r>
        <w:rPr>
          <w:rFonts w:ascii="Arial" w:cs="Arial" w:eastAsia="Arial" w:hAnsi="Arial"/>
          <w:sz w:val="18"/>
          <w:szCs w:val="18"/>
          <w:b w:val="1"/>
          <w:bCs w:val="1"/>
          <w:color w:val="262626"/>
        </w:rPr>
        <w:t xml:space="preserve"> </w:t>
      </w:r>
      <w:r>
        <w:rPr>
          <w:rFonts w:ascii="Arial" w:cs="Arial" w:eastAsia="Arial" w:hAnsi="Arial"/>
          <w:sz w:val="18"/>
          <w:szCs w:val="18"/>
          <w:color w:val="262626"/>
        </w:rPr>
        <w:t xml:space="preserve">will cease as of the Separation Date. </w:t>
      </w:r>
      <w:r>
        <w:rPr>
          <w:rFonts w:ascii="Arial" w:cs="Arial" w:eastAsia="Arial" w:hAnsi="Arial"/>
          <w:sz w:val="18"/>
          <w:szCs w:val="18"/>
          <w:color w:val="383838"/>
        </w:rPr>
        <w:t>Your</w:t>
      </w:r>
      <w:r>
        <w:rPr>
          <w:rFonts w:ascii="Arial" w:cs="Arial" w:eastAsia="Arial" w:hAnsi="Arial"/>
          <w:sz w:val="18"/>
          <w:szCs w:val="18"/>
          <w:color w:val="262626"/>
        </w:rPr>
        <w:t xml:space="preserve"> right to exercise any vested shares</w:t>
      </w:r>
      <w:r>
        <w:rPr>
          <w:rFonts w:ascii="Arial" w:cs="Arial" w:eastAsia="Arial" w:hAnsi="Arial"/>
          <w:sz w:val="18"/>
          <w:szCs w:val="18"/>
          <w:color w:val="494849"/>
        </w:rPr>
        <w:t>,</w:t>
      </w:r>
      <w:r>
        <w:rPr>
          <w:rFonts w:ascii="Arial" w:cs="Arial" w:eastAsia="Arial" w:hAnsi="Arial"/>
          <w:sz w:val="18"/>
          <w:szCs w:val="18"/>
          <w:color w:val="262626"/>
        </w:rPr>
        <w:t xml:space="preserve"> and all other rights and obligations with respect to your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2" w:name="page53"/>
    <w:bookmarkEnd w:id="52"/>
    <w:p>
      <w:pPr>
        <w:ind w:left="332"/>
        <w:spacing w:after="0"/>
        <w:rPr>
          <w:sz w:val="20"/>
          <w:szCs w:val="20"/>
          <w:color w:val="auto"/>
        </w:rPr>
      </w:pPr>
      <w:r>
        <w:rPr>
          <w:rFonts w:ascii="Arial" w:cs="Arial" w:eastAsia="Arial" w:hAnsi="Arial"/>
          <w:sz w:val="18"/>
          <w:szCs w:val="18"/>
          <w:color w:val="282828"/>
        </w:rPr>
        <w:t>options(s)</w:t>
      </w:r>
      <w:r>
        <w:rPr>
          <w:rFonts w:ascii="Arial" w:cs="Arial" w:eastAsia="Arial" w:hAnsi="Arial"/>
          <w:sz w:val="18"/>
          <w:szCs w:val="18"/>
          <w:color w:val="4B4B4B"/>
        </w:rPr>
        <w:t>,</w:t>
      </w:r>
      <w:r>
        <w:rPr>
          <w:rFonts w:ascii="Arial" w:cs="Arial" w:eastAsia="Arial" w:hAnsi="Arial"/>
          <w:sz w:val="18"/>
          <w:szCs w:val="18"/>
          <w:color w:val="282828"/>
        </w:rPr>
        <w:t xml:space="preserve"> will be as set forth in your stock option agreement, grant notice and applicable plan documents.</w:t>
      </w:r>
    </w:p>
    <w:p>
      <w:pPr>
        <w:spacing w:after="0" w:line="221" w:lineRule="exact"/>
        <w:rPr>
          <w:sz w:val="20"/>
          <w:szCs w:val="20"/>
          <w:color w:val="auto"/>
        </w:rPr>
      </w:pPr>
    </w:p>
    <w:p>
      <w:pPr>
        <w:jc w:val="both"/>
        <w:ind w:left="332" w:hanging="332"/>
        <w:spacing w:after="0" w:line="258" w:lineRule="auto"/>
        <w:tabs>
          <w:tab w:leader="none" w:pos="332" w:val="left"/>
        </w:tabs>
        <w:numPr>
          <w:ilvl w:val="0"/>
          <w:numId w:val="25"/>
        </w:numPr>
        <w:rPr>
          <w:rFonts w:ascii="Arial" w:cs="Arial" w:eastAsia="Arial" w:hAnsi="Arial"/>
          <w:sz w:val="18"/>
          <w:szCs w:val="18"/>
          <w:b w:val="1"/>
          <w:bCs w:val="1"/>
          <w:color w:val="282828"/>
        </w:rPr>
      </w:pPr>
      <w:r>
        <w:rPr>
          <w:rFonts w:ascii="Arial" w:cs="Arial" w:eastAsia="Arial" w:hAnsi="Arial"/>
          <w:sz w:val="18"/>
          <w:szCs w:val="18"/>
          <w:b w:val="1"/>
          <w:bCs w:val="1"/>
          <w:color w:val="282828"/>
        </w:rPr>
        <w:t xml:space="preserve">Other Compensation </w:t>
      </w:r>
      <w:r>
        <w:rPr>
          <w:rFonts w:ascii="Arial" w:cs="Arial" w:eastAsia="Arial" w:hAnsi="Arial"/>
          <w:sz w:val="18"/>
          <w:szCs w:val="18"/>
          <w:b w:val="1"/>
          <w:bCs w:val="1"/>
          <w:color w:val="181818"/>
        </w:rPr>
        <w:t>or Benefits</w:t>
      </w:r>
      <w:r>
        <w:rPr>
          <w:rFonts w:ascii="Arial" w:cs="Arial" w:eastAsia="Arial" w:hAnsi="Arial"/>
          <w:sz w:val="18"/>
          <w:szCs w:val="18"/>
          <w:b w:val="1"/>
          <w:bCs w:val="1"/>
          <w:color w:val="282828"/>
        </w:rPr>
        <w:t xml:space="preserve"> </w:t>
      </w:r>
      <w:r>
        <w:rPr>
          <w:rFonts w:ascii="Arial" w:cs="Arial" w:eastAsia="Arial" w:hAnsi="Arial"/>
          <w:sz w:val="18"/>
          <w:szCs w:val="18"/>
          <w:color w:val="282828"/>
        </w:rPr>
        <w:t>- You acknowledge that, except as expressly provided in this Agreement, you have not earned</w:t>
      </w:r>
      <w:r>
        <w:rPr>
          <w:rFonts w:ascii="Arial" w:cs="Arial" w:eastAsia="Arial" w:hAnsi="Arial"/>
          <w:sz w:val="18"/>
          <w:szCs w:val="18"/>
          <w:color w:val="4B4B4B"/>
        </w:rPr>
        <w:t>,</w:t>
      </w:r>
      <w:r>
        <w:rPr>
          <w:rFonts w:ascii="Arial" w:cs="Arial" w:eastAsia="Arial" w:hAnsi="Arial"/>
          <w:sz w:val="18"/>
          <w:szCs w:val="18"/>
          <w:b w:val="1"/>
          <w:bCs w:val="1"/>
          <w:color w:val="282828"/>
        </w:rPr>
        <w:t xml:space="preserve"> </w:t>
      </w:r>
      <w:r>
        <w:rPr>
          <w:rFonts w:ascii="Arial" w:cs="Arial" w:eastAsia="Arial" w:hAnsi="Arial"/>
          <w:sz w:val="18"/>
          <w:szCs w:val="18"/>
          <w:color w:val="181818"/>
        </w:rPr>
        <w:t xml:space="preserve">are </w:t>
      </w:r>
      <w:r>
        <w:rPr>
          <w:rFonts w:ascii="Arial" w:cs="Arial" w:eastAsia="Arial" w:hAnsi="Arial"/>
          <w:sz w:val="18"/>
          <w:szCs w:val="18"/>
          <w:color w:val="282828"/>
        </w:rPr>
        <w:t>not entitled to payout of, and will not</w:t>
      </w:r>
      <w:r>
        <w:rPr>
          <w:rFonts w:ascii="Arial" w:cs="Arial" w:eastAsia="Arial" w:hAnsi="Arial"/>
          <w:sz w:val="18"/>
          <w:szCs w:val="18"/>
          <w:color w:val="181818"/>
        </w:rPr>
        <w:t xml:space="preserve"> receive </w:t>
      </w:r>
      <w:r>
        <w:rPr>
          <w:rFonts w:ascii="Arial" w:cs="Arial" w:eastAsia="Arial" w:hAnsi="Arial"/>
          <w:sz w:val="18"/>
          <w:szCs w:val="18"/>
          <w:color w:val="282828"/>
        </w:rPr>
        <w:t>from the Company any additional compensation (including base salary</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bonus</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PTO/Sick, incentive compensation</w:t>
      </w:r>
      <w:r>
        <w:rPr>
          <w:rFonts w:ascii="Arial" w:cs="Arial" w:eastAsia="Arial" w:hAnsi="Arial"/>
          <w:sz w:val="18"/>
          <w:szCs w:val="18"/>
          <w:color w:val="4B4B4B"/>
        </w:rPr>
        <w:t>,</w:t>
      </w:r>
      <w:r>
        <w:rPr>
          <w:rFonts w:ascii="Arial" w:cs="Arial" w:eastAsia="Arial" w:hAnsi="Arial"/>
          <w:sz w:val="18"/>
          <w:szCs w:val="18"/>
          <w:color w:val="282828"/>
        </w:rPr>
        <w:t xml:space="preserve"> or equity)</w:t>
      </w:r>
      <w:r>
        <w:rPr>
          <w:rFonts w:ascii="Arial" w:cs="Arial" w:eastAsia="Arial" w:hAnsi="Arial"/>
          <w:sz w:val="18"/>
          <w:szCs w:val="18"/>
          <w:color w:val="4B4B4B"/>
        </w:rPr>
        <w:t>,</w:t>
      </w:r>
      <w:r>
        <w:rPr>
          <w:rFonts w:ascii="Arial" w:cs="Arial" w:eastAsia="Arial" w:hAnsi="Arial"/>
          <w:sz w:val="18"/>
          <w:szCs w:val="18"/>
          <w:color w:val="282828"/>
        </w:rPr>
        <w:t xml:space="preserve"> </w:t>
      </w:r>
      <w:r>
        <w:rPr>
          <w:rFonts w:ascii="Arial" w:cs="Arial" w:eastAsia="Arial" w:hAnsi="Arial"/>
          <w:sz w:val="18"/>
          <w:szCs w:val="18"/>
          <w:color w:val="3B3B3B"/>
        </w:rPr>
        <w:t>severance,</w:t>
      </w:r>
      <w:r>
        <w:rPr>
          <w:rFonts w:ascii="Arial" w:cs="Arial" w:eastAsia="Arial" w:hAnsi="Arial"/>
          <w:sz w:val="18"/>
          <w:szCs w:val="18"/>
          <w:color w:val="282828"/>
        </w:rPr>
        <w:t xml:space="preserve"> or benefits before or after the Separation Date</w:t>
      </w:r>
      <w:r>
        <w:rPr>
          <w:rFonts w:ascii="Arial" w:cs="Arial" w:eastAsia="Arial" w:hAnsi="Arial"/>
          <w:sz w:val="18"/>
          <w:szCs w:val="18"/>
          <w:color w:val="4B4B4B"/>
        </w:rPr>
        <w:t>,</w:t>
      </w:r>
      <w:r>
        <w:rPr>
          <w:rFonts w:ascii="Arial" w:cs="Arial" w:eastAsia="Arial" w:hAnsi="Arial"/>
          <w:sz w:val="18"/>
          <w:szCs w:val="18"/>
          <w:color w:val="282828"/>
        </w:rPr>
        <w:t xml:space="preserve"> </w:t>
      </w:r>
      <w:r>
        <w:rPr>
          <w:rFonts w:ascii="Arial" w:cs="Arial" w:eastAsia="Arial" w:hAnsi="Arial"/>
          <w:sz w:val="18"/>
          <w:szCs w:val="18"/>
          <w:color w:val="3B3B3B"/>
        </w:rPr>
        <w:t>with</w:t>
      </w:r>
      <w:r>
        <w:rPr>
          <w:rFonts w:ascii="Arial" w:cs="Arial" w:eastAsia="Arial" w:hAnsi="Arial"/>
          <w:sz w:val="18"/>
          <w:szCs w:val="18"/>
          <w:color w:val="282828"/>
        </w:rPr>
        <w:t xml:space="preserve"> the exception of any vested right </w:t>
      </w:r>
      <w:r>
        <w:rPr>
          <w:rFonts w:ascii="Arial" w:cs="Arial" w:eastAsia="Arial" w:hAnsi="Arial"/>
          <w:sz w:val="18"/>
          <w:szCs w:val="18"/>
          <w:color w:val="3B3B3B"/>
        </w:rPr>
        <w:t>you</w:t>
      </w:r>
      <w:r>
        <w:rPr>
          <w:rFonts w:ascii="Arial" w:cs="Arial" w:eastAsia="Arial" w:hAnsi="Arial"/>
          <w:sz w:val="18"/>
          <w:szCs w:val="18"/>
          <w:color w:val="282828"/>
        </w:rPr>
        <w:t xml:space="preserve"> may have under the express terms of a written ERISA-qualified benefit </w:t>
      </w:r>
      <w:r>
        <w:rPr>
          <w:rFonts w:ascii="Arial" w:cs="Arial" w:eastAsia="Arial" w:hAnsi="Arial"/>
          <w:sz w:val="18"/>
          <w:szCs w:val="18"/>
          <w:color w:val="181818"/>
        </w:rPr>
        <w:t>plan</w:t>
      </w:r>
      <w:r>
        <w:rPr>
          <w:rFonts w:ascii="Arial" w:cs="Arial" w:eastAsia="Arial" w:hAnsi="Arial"/>
          <w:sz w:val="18"/>
          <w:szCs w:val="18"/>
          <w:color w:val="282828"/>
        </w:rPr>
        <w:t xml:space="preserve"> (e.g., 401(k) account) or any vested options.</w:t>
      </w:r>
    </w:p>
    <w:p>
      <w:pPr>
        <w:spacing w:after="0" w:line="183" w:lineRule="exact"/>
        <w:rPr>
          <w:rFonts w:ascii="Arial" w:cs="Arial" w:eastAsia="Arial" w:hAnsi="Arial"/>
          <w:sz w:val="18"/>
          <w:szCs w:val="18"/>
          <w:b w:val="1"/>
          <w:bCs w:val="1"/>
          <w:color w:val="282828"/>
        </w:rPr>
      </w:pPr>
    </w:p>
    <w:p>
      <w:pPr>
        <w:jc w:val="both"/>
        <w:ind w:left="332" w:hanging="332"/>
        <w:spacing w:after="0" w:line="277" w:lineRule="auto"/>
        <w:tabs>
          <w:tab w:leader="none" w:pos="332" w:val="left"/>
        </w:tabs>
        <w:numPr>
          <w:ilvl w:val="0"/>
          <w:numId w:val="25"/>
        </w:numPr>
        <w:rPr>
          <w:rFonts w:ascii="Arial" w:cs="Arial" w:eastAsia="Arial" w:hAnsi="Arial"/>
          <w:sz w:val="17"/>
          <w:szCs w:val="17"/>
          <w:b w:val="1"/>
          <w:bCs w:val="1"/>
          <w:color w:val="282828"/>
        </w:rPr>
      </w:pPr>
      <w:r>
        <w:rPr>
          <w:rFonts w:ascii="Arial" w:cs="Arial" w:eastAsia="Arial" w:hAnsi="Arial"/>
          <w:sz w:val="17"/>
          <w:szCs w:val="17"/>
          <w:b w:val="1"/>
          <w:bCs w:val="1"/>
          <w:color w:val="181818"/>
        </w:rPr>
        <w:t xml:space="preserve">Health </w:t>
      </w:r>
      <w:r>
        <w:rPr>
          <w:rFonts w:ascii="Arial" w:cs="Arial" w:eastAsia="Arial" w:hAnsi="Arial"/>
          <w:sz w:val="17"/>
          <w:szCs w:val="17"/>
          <w:b w:val="1"/>
          <w:bCs w:val="1"/>
          <w:color w:val="282828"/>
        </w:rPr>
        <w:t>Insurance</w:t>
      </w:r>
      <w:r>
        <w:rPr>
          <w:rFonts w:ascii="Arial" w:cs="Arial" w:eastAsia="Arial" w:hAnsi="Arial"/>
          <w:sz w:val="17"/>
          <w:szCs w:val="17"/>
          <w:b w:val="1"/>
          <w:bCs w:val="1"/>
          <w:color w:val="181818"/>
        </w:rPr>
        <w:t xml:space="preserve"> </w:t>
      </w:r>
      <w:r>
        <w:rPr>
          <w:rFonts w:ascii="Arial" w:cs="Arial" w:eastAsia="Arial" w:hAnsi="Arial"/>
          <w:sz w:val="17"/>
          <w:szCs w:val="17"/>
          <w:color w:val="181818"/>
        </w:rPr>
        <w:t>-</w:t>
      </w:r>
      <w:r>
        <w:rPr>
          <w:rFonts w:ascii="Arial" w:cs="Arial" w:eastAsia="Arial" w:hAnsi="Arial"/>
          <w:sz w:val="17"/>
          <w:szCs w:val="17"/>
          <w:b w:val="1"/>
          <w:bCs w:val="1"/>
          <w:color w:val="181818"/>
        </w:rPr>
        <w:t xml:space="preserve"> </w:t>
      </w:r>
      <w:r>
        <w:rPr>
          <w:rFonts w:ascii="Arial" w:cs="Arial" w:eastAsia="Arial" w:hAnsi="Arial"/>
          <w:sz w:val="17"/>
          <w:szCs w:val="17"/>
          <w:color w:val="282828"/>
        </w:rPr>
        <w:t>Your current medical</w:t>
      </w:r>
      <w:r>
        <w:rPr>
          <w:rFonts w:ascii="Arial" w:cs="Arial" w:eastAsia="Arial" w:hAnsi="Arial"/>
          <w:sz w:val="17"/>
          <w:szCs w:val="17"/>
          <w:color w:val="4B4B4B"/>
        </w:rPr>
        <w:t>,</w:t>
      </w:r>
      <w:r>
        <w:rPr>
          <w:rFonts w:ascii="Arial" w:cs="Arial" w:eastAsia="Arial" w:hAnsi="Arial"/>
          <w:sz w:val="17"/>
          <w:szCs w:val="17"/>
          <w:b w:val="1"/>
          <w:bCs w:val="1"/>
          <w:color w:val="181818"/>
        </w:rPr>
        <w:t xml:space="preserve"> </w:t>
      </w:r>
      <w:r>
        <w:rPr>
          <w:rFonts w:ascii="Arial" w:cs="Arial" w:eastAsia="Arial" w:hAnsi="Arial"/>
          <w:sz w:val="17"/>
          <w:szCs w:val="17"/>
          <w:color w:val="282828"/>
        </w:rPr>
        <w:t>dental and vision coverage will end the last day of month following</w:t>
      </w:r>
      <w:r>
        <w:rPr>
          <w:rFonts w:ascii="Arial" w:cs="Arial" w:eastAsia="Arial" w:hAnsi="Arial"/>
          <w:sz w:val="17"/>
          <w:szCs w:val="17"/>
          <w:b w:val="1"/>
          <w:bCs w:val="1"/>
          <w:color w:val="181818"/>
        </w:rPr>
        <w:t xml:space="preserve"> </w:t>
      </w:r>
      <w:r>
        <w:rPr>
          <w:rFonts w:ascii="Arial" w:cs="Arial" w:eastAsia="Arial" w:hAnsi="Arial"/>
          <w:sz w:val="17"/>
          <w:szCs w:val="17"/>
          <w:color w:val="3B3B3B"/>
        </w:rPr>
        <w:t>your</w:t>
      </w:r>
      <w:r>
        <w:rPr>
          <w:rFonts w:ascii="Arial" w:cs="Arial" w:eastAsia="Arial" w:hAnsi="Arial"/>
          <w:sz w:val="17"/>
          <w:szCs w:val="17"/>
          <w:b w:val="1"/>
          <w:bCs w:val="1"/>
          <w:color w:val="181818"/>
        </w:rPr>
        <w:t xml:space="preserve"> </w:t>
      </w:r>
      <w:r>
        <w:rPr>
          <w:rFonts w:ascii="Arial" w:cs="Arial" w:eastAsia="Arial" w:hAnsi="Arial"/>
          <w:sz w:val="17"/>
          <w:szCs w:val="17"/>
          <w:color w:val="282828"/>
        </w:rPr>
        <w:t>termination. To</w:t>
      </w:r>
      <w:r>
        <w:rPr>
          <w:rFonts w:ascii="Arial" w:cs="Arial" w:eastAsia="Arial" w:hAnsi="Arial"/>
          <w:sz w:val="17"/>
          <w:szCs w:val="17"/>
          <w:b w:val="1"/>
          <w:bCs w:val="1"/>
          <w:color w:val="181818"/>
        </w:rPr>
        <w:t xml:space="preserve"> </w:t>
      </w:r>
      <w:r>
        <w:rPr>
          <w:rFonts w:ascii="Arial" w:cs="Arial" w:eastAsia="Arial" w:hAnsi="Arial"/>
          <w:sz w:val="17"/>
          <w:szCs w:val="17"/>
          <w:color w:val="282828"/>
        </w:rPr>
        <w:t>the extent provided by the federal COBRA law or</w:t>
      </w:r>
      <w:r>
        <w:rPr>
          <w:rFonts w:ascii="Arial" w:cs="Arial" w:eastAsia="Arial" w:hAnsi="Arial"/>
          <w:sz w:val="17"/>
          <w:szCs w:val="17"/>
          <w:color w:val="4B4B4B"/>
        </w:rPr>
        <w:t>,</w:t>
      </w:r>
      <w:r>
        <w:rPr>
          <w:rFonts w:ascii="Arial" w:cs="Arial" w:eastAsia="Arial" w:hAnsi="Arial"/>
          <w:sz w:val="17"/>
          <w:szCs w:val="17"/>
          <w:color w:val="282828"/>
        </w:rPr>
        <w:t xml:space="preserve"> if applicable</w:t>
      </w:r>
      <w:r>
        <w:rPr>
          <w:rFonts w:ascii="Arial" w:cs="Arial" w:eastAsia="Arial" w:hAnsi="Arial"/>
          <w:sz w:val="17"/>
          <w:szCs w:val="17"/>
          <w:color w:val="4B4B4B"/>
        </w:rPr>
        <w:t>,</w:t>
      </w:r>
      <w:r>
        <w:rPr>
          <w:rFonts w:ascii="Arial" w:cs="Arial" w:eastAsia="Arial" w:hAnsi="Arial"/>
          <w:sz w:val="17"/>
          <w:szCs w:val="17"/>
          <w:color w:val="282828"/>
        </w:rPr>
        <w:t xml:space="preserve"> </w:t>
      </w:r>
      <w:r>
        <w:rPr>
          <w:rFonts w:ascii="Arial" w:cs="Arial" w:eastAsia="Arial" w:hAnsi="Arial"/>
          <w:sz w:val="17"/>
          <w:szCs w:val="17"/>
          <w:color w:val="3B3B3B"/>
        </w:rPr>
        <w:t>state</w:t>
      </w:r>
      <w:r>
        <w:rPr>
          <w:rFonts w:ascii="Arial" w:cs="Arial" w:eastAsia="Arial" w:hAnsi="Arial"/>
          <w:sz w:val="17"/>
          <w:szCs w:val="17"/>
          <w:color w:val="282828"/>
        </w:rPr>
        <w:t xml:space="preserve"> insurance laws, and by the Company</w:t>
      </w:r>
      <w:r>
        <w:rPr>
          <w:rFonts w:ascii="Arial" w:cs="Arial" w:eastAsia="Arial" w:hAnsi="Arial"/>
          <w:sz w:val="17"/>
          <w:szCs w:val="17"/>
          <w:color w:val="4B4B4B"/>
        </w:rPr>
        <w:t>' s</w:t>
      </w:r>
      <w:r>
        <w:rPr>
          <w:rFonts w:ascii="Arial" w:cs="Arial" w:eastAsia="Arial" w:hAnsi="Arial"/>
          <w:sz w:val="17"/>
          <w:szCs w:val="17"/>
          <w:color w:val="282828"/>
        </w:rPr>
        <w:t xml:space="preserve"> current group health insurance policies</w:t>
      </w:r>
      <w:r>
        <w:rPr>
          <w:rFonts w:ascii="Arial" w:cs="Arial" w:eastAsia="Arial" w:hAnsi="Arial"/>
          <w:sz w:val="17"/>
          <w:szCs w:val="17"/>
          <w:color w:val="4B4B4B"/>
        </w:rPr>
        <w:t>,</w:t>
      </w:r>
      <w:r>
        <w:rPr>
          <w:rFonts w:ascii="Arial" w:cs="Arial" w:eastAsia="Arial" w:hAnsi="Arial"/>
          <w:sz w:val="17"/>
          <w:szCs w:val="17"/>
          <w:color w:val="282828"/>
        </w:rPr>
        <w:t xml:space="preserve"> </w:t>
      </w:r>
      <w:r>
        <w:rPr>
          <w:rFonts w:ascii="Arial" w:cs="Arial" w:eastAsia="Arial" w:hAnsi="Arial"/>
          <w:sz w:val="17"/>
          <w:szCs w:val="17"/>
          <w:color w:val="3B3B3B"/>
        </w:rPr>
        <w:t>you</w:t>
      </w:r>
      <w:r>
        <w:rPr>
          <w:rFonts w:ascii="Arial" w:cs="Arial" w:eastAsia="Arial" w:hAnsi="Arial"/>
          <w:sz w:val="17"/>
          <w:szCs w:val="17"/>
          <w:color w:val="282828"/>
        </w:rPr>
        <w:t xml:space="preserve"> will be eligible to continue </w:t>
      </w:r>
      <w:r>
        <w:rPr>
          <w:rFonts w:ascii="Arial" w:cs="Arial" w:eastAsia="Arial" w:hAnsi="Arial"/>
          <w:sz w:val="17"/>
          <w:szCs w:val="17"/>
          <w:color w:val="3B3B3B"/>
        </w:rPr>
        <w:t>your</w:t>
      </w:r>
      <w:r>
        <w:rPr>
          <w:rFonts w:ascii="Arial" w:cs="Arial" w:eastAsia="Arial" w:hAnsi="Arial"/>
          <w:sz w:val="17"/>
          <w:szCs w:val="17"/>
          <w:color w:val="282828"/>
        </w:rPr>
        <w:t xml:space="preserve"> group health insurance benefits at your own expense. Later, you may </w:t>
      </w:r>
      <w:r>
        <w:rPr>
          <w:rFonts w:ascii="Arial" w:cs="Arial" w:eastAsia="Arial" w:hAnsi="Arial"/>
          <w:sz w:val="17"/>
          <w:szCs w:val="17"/>
          <w:color w:val="181818"/>
        </w:rPr>
        <w:t>be</w:t>
      </w:r>
      <w:r>
        <w:rPr>
          <w:rFonts w:ascii="Arial" w:cs="Arial" w:eastAsia="Arial" w:hAnsi="Arial"/>
          <w:sz w:val="17"/>
          <w:szCs w:val="17"/>
          <w:color w:val="282828"/>
        </w:rPr>
        <w:t xml:space="preserve"> able </w:t>
      </w:r>
      <w:r>
        <w:rPr>
          <w:rFonts w:ascii="Arial" w:cs="Arial" w:eastAsia="Arial" w:hAnsi="Arial"/>
          <w:sz w:val="17"/>
          <w:szCs w:val="17"/>
          <w:color w:val="181818"/>
        </w:rPr>
        <w:t xml:space="preserve">to convert </w:t>
      </w:r>
      <w:r>
        <w:rPr>
          <w:rFonts w:ascii="Arial" w:cs="Arial" w:eastAsia="Arial" w:hAnsi="Arial"/>
          <w:sz w:val="17"/>
          <w:szCs w:val="17"/>
          <w:color w:val="282828"/>
        </w:rPr>
        <w:t>to</w:t>
      </w:r>
      <w:r>
        <w:rPr>
          <w:rFonts w:ascii="Arial" w:cs="Arial" w:eastAsia="Arial" w:hAnsi="Arial"/>
          <w:sz w:val="17"/>
          <w:szCs w:val="17"/>
          <w:color w:val="181818"/>
        </w:rPr>
        <w:t xml:space="preserve"> an </w:t>
      </w:r>
      <w:r>
        <w:rPr>
          <w:rFonts w:ascii="Arial" w:cs="Arial" w:eastAsia="Arial" w:hAnsi="Arial"/>
          <w:sz w:val="17"/>
          <w:szCs w:val="17"/>
          <w:color w:val="282828"/>
        </w:rPr>
        <w:t>individual</w:t>
      </w:r>
      <w:r>
        <w:rPr>
          <w:rFonts w:ascii="Arial" w:cs="Arial" w:eastAsia="Arial" w:hAnsi="Arial"/>
          <w:sz w:val="17"/>
          <w:szCs w:val="17"/>
          <w:color w:val="181818"/>
        </w:rPr>
        <w:t xml:space="preserve"> policy through </w:t>
      </w:r>
      <w:r>
        <w:rPr>
          <w:rFonts w:ascii="Arial" w:cs="Arial" w:eastAsia="Arial" w:hAnsi="Arial"/>
          <w:sz w:val="17"/>
          <w:szCs w:val="17"/>
          <w:color w:val="282828"/>
        </w:rPr>
        <w:t>the</w:t>
      </w:r>
      <w:r>
        <w:rPr>
          <w:rFonts w:ascii="Arial" w:cs="Arial" w:eastAsia="Arial" w:hAnsi="Arial"/>
          <w:sz w:val="17"/>
          <w:szCs w:val="17"/>
          <w:color w:val="181818"/>
        </w:rPr>
        <w:t xml:space="preserve"> provider of </w:t>
      </w:r>
      <w:r>
        <w:rPr>
          <w:rFonts w:ascii="Arial" w:cs="Arial" w:eastAsia="Arial" w:hAnsi="Arial"/>
          <w:sz w:val="17"/>
          <w:szCs w:val="17"/>
          <w:color w:val="282828"/>
        </w:rPr>
        <w:t>the Company's health insurance if</w:t>
      </w:r>
      <w:r>
        <w:rPr>
          <w:rFonts w:ascii="Arial" w:cs="Arial" w:eastAsia="Arial" w:hAnsi="Arial"/>
          <w:sz w:val="17"/>
          <w:szCs w:val="17"/>
          <w:color w:val="181818"/>
        </w:rPr>
        <w:t xml:space="preserve"> </w:t>
      </w:r>
      <w:r>
        <w:rPr>
          <w:rFonts w:ascii="Arial" w:cs="Arial" w:eastAsia="Arial" w:hAnsi="Arial"/>
          <w:sz w:val="17"/>
          <w:szCs w:val="17"/>
          <w:color w:val="3B3B3B"/>
        </w:rPr>
        <w:t>you</w:t>
      </w:r>
      <w:r>
        <w:rPr>
          <w:rFonts w:ascii="Arial" w:cs="Arial" w:eastAsia="Arial" w:hAnsi="Arial"/>
          <w:sz w:val="17"/>
          <w:szCs w:val="17"/>
          <w:color w:val="181818"/>
        </w:rPr>
        <w:t xml:space="preserve"> </w:t>
      </w:r>
      <w:r>
        <w:rPr>
          <w:rFonts w:ascii="Arial" w:cs="Arial" w:eastAsia="Arial" w:hAnsi="Arial"/>
          <w:sz w:val="17"/>
          <w:szCs w:val="17"/>
          <w:color w:val="282828"/>
        </w:rPr>
        <w:t>wish. You will be provided with a</w:t>
      </w:r>
      <w:r>
        <w:rPr>
          <w:rFonts w:ascii="Arial" w:cs="Arial" w:eastAsia="Arial" w:hAnsi="Arial"/>
          <w:sz w:val="17"/>
          <w:szCs w:val="17"/>
          <w:color w:val="181818"/>
        </w:rPr>
        <w:t xml:space="preserve"> </w:t>
      </w:r>
      <w:r>
        <w:rPr>
          <w:rFonts w:ascii="Arial" w:cs="Arial" w:eastAsia="Arial" w:hAnsi="Arial"/>
          <w:sz w:val="17"/>
          <w:szCs w:val="17"/>
          <w:color w:val="282828"/>
        </w:rPr>
        <w:t xml:space="preserve">separate notice describing </w:t>
      </w:r>
      <w:r>
        <w:rPr>
          <w:rFonts w:ascii="Arial" w:cs="Arial" w:eastAsia="Arial" w:hAnsi="Arial"/>
          <w:sz w:val="17"/>
          <w:szCs w:val="17"/>
          <w:color w:val="3B3B3B"/>
        </w:rPr>
        <w:t>your</w:t>
      </w:r>
      <w:r>
        <w:rPr>
          <w:rFonts w:ascii="Arial" w:cs="Arial" w:eastAsia="Arial" w:hAnsi="Arial"/>
          <w:sz w:val="17"/>
          <w:szCs w:val="17"/>
          <w:color w:val="282828"/>
        </w:rPr>
        <w:t xml:space="preserve"> rights and obligations under COBRA.</w:t>
      </w:r>
    </w:p>
    <w:p>
      <w:pPr>
        <w:spacing w:after="0" w:line="167" w:lineRule="exact"/>
        <w:rPr>
          <w:rFonts w:ascii="Arial" w:cs="Arial" w:eastAsia="Arial" w:hAnsi="Arial"/>
          <w:sz w:val="17"/>
          <w:szCs w:val="17"/>
          <w:b w:val="1"/>
          <w:bCs w:val="1"/>
          <w:color w:val="282828"/>
        </w:rPr>
      </w:pPr>
    </w:p>
    <w:p>
      <w:pPr>
        <w:jc w:val="both"/>
        <w:ind w:left="332" w:hanging="332"/>
        <w:spacing w:after="0" w:line="314" w:lineRule="auto"/>
        <w:tabs>
          <w:tab w:leader="none" w:pos="332" w:val="left"/>
        </w:tabs>
        <w:numPr>
          <w:ilvl w:val="0"/>
          <w:numId w:val="25"/>
        </w:numPr>
        <w:rPr>
          <w:rFonts w:ascii="Arial" w:cs="Arial" w:eastAsia="Arial" w:hAnsi="Arial"/>
          <w:sz w:val="16"/>
          <w:szCs w:val="16"/>
          <w:b w:val="1"/>
          <w:bCs w:val="1"/>
          <w:color w:val="181818"/>
        </w:rPr>
      </w:pPr>
      <w:r>
        <w:rPr>
          <w:rFonts w:ascii="Arial" w:cs="Arial" w:eastAsia="Arial" w:hAnsi="Arial"/>
          <w:sz w:val="16"/>
          <w:szCs w:val="16"/>
          <w:b w:val="1"/>
          <w:bCs w:val="1"/>
          <w:color w:val="282828"/>
        </w:rPr>
        <w:t xml:space="preserve">EXPENSE REIMBURSEMENTS </w:t>
      </w:r>
      <w:r>
        <w:rPr>
          <w:rFonts w:ascii="Arial" w:cs="Arial" w:eastAsia="Arial" w:hAnsi="Arial"/>
          <w:sz w:val="16"/>
          <w:szCs w:val="16"/>
          <w:color w:val="181818"/>
        </w:rPr>
        <w:t>-</w:t>
      </w:r>
      <w:r>
        <w:rPr>
          <w:rFonts w:ascii="Arial" w:cs="Arial" w:eastAsia="Arial" w:hAnsi="Arial"/>
          <w:sz w:val="16"/>
          <w:szCs w:val="16"/>
          <w:b w:val="1"/>
          <w:bCs w:val="1"/>
          <w:color w:val="282828"/>
        </w:rPr>
        <w:t xml:space="preserve"> </w:t>
      </w:r>
      <w:r>
        <w:rPr>
          <w:rFonts w:ascii="Arial" w:cs="Arial" w:eastAsia="Arial" w:hAnsi="Arial"/>
          <w:sz w:val="16"/>
          <w:szCs w:val="16"/>
          <w:color w:val="282828"/>
        </w:rPr>
        <w:t>You agree that, within ten (10) days after the Separation Date, you will submit your final</w:t>
      </w:r>
      <w:r>
        <w:rPr>
          <w:rFonts w:ascii="Arial" w:cs="Arial" w:eastAsia="Arial" w:hAnsi="Arial"/>
          <w:sz w:val="16"/>
          <w:szCs w:val="16"/>
          <w:b w:val="1"/>
          <w:bCs w:val="1"/>
          <w:color w:val="282828"/>
        </w:rPr>
        <w:t xml:space="preserve"> </w:t>
      </w:r>
      <w:r>
        <w:rPr>
          <w:rFonts w:ascii="Arial" w:cs="Arial" w:eastAsia="Arial" w:hAnsi="Arial"/>
          <w:sz w:val="16"/>
          <w:szCs w:val="16"/>
          <w:color w:val="181818"/>
        </w:rPr>
        <w:t xml:space="preserve">documented </w:t>
      </w:r>
      <w:r>
        <w:rPr>
          <w:rFonts w:ascii="Arial" w:cs="Arial" w:eastAsia="Arial" w:hAnsi="Arial"/>
          <w:sz w:val="16"/>
          <w:szCs w:val="16"/>
          <w:color w:val="282828"/>
        </w:rPr>
        <w:t>expense reimbursement statement reflecting all business expenses</w:t>
      </w:r>
      <w:r>
        <w:rPr>
          <w:rFonts w:ascii="Arial" w:cs="Arial" w:eastAsia="Arial" w:hAnsi="Arial"/>
          <w:sz w:val="16"/>
          <w:szCs w:val="16"/>
          <w:color w:val="181818"/>
        </w:rPr>
        <w:t xml:space="preserve"> </w:t>
      </w:r>
      <w:r>
        <w:rPr>
          <w:rFonts w:ascii="Arial" w:cs="Arial" w:eastAsia="Arial" w:hAnsi="Arial"/>
          <w:sz w:val="16"/>
          <w:szCs w:val="16"/>
          <w:color w:val="3B3B3B"/>
        </w:rPr>
        <w:t>you</w:t>
      </w:r>
      <w:r>
        <w:rPr>
          <w:rFonts w:ascii="Arial" w:cs="Arial" w:eastAsia="Arial" w:hAnsi="Arial"/>
          <w:sz w:val="16"/>
          <w:szCs w:val="16"/>
          <w:color w:val="181818"/>
        </w:rPr>
        <w:t xml:space="preserve"> </w:t>
      </w:r>
      <w:r>
        <w:rPr>
          <w:rFonts w:ascii="Arial" w:cs="Arial" w:eastAsia="Arial" w:hAnsi="Arial"/>
          <w:sz w:val="16"/>
          <w:szCs w:val="16"/>
          <w:color w:val="282828"/>
        </w:rPr>
        <w:t>incurred through the Separation Date, if any</w:t>
      </w:r>
      <w:r>
        <w:rPr>
          <w:rFonts w:ascii="Arial" w:cs="Arial" w:eastAsia="Arial" w:hAnsi="Arial"/>
          <w:sz w:val="16"/>
          <w:szCs w:val="16"/>
          <w:color w:val="4B4B4B"/>
        </w:rPr>
        <w:t>,</w:t>
      </w:r>
      <w:r>
        <w:rPr>
          <w:rFonts w:ascii="Arial" w:cs="Arial" w:eastAsia="Arial" w:hAnsi="Arial"/>
          <w:sz w:val="16"/>
          <w:szCs w:val="16"/>
          <w:color w:val="181818"/>
        </w:rPr>
        <w:t xml:space="preserve"> </w:t>
      </w:r>
      <w:r>
        <w:rPr>
          <w:rFonts w:ascii="Arial" w:cs="Arial" w:eastAsia="Arial" w:hAnsi="Arial"/>
          <w:sz w:val="16"/>
          <w:szCs w:val="16"/>
          <w:color w:val="282828"/>
        </w:rPr>
        <w:t>for</w:t>
      </w:r>
      <w:r>
        <w:rPr>
          <w:rFonts w:ascii="Arial" w:cs="Arial" w:eastAsia="Arial" w:hAnsi="Arial"/>
          <w:sz w:val="16"/>
          <w:szCs w:val="16"/>
          <w:color w:val="181818"/>
        </w:rPr>
        <w:t xml:space="preserve"> </w:t>
      </w:r>
      <w:r>
        <w:rPr>
          <w:rFonts w:ascii="Arial" w:cs="Arial" w:eastAsia="Arial" w:hAnsi="Arial"/>
          <w:sz w:val="16"/>
          <w:szCs w:val="16"/>
          <w:color w:val="3B3B3B"/>
        </w:rPr>
        <w:t xml:space="preserve">which you </w:t>
      </w:r>
      <w:r>
        <w:rPr>
          <w:rFonts w:ascii="Arial" w:cs="Arial" w:eastAsia="Arial" w:hAnsi="Arial"/>
          <w:sz w:val="16"/>
          <w:szCs w:val="16"/>
          <w:color w:val="282828"/>
        </w:rPr>
        <w:t>seek reimbursement. The Company will reimburse</w:t>
      </w:r>
      <w:r>
        <w:rPr>
          <w:rFonts w:ascii="Arial" w:cs="Arial" w:eastAsia="Arial" w:hAnsi="Arial"/>
          <w:sz w:val="16"/>
          <w:szCs w:val="16"/>
          <w:color w:val="3B3B3B"/>
        </w:rPr>
        <w:t xml:space="preserve"> you </w:t>
      </w:r>
      <w:r>
        <w:rPr>
          <w:rFonts w:ascii="Arial" w:cs="Arial" w:eastAsia="Arial" w:hAnsi="Arial"/>
          <w:sz w:val="16"/>
          <w:szCs w:val="16"/>
          <w:color w:val="282828"/>
        </w:rPr>
        <w:t>for these expenses pursuant to its regular business practice.</w:t>
      </w:r>
    </w:p>
    <w:p>
      <w:pPr>
        <w:spacing w:after="0" w:line="141" w:lineRule="exact"/>
        <w:rPr>
          <w:rFonts w:ascii="Arial" w:cs="Arial" w:eastAsia="Arial" w:hAnsi="Arial"/>
          <w:sz w:val="16"/>
          <w:szCs w:val="16"/>
          <w:b w:val="1"/>
          <w:bCs w:val="1"/>
          <w:color w:val="181818"/>
        </w:rPr>
      </w:pPr>
    </w:p>
    <w:p>
      <w:pPr>
        <w:jc w:val="both"/>
        <w:ind w:left="332" w:hanging="332"/>
        <w:spacing w:after="0" w:line="256" w:lineRule="auto"/>
        <w:tabs>
          <w:tab w:leader="none" w:pos="332" w:val="left"/>
        </w:tabs>
        <w:numPr>
          <w:ilvl w:val="0"/>
          <w:numId w:val="25"/>
        </w:numPr>
        <w:rPr>
          <w:rFonts w:ascii="Arial" w:cs="Arial" w:eastAsia="Arial" w:hAnsi="Arial"/>
          <w:sz w:val="18"/>
          <w:szCs w:val="18"/>
          <w:b w:val="1"/>
          <w:bCs w:val="1"/>
          <w:color w:val="181818"/>
        </w:rPr>
      </w:pPr>
      <w:r>
        <w:rPr>
          <w:rFonts w:ascii="Arial" w:cs="Arial" w:eastAsia="Arial" w:hAnsi="Arial"/>
          <w:sz w:val="18"/>
          <w:szCs w:val="18"/>
          <w:b w:val="1"/>
          <w:bCs w:val="1"/>
          <w:color w:val="181818"/>
        </w:rPr>
        <w:t xml:space="preserve">RETURN OF COMPANY PROPERTY </w:t>
      </w:r>
      <w:r>
        <w:rPr>
          <w:rFonts w:ascii="Arial" w:cs="Arial" w:eastAsia="Arial" w:hAnsi="Arial"/>
          <w:sz w:val="18"/>
          <w:szCs w:val="18"/>
          <w:color w:val="181818"/>
        </w:rPr>
        <w:t>- By</w:t>
      </w:r>
      <w:r>
        <w:rPr>
          <w:rFonts w:ascii="Arial" w:cs="Arial" w:eastAsia="Arial" w:hAnsi="Arial"/>
          <w:sz w:val="18"/>
          <w:szCs w:val="18"/>
          <w:b w:val="1"/>
          <w:bCs w:val="1"/>
          <w:color w:val="181818"/>
        </w:rPr>
        <w:t xml:space="preserve"> </w:t>
      </w:r>
      <w:r>
        <w:rPr>
          <w:rFonts w:ascii="Arial" w:cs="Arial" w:eastAsia="Arial" w:hAnsi="Arial"/>
          <w:sz w:val="18"/>
          <w:szCs w:val="18"/>
          <w:color w:val="282828"/>
        </w:rPr>
        <w:t>the Separation</w:t>
      </w:r>
      <w:r>
        <w:rPr>
          <w:rFonts w:ascii="Arial" w:cs="Arial" w:eastAsia="Arial" w:hAnsi="Arial"/>
          <w:sz w:val="18"/>
          <w:szCs w:val="18"/>
          <w:b w:val="1"/>
          <w:bCs w:val="1"/>
          <w:color w:val="181818"/>
        </w:rPr>
        <w:t xml:space="preserve"> </w:t>
      </w:r>
      <w:r>
        <w:rPr>
          <w:rFonts w:ascii="Arial" w:cs="Arial" w:eastAsia="Arial" w:hAnsi="Arial"/>
          <w:sz w:val="18"/>
          <w:szCs w:val="18"/>
          <w:color w:val="181818"/>
        </w:rPr>
        <w:t>Date</w:t>
      </w:r>
      <w:r>
        <w:rPr>
          <w:rFonts w:ascii="Arial" w:cs="Arial" w:eastAsia="Arial" w:hAnsi="Arial"/>
          <w:sz w:val="18"/>
          <w:szCs w:val="18"/>
          <w:color w:val="4B4B4B"/>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you agree to return to the Company all Company documents</w:t>
      </w:r>
      <w:r>
        <w:rPr>
          <w:rFonts w:ascii="Arial" w:cs="Arial" w:eastAsia="Arial" w:hAnsi="Arial"/>
          <w:sz w:val="18"/>
          <w:szCs w:val="18"/>
          <w:b w:val="1"/>
          <w:bCs w:val="1"/>
          <w:color w:val="181818"/>
        </w:rPr>
        <w:t xml:space="preserve"> </w:t>
      </w:r>
      <w:r>
        <w:rPr>
          <w:rFonts w:ascii="Arial" w:cs="Arial" w:eastAsia="Arial" w:hAnsi="Arial"/>
          <w:sz w:val="18"/>
          <w:szCs w:val="18"/>
          <w:color w:val="3B3B3B"/>
        </w:rPr>
        <w:t>(</w:t>
      </w:r>
      <w:r>
        <w:rPr>
          <w:rFonts w:ascii="Arial" w:cs="Arial" w:eastAsia="Arial" w:hAnsi="Arial"/>
          <w:sz w:val="18"/>
          <w:szCs w:val="18"/>
          <w:color w:val="282828"/>
        </w:rPr>
        <w:t>and all copies thereof) and other Company property within</w:t>
      </w:r>
      <w:r>
        <w:rPr>
          <w:rFonts w:ascii="Arial" w:cs="Arial" w:eastAsia="Arial" w:hAnsi="Arial"/>
          <w:sz w:val="18"/>
          <w:szCs w:val="18"/>
          <w:color w:val="3B3B3B"/>
        </w:rPr>
        <w:t xml:space="preserve"> your </w:t>
      </w:r>
      <w:r>
        <w:rPr>
          <w:rFonts w:ascii="Arial" w:cs="Arial" w:eastAsia="Arial" w:hAnsi="Arial"/>
          <w:sz w:val="18"/>
          <w:szCs w:val="18"/>
          <w:color w:val="282828"/>
        </w:rPr>
        <w:t>possession</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custody or control</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including</w:t>
      </w:r>
      <w:r>
        <w:rPr>
          <w:rFonts w:ascii="Arial" w:cs="Arial" w:eastAsia="Arial" w:hAnsi="Arial"/>
          <w:sz w:val="18"/>
          <w:szCs w:val="18"/>
          <w:color w:val="4B4B4B"/>
        </w:rPr>
        <w:t>,</w:t>
      </w:r>
      <w:r>
        <w:rPr>
          <w:rFonts w:ascii="Arial" w:cs="Arial" w:eastAsia="Arial" w:hAnsi="Arial"/>
          <w:sz w:val="18"/>
          <w:szCs w:val="18"/>
          <w:color w:val="3B3B3B"/>
        </w:rPr>
        <w:t xml:space="preserve"> </w:t>
      </w:r>
      <w:r>
        <w:rPr>
          <w:rFonts w:ascii="Arial" w:cs="Arial" w:eastAsia="Arial" w:hAnsi="Arial"/>
          <w:sz w:val="18"/>
          <w:szCs w:val="18"/>
          <w:color w:val="282828"/>
        </w:rPr>
        <w:t>but not limited</w:t>
      </w:r>
      <w:r>
        <w:rPr>
          <w:rFonts w:ascii="Arial" w:cs="Arial" w:eastAsia="Arial" w:hAnsi="Arial"/>
          <w:sz w:val="18"/>
          <w:szCs w:val="18"/>
          <w:color w:val="3B3B3B"/>
        </w:rPr>
        <w:t xml:space="preserve"> to, </w:t>
      </w:r>
      <w:r>
        <w:rPr>
          <w:rFonts w:ascii="Arial" w:cs="Arial" w:eastAsia="Arial" w:hAnsi="Arial"/>
          <w:sz w:val="18"/>
          <w:szCs w:val="18"/>
          <w:color w:val="282828"/>
        </w:rPr>
        <w:t>Company files</w:t>
      </w:r>
      <w:r>
        <w:rPr>
          <w:rFonts w:ascii="Arial" w:cs="Arial" w:eastAsia="Arial" w:hAnsi="Arial"/>
          <w:sz w:val="18"/>
          <w:szCs w:val="18"/>
          <w:color w:val="4B4B4B"/>
        </w:rPr>
        <w:t>,</w:t>
      </w:r>
      <w:r>
        <w:rPr>
          <w:rFonts w:ascii="Arial" w:cs="Arial" w:eastAsia="Arial" w:hAnsi="Arial"/>
          <w:sz w:val="18"/>
          <w:szCs w:val="18"/>
          <w:color w:val="282828"/>
        </w:rPr>
        <w:t xml:space="preserve"> notes, drawings</w:t>
      </w:r>
      <w:r>
        <w:rPr>
          <w:rFonts w:ascii="Arial" w:cs="Arial" w:eastAsia="Arial" w:hAnsi="Arial"/>
          <w:sz w:val="18"/>
          <w:szCs w:val="18"/>
          <w:color w:val="4B4B4B"/>
        </w:rPr>
        <w:t>,</w:t>
      </w:r>
      <w:r>
        <w:rPr>
          <w:rFonts w:ascii="Arial" w:cs="Arial" w:eastAsia="Arial" w:hAnsi="Arial"/>
          <w:sz w:val="18"/>
          <w:szCs w:val="18"/>
          <w:color w:val="282828"/>
        </w:rPr>
        <w:t xml:space="preserve"> records</w:t>
      </w:r>
      <w:r>
        <w:rPr>
          <w:rFonts w:ascii="Arial" w:cs="Arial" w:eastAsia="Arial" w:hAnsi="Arial"/>
          <w:sz w:val="18"/>
          <w:szCs w:val="18"/>
          <w:color w:val="4B4B4B"/>
        </w:rPr>
        <w:t>,</w:t>
      </w:r>
      <w:r>
        <w:rPr>
          <w:rFonts w:ascii="Arial" w:cs="Arial" w:eastAsia="Arial" w:hAnsi="Arial"/>
          <w:sz w:val="18"/>
          <w:szCs w:val="18"/>
          <w:color w:val="282828"/>
        </w:rPr>
        <w:t xml:space="preserve"> business plans and forecasts, financial information</w:t>
      </w:r>
      <w:r>
        <w:rPr>
          <w:rFonts w:ascii="Arial" w:cs="Arial" w:eastAsia="Arial" w:hAnsi="Arial"/>
          <w:sz w:val="18"/>
          <w:szCs w:val="18"/>
          <w:color w:val="4B4B4B"/>
        </w:rPr>
        <w:t>,</w:t>
      </w:r>
      <w:r>
        <w:rPr>
          <w:rFonts w:ascii="Arial" w:cs="Arial" w:eastAsia="Arial" w:hAnsi="Arial"/>
          <w:sz w:val="18"/>
          <w:szCs w:val="18"/>
          <w:color w:val="282828"/>
        </w:rPr>
        <w:t xml:space="preserve"> specifications, computer-recorded information, tangible </w:t>
      </w:r>
      <w:r>
        <w:rPr>
          <w:rFonts w:ascii="Arial" w:cs="Arial" w:eastAsia="Arial" w:hAnsi="Arial"/>
          <w:sz w:val="18"/>
          <w:szCs w:val="18"/>
          <w:color w:val="181818"/>
        </w:rPr>
        <w:t>property</w:t>
      </w:r>
      <w:r>
        <w:rPr>
          <w:rFonts w:ascii="Arial" w:cs="Arial" w:eastAsia="Arial" w:hAnsi="Arial"/>
          <w:sz w:val="18"/>
          <w:szCs w:val="18"/>
          <w:color w:val="282828"/>
        </w:rPr>
        <w:t xml:space="preserve"> (including, </w:t>
      </w:r>
      <w:r>
        <w:rPr>
          <w:rFonts w:ascii="Arial" w:cs="Arial" w:eastAsia="Arial" w:hAnsi="Arial"/>
          <w:sz w:val="18"/>
          <w:szCs w:val="18"/>
          <w:color w:val="181818"/>
        </w:rPr>
        <w:t>but</w:t>
      </w:r>
      <w:r>
        <w:rPr>
          <w:rFonts w:ascii="Arial" w:cs="Arial" w:eastAsia="Arial" w:hAnsi="Arial"/>
          <w:sz w:val="18"/>
          <w:szCs w:val="18"/>
          <w:color w:val="282828"/>
        </w:rPr>
        <w:t xml:space="preserve"> not </w:t>
      </w:r>
      <w:r>
        <w:rPr>
          <w:rFonts w:ascii="Arial" w:cs="Arial" w:eastAsia="Arial" w:hAnsi="Arial"/>
          <w:sz w:val="18"/>
          <w:szCs w:val="18"/>
          <w:color w:val="181818"/>
        </w:rPr>
        <w:t>limited</w:t>
      </w:r>
      <w:r>
        <w:rPr>
          <w:rFonts w:ascii="Arial" w:cs="Arial" w:eastAsia="Arial" w:hAnsi="Arial"/>
          <w:sz w:val="18"/>
          <w:szCs w:val="18"/>
          <w:color w:val="282828"/>
        </w:rPr>
        <w:t xml:space="preserve"> to)</w:t>
      </w:r>
      <w:r>
        <w:rPr>
          <w:rFonts w:ascii="Arial" w:cs="Arial" w:eastAsia="Arial" w:hAnsi="Arial"/>
          <w:sz w:val="18"/>
          <w:szCs w:val="18"/>
          <w:color w:val="4B4B4B"/>
        </w:rPr>
        <w:t>,</w:t>
      </w:r>
      <w:r>
        <w:rPr>
          <w:rFonts w:ascii="Arial" w:cs="Arial" w:eastAsia="Arial" w:hAnsi="Arial"/>
          <w:sz w:val="18"/>
          <w:szCs w:val="18"/>
          <w:color w:val="282828"/>
        </w:rPr>
        <w:t xml:space="preserve"> credit cards, entry cards</w:t>
      </w:r>
      <w:r>
        <w:rPr>
          <w:rFonts w:ascii="Arial" w:cs="Arial" w:eastAsia="Arial" w:hAnsi="Arial"/>
          <w:sz w:val="18"/>
          <w:szCs w:val="18"/>
          <w:color w:val="4B4B4B"/>
        </w:rPr>
        <w:t>,</w:t>
      </w:r>
      <w:r>
        <w:rPr>
          <w:rFonts w:ascii="Arial" w:cs="Arial" w:eastAsia="Arial" w:hAnsi="Arial"/>
          <w:sz w:val="18"/>
          <w:szCs w:val="18"/>
          <w:color w:val="282828"/>
        </w:rPr>
        <w:t xml:space="preserve"> identification badges</w:t>
      </w:r>
      <w:r>
        <w:rPr>
          <w:rFonts w:ascii="Arial" w:cs="Arial" w:eastAsia="Arial" w:hAnsi="Arial"/>
          <w:sz w:val="18"/>
          <w:szCs w:val="18"/>
          <w:color w:val="4B4B4B"/>
        </w:rPr>
        <w:t>,</w:t>
      </w:r>
      <w:r>
        <w:rPr>
          <w:rFonts w:ascii="Arial" w:cs="Arial" w:eastAsia="Arial" w:hAnsi="Arial"/>
          <w:sz w:val="18"/>
          <w:szCs w:val="18"/>
          <w:color w:val="282828"/>
        </w:rPr>
        <w:t xml:space="preserve"> and keys; and</w:t>
      </w:r>
      <w:r>
        <w:rPr>
          <w:rFonts w:ascii="Arial" w:cs="Arial" w:eastAsia="Arial" w:hAnsi="Arial"/>
          <w:sz w:val="18"/>
          <w:szCs w:val="18"/>
          <w:color w:val="4B4B4B"/>
        </w:rPr>
        <w:t>,</w:t>
      </w:r>
      <w:r>
        <w:rPr>
          <w:rFonts w:ascii="Arial" w:cs="Arial" w:eastAsia="Arial" w:hAnsi="Arial"/>
          <w:sz w:val="18"/>
          <w:szCs w:val="18"/>
          <w:color w:val="282828"/>
        </w:rPr>
        <w:t xml:space="preserve"> any materials of an</w:t>
      </w:r>
      <w:r>
        <w:rPr>
          <w:rFonts w:ascii="Arial" w:cs="Arial" w:eastAsia="Arial" w:hAnsi="Arial"/>
          <w:sz w:val="18"/>
          <w:szCs w:val="18"/>
          <w:color w:val="4B4B4B"/>
        </w:rPr>
        <w:t>y</w:t>
      </w:r>
      <w:r>
        <w:rPr>
          <w:rFonts w:ascii="Arial" w:cs="Arial" w:eastAsia="Arial" w:hAnsi="Arial"/>
          <w:sz w:val="18"/>
          <w:szCs w:val="18"/>
          <w:color w:val="282828"/>
        </w:rPr>
        <w:t xml:space="preserve"> kind that contain or embody any proprietary or confidential information of the Company </w:t>
      </w:r>
      <w:r>
        <w:rPr>
          <w:rFonts w:ascii="Arial" w:cs="Arial" w:eastAsia="Arial" w:hAnsi="Arial"/>
          <w:sz w:val="18"/>
          <w:szCs w:val="18"/>
          <w:color w:val="3B3B3B"/>
        </w:rPr>
        <w:t>(</w:t>
      </w:r>
      <w:r>
        <w:rPr>
          <w:rFonts w:ascii="Arial" w:cs="Arial" w:eastAsia="Arial" w:hAnsi="Arial"/>
          <w:sz w:val="18"/>
          <w:szCs w:val="18"/>
          <w:color w:val="282828"/>
        </w:rPr>
        <w:t>and all reproductions thereof).</w:t>
      </w:r>
    </w:p>
    <w:p>
      <w:pPr>
        <w:spacing w:after="0" w:line="187" w:lineRule="exact"/>
        <w:rPr>
          <w:rFonts w:ascii="Arial" w:cs="Arial" w:eastAsia="Arial" w:hAnsi="Arial"/>
          <w:sz w:val="18"/>
          <w:szCs w:val="18"/>
          <w:b w:val="1"/>
          <w:bCs w:val="1"/>
          <w:color w:val="181818"/>
        </w:rPr>
      </w:pPr>
    </w:p>
    <w:p>
      <w:pPr>
        <w:ind w:left="332" w:hanging="332"/>
        <w:spacing w:after="0" w:line="282" w:lineRule="auto"/>
        <w:tabs>
          <w:tab w:leader="none" w:pos="332" w:val="left"/>
        </w:tabs>
        <w:numPr>
          <w:ilvl w:val="0"/>
          <w:numId w:val="25"/>
        </w:numPr>
        <w:rPr>
          <w:rFonts w:ascii="Arial" w:cs="Arial" w:eastAsia="Arial" w:hAnsi="Arial"/>
          <w:sz w:val="18"/>
          <w:szCs w:val="18"/>
          <w:b w:val="1"/>
          <w:bCs w:val="1"/>
          <w:color w:val="282828"/>
        </w:rPr>
      </w:pPr>
      <w:r>
        <w:rPr>
          <w:rFonts w:ascii="Arial" w:cs="Arial" w:eastAsia="Arial" w:hAnsi="Arial"/>
          <w:sz w:val="18"/>
          <w:szCs w:val="18"/>
          <w:b w:val="1"/>
          <w:bCs w:val="1"/>
          <w:color w:val="181818"/>
        </w:rPr>
        <w:t xml:space="preserve">PROPRIETARY </w:t>
      </w:r>
      <w:r>
        <w:rPr>
          <w:rFonts w:ascii="Arial" w:cs="Arial" w:eastAsia="Arial" w:hAnsi="Arial"/>
          <w:sz w:val="18"/>
          <w:szCs w:val="18"/>
          <w:b w:val="1"/>
          <w:bCs w:val="1"/>
          <w:color w:val="282828"/>
        </w:rPr>
        <w:t>INFORMATION</w:t>
      </w:r>
      <w:r>
        <w:rPr>
          <w:rFonts w:ascii="Arial" w:cs="Arial" w:eastAsia="Arial" w:hAnsi="Arial"/>
          <w:sz w:val="18"/>
          <w:szCs w:val="18"/>
          <w:b w:val="1"/>
          <w:bCs w:val="1"/>
          <w:color w:val="181818"/>
        </w:rPr>
        <w:t xml:space="preserve"> OBLIGATIONS </w:t>
      </w:r>
      <w:r>
        <w:rPr>
          <w:rFonts w:ascii="Arial" w:cs="Arial" w:eastAsia="Arial" w:hAnsi="Arial"/>
          <w:sz w:val="18"/>
          <w:szCs w:val="18"/>
          <w:color w:val="282828"/>
        </w:rPr>
        <w:t>- You acknowledge your continuing obligations under</w:t>
      </w:r>
      <w:r>
        <w:rPr>
          <w:rFonts w:ascii="Arial" w:cs="Arial" w:eastAsia="Arial" w:hAnsi="Arial"/>
          <w:sz w:val="18"/>
          <w:szCs w:val="18"/>
          <w:b w:val="1"/>
          <w:bCs w:val="1"/>
          <w:color w:val="181818"/>
        </w:rPr>
        <w:t xml:space="preserve"> </w:t>
      </w:r>
      <w:r>
        <w:rPr>
          <w:rFonts w:ascii="Arial" w:cs="Arial" w:eastAsia="Arial" w:hAnsi="Arial"/>
          <w:sz w:val="18"/>
          <w:szCs w:val="18"/>
          <w:color w:val="3B3B3B"/>
        </w:rPr>
        <w:t>your</w:t>
      </w:r>
      <w:r>
        <w:rPr>
          <w:rFonts w:ascii="Arial" w:cs="Arial" w:eastAsia="Arial" w:hAnsi="Arial"/>
          <w:sz w:val="18"/>
          <w:szCs w:val="18"/>
          <w:b w:val="1"/>
          <w:bCs w:val="1"/>
          <w:color w:val="181818"/>
        </w:rPr>
        <w:t xml:space="preserve"> </w:t>
      </w:r>
      <w:r>
        <w:rPr>
          <w:rFonts w:ascii="Arial" w:cs="Arial" w:eastAsia="Arial" w:hAnsi="Arial"/>
          <w:sz w:val="18"/>
          <w:szCs w:val="18"/>
          <w:color w:val="282828"/>
        </w:rPr>
        <w:t>Emplo</w:t>
      </w:r>
      <w:r>
        <w:rPr>
          <w:rFonts w:ascii="Arial" w:cs="Arial" w:eastAsia="Arial" w:hAnsi="Arial"/>
          <w:sz w:val="18"/>
          <w:szCs w:val="18"/>
          <w:color w:val="4B4B4B"/>
        </w:rPr>
        <w:t>y</w:t>
      </w:r>
      <w:r>
        <w:rPr>
          <w:rFonts w:ascii="Arial" w:cs="Arial" w:eastAsia="Arial" w:hAnsi="Arial"/>
          <w:sz w:val="18"/>
          <w:szCs w:val="18"/>
          <w:color w:val="282828"/>
        </w:rPr>
        <w:t>ee</w:t>
      </w:r>
      <w:r>
        <w:rPr>
          <w:rFonts w:ascii="Arial" w:cs="Arial" w:eastAsia="Arial" w:hAnsi="Arial"/>
          <w:sz w:val="18"/>
          <w:szCs w:val="18"/>
          <w:b w:val="1"/>
          <w:bCs w:val="1"/>
          <w:color w:val="181818"/>
        </w:rPr>
        <w:t xml:space="preserve"> </w:t>
      </w:r>
      <w:r>
        <w:rPr>
          <w:rFonts w:ascii="Arial" w:cs="Arial" w:eastAsia="Arial" w:hAnsi="Arial"/>
          <w:sz w:val="18"/>
          <w:szCs w:val="18"/>
          <w:color w:val="282828"/>
        </w:rPr>
        <w:t>Proprietary Information and Inventions Assignment Agreement</w:t>
      </w:r>
      <w:r>
        <w:rPr>
          <w:rFonts w:ascii="Arial" w:cs="Arial" w:eastAsia="Arial" w:hAnsi="Arial"/>
          <w:sz w:val="18"/>
          <w:szCs w:val="18"/>
          <w:color w:val="4B4B4B"/>
        </w:rPr>
        <w:t>,</w:t>
      </w:r>
      <w:r>
        <w:rPr>
          <w:rFonts w:ascii="Arial" w:cs="Arial" w:eastAsia="Arial" w:hAnsi="Arial"/>
          <w:sz w:val="18"/>
          <w:szCs w:val="18"/>
          <w:color w:val="282828"/>
        </w:rPr>
        <w:t xml:space="preserve"> a copy of </w:t>
      </w:r>
      <w:r>
        <w:rPr>
          <w:rFonts w:ascii="Arial" w:cs="Arial" w:eastAsia="Arial" w:hAnsi="Arial"/>
          <w:sz w:val="18"/>
          <w:szCs w:val="18"/>
          <w:color w:val="3B3B3B"/>
        </w:rPr>
        <w:t>which</w:t>
      </w:r>
      <w:r>
        <w:rPr>
          <w:rFonts w:ascii="Arial" w:cs="Arial" w:eastAsia="Arial" w:hAnsi="Arial"/>
          <w:sz w:val="18"/>
          <w:szCs w:val="18"/>
          <w:color w:val="282828"/>
        </w:rPr>
        <w:t xml:space="preserve"> is attached hereto as </w:t>
      </w:r>
      <w:r>
        <w:rPr>
          <w:rFonts w:ascii="Arial" w:cs="Arial" w:eastAsia="Arial" w:hAnsi="Arial"/>
          <w:sz w:val="18"/>
          <w:szCs w:val="18"/>
          <w:b w:val="1"/>
          <w:bCs w:val="1"/>
          <w:color w:val="282828"/>
        </w:rPr>
        <w:t>Exhibit A.</w:t>
      </w:r>
    </w:p>
    <w:p>
      <w:pPr>
        <w:spacing w:after="0" w:line="161" w:lineRule="exact"/>
        <w:rPr>
          <w:rFonts w:ascii="Arial" w:cs="Arial" w:eastAsia="Arial" w:hAnsi="Arial"/>
          <w:sz w:val="18"/>
          <w:szCs w:val="18"/>
          <w:b w:val="1"/>
          <w:bCs w:val="1"/>
          <w:color w:val="282828"/>
        </w:rPr>
      </w:pPr>
    </w:p>
    <w:p>
      <w:pPr>
        <w:jc w:val="both"/>
        <w:ind w:left="332" w:hanging="332"/>
        <w:spacing w:after="0" w:line="258" w:lineRule="auto"/>
        <w:tabs>
          <w:tab w:leader="none" w:pos="332" w:val="left"/>
        </w:tabs>
        <w:numPr>
          <w:ilvl w:val="0"/>
          <w:numId w:val="25"/>
        </w:numPr>
        <w:rPr>
          <w:rFonts w:ascii="Arial" w:cs="Arial" w:eastAsia="Arial" w:hAnsi="Arial"/>
          <w:sz w:val="18"/>
          <w:szCs w:val="18"/>
          <w:b w:val="1"/>
          <w:bCs w:val="1"/>
          <w:color w:val="181818"/>
        </w:rPr>
      </w:pPr>
      <w:r>
        <w:rPr>
          <w:rFonts w:ascii="Arial" w:cs="Arial" w:eastAsia="Arial" w:hAnsi="Arial"/>
          <w:sz w:val="18"/>
          <w:szCs w:val="18"/>
          <w:b w:val="1"/>
          <w:bCs w:val="1"/>
          <w:color w:val="181818"/>
        </w:rPr>
        <w:t xml:space="preserve">MUTUAL NON-DISPARAGEMENT </w:t>
      </w:r>
      <w:r>
        <w:rPr>
          <w:rFonts w:ascii="Arial" w:cs="Arial" w:eastAsia="Arial" w:hAnsi="Arial"/>
          <w:sz w:val="18"/>
          <w:szCs w:val="18"/>
          <w:color w:val="181818"/>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You agree not to</w:t>
      </w:r>
      <w:r>
        <w:rPr>
          <w:rFonts w:ascii="Arial" w:cs="Arial" w:eastAsia="Arial" w:hAnsi="Arial"/>
          <w:sz w:val="18"/>
          <w:szCs w:val="18"/>
          <w:b w:val="1"/>
          <w:bCs w:val="1"/>
          <w:color w:val="181818"/>
        </w:rPr>
        <w:t xml:space="preserve"> </w:t>
      </w:r>
      <w:r>
        <w:rPr>
          <w:rFonts w:ascii="Arial" w:cs="Arial" w:eastAsia="Arial" w:hAnsi="Arial"/>
          <w:sz w:val="18"/>
          <w:szCs w:val="18"/>
          <w:color w:val="181818"/>
        </w:rPr>
        <w:t>disparage</w:t>
      </w:r>
      <w:r>
        <w:rPr>
          <w:rFonts w:ascii="Arial" w:cs="Arial" w:eastAsia="Arial" w:hAnsi="Arial"/>
          <w:sz w:val="18"/>
          <w:szCs w:val="18"/>
          <w:b w:val="1"/>
          <w:bCs w:val="1"/>
          <w:color w:val="181818"/>
        </w:rPr>
        <w:t xml:space="preserve"> </w:t>
      </w:r>
      <w:r>
        <w:rPr>
          <w:rFonts w:ascii="Arial" w:cs="Arial" w:eastAsia="Arial" w:hAnsi="Arial"/>
          <w:sz w:val="18"/>
          <w:szCs w:val="18"/>
          <w:color w:val="282828"/>
        </w:rPr>
        <w:t>the Company, its officers, directors, employees</w:t>
      </w:r>
      <w:r>
        <w:rPr>
          <w:rFonts w:ascii="Arial" w:cs="Arial" w:eastAsia="Arial" w:hAnsi="Arial"/>
          <w:sz w:val="18"/>
          <w:szCs w:val="18"/>
          <w:color w:val="4B4B4B"/>
        </w:rPr>
        <w:t>,</w:t>
      </w:r>
      <w:r>
        <w:rPr>
          <w:rFonts w:ascii="Arial" w:cs="Arial" w:eastAsia="Arial" w:hAnsi="Arial"/>
          <w:sz w:val="18"/>
          <w:szCs w:val="18"/>
          <w:b w:val="1"/>
          <w:bCs w:val="1"/>
          <w:color w:val="181818"/>
        </w:rPr>
        <w:t xml:space="preserve"> </w:t>
      </w:r>
      <w:r>
        <w:rPr>
          <w:rFonts w:ascii="Arial" w:cs="Arial" w:eastAsia="Arial" w:hAnsi="Arial"/>
          <w:sz w:val="18"/>
          <w:szCs w:val="18"/>
          <w:color w:val="282828"/>
        </w:rPr>
        <w:t>shareholders,</w:t>
      </w:r>
      <w:r>
        <w:rPr>
          <w:rFonts w:ascii="Arial" w:cs="Arial" w:eastAsia="Arial" w:hAnsi="Arial"/>
          <w:sz w:val="18"/>
          <w:szCs w:val="18"/>
          <w:b w:val="1"/>
          <w:bCs w:val="1"/>
          <w:color w:val="181818"/>
        </w:rPr>
        <w:t xml:space="preserve"> </w:t>
      </w:r>
      <w:r>
        <w:rPr>
          <w:rFonts w:ascii="Arial" w:cs="Arial" w:eastAsia="Arial" w:hAnsi="Arial"/>
          <w:sz w:val="18"/>
          <w:szCs w:val="18"/>
          <w:color w:val="282828"/>
        </w:rPr>
        <w:t xml:space="preserve">and agents, in any manner likely to be harmful </w:t>
      </w:r>
      <w:r>
        <w:rPr>
          <w:rFonts w:ascii="Arial" w:cs="Arial" w:eastAsia="Arial" w:hAnsi="Arial"/>
          <w:sz w:val="18"/>
          <w:szCs w:val="18"/>
          <w:color w:val="3B3B3B"/>
        </w:rPr>
        <w:t>to</w:t>
      </w:r>
      <w:r>
        <w:rPr>
          <w:rFonts w:ascii="Arial" w:cs="Arial" w:eastAsia="Arial" w:hAnsi="Arial"/>
          <w:sz w:val="18"/>
          <w:szCs w:val="18"/>
          <w:color w:val="282828"/>
        </w:rPr>
        <w:t xml:space="preserve"> its or their business</w:t>
      </w:r>
      <w:r>
        <w:rPr>
          <w:rFonts w:ascii="Arial" w:cs="Arial" w:eastAsia="Arial" w:hAnsi="Arial"/>
          <w:sz w:val="18"/>
          <w:szCs w:val="18"/>
          <w:color w:val="4B4B4B"/>
        </w:rPr>
        <w:t>,</w:t>
      </w:r>
      <w:r>
        <w:rPr>
          <w:rFonts w:ascii="Arial" w:cs="Arial" w:eastAsia="Arial" w:hAnsi="Arial"/>
          <w:sz w:val="18"/>
          <w:szCs w:val="18"/>
          <w:color w:val="282828"/>
        </w:rPr>
        <w:t xml:space="preserve"> business reputation or personal reputation</w:t>
      </w:r>
      <w:r>
        <w:rPr>
          <w:rFonts w:ascii="Arial" w:cs="Arial" w:eastAsia="Arial" w:hAnsi="Arial"/>
          <w:sz w:val="18"/>
          <w:szCs w:val="18"/>
          <w:color w:val="4B4B4B"/>
        </w:rPr>
        <w:t>;</w:t>
      </w:r>
      <w:r>
        <w:rPr>
          <w:rFonts w:ascii="Arial" w:cs="Arial" w:eastAsia="Arial" w:hAnsi="Arial"/>
          <w:sz w:val="18"/>
          <w:szCs w:val="18"/>
          <w:color w:val="282828"/>
        </w:rPr>
        <w:t xml:space="preserve"> and the Company </w:t>
      </w:r>
      <w:r>
        <w:rPr>
          <w:rFonts w:ascii="Arial" w:cs="Arial" w:eastAsia="Arial" w:hAnsi="Arial"/>
          <w:sz w:val="18"/>
          <w:szCs w:val="18"/>
          <w:color w:val="3B3B3B"/>
        </w:rPr>
        <w:t xml:space="preserve">(through </w:t>
      </w:r>
      <w:r>
        <w:rPr>
          <w:rFonts w:ascii="Arial" w:cs="Arial" w:eastAsia="Arial" w:hAnsi="Arial"/>
          <w:sz w:val="18"/>
          <w:szCs w:val="18"/>
          <w:color w:val="282828"/>
        </w:rPr>
        <w:t>its officers and directors) agrees not to disparage</w:t>
      </w:r>
      <w:r>
        <w:rPr>
          <w:rFonts w:ascii="Arial" w:cs="Arial" w:eastAsia="Arial" w:hAnsi="Arial"/>
          <w:sz w:val="18"/>
          <w:szCs w:val="18"/>
          <w:color w:val="3B3B3B"/>
        </w:rPr>
        <w:t xml:space="preserve"> you </w:t>
      </w:r>
      <w:r>
        <w:rPr>
          <w:rFonts w:ascii="Arial" w:cs="Arial" w:eastAsia="Arial" w:hAnsi="Arial"/>
          <w:sz w:val="18"/>
          <w:szCs w:val="18"/>
          <w:color w:val="282828"/>
        </w:rPr>
        <w:t>in any manner likely to be harmful to</w:t>
      </w:r>
      <w:r>
        <w:rPr>
          <w:rFonts w:ascii="Arial" w:cs="Arial" w:eastAsia="Arial" w:hAnsi="Arial"/>
          <w:sz w:val="18"/>
          <w:szCs w:val="18"/>
          <w:color w:val="3B3B3B"/>
        </w:rPr>
        <w:t xml:space="preserve"> you </w:t>
      </w:r>
      <w:r>
        <w:rPr>
          <w:rFonts w:ascii="Arial" w:cs="Arial" w:eastAsia="Arial" w:hAnsi="Arial"/>
          <w:sz w:val="18"/>
          <w:szCs w:val="18"/>
          <w:color w:val="282828"/>
        </w:rPr>
        <w:t>or your business, business</w:t>
      </w:r>
      <w:r>
        <w:rPr>
          <w:rFonts w:ascii="Arial" w:cs="Arial" w:eastAsia="Arial" w:hAnsi="Arial"/>
          <w:sz w:val="18"/>
          <w:szCs w:val="18"/>
          <w:color w:val="3B3B3B"/>
        </w:rPr>
        <w:t xml:space="preserve"> </w:t>
      </w:r>
      <w:r>
        <w:rPr>
          <w:rFonts w:ascii="Arial" w:cs="Arial" w:eastAsia="Arial" w:hAnsi="Arial"/>
          <w:sz w:val="18"/>
          <w:szCs w:val="18"/>
          <w:color w:val="181818"/>
        </w:rPr>
        <w:t xml:space="preserve">reputation </w:t>
      </w:r>
      <w:r>
        <w:rPr>
          <w:rFonts w:ascii="Arial" w:cs="Arial" w:eastAsia="Arial" w:hAnsi="Arial"/>
          <w:sz w:val="18"/>
          <w:szCs w:val="18"/>
          <w:color w:val="282828"/>
        </w:rPr>
        <w:t>or personal reputation</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provided that you and the Company will respond accurately and fully to any question</w:t>
      </w:r>
      <w:r>
        <w:rPr>
          <w:rFonts w:ascii="Arial" w:cs="Arial" w:eastAsia="Arial" w:hAnsi="Arial"/>
          <w:sz w:val="18"/>
          <w:szCs w:val="18"/>
          <w:color w:val="4B4B4B"/>
        </w:rPr>
        <w:t>,</w:t>
      </w:r>
      <w:r>
        <w:rPr>
          <w:rFonts w:ascii="Arial" w:cs="Arial" w:eastAsia="Arial" w:hAnsi="Arial"/>
          <w:sz w:val="18"/>
          <w:szCs w:val="18"/>
          <w:color w:val="181818"/>
        </w:rPr>
        <w:t xml:space="preserve"> </w:t>
      </w:r>
      <w:r>
        <w:rPr>
          <w:rFonts w:ascii="Arial" w:cs="Arial" w:eastAsia="Arial" w:hAnsi="Arial"/>
          <w:sz w:val="18"/>
          <w:szCs w:val="18"/>
          <w:color w:val="282828"/>
        </w:rPr>
        <w:t>inquiry or</w:t>
      </w:r>
      <w:r>
        <w:rPr>
          <w:rFonts w:ascii="Arial" w:cs="Arial" w:eastAsia="Arial" w:hAnsi="Arial"/>
          <w:sz w:val="18"/>
          <w:szCs w:val="18"/>
          <w:color w:val="181818"/>
        </w:rPr>
        <w:t xml:space="preserve"> </w:t>
      </w:r>
      <w:r>
        <w:rPr>
          <w:rFonts w:ascii="Arial" w:cs="Arial" w:eastAsia="Arial" w:hAnsi="Arial"/>
          <w:sz w:val="18"/>
          <w:szCs w:val="18"/>
          <w:color w:val="282828"/>
        </w:rPr>
        <w:t>request for information when required by legal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881" w:right="999" w:bottom="1440" w:gutter="0" w:footer="0" w:header="0"/>
        </w:sectPr>
      </w:pPr>
    </w:p>
    <w:bookmarkStart w:id="53" w:name="page54"/>
    <w:bookmarkEnd w:id="53"/>
    <w:p>
      <w:pPr>
        <w:jc w:val="both"/>
        <w:ind w:left="332" w:hanging="332"/>
        <w:spacing w:after="0" w:line="266" w:lineRule="auto"/>
        <w:tabs>
          <w:tab w:leader="none" w:pos="332" w:val="left"/>
        </w:tabs>
        <w:numPr>
          <w:ilvl w:val="0"/>
          <w:numId w:val="26"/>
        </w:numPr>
        <w:rPr>
          <w:rFonts w:ascii="Arial" w:cs="Arial" w:eastAsia="Arial" w:hAnsi="Arial"/>
          <w:sz w:val="18"/>
          <w:szCs w:val="18"/>
          <w:b w:val="1"/>
          <w:bCs w:val="1"/>
          <w:color w:val="181818"/>
        </w:rPr>
      </w:pPr>
      <w:r>
        <w:rPr>
          <w:rFonts w:ascii="Arial" w:cs="Arial" w:eastAsia="Arial" w:hAnsi="Arial"/>
          <w:sz w:val="18"/>
          <w:szCs w:val="18"/>
          <w:b w:val="1"/>
          <w:bCs w:val="1"/>
          <w:color w:val="282828"/>
        </w:rPr>
        <w:t xml:space="preserve">No ADMISSIONS </w:t>
      </w:r>
      <w:r>
        <w:rPr>
          <w:rFonts w:ascii="Arial" w:cs="Arial" w:eastAsia="Arial" w:hAnsi="Arial"/>
          <w:sz w:val="18"/>
          <w:szCs w:val="18"/>
          <w:color w:val="282828"/>
        </w:rPr>
        <w:t>- You understand and agree that the promises and payments in consideration</w:t>
      </w:r>
      <w:r>
        <w:rPr>
          <w:rFonts w:ascii="Arial" w:cs="Arial" w:eastAsia="Arial" w:hAnsi="Arial"/>
          <w:sz w:val="18"/>
          <w:szCs w:val="18"/>
          <w:b w:val="1"/>
          <w:bCs w:val="1"/>
          <w:color w:val="282828"/>
        </w:rPr>
        <w:t xml:space="preserve"> </w:t>
      </w:r>
      <w:r>
        <w:rPr>
          <w:rFonts w:ascii="Arial" w:cs="Arial" w:eastAsia="Arial" w:hAnsi="Arial"/>
          <w:sz w:val="18"/>
          <w:szCs w:val="18"/>
          <w:color w:val="3A3A3A"/>
        </w:rPr>
        <w:t>of</w:t>
      </w:r>
      <w:r>
        <w:rPr>
          <w:rFonts w:ascii="Arial" w:cs="Arial" w:eastAsia="Arial" w:hAnsi="Arial"/>
          <w:sz w:val="18"/>
          <w:szCs w:val="18"/>
          <w:b w:val="1"/>
          <w:bCs w:val="1"/>
          <w:color w:val="282828"/>
        </w:rPr>
        <w:t xml:space="preserve"> </w:t>
      </w:r>
      <w:r>
        <w:rPr>
          <w:rFonts w:ascii="Arial" w:cs="Arial" w:eastAsia="Arial" w:hAnsi="Arial"/>
          <w:sz w:val="18"/>
          <w:szCs w:val="18"/>
          <w:color w:val="282828"/>
        </w:rPr>
        <w:t>this Agreement</w:t>
      </w:r>
      <w:r>
        <w:rPr>
          <w:rFonts w:ascii="Arial" w:cs="Arial" w:eastAsia="Arial" w:hAnsi="Arial"/>
          <w:sz w:val="18"/>
          <w:szCs w:val="18"/>
          <w:b w:val="1"/>
          <w:bCs w:val="1"/>
          <w:color w:val="282828"/>
        </w:rPr>
        <w:t xml:space="preserve"> </w:t>
      </w:r>
      <w:r>
        <w:rPr>
          <w:rFonts w:ascii="Arial" w:cs="Arial" w:eastAsia="Arial" w:hAnsi="Arial"/>
          <w:sz w:val="18"/>
          <w:szCs w:val="18"/>
          <w:color w:val="3A3A3A"/>
        </w:rPr>
        <w:t>shall</w:t>
      </w:r>
      <w:r>
        <w:rPr>
          <w:rFonts w:ascii="Arial" w:cs="Arial" w:eastAsia="Arial" w:hAnsi="Arial"/>
          <w:sz w:val="18"/>
          <w:szCs w:val="18"/>
          <w:b w:val="1"/>
          <w:bCs w:val="1"/>
          <w:color w:val="282828"/>
        </w:rPr>
        <w:t xml:space="preserve"> </w:t>
      </w:r>
      <w:r>
        <w:rPr>
          <w:rFonts w:ascii="Arial" w:cs="Arial" w:eastAsia="Arial" w:hAnsi="Arial"/>
          <w:sz w:val="18"/>
          <w:szCs w:val="18"/>
          <w:color w:val="282828"/>
        </w:rPr>
        <w:t>not be</w:t>
      </w:r>
      <w:r>
        <w:rPr>
          <w:rFonts w:ascii="Arial" w:cs="Arial" w:eastAsia="Arial" w:hAnsi="Arial"/>
          <w:sz w:val="18"/>
          <w:szCs w:val="18"/>
          <w:b w:val="1"/>
          <w:bCs w:val="1"/>
          <w:color w:val="282828"/>
        </w:rPr>
        <w:t xml:space="preserve"> </w:t>
      </w:r>
      <w:r>
        <w:rPr>
          <w:rFonts w:ascii="Arial" w:cs="Arial" w:eastAsia="Arial" w:hAnsi="Arial"/>
          <w:sz w:val="18"/>
          <w:szCs w:val="18"/>
          <w:color w:val="282828"/>
        </w:rPr>
        <w:t xml:space="preserve">construed to be an admission of any liability </w:t>
      </w:r>
      <w:r>
        <w:rPr>
          <w:rFonts w:ascii="Arial" w:cs="Arial" w:eastAsia="Arial" w:hAnsi="Arial"/>
          <w:sz w:val="18"/>
          <w:szCs w:val="18"/>
          <w:color w:val="3A3A3A"/>
        </w:rPr>
        <w:t>or</w:t>
      </w:r>
      <w:r>
        <w:rPr>
          <w:rFonts w:ascii="Arial" w:cs="Arial" w:eastAsia="Arial" w:hAnsi="Arial"/>
          <w:sz w:val="18"/>
          <w:szCs w:val="18"/>
          <w:color w:val="282828"/>
        </w:rPr>
        <w:t xml:space="preserve"> obligation by </w:t>
      </w:r>
      <w:r>
        <w:rPr>
          <w:rFonts w:ascii="Arial" w:cs="Arial" w:eastAsia="Arial" w:hAnsi="Arial"/>
          <w:sz w:val="18"/>
          <w:szCs w:val="18"/>
          <w:color w:val="3A3A3A"/>
        </w:rPr>
        <w:t>the</w:t>
      </w:r>
      <w:r>
        <w:rPr>
          <w:rFonts w:ascii="Arial" w:cs="Arial" w:eastAsia="Arial" w:hAnsi="Arial"/>
          <w:sz w:val="18"/>
          <w:szCs w:val="18"/>
          <w:color w:val="282828"/>
        </w:rPr>
        <w:t xml:space="preserve"> Company to </w:t>
      </w:r>
      <w:r>
        <w:rPr>
          <w:rFonts w:ascii="Arial" w:cs="Arial" w:eastAsia="Arial" w:hAnsi="Arial"/>
          <w:sz w:val="18"/>
          <w:szCs w:val="18"/>
          <w:color w:val="3A3A3A"/>
        </w:rPr>
        <w:t>you</w:t>
      </w:r>
      <w:r>
        <w:rPr>
          <w:rFonts w:ascii="Arial" w:cs="Arial" w:eastAsia="Arial" w:hAnsi="Arial"/>
          <w:sz w:val="18"/>
          <w:szCs w:val="18"/>
          <w:color w:val="282828"/>
        </w:rPr>
        <w:t xml:space="preserve"> or to any other person, and that the Company makes no </w:t>
      </w:r>
      <w:r>
        <w:rPr>
          <w:rFonts w:ascii="Arial" w:cs="Arial" w:eastAsia="Arial" w:hAnsi="Arial"/>
          <w:sz w:val="18"/>
          <w:szCs w:val="18"/>
          <w:color w:val="3A3A3A"/>
        </w:rPr>
        <w:t>such</w:t>
      </w:r>
      <w:r>
        <w:rPr>
          <w:rFonts w:ascii="Arial" w:cs="Arial" w:eastAsia="Arial" w:hAnsi="Arial"/>
          <w:sz w:val="18"/>
          <w:szCs w:val="18"/>
          <w:color w:val="282828"/>
        </w:rPr>
        <w:t xml:space="preserve"> admission.</w:t>
      </w:r>
    </w:p>
    <w:p>
      <w:pPr>
        <w:spacing w:after="0" w:line="175" w:lineRule="exact"/>
        <w:rPr>
          <w:rFonts w:ascii="Arial" w:cs="Arial" w:eastAsia="Arial" w:hAnsi="Arial"/>
          <w:sz w:val="18"/>
          <w:szCs w:val="18"/>
          <w:b w:val="1"/>
          <w:bCs w:val="1"/>
          <w:color w:val="181818"/>
        </w:rPr>
      </w:pPr>
    </w:p>
    <w:p>
      <w:pPr>
        <w:jc w:val="both"/>
        <w:ind w:left="332" w:hanging="332"/>
        <w:spacing w:after="0" w:line="268" w:lineRule="auto"/>
        <w:tabs>
          <w:tab w:leader="none" w:pos="332" w:val="left"/>
        </w:tabs>
        <w:numPr>
          <w:ilvl w:val="0"/>
          <w:numId w:val="26"/>
        </w:numPr>
        <w:rPr>
          <w:rFonts w:ascii="Arial" w:cs="Arial" w:eastAsia="Arial" w:hAnsi="Arial"/>
          <w:sz w:val="17"/>
          <w:szCs w:val="17"/>
          <w:b w:val="1"/>
          <w:bCs w:val="1"/>
          <w:color w:val="181818"/>
        </w:rPr>
      </w:pPr>
      <w:r>
        <w:rPr>
          <w:rFonts w:ascii="Arial" w:cs="Arial" w:eastAsia="Arial" w:hAnsi="Arial"/>
          <w:sz w:val="17"/>
          <w:szCs w:val="17"/>
          <w:b w:val="1"/>
          <w:bCs w:val="1"/>
          <w:color w:val="282828"/>
        </w:rPr>
        <w:t xml:space="preserve">RELEASE OF CLAIMS </w:t>
      </w:r>
      <w:r>
        <w:rPr>
          <w:rFonts w:ascii="Arial" w:cs="Arial" w:eastAsia="Arial" w:hAnsi="Arial"/>
          <w:sz w:val="17"/>
          <w:szCs w:val="17"/>
          <w:color w:val="181618"/>
        </w:rPr>
        <w:t>-</w:t>
      </w:r>
      <w:r>
        <w:rPr>
          <w:rFonts w:ascii="Arial" w:cs="Arial" w:eastAsia="Arial" w:hAnsi="Arial"/>
          <w:sz w:val="17"/>
          <w:szCs w:val="17"/>
          <w:b w:val="1"/>
          <w:bCs w:val="1"/>
          <w:color w:val="282828"/>
        </w:rPr>
        <w:t xml:space="preserve"> </w:t>
      </w:r>
      <w:r>
        <w:rPr>
          <w:rFonts w:ascii="Arial" w:cs="Arial" w:eastAsia="Arial" w:hAnsi="Arial"/>
          <w:sz w:val="17"/>
          <w:szCs w:val="17"/>
          <w:color w:val="282828"/>
        </w:rPr>
        <w:t>In exchange for the consideration under this Agreement to which</w:t>
      </w:r>
      <w:r>
        <w:rPr>
          <w:rFonts w:ascii="Arial" w:cs="Arial" w:eastAsia="Arial" w:hAnsi="Arial"/>
          <w:sz w:val="17"/>
          <w:szCs w:val="17"/>
          <w:b w:val="1"/>
          <w:bCs w:val="1"/>
          <w:color w:val="282828"/>
        </w:rPr>
        <w:t xml:space="preserve"> </w:t>
      </w:r>
      <w:r>
        <w:rPr>
          <w:rFonts w:ascii="Arial" w:cs="Arial" w:eastAsia="Arial" w:hAnsi="Arial"/>
          <w:sz w:val="17"/>
          <w:szCs w:val="17"/>
          <w:color w:val="3A3A3A"/>
        </w:rPr>
        <w:t>you would</w:t>
      </w:r>
      <w:r>
        <w:rPr>
          <w:rFonts w:ascii="Arial" w:cs="Arial" w:eastAsia="Arial" w:hAnsi="Arial"/>
          <w:sz w:val="17"/>
          <w:szCs w:val="17"/>
          <w:b w:val="1"/>
          <w:bCs w:val="1"/>
          <w:color w:val="282828"/>
        </w:rPr>
        <w:t xml:space="preserve"> </w:t>
      </w:r>
      <w:r>
        <w:rPr>
          <w:rFonts w:ascii="Arial" w:cs="Arial" w:eastAsia="Arial" w:hAnsi="Arial"/>
          <w:sz w:val="17"/>
          <w:szCs w:val="17"/>
          <w:color w:val="282828"/>
        </w:rPr>
        <w:t>not otherwise be</w:t>
      </w:r>
      <w:r>
        <w:rPr>
          <w:rFonts w:ascii="Arial" w:cs="Arial" w:eastAsia="Arial" w:hAnsi="Arial"/>
          <w:sz w:val="17"/>
          <w:szCs w:val="17"/>
          <w:b w:val="1"/>
          <w:bCs w:val="1"/>
          <w:color w:val="282828"/>
        </w:rPr>
        <w:t xml:space="preserve"> </w:t>
      </w:r>
      <w:r>
        <w:rPr>
          <w:rFonts w:ascii="Arial" w:cs="Arial" w:eastAsia="Arial" w:hAnsi="Arial"/>
          <w:sz w:val="17"/>
          <w:szCs w:val="17"/>
          <w:color w:val="3A3A3A"/>
        </w:rPr>
        <w:t>entitled,</w:t>
      </w:r>
      <w:r>
        <w:rPr>
          <w:rFonts w:ascii="Arial" w:cs="Arial" w:eastAsia="Arial" w:hAnsi="Arial"/>
          <w:sz w:val="17"/>
          <w:szCs w:val="17"/>
          <w:b w:val="1"/>
          <w:bCs w:val="1"/>
          <w:color w:val="282828"/>
        </w:rPr>
        <w:t xml:space="preserve"> </w:t>
      </w:r>
      <w:r>
        <w:rPr>
          <w:rFonts w:ascii="Arial" w:cs="Arial" w:eastAsia="Arial" w:hAnsi="Arial"/>
          <w:sz w:val="17"/>
          <w:szCs w:val="17"/>
          <w:color w:val="3A3A3A"/>
        </w:rPr>
        <w:t xml:space="preserve">you </w:t>
      </w:r>
      <w:r>
        <w:rPr>
          <w:rFonts w:ascii="Arial" w:cs="Arial" w:eastAsia="Arial" w:hAnsi="Arial"/>
          <w:sz w:val="17"/>
          <w:szCs w:val="17"/>
          <w:color w:val="282828"/>
        </w:rPr>
        <w:t>hereby generally and completely</w:t>
      </w:r>
      <w:r>
        <w:rPr>
          <w:rFonts w:ascii="Arial" w:cs="Arial" w:eastAsia="Arial" w:hAnsi="Arial"/>
          <w:sz w:val="17"/>
          <w:szCs w:val="17"/>
          <w:color w:val="3A3A3A"/>
        </w:rPr>
        <w:t xml:space="preserve"> release </w:t>
      </w:r>
      <w:r>
        <w:rPr>
          <w:rFonts w:ascii="Arial" w:cs="Arial" w:eastAsia="Arial" w:hAnsi="Arial"/>
          <w:sz w:val="17"/>
          <w:szCs w:val="17"/>
          <w:color w:val="282828"/>
        </w:rPr>
        <w:t>the</w:t>
      </w:r>
      <w:r>
        <w:rPr>
          <w:rFonts w:ascii="Arial" w:cs="Arial" w:eastAsia="Arial" w:hAnsi="Arial"/>
          <w:sz w:val="17"/>
          <w:szCs w:val="17"/>
          <w:color w:val="3A3A3A"/>
        </w:rPr>
        <w:t xml:space="preserve"> Company </w:t>
      </w:r>
      <w:r>
        <w:rPr>
          <w:rFonts w:ascii="Arial" w:cs="Arial" w:eastAsia="Arial" w:hAnsi="Arial"/>
          <w:sz w:val="17"/>
          <w:szCs w:val="17"/>
          <w:color w:val="282828"/>
        </w:rPr>
        <w:t>and</w:t>
      </w:r>
      <w:r>
        <w:rPr>
          <w:rFonts w:ascii="Arial" w:cs="Arial" w:eastAsia="Arial" w:hAnsi="Arial"/>
          <w:sz w:val="17"/>
          <w:szCs w:val="17"/>
          <w:color w:val="3A3A3A"/>
        </w:rPr>
        <w:t xml:space="preserve"> its </w:t>
      </w:r>
      <w:r>
        <w:rPr>
          <w:rFonts w:ascii="Arial" w:cs="Arial" w:eastAsia="Arial" w:hAnsi="Arial"/>
          <w:sz w:val="17"/>
          <w:szCs w:val="17"/>
          <w:color w:val="282828"/>
        </w:rPr>
        <w:t>directors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officers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employees</w:t>
      </w:r>
      <w:r>
        <w:rPr>
          <w:rFonts w:ascii="Arial" w:cs="Arial" w:eastAsia="Arial" w:hAnsi="Arial"/>
          <w:sz w:val="17"/>
          <w:szCs w:val="17"/>
          <w:color w:val="4F4F4F"/>
        </w:rPr>
        <w:t>,</w:t>
      </w:r>
      <w:r>
        <w:rPr>
          <w:rFonts w:ascii="Arial" w:cs="Arial" w:eastAsia="Arial" w:hAnsi="Arial"/>
          <w:sz w:val="17"/>
          <w:szCs w:val="17"/>
          <w:color w:val="3A3A3A"/>
        </w:rPr>
        <w:t xml:space="preserve"> shareholders, </w:t>
      </w:r>
      <w:r>
        <w:rPr>
          <w:rFonts w:ascii="Arial" w:cs="Arial" w:eastAsia="Arial" w:hAnsi="Arial"/>
          <w:sz w:val="17"/>
          <w:szCs w:val="17"/>
          <w:color w:val="282828"/>
        </w:rPr>
        <w:t>partners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agents</w:t>
      </w:r>
      <w:r>
        <w:rPr>
          <w:rFonts w:ascii="Arial" w:cs="Arial" w:eastAsia="Arial" w:hAnsi="Arial"/>
          <w:sz w:val="17"/>
          <w:szCs w:val="17"/>
          <w:color w:val="4F4F4F"/>
        </w:rPr>
        <w:t>,</w:t>
      </w:r>
      <w:r>
        <w:rPr>
          <w:rFonts w:ascii="Arial" w:cs="Arial" w:eastAsia="Arial" w:hAnsi="Arial"/>
          <w:sz w:val="17"/>
          <w:szCs w:val="17"/>
          <w:color w:val="3A3A3A"/>
        </w:rPr>
        <w:t xml:space="preserve"> attorneys, </w:t>
      </w:r>
      <w:r>
        <w:rPr>
          <w:rFonts w:ascii="Arial" w:cs="Arial" w:eastAsia="Arial" w:hAnsi="Arial"/>
          <w:sz w:val="17"/>
          <w:szCs w:val="17"/>
          <w:color w:val="282828"/>
        </w:rPr>
        <w:t>predecessors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successors, parent and subsidiary entities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insurers, affiliates, and assigns from any and all claims</w:t>
      </w:r>
      <w:r>
        <w:rPr>
          <w:rFonts w:ascii="Arial" w:cs="Arial" w:eastAsia="Arial" w:hAnsi="Arial"/>
          <w:sz w:val="17"/>
          <w:szCs w:val="17"/>
          <w:color w:val="4F4F4F"/>
        </w:rPr>
        <w:t>,</w:t>
      </w:r>
      <w:r>
        <w:rPr>
          <w:rFonts w:ascii="Arial" w:cs="Arial" w:eastAsia="Arial" w:hAnsi="Arial"/>
          <w:sz w:val="17"/>
          <w:szCs w:val="17"/>
          <w:color w:val="3A3A3A"/>
        </w:rPr>
        <w:t xml:space="preserve"> </w:t>
      </w:r>
      <w:r>
        <w:rPr>
          <w:rFonts w:ascii="Arial" w:cs="Arial" w:eastAsia="Arial" w:hAnsi="Arial"/>
          <w:sz w:val="17"/>
          <w:szCs w:val="17"/>
          <w:color w:val="282828"/>
        </w:rPr>
        <w:t>liabilities</w:t>
      </w:r>
      <w:r>
        <w:rPr>
          <w:rFonts w:ascii="Arial" w:cs="Arial" w:eastAsia="Arial" w:hAnsi="Arial"/>
          <w:sz w:val="17"/>
          <w:szCs w:val="17"/>
          <w:color w:val="3A3A3A"/>
        </w:rPr>
        <w:t xml:space="preserve"> </w:t>
      </w:r>
      <w:r>
        <w:rPr>
          <w:rFonts w:ascii="Arial" w:cs="Arial" w:eastAsia="Arial" w:hAnsi="Arial"/>
          <w:sz w:val="17"/>
          <w:szCs w:val="17"/>
          <w:color w:val="282828"/>
        </w:rPr>
        <w:t>and obligations</w:t>
      </w:r>
      <w:r>
        <w:rPr>
          <w:rFonts w:ascii="Arial" w:cs="Arial" w:eastAsia="Arial" w:hAnsi="Arial"/>
          <w:sz w:val="17"/>
          <w:szCs w:val="17"/>
          <w:color w:val="4F4F4F"/>
        </w:rPr>
        <w:t>,</w:t>
      </w:r>
      <w:r>
        <w:rPr>
          <w:rFonts w:ascii="Arial" w:cs="Arial" w:eastAsia="Arial" w:hAnsi="Arial"/>
          <w:sz w:val="17"/>
          <w:szCs w:val="17"/>
          <w:color w:val="282828"/>
        </w:rPr>
        <w:t xml:space="preserve"> both known </w:t>
      </w:r>
      <w:r>
        <w:rPr>
          <w:rFonts w:ascii="Arial" w:cs="Arial" w:eastAsia="Arial" w:hAnsi="Arial"/>
          <w:sz w:val="17"/>
          <w:szCs w:val="17"/>
          <w:color w:val="181618"/>
        </w:rPr>
        <w:t>and</w:t>
      </w:r>
      <w:r>
        <w:rPr>
          <w:rFonts w:ascii="Arial" w:cs="Arial" w:eastAsia="Arial" w:hAnsi="Arial"/>
          <w:sz w:val="17"/>
          <w:szCs w:val="17"/>
          <w:color w:val="282828"/>
        </w:rPr>
        <w:t xml:space="preserve"> unknown</w:t>
      </w:r>
      <w:r>
        <w:rPr>
          <w:rFonts w:ascii="Arial" w:cs="Arial" w:eastAsia="Arial" w:hAnsi="Arial"/>
          <w:sz w:val="17"/>
          <w:szCs w:val="17"/>
          <w:color w:val="4F4F4F"/>
        </w:rPr>
        <w:t>,</w:t>
      </w:r>
      <w:r>
        <w:rPr>
          <w:rFonts w:ascii="Arial" w:cs="Arial" w:eastAsia="Arial" w:hAnsi="Arial"/>
          <w:sz w:val="17"/>
          <w:szCs w:val="17"/>
          <w:color w:val="282828"/>
        </w:rPr>
        <w:t xml:space="preserve"> that arise out of or are in any way related to events, acts, conduct, or omissions occurring at any time prior to and including </w:t>
      </w:r>
      <w:r>
        <w:rPr>
          <w:rFonts w:ascii="Arial" w:cs="Arial" w:eastAsia="Arial" w:hAnsi="Arial"/>
          <w:sz w:val="17"/>
          <w:szCs w:val="17"/>
          <w:color w:val="3A3A3A"/>
        </w:rPr>
        <w:t>the</w:t>
      </w:r>
      <w:r>
        <w:rPr>
          <w:rFonts w:ascii="Arial" w:cs="Arial" w:eastAsia="Arial" w:hAnsi="Arial"/>
          <w:sz w:val="17"/>
          <w:szCs w:val="17"/>
          <w:color w:val="282828"/>
        </w:rPr>
        <w:t xml:space="preserve"> date </w:t>
      </w:r>
      <w:r>
        <w:rPr>
          <w:rFonts w:ascii="Arial" w:cs="Arial" w:eastAsia="Arial" w:hAnsi="Arial"/>
          <w:sz w:val="17"/>
          <w:szCs w:val="17"/>
          <w:color w:val="3A3A3A"/>
        </w:rPr>
        <w:t>you</w:t>
      </w:r>
      <w:r>
        <w:rPr>
          <w:rFonts w:ascii="Arial" w:cs="Arial" w:eastAsia="Arial" w:hAnsi="Arial"/>
          <w:sz w:val="17"/>
          <w:szCs w:val="17"/>
          <w:color w:val="282828"/>
        </w:rPr>
        <w:t xml:space="preserve"> sign </w:t>
      </w:r>
      <w:r>
        <w:rPr>
          <w:rFonts w:ascii="Arial" w:cs="Arial" w:eastAsia="Arial" w:hAnsi="Arial"/>
          <w:sz w:val="17"/>
          <w:szCs w:val="17"/>
          <w:color w:val="3A3A3A"/>
        </w:rPr>
        <w:t>this Agreement.</w:t>
      </w:r>
      <w:r>
        <w:rPr>
          <w:rFonts w:ascii="Arial" w:cs="Arial" w:eastAsia="Arial" w:hAnsi="Arial"/>
          <w:sz w:val="17"/>
          <w:szCs w:val="17"/>
          <w:color w:val="282828"/>
        </w:rPr>
        <w:t xml:space="preserve"> This general release includes, but </w:t>
      </w:r>
      <w:r>
        <w:rPr>
          <w:rFonts w:ascii="Arial" w:cs="Arial" w:eastAsia="Arial" w:hAnsi="Arial"/>
          <w:sz w:val="17"/>
          <w:szCs w:val="17"/>
          <w:color w:val="3A3A3A"/>
        </w:rPr>
        <w:t>is</w:t>
      </w:r>
      <w:r>
        <w:rPr>
          <w:rFonts w:ascii="Arial" w:cs="Arial" w:eastAsia="Arial" w:hAnsi="Arial"/>
          <w:sz w:val="17"/>
          <w:szCs w:val="17"/>
          <w:color w:val="282828"/>
        </w:rPr>
        <w:t xml:space="preserve"> not </w:t>
      </w:r>
      <w:r>
        <w:rPr>
          <w:rFonts w:ascii="Arial" w:cs="Arial" w:eastAsia="Arial" w:hAnsi="Arial"/>
          <w:sz w:val="17"/>
          <w:szCs w:val="17"/>
          <w:color w:val="3A3A3A"/>
        </w:rPr>
        <w:t>limited to: (a)</w:t>
      </w:r>
      <w:r>
        <w:rPr>
          <w:rFonts w:ascii="Arial" w:cs="Arial" w:eastAsia="Arial" w:hAnsi="Arial"/>
          <w:sz w:val="17"/>
          <w:szCs w:val="17"/>
          <w:color w:val="282828"/>
        </w:rPr>
        <w:t xml:space="preserve"> all claims arising out of or in any </w:t>
      </w:r>
      <w:r>
        <w:rPr>
          <w:rFonts w:ascii="Arial" w:cs="Arial" w:eastAsia="Arial" w:hAnsi="Arial"/>
          <w:sz w:val="17"/>
          <w:szCs w:val="17"/>
          <w:color w:val="3A3A3A"/>
        </w:rPr>
        <w:t>way</w:t>
      </w:r>
      <w:r>
        <w:rPr>
          <w:rFonts w:ascii="Arial" w:cs="Arial" w:eastAsia="Arial" w:hAnsi="Arial"/>
          <w:sz w:val="17"/>
          <w:szCs w:val="17"/>
          <w:color w:val="282828"/>
        </w:rPr>
        <w:t xml:space="preserve"> related to </w:t>
      </w:r>
      <w:r>
        <w:rPr>
          <w:rFonts w:ascii="Arial" w:cs="Arial" w:eastAsia="Arial" w:hAnsi="Arial"/>
          <w:sz w:val="17"/>
          <w:szCs w:val="17"/>
          <w:color w:val="3A3A3A"/>
        </w:rPr>
        <w:t>your</w:t>
      </w:r>
      <w:r>
        <w:rPr>
          <w:rFonts w:ascii="Arial" w:cs="Arial" w:eastAsia="Arial" w:hAnsi="Arial"/>
          <w:sz w:val="17"/>
          <w:szCs w:val="17"/>
          <w:color w:val="282828"/>
        </w:rPr>
        <w:t xml:space="preserve"> employment with the </w:t>
      </w:r>
      <w:r>
        <w:rPr>
          <w:rFonts w:ascii="Arial" w:cs="Arial" w:eastAsia="Arial" w:hAnsi="Arial"/>
          <w:sz w:val="17"/>
          <w:szCs w:val="17"/>
          <w:color w:val="3A3A3A"/>
        </w:rPr>
        <w:t>Company</w:t>
      </w:r>
      <w:r>
        <w:rPr>
          <w:rFonts w:ascii="Arial" w:cs="Arial" w:eastAsia="Arial" w:hAnsi="Arial"/>
          <w:sz w:val="17"/>
          <w:szCs w:val="17"/>
          <w:color w:val="282828"/>
        </w:rPr>
        <w:t xml:space="preserve"> or the termination of that employment; (b) all claims related to your compensation or benefits from the Company</w:t>
      </w:r>
      <w:r>
        <w:rPr>
          <w:rFonts w:ascii="Arial" w:cs="Arial" w:eastAsia="Arial" w:hAnsi="Arial"/>
          <w:sz w:val="17"/>
          <w:szCs w:val="17"/>
          <w:color w:val="4F4F4F"/>
        </w:rPr>
        <w:t>,</w:t>
      </w:r>
      <w:r>
        <w:rPr>
          <w:rFonts w:ascii="Arial" w:cs="Arial" w:eastAsia="Arial" w:hAnsi="Arial"/>
          <w:sz w:val="17"/>
          <w:szCs w:val="17"/>
          <w:color w:val="282828"/>
        </w:rPr>
        <w:t xml:space="preserve"> including salary</w:t>
      </w:r>
      <w:r>
        <w:rPr>
          <w:rFonts w:ascii="Arial" w:cs="Arial" w:eastAsia="Arial" w:hAnsi="Arial"/>
          <w:sz w:val="17"/>
          <w:szCs w:val="17"/>
          <w:color w:val="4F4F4F"/>
        </w:rPr>
        <w:t>,</w:t>
      </w:r>
      <w:r>
        <w:rPr>
          <w:rFonts w:ascii="Arial" w:cs="Arial" w:eastAsia="Arial" w:hAnsi="Arial"/>
          <w:sz w:val="17"/>
          <w:szCs w:val="17"/>
          <w:color w:val="282828"/>
        </w:rPr>
        <w:t xml:space="preserve"> bonuses, comnnss1ons, vacation pay, expense reimbursements</w:t>
      </w:r>
      <w:r>
        <w:rPr>
          <w:rFonts w:ascii="Arial" w:cs="Arial" w:eastAsia="Arial" w:hAnsi="Arial"/>
          <w:sz w:val="17"/>
          <w:szCs w:val="17"/>
          <w:color w:val="4F4F4F"/>
        </w:rPr>
        <w:t>,</w:t>
      </w:r>
      <w:r>
        <w:rPr>
          <w:rFonts w:ascii="Arial" w:cs="Arial" w:eastAsia="Arial" w:hAnsi="Arial"/>
          <w:sz w:val="17"/>
          <w:szCs w:val="17"/>
          <w:color w:val="282828"/>
        </w:rPr>
        <w:t xml:space="preserve"> severance pay</w:t>
      </w:r>
      <w:r>
        <w:rPr>
          <w:rFonts w:ascii="Arial" w:cs="Arial" w:eastAsia="Arial" w:hAnsi="Arial"/>
          <w:sz w:val="17"/>
          <w:szCs w:val="17"/>
          <w:color w:val="4F4F4F"/>
        </w:rPr>
        <w:t>,</w:t>
      </w:r>
      <w:r>
        <w:rPr>
          <w:rFonts w:ascii="Arial" w:cs="Arial" w:eastAsia="Arial" w:hAnsi="Arial"/>
          <w:sz w:val="17"/>
          <w:szCs w:val="17"/>
          <w:color w:val="282828"/>
        </w:rPr>
        <w:t xml:space="preserve"> fringe benefits</w:t>
      </w:r>
      <w:r>
        <w:rPr>
          <w:rFonts w:ascii="Arial" w:cs="Arial" w:eastAsia="Arial" w:hAnsi="Arial"/>
          <w:sz w:val="17"/>
          <w:szCs w:val="17"/>
          <w:color w:val="4F4F4F"/>
        </w:rPr>
        <w:t>,</w:t>
      </w:r>
      <w:r>
        <w:rPr>
          <w:rFonts w:ascii="Arial" w:cs="Arial" w:eastAsia="Arial" w:hAnsi="Arial"/>
          <w:sz w:val="17"/>
          <w:szCs w:val="17"/>
          <w:color w:val="282828"/>
        </w:rPr>
        <w:t xml:space="preserve"> stock</w:t>
      </w:r>
      <w:r>
        <w:rPr>
          <w:rFonts w:ascii="Arial" w:cs="Arial" w:eastAsia="Arial" w:hAnsi="Arial"/>
          <w:sz w:val="17"/>
          <w:szCs w:val="17"/>
          <w:color w:val="626262"/>
        </w:rPr>
        <w:t>,</w:t>
      </w:r>
      <w:r>
        <w:rPr>
          <w:rFonts w:ascii="Arial" w:cs="Arial" w:eastAsia="Arial" w:hAnsi="Arial"/>
          <w:sz w:val="17"/>
          <w:szCs w:val="17"/>
          <w:color w:val="282828"/>
        </w:rPr>
        <w:t xml:space="preserve"> stock options</w:t>
      </w:r>
      <w:r>
        <w:rPr>
          <w:rFonts w:ascii="Arial" w:cs="Arial" w:eastAsia="Arial" w:hAnsi="Arial"/>
          <w:sz w:val="17"/>
          <w:szCs w:val="17"/>
          <w:color w:val="4F4F4F"/>
        </w:rPr>
        <w:t>,</w:t>
      </w:r>
      <w:r>
        <w:rPr>
          <w:rFonts w:ascii="Arial" w:cs="Arial" w:eastAsia="Arial" w:hAnsi="Arial"/>
          <w:sz w:val="17"/>
          <w:szCs w:val="17"/>
          <w:color w:val="282828"/>
        </w:rPr>
        <w:t xml:space="preserve"> or any other ownership interests </w:t>
      </w:r>
      <w:r>
        <w:rPr>
          <w:rFonts w:ascii="Arial" w:cs="Arial" w:eastAsia="Arial" w:hAnsi="Arial"/>
          <w:sz w:val="17"/>
          <w:szCs w:val="17"/>
          <w:color w:val="3A3A3A"/>
        </w:rPr>
        <w:t>in</w:t>
      </w:r>
      <w:r>
        <w:rPr>
          <w:rFonts w:ascii="Arial" w:cs="Arial" w:eastAsia="Arial" w:hAnsi="Arial"/>
          <w:sz w:val="17"/>
          <w:szCs w:val="17"/>
          <w:color w:val="282828"/>
        </w:rPr>
        <w:t xml:space="preserve"> the Company; </w:t>
      </w:r>
      <w:r>
        <w:rPr>
          <w:rFonts w:ascii="Arial" w:cs="Arial" w:eastAsia="Arial" w:hAnsi="Arial"/>
          <w:sz w:val="17"/>
          <w:szCs w:val="17"/>
          <w:color w:val="3A3A3A"/>
        </w:rPr>
        <w:t>(</w:t>
      </w:r>
      <w:r>
        <w:rPr>
          <w:rFonts w:ascii="Arial" w:cs="Arial" w:eastAsia="Arial" w:hAnsi="Arial"/>
          <w:sz w:val="17"/>
          <w:szCs w:val="17"/>
          <w:color w:val="282828"/>
        </w:rPr>
        <w:t xml:space="preserve">c) all claims for breach of contract, </w:t>
      </w:r>
      <w:r>
        <w:rPr>
          <w:rFonts w:ascii="Arial" w:cs="Arial" w:eastAsia="Arial" w:hAnsi="Arial"/>
          <w:sz w:val="17"/>
          <w:szCs w:val="17"/>
          <w:color w:val="3A3A3A"/>
        </w:rPr>
        <w:t>wrongful</w:t>
      </w:r>
      <w:r>
        <w:rPr>
          <w:rFonts w:ascii="Arial" w:cs="Arial" w:eastAsia="Arial" w:hAnsi="Arial"/>
          <w:sz w:val="17"/>
          <w:szCs w:val="17"/>
          <w:color w:val="282828"/>
        </w:rPr>
        <w:t xml:space="preserve"> termination, and breach of the implied covenant of good faith and fair dealing; </w:t>
      </w:r>
      <w:r>
        <w:rPr>
          <w:rFonts w:ascii="Arial" w:cs="Arial" w:eastAsia="Arial" w:hAnsi="Arial"/>
          <w:sz w:val="17"/>
          <w:szCs w:val="17"/>
          <w:color w:val="3A3A3A"/>
        </w:rPr>
        <w:t>(</w:t>
      </w:r>
      <w:r>
        <w:rPr>
          <w:rFonts w:ascii="Arial" w:cs="Arial" w:eastAsia="Arial" w:hAnsi="Arial"/>
          <w:sz w:val="17"/>
          <w:szCs w:val="17"/>
          <w:color w:val="282828"/>
        </w:rPr>
        <w:t xml:space="preserve">d) all tort claims, including claims for fraud, defamation, emotional </w:t>
      </w:r>
      <w:r>
        <w:rPr>
          <w:rFonts w:ascii="Arial" w:cs="Arial" w:eastAsia="Arial" w:hAnsi="Arial"/>
          <w:sz w:val="17"/>
          <w:szCs w:val="17"/>
          <w:color w:val="181618"/>
        </w:rPr>
        <w:t>distress</w:t>
      </w:r>
      <w:r>
        <w:rPr>
          <w:rFonts w:ascii="Arial" w:cs="Arial" w:eastAsia="Arial" w:hAnsi="Arial"/>
          <w:sz w:val="17"/>
          <w:szCs w:val="17"/>
          <w:color w:val="3A3A3A"/>
        </w:rPr>
        <w:t>,</w:t>
      </w:r>
      <w:r>
        <w:rPr>
          <w:rFonts w:ascii="Arial" w:cs="Arial" w:eastAsia="Arial" w:hAnsi="Arial"/>
          <w:sz w:val="17"/>
          <w:szCs w:val="17"/>
          <w:color w:val="282828"/>
        </w:rPr>
        <w:t xml:space="preserve"> and discharge in violation </w:t>
      </w:r>
      <w:r>
        <w:rPr>
          <w:rFonts w:ascii="Arial" w:cs="Arial" w:eastAsia="Arial" w:hAnsi="Arial"/>
          <w:sz w:val="17"/>
          <w:szCs w:val="17"/>
          <w:color w:val="181618"/>
        </w:rPr>
        <w:t>of</w:t>
      </w:r>
      <w:r>
        <w:rPr>
          <w:rFonts w:ascii="Arial" w:cs="Arial" w:eastAsia="Arial" w:hAnsi="Arial"/>
          <w:sz w:val="17"/>
          <w:szCs w:val="17"/>
          <w:color w:val="282828"/>
        </w:rPr>
        <w:t xml:space="preserve"> public policy; and </w:t>
      </w:r>
      <w:r>
        <w:rPr>
          <w:rFonts w:ascii="Arial" w:cs="Arial" w:eastAsia="Arial" w:hAnsi="Arial"/>
          <w:sz w:val="17"/>
          <w:szCs w:val="17"/>
          <w:color w:val="3A3A3A"/>
        </w:rPr>
        <w:t>(</w:t>
      </w:r>
      <w:r>
        <w:rPr>
          <w:rFonts w:ascii="Arial" w:cs="Arial" w:eastAsia="Arial" w:hAnsi="Arial"/>
          <w:sz w:val="17"/>
          <w:szCs w:val="17"/>
          <w:color w:val="282828"/>
        </w:rPr>
        <w:t>e) all federal, state, and local statutory claims</w:t>
      </w:r>
      <w:r>
        <w:rPr>
          <w:rFonts w:ascii="Arial" w:cs="Arial" w:eastAsia="Arial" w:hAnsi="Arial"/>
          <w:sz w:val="17"/>
          <w:szCs w:val="17"/>
          <w:color w:val="4F4F4F"/>
        </w:rPr>
        <w:t>,</w:t>
      </w:r>
      <w:r>
        <w:rPr>
          <w:rFonts w:ascii="Arial" w:cs="Arial" w:eastAsia="Arial" w:hAnsi="Arial"/>
          <w:sz w:val="17"/>
          <w:szCs w:val="17"/>
          <w:color w:val="282828"/>
        </w:rPr>
        <w:t xml:space="preserve"> including claims for discrimination, harassment</w:t>
      </w:r>
      <w:r>
        <w:rPr>
          <w:rFonts w:ascii="Arial" w:cs="Arial" w:eastAsia="Arial" w:hAnsi="Arial"/>
          <w:sz w:val="17"/>
          <w:szCs w:val="17"/>
          <w:color w:val="4F4F4F"/>
        </w:rPr>
        <w:t>,</w:t>
      </w:r>
      <w:r>
        <w:rPr>
          <w:rFonts w:ascii="Arial" w:cs="Arial" w:eastAsia="Arial" w:hAnsi="Arial"/>
          <w:sz w:val="17"/>
          <w:szCs w:val="17"/>
          <w:color w:val="282828"/>
        </w:rPr>
        <w:t xml:space="preserve"> retaliation, attorneys</w:t>
      </w:r>
      <w:r>
        <w:rPr>
          <w:rFonts w:ascii="Arial" w:cs="Arial" w:eastAsia="Arial" w:hAnsi="Arial"/>
          <w:sz w:val="17"/>
          <w:szCs w:val="17"/>
          <w:color w:val="4F4F4F"/>
        </w:rPr>
        <w:t>'</w:t>
      </w:r>
      <w:r>
        <w:rPr>
          <w:rFonts w:ascii="Arial" w:cs="Arial" w:eastAsia="Arial" w:hAnsi="Arial"/>
          <w:sz w:val="17"/>
          <w:szCs w:val="17"/>
          <w:color w:val="282828"/>
        </w:rPr>
        <w:t xml:space="preserve"> fees</w:t>
      </w:r>
      <w:r>
        <w:rPr>
          <w:rFonts w:ascii="Arial" w:cs="Arial" w:eastAsia="Arial" w:hAnsi="Arial"/>
          <w:sz w:val="17"/>
          <w:szCs w:val="17"/>
          <w:color w:val="4F4F4F"/>
        </w:rPr>
        <w:t>,</w:t>
      </w:r>
      <w:r>
        <w:rPr>
          <w:rFonts w:ascii="Arial" w:cs="Arial" w:eastAsia="Arial" w:hAnsi="Arial"/>
          <w:sz w:val="17"/>
          <w:szCs w:val="17"/>
          <w:color w:val="282828"/>
        </w:rPr>
        <w:t xml:space="preserve"> or other claims arising under the federal </w:t>
      </w:r>
      <w:r>
        <w:rPr>
          <w:rFonts w:ascii="Arial" w:cs="Arial" w:eastAsia="Arial" w:hAnsi="Arial"/>
          <w:sz w:val="17"/>
          <w:szCs w:val="17"/>
          <w:color w:val="3A3A3A"/>
        </w:rPr>
        <w:t>Civil</w:t>
      </w:r>
      <w:r>
        <w:rPr>
          <w:rFonts w:ascii="Arial" w:cs="Arial" w:eastAsia="Arial" w:hAnsi="Arial"/>
          <w:sz w:val="17"/>
          <w:szCs w:val="17"/>
          <w:color w:val="282828"/>
        </w:rPr>
        <w:t xml:space="preserve"> Rights Act of 1964 </w:t>
      </w:r>
      <w:r>
        <w:rPr>
          <w:rFonts w:ascii="Arial" w:cs="Arial" w:eastAsia="Arial" w:hAnsi="Arial"/>
          <w:sz w:val="17"/>
          <w:szCs w:val="17"/>
          <w:color w:val="3A3A3A"/>
        </w:rPr>
        <w:t>(as</w:t>
      </w:r>
      <w:r>
        <w:rPr>
          <w:rFonts w:ascii="Arial" w:cs="Arial" w:eastAsia="Arial" w:hAnsi="Arial"/>
          <w:sz w:val="17"/>
          <w:szCs w:val="17"/>
          <w:color w:val="282828"/>
        </w:rPr>
        <w:t xml:space="preserve"> amended)</w:t>
      </w:r>
      <w:r>
        <w:rPr>
          <w:rFonts w:ascii="Arial" w:cs="Arial" w:eastAsia="Arial" w:hAnsi="Arial"/>
          <w:sz w:val="17"/>
          <w:szCs w:val="17"/>
          <w:color w:val="4F4F4F"/>
        </w:rPr>
        <w:t>,</w:t>
      </w:r>
      <w:r>
        <w:rPr>
          <w:rFonts w:ascii="Arial" w:cs="Arial" w:eastAsia="Arial" w:hAnsi="Arial"/>
          <w:sz w:val="17"/>
          <w:szCs w:val="17"/>
          <w:color w:val="282828"/>
        </w:rPr>
        <w:t xml:space="preserve"> the federal Americans </w:t>
      </w:r>
      <w:r>
        <w:rPr>
          <w:rFonts w:ascii="Arial" w:cs="Arial" w:eastAsia="Arial" w:hAnsi="Arial"/>
          <w:sz w:val="17"/>
          <w:szCs w:val="17"/>
          <w:color w:val="3A3A3A"/>
        </w:rPr>
        <w:t>with</w:t>
      </w:r>
      <w:r>
        <w:rPr>
          <w:rFonts w:ascii="Arial" w:cs="Arial" w:eastAsia="Arial" w:hAnsi="Arial"/>
          <w:sz w:val="17"/>
          <w:szCs w:val="17"/>
          <w:color w:val="282828"/>
        </w:rPr>
        <w:t xml:space="preserve"> Disabilities Act of 1990</w:t>
      </w:r>
      <w:r>
        <w:rPr>
          <w:rFonts w:ascii="Arial" w:cs="Arial" w:eastAsia="Arial" w:hAnsi="Arial"/>
          <w:sz w:val="17"/>
          <w:szCs w:val="17"/>
          <w:color w:val="4F4F4F"/>
        </w:rPr>
        <w:t>,</w:t>
      </w:r>
      <w:r>
        <w:rPr>
          <w:rFonts w:ascii="Arial" w:cs="Arial" w:eastAsia="Arial" w:hAnsi="Arial"/>
          <w:sz w:val="17"/>
          <w:szCs w:val="17"/>
          <w:color w:val="282828"/>
        </w:rPr>
        <w:t xml:space="preserve"> the Age Discrimination in Employment Act </w:t>
      </w:r>
      <w:r>
        <w:rPr>
          <w:rFonts w:ascii="Arial" w:cs="Arial" w:eastAsia="Arial" w:hAnsi="Arial"/>
          <w:sz w:val="17"/>
          <w:szCs w:val="17"/>
          <w:b w:val="1"/>
          <w:bCs w:val="1"/>
          <w:color w:val="282828"/>
        </w:rPr>
        <w:t>(“ADEA”)</w:t>
      </w:r>
      <w:r>
        <w:rPr>
          <w:rFonts w:ascii="Arial" w:cs="Arial" w:eastAsia="Arial" w:hAnsi="Arial"/>
          <w:sz w:val="17"/>
          <w:szCs w:val="17"/>
          <w:color w:val="282828"/>
        </w:rPr>
        <w:t xml:space="preserve"> the Arizona Wage Act, the Arizona Employment Protection Act, the Arizona Civil Rights Act, the Arizona </w:t>
      </w:r>
      <w:r>
        <w:rPr>
          <w:rFonts w:ascii="Arial" w:cs="Arial" w:eastAsia="Arial" w:hAnsi="Arial"/>
          <w:sz w:val="17"/>
          <w:szCs w:val="17"/>
          <w:color w:val="181618"/>
        </w:rPr>
        <w:t>Revised</w:t>
      </w:r>
      <w:r>
        <w:rPr>
          <w:rFonts w:ascii="Arial" w:cs="Arial" w:eastAsia="Arial" w:hAnsi="Arial"/>
          <w:sz w:val="17"/>
          <w:szCs w:val="17"/>
          <w:color w:val="282828"/>
        </w:rPr>
        <w:t xml:space="preserve"> Statutes</w:t>
      </w:r>
      <w:r>
        <w:rPr>
          <w:rFonts w:ascii="Arial" w:cs="Arial" w:eastAsia="Arial" w:hAnsi="Arial"/>
          <w:sz w:val="17"/>
          <w:szCs w:val="17"/>
          <w:color w:val="4F4F4F"/>
        </w:rPr>
        <w:t>,</w:t>
      </w:r>
      <w:r>
        <w:rPr>
          <w:rFonts w:ascii="Arial" w:cs="Arial" w:eastAsia="Arial" w:hAnsi="Arial"/>
          <w:sz w:val="17"/>
          <w:szCs w:val="17"/>
          <w:color w:val="282828"/>
        </w:rPr>
        <w:t xml:space="preserve"> the Arizona Administrative Rules, the </w:t>
      </w:r>
      <w:r>
        <w:rPr>
          <w:rFonts w:ascii="Arial" w:cs="Arial" w:eastAsia="Arial" w:hAnsi="Arial"/>
          <w:sz w:val="17"/>
          <w:szCs w:val="17"/>
          <w:color w:val="3A3A3A"/>
        </w:rPr>
        <w:t>Texas</w:t>
      </w:r>
      <w:r>
        <w:rPr>
          <w:rFonts w:ascii="Arial" w:cs="Arial" w:eastAsia="Arial" w:hAnsi="Arial"/>
          <w:sz w:val="17"/>
          <w:szCs w:val="17"/>
          <w:color w:val="282828"/>
        </w:rPr>
        <w:t xml:space="preserve"> Human Rights Act and the Texas Labor Code. </w:t>
      </w:r>
      <w:r>
        <w:rPr>
          <w:rFonts w:ascii="Arial" w:cs="Arial" w:eastAsia="Arial" w:hAnsi="Arial"/>
          <w:sz w:val="17"/>
          <w:szCs w:val="17"/>
          <w:color w:val="3A3A3A"/>
        </w:rPr>
        <w:t xml:space="preserve">Notwithstanding </w:t>
      </w:r>
      <w:r>
        <w:rPr>
          <w:rFonts w:ascii="Arial" w:cs="Arial" w:eastAsia="Arial" w:hAnsi="Arial"/>
          <w:sz w:val="17"/>
          <w:szCs w:val="17"/>
          <w:color w:val="282828"/>
        </w:rPr>
        <w:t>the foregoing,</w:t>
      </w:r>
      <w:r>
        <w:rPr>
          <w:rFonts w:ascii="Arial" w:cs="Arial" w:eastAsia="Arial" w:hAnsi="Arial"/>
          <w:sz w:val="17"/>
          <w:szCs w:val="17"/>
          <w:color w:val="3A3A3A"/>
        </w:rPr>
        <w:t xml:space="preserve"> you </w:t>
      </w:r>
      <w:r>
        <w:rPr>
          <w:rFonts w:ascii="Arial" w:cs="Arial" w:eastAsia="Arial" w:hAnsi="Arial"/>
          <w:sz w:val="17"/>
          <w:szCs w:val="17"/>
          <w:color w:val="282828"/>
        </w:rPr>
        <w:t>are not releasing the</w:t>
      </w:r>
      <w:r>
        <w:rPr>
          <w:rFonts w:ascii="Arial" w:cs="Arial" w:eastAsia="Arial" w:hAnsi="Arial"/>
          <w:sz w:val="17"/>
          <w:szCs w:val="17"/>
          <w:color w:val="3A3A3A"/>
        </w:rPr>
        <w:t xml:space="preserve"> Company </w:t>
      </w:r>
      <w:r>
        <w:rPr>
          <w:rFonts w:ascii="Arial" w:cs="Arial" w:eastAsia="Arial" w:hAnsi="Arial"/>
          <w:sz w:val="17"/>
          <w:szCs w:val="17"/>
          <w:color w:val="282828"/>
        </w:rPr>
        <w:t>hereby from any obligation to indemnify you pursuant to the</w:t>
      </w:r>
      <w:r>
        <w:rPr>
          <w:rFonts w:ascii="Arial" w:cs="Arial" w:eastAsia="Arial" w:hAnsi="Arial"/>
          <w:sz w:val="17"/>
          <w:szCs w:val="17"/>
          <w:color w:val="3A3A3A"/>
        </w:rPr>
        <w:t xml:space="preserve"> </w:t>
      </w:r>
      <w:r>
        <w:rPr>
          <w:rFonts w:ascii="Arial" w:cs="Arial" w:eastAsia="Arial" w:hAnsi="Arial"/>
          <w:sz w:val="17"/>
          <w:szCs w:val="17"/>
          <w:color w:val="282828"/>
        </w:rPr>
        <w:t xml:space="preserve">Articles and Bylaws of the Company, any </w:t>
      </w:r>
      <w:r>
        <w:rPr>
          <w:rFonts w:ascii="Arial" w:cs="Arial" w:eastAsia="Arial" w:hAnsi="Arial"/>
          <w:sz w:val="17"/>
          <w:szCs w:val="17"/>
          <w:color w:val="3A3A3A"/>
        </w:rPr>
        <w:t>valid</w:t>
      </w:r>
      <w:r>
        <w:rPr>
          <w:rFonts w:ascii="Arial" w:cs="Arial" w:eastAsia="Arial" w:hAnsi="Arial"/>
          <w:sz w:val="17"/>
          <w:szCs w:val="17"/>
          <w:color w:val="282828"/>
        </w:rPr>
        <w:t xml:space="preserve"> fully executed indemnification agreement with the Company, applicable law, or applicable directors' and officers' liability insurance. Also, excluded from this Agreement are any claims that cannot be </w:t>
      </w:r>
      <w:r>
        <w:rPr>
          <w:rFonts w:ascii="Arial" w:cs="Arial" w:eastAsia="Arial" w:hAnsi="Arial"/>
          <w:sz w:val="17"/>
          <w:szCs w:val="17"/>
          <w:color w:val="3A3A3A"/>
        </w:rPr>
        <w:t>waived</w:t>
      </w:r>
      <w:r>
        <w:rPr>
          <w:rFonts w:ascii="Arial" w:cs="Arial" w:eastAsia="Arial" w:hAnsi="Arial"/>
          <w:sz w:val="17"/>
          <w:szCs w:val="17"/>
          <w:color w:val="282828"/>
        </w:rPr>
        <w:t xml:space="preserve"> by law.</w:t>
      </w:r>
    </w:p>
    <w:p>
      <w:pPr>
        <w:spacing w:after="0" w:line="174" w:lineRule="exact"/>
        <w:rPr>
          <w:rFonts w:ascii="Arial" w:cs="Arial" w:eastAsia="Arial" w:hAnsi="Arial"/>
          <w:sz w:val="17"/>
          <w:szCs w:val="17"/>
          <w:b w:val="1"/>
          <w:bCs w:val="1"/>
          <w:color w:val="181818"/>
        </w:rPr>
      </w:pPr>
    </w:p>
    <w:p>
      <w:pPr>
        <w:jc w:val="both"/>
        <w:ind w:left="652" w:hanging="328"/>
        <w:spacing w:after="0" w:line="287" w:lineRule="auto"/>
        <w:tabs>
          <w:tab w:leader="none" w:pos="652" w:val="left"/>
        </w:tabs>
        <w:numPr>
          <w:ilvl w:val="1"/>
          <w:numId w:val="26"/>
        </w:numPr>
        <w:rPr>
          <w:rFonts w:ascii="Arial" w:cs="Arial" w:eastAsia="Arial" w:hAnsi="Arial"/>
          <w:sz w:val="16"/>
          <w:szCs w:val="16"/>
          <w:b w:val="1"/>
          <w:bCs w:val="1"/>
          <w:color w:val="2A2A2A"/>
        </w:rPr>
      </w:pPr>
      <w:r>
        <w:rPr>
          <w:rFonts w:ascii="Arial" w:cs="Arial" w:eastAsia="Arial" w:hAnsi="Arial"/>
          <w:sz w:val="16"/>
          <w:szCs w:val="16"/>
          <w:b w:val="1"/>
          <w:bCs w:val="1"/>
          <w:color w:val="181618"/>
        </w:rPr>
        <w:t xml:space="preserve">ADEA RELEASE </w:t>
      </w:r>
      <w:r>
        <w:rPr>
          <w:rFonts w:ascii="Arial" w:cs="Arial" w:eastAsia="Arial" w:hAnsi="Arial"/>
          <w:sz w:val="16"/>
          <w:szCs w:val="16"/>
          <w:color w:val="181618"/>
        </w:rPr>
        <w:t>-</w:t>
      </w:r>
      <w:r>
        <w:rPr>
          <w:rFonts w:ascii="Arial" w:cs="Arial" w:eastAsia="Arial" w:hAnsi="Arial"/>
          <w:sz w:val="16"/>
          <w:szCs w:val="16"/>
          <w:b w:val="1"/>
          <w:bCs w:val="1"/>
          <w:color w:val="181618"/>
        </w:rPr>
        <w:t xml:space="preserve"> </w:t>
      </w:r>
      <w:r>
        <w:rPr>
          <w:rFonts w:ascii="Arial" w:cs="Arial" w:eastAsia="Arial" w:hAnsi="Arial"/>
          <w:sz w:val="16"/>
          <w:szCs w:val="16"/>
          <w:color w:val="282828"/>
        </w:rPr>
        <w:t>You acknowledge that you are knowingly and voluntarily waiving and releasing any rights</w:t>
      </w:r>
      <w:r>
        <w:rPr>
          <w:rFonts w:ascii="Arial" w:cs="Arial" w:eastAsia="Arial" w:hAnsi="Arial"/>
          <w:sz w:val="16"/>
          <w:szCs w:val="16"/>
          <w:b w:val="1"/>
          <w:bCs w:val="1"/>
          <w:color w:val="181618"/>
        </w:rPr>
        <w:t xml:space="preserve"> </w:t>
      </w:r>
      <w:r>
        <w:rPr>
          <w:rFonts w:ascii="Arial" w:cs="Arial" w:eastAsia="Arial" w:hAnsi="Arial"/>
          <w:sz w:val="16"/>
          <w:szCs w:val="16"/>
          <w:color w:val="3A3A3A"/>
        </w:rPr>
        <w:t>you</w:t>
      </w:r>
      <w:r>
        <w:rPr>
          <w:rFonts w:ascii="Arial" w:cs="Arial" w:eastAsia="Arial" w:hAnsi="Arial"/>
          <w:sz w:val="16"/>
          <w:szCs w:val="16"/>
          <w:b w:val="1"/>
          <w:bCs w:val="1"/>
          <w:color w:val="181618"/>
        </w:rPr>
        <w:t xml:space="preserve"> </w:t>
      </w:r>
      <w:r>
        <w:rPr>
          <w:rFonts w:ascii="Arial" w:cs="Arial" w:eastAsia="Arial" w:hAnsi="Arial"/>
          <w:sz w:val="16"/>
          <w:szCs w:val="16"/>
          <w:color w:val="282828"/>
        </w:rPr>
        <w:t>have under</w:t>
      </w:r>
      <w:r>
        <w:rPr>
          <w:rFonts w:ascii="Arial" w:cs="Arial" w:eastAsia="Arial" w:hAnsi="Arial"/>
          <w:sz w:val="16"/>
          <w:szCs w:val="16"/>
          <w:b w:val="1"/>
          <w:bCs w:val="1"/>
          <w:color w:val="181618"/>
        </w:rPr>
        <w:t xml:space="preserve"> </w:t>
      </w:r>
      <w:r>
        <w:rPr>
          <w:rFonts w:ascii="Arial" w:cs="Arial" w:eastAsia="Arial" w:hAnsi="Arial"/>
          <w:sz w:val="16"/>
          <w:szCs w:val="16"/>
          <w:color w:val="282828"/>
        </w:rPr>
        <w:t xml:space="preserve">the ADEA, and that the consideration given for the </w:t>
      </w:r>
      <w:r>
        <w:rPr>
          <w:rFonts w:ascii="Arial" w:cs="Arial" w:eastAsia="Arial" w:hAnsi="Arial"/>
          <w:sz w:val="16"/>
          <w:szCs w:val="16"/>
          <w:color w:val="3A3A3A"/>
        </w:rPr>
        <w:t>waiver</w:t>
      </w:r>
      <w:r>
        <w:rPr>
          <w:rFonts w:ascii="Arial" w:cs="Arial" w:eastAsia="Arial" w:hAnsi="Arial"/>
          <w:sz w:val="16"/>
          <w:szCs w:val="16"/>
          <w:color w:val="282828"/>
        </w:rPr>
        <w:t xml:space="preserve"> and releases </w:t>
      </w:r>
      <w:r>
        <w:rPr>
          <w:rFonts w:ascii="Arial" w:cs="Arial" w:eastAsia="Arial" w:hAnsi="Arial"/>
          <w:sz w:val="16"/>
          <w:szCs w:val="16"/>
          <w:color w:val="3A3A3A"/>
        </w:rPr>
        <w:t>you</w:t>
      </w:r>
      <w:r>
        <w:rPr>
          <w:rFonts w:ascii="Arial" w:cs="Arial" w:eastAsia="Arial" w:hAnsi="Arial"/>
          <w:sz w:val="16"/>
          <w:szCs w:val="16"/>
          <w:color w:val="282828"/>
        </w:rPr>
        <w:t xml:space="preserve"> have given in this Agreement </w:t>
      </w:r>
      <w:r>
        <w:rPr>
          <w:rFonts w:ascii="Arial" w:cs="Arial" w:eastAsia="Arial" w:hAnsi="Arial"/>
          <w:sz w:val="16"/>
          <w:szCs w:val="16"/>
          <w:color w:val="3A3A3A"/>
        </w:rPr>
        <w:t>is</w:t>
      </w:r>
      <w:r>
        <w:rPr>
          <w:rFonts w:ascii="Arial" w:cs="Arial" w:eastAsia="Arial" w:hAnsi="Arial"/>
          <w:sz w:val="16"/>
          <w:szCs w:val="16"/>
          <w:color w:val="282828"/>
        </w:rPr>
        <w:t xml:space="preserve"> in addition to anything of </w:t>
      </w:r>
      <w:r>
        <w:rPr>
          <w:rFonts w:ascii="Arial" w:cs="Arial" w:eastAsia="Arial" w:hAnsi="Arial"/>
          <w:sz w:val="16"/>
          <w:szCs w:val="16"/>
          <w:color w:val="3A3A3A"/>
        </w:rPr>
        <w:t>value to</w:t>
      </w:r>
      <w:r>
        <w:rPr>
          <w:rFonts w:ascii="Arial" w:cs="Arial" w:eastAsia="Arial" w:hAnsi="Arial"/>
          <w:sz w:val="16"/>
          <w:szCs w:val="16"/>
          <w:color w:val="282828"/>
        </w:rPr>
        <w:t xml:space="preserve"> which </w:t>
      </w:r>
      <w:r>
        <w:rPr>
          <w:rFonts w:ascii="Arial" w:cs="Arial" w:eastAsia="Arial" w:hAnsi="Arial"/>
          <w:sz w:val="16"/>
          <w:szCs w:val="16"/>
          <w:color w:val="3A3A3A"/>
        </w:rPr>
        <w:t>you</w:t>
      </w:r>
      <w:r>
        <w:rPr>
          <w:rFonts w:ascii="Arial" w:cs="Arial" w:eastAsia="Arial" w:hAnsi="Arial"/>
          <w:sz w:val="16"/>
          <w:szCs w:val="16"/>
          <w:color w:val="282828"/>
        </w:rPr>
        <w:t xml:space="preserve"> were already entitled. You further acknowledge that </w:t>
      </w:r>
      <w:r>
        <w:rPr>
          <w:rFonts w:ascii="Arial" w:cs="Arial" w:eastAsia="Arial" w:hAnsi="Arial"/>
          <w:sz w:val="16"/>
          <w:szCs w:val="16"/>
          <w:color w:val="3A3A3A"/>
        </w:rPr>
        <w:t>you</w:t>
      </w:r>
      <w:r>
        <w:rPr>
          <w:rFonts w:ascii="Arial" w:cs="Arial" w:eastAsia="Arial" w:hAnsi="Arial"/>
          <w:sz w:val="16"/>
          <w:szCs w:val="16"/>
          <w:color w:val="282828"/>
        </w:rPr>
        <w:t xml:space="preserve"> have been advised, as required </w:t>
      </w:r>
      <w:r>
        <w:rPr>
          <w:rFonts w:ascii="Arial" w:cs="Arial" w:eastAsia="Arial" w:hAnsi="Arial"/>
          <w:sz w:val="16"/>
          <w:szCs w:val="16"/>
          <w:color w:val="181618"/>
        </w:rPr>
        <w:t>by the</w:t>
      </w:r>
      <w:r>
        <w:rPr>
          <w:rFonts w:ascii="Arial" w:cs="Arial" w:eastAsia="Arial" w:hAnsi="Arial"/>
          <w:sz w:val="16"/>
          <w:szCs w:val="16"/>
          <w:color w:val="282828"/>
        </w:rPr>
        <w:t xml:space="preserve"> </w:t>
      </w:r>
      <w:r>
        <w:rPr>
          <w:rFonts w:ascii="Arial" w:cs="Arial" w:eastAsia="Arial" w:hAnsi="Arial"/>
          <w:sz w:val="16"/>
          <w:szCs w:val="16"/>
          <w:color w:val="181618"/>
        </w:rPr>
        <w:t>ADEA</w:t>
      </w:r>
      <w:r>
        <w:rPr>
          <w:rFonts w:ascii="Arial" w:cs="Arial" w:eastAsia="Arial" w:hAnsi="Arial"/>
          <w:sz w:val="16"/>
          <w:szCs w:val="16"/>
          <w:color w:val="3A3A3A"/>
        </w:rPr>
        <w:t>,</w:t>
      </w:r>
      <w:r>
        <w:rPr>
          <w:rFonts w:ascii="Arial" w:cs="Arial" w:eastAsia="Arial" w:hAnsi="Arial"/>
          <w:sz w:val="16"/>
          <w:szCs w:val="16"/>
          <w:color w:val="181618"/>
        </w:rPr>
        <w:t xml:space="preserve"> </w:t>
      </w:r>
      <w:r>
        <w:rPr>
          <w:rFonts w:ascii="Arial" w:cs="Arial" w:eastAsia="Arial" w:hAnsi="Arial"/>
          <w:sz w:val="16"/>
          <w:szCs w:val="16"/>
          <w:color w:val="282828"/>
        </w:rPr>
        <w:t>that: (a) your waiver and release</w:t>
      </w:r>
      <w:r>
        <w:rPr>
          <w:rFonts w:ascii="Arial" w:cs="Arial" w:eastAsia="Arial" w:hAnsi="Arial"/>
          <w:sz w:val="16"/>
          <w:szCs w:val="16"/>
          <w:color w:val="181618"/>
        </w:rPr>
        <w:t xml:space="preserve"> does </w:t>
      </w:r>
      <w:r>
        <w:rPr>
          <w:rFonts w:ascii="Arial" w:cs="Arial" w:eastAsia="Arial" w:hAnsi="Arial"/>
          <w:sz w:val="16"/>
          <w:szCs w:val="16"/>
          <w:color w:val="282828"/>
        </w:rPr>
        <w:t>not</w:t>
      </w:r>
      <w:r>
        <w:rPr>
          <w:rFonts w:ascii="Arial" w:cs="Arial" w:eastAsia="Arial" w:hAnsi="Arial"/>
          <w:sz w:val="16"/>
          <w:szCs w:val="16"/>
          <w:color w:val="181618"/>
        </w:rPr>
        <w:t xml:space="preserve"> apply </w:t>
      </w:r>
      <w:r>
        <w:rPr>
          <w:rFonts w:ascii="Arial" w:cs="Arial" w:eastAsia="Arial" w:hAnsi="Arial"/>
          <w:sz w:val="16"/>
          <w:szCs w:val="16"/>
          <w:color w:val="282828"/>
        </w:rPr>
        <w:t>to any rights or claims that arise after the date you sign this Agreement;</w:t>
      </w:r>
    </w:p>
    <w:p>
      <w:pPr>
        <w:spacing w:after="0" w:line="2" w:lineRule="exact"/>
        <w:rPr>
          <w:rFonts w:ascii="Arial" w:cs="Arial" w:eastAsia="Arial" w:hAnsi="Arial"/>
          <w:sz w:val="16"/>
          <w:szCs w:val="16"/>
          <w:b w:val="1"/>
          <w:bCs w:val="1"/>
          <w:color w:val="2A2A2A"/>
        </w:rPr>
      </w:pPr>
    </w:p>
    <w:p>
      <w:pPr>
        <w:jc w:val="both"/>
        <w:ind w:left="652"/>
        <w:spacing w:after="0" w:line="270" w:lineRule="auto"/>
        <w:rPr>
          <w:rFonts w:ascii="Arial" w:cs="Arial" w:eastAsia="Arial" w:hAnsi="Arial"/>
          <w:sz w:val="16"/>
          <w:szCs w:val="16"/>
          <w:b w:val="1"/>
          <w:bCs w:val="1"/>
          <w:color w:val="2A2A2A"/>
        </w:rPr>
      </w:pPr>
      <w:r>
        <w:rPr>
          <w:rFonts w:ascii="Arial" w:cs="Arial" w:eastAsia="Arial" w:hAnsi="Arial"/>
          <w:sz w:val="17"/>
          <w:szCs w:val="17"/>
          <w:color w:val="282828"/>
        </w:rPr>
        <w:t xml:space="preserve">(b) </w:t>
      </w:r>
      <w:r>
        <w:rPr>
          <w:rFonts w:ascii="Arial" w:cs="Arial" w:eastAsia="Arial" w:hAnsi="Arial"/>
          <w:sz w:val="17"/>
          <w:szCs w:val="17"/>
          <w:color w:val="3A3A3A"/>
        </w:rPr>
        <w:t>you</w:t>
      </w:r>
      <w:r>
        <w:rPr>
          <w:rFonts w:ascii="Arial" w:cs="Arial" w:eastAsia="Arial" w:hAnsi="Arial"/>
          <w:sz w:val="17"/>
          <w:szCs w:val="17"/>
          <w:color w:val="282828"/>
        </w:rPr>
        <w:t xml:space="preserve"> should consult with an attorney prior to signing this Agreement (although </w:t>
      </w:r>
      <w:r>
        <w:rPr>
          <w:rFonts w:ascii="Arial" w:cs="Arial" w:eastAsia="Arial" w:hAnsi="Arial"/>
          <w:sz w:val="17"/>
          <w:szCs w:val="17"/>
          <w:color w:val="3A3A3A"/>
        </w:rPr>
        <w:t>you</w:t>
      </w:r>
      <w:r>
        <w:rPr>
          <w:rFonts w:ascii="Arial" w:cs="Arial" w:eastAsia="Arial" w:hAnsi="Arial"/>
          <w:sz w:val="17"/>
          <w:szCs w:val="17"/>
          <w:color w:val="282828"/>
        </w:rPr>
        <w:t xml:space="preserve"> may choose </w:t>
      </w:r>
      <w:r>
        <w:rPr>
          <w:rFonts w:ascii="Arial" w:cs="Arial" w:eastAsia="Arial" w:hAnsi="Arial"/>
          <w:sz w:val="17"/>
          <w:szCs w:val="17"/>
          <w:color w:val="3A3A3A"/>
        </w:rPr>
        <w:t>voluntarily</w:t>
      </w:r>
      <w:r>
        <w:rPr>
          <w:rFonts w:ascii="Arial" w:cs="Arial" w:eastAsia="Arial" w:hAnsi="Arial"/>
          <w:sz w:val="17"/>
          <w:szCs w:val="17"/>
          <w:color w:val="282828"/>
        </w:rPr>
        <w:t xml:space="preserve"> not </w:t>
      </w:r>
      <w:r>
        <w:rPr>
          <w:rFonts w:ascii="Arial" w:cs="Arial" w:eastAsia="Arial" w:hAnsi="Arial"/>
          <w:sz w:val="17"/>
          <w:szCs w:val="17"/>
          <w:color w:val="3A3A3A"/>
        </w:rPr>
        <w:t>to</w:t>
      </w:r>
      <w:r>
        <w:rPr>
          <w:rFonts w:ascii="Arial" w:cs="Arial" w:eastAsia="Arial" w:hAnsi="Arial"/>
          <w:sz w:val="17"/>
          <w:szCs w:val="17"/>
          <w:color w:val="282828"/>
        </w:rPr>
        <w:t xml:space="preserve"> do </w:t>
      </w:r>
      <w:r>
        <w:rPr>
          <w:rFonts w:ascii="Arial" w:cs="Arial" w:eastAsia="Arial" w:hAnsi="Arial"/>
          <w:sz w:val="17"/>
          <w:szCs w:val="17"/>
          <w:color w:val="3A3A3A"/>
        </w:rPr>
        <w:t>so);(c)</w:t>
      </w:r>
      <w:r>
        <w:rPr>
          <w:rFonts w:ascii="Arial" w:cs="Arial" w:eastAsia="Arial" w:hAnsi="Arial"/>
          <w:sz w:val="17"/>
          <w:szCs w:val="17"/>
          <w:color w:val="282828"/>
        </w:rPr>
        <w:t xml:space="preserve"> </w:t>
      </w:r>
      <w:r>
        <w:rPr>
          <w:rFonts w:ascii="Arial" w:cs="Arial" w:eastAsia="Arial" w:hAnsi="Arial"/>
          <w:sz w:val="17"/>
          <w:szCs w:val="17"/>
          <w:color w:val="3A3A3A"/>
        </w:rPr>
        <w:t xml:space="preserve">you </w:t>
      </w:r>
      <w:r>
        <w:rPr>
          <w:rFonts w:ascii="Arial" w:cs="Arial" w:eastAsia="Arial" w:hAnsi="Arial"/>
          <w:sz w:val="17"/>
          <w:szCs w:val="17"/>
          <w:color w:val="282828"/>
        </w:rPr>
        <w:t>have twenty-one</w:t>
      </w:r>
      <w:r>
        <w:rPr>
          <w:rFonts w:ascii="Arial" w:cs="Arial" w:eastAsia="Arial" w:hAnsi="Arial"/>
          <w:sz w:val="17"/>
          <w:szCs w:val="17"/>
          <w:color w:val="3A3A3A"/>
        </w:rPr>
        <w:t xml:space="preserve"> (21) </w:t>
      </w:r>
      <w:r>
        <w:rPr>
          <w:rFonts w:ascii="Arial" w:cs="Arial" w:eastAsia="Arial" w:hAnsi="Arial"/>
          <w:sz w:val="17"/>
          <w:szCs w:val="17"/>
          <w:color w:val="282828"/>
        </w:rPr>
        <w:t>days</w:t>
      </w:r>
      <w:r>
        <w:rPr>
          <w:rFonts w:ascii="Arial" w:cs="Arial" w:eastAsia="Arial" w:hAnsi="Arial"/>
          <w:sz w:val="17"/>
          <w:szCs w:val="17"/>
          <w:color w:val="3A3A3A"/>
        </w:rPr>
        <w:t xml:space="preserve"> to </w:t>
      </w:r>
      <w:r>
        <w:rPr>
          <w:rFonts w:ascii="Arial" w:cs="Arial" w:eastAsia="Arial" w:hAnsi="Arial"/>
          <w:sz w:val="17"/>
          <w:szCs w:val="17"/>
          <w:color w:val="282828"/>
        </w:rPr>
        <w:t>consider this Agreement</w:t>
      </w:r>
      <w:r>
        <w:rPr>
          <w:rFonts w:ascii="Arial" w:cs="Arial" w:eastAsia="Arial" w:hAnsi="Arial"/>
          <w:sz w:val="17"/>
          <w:szCs w:val="17"/>
          <w:color w:val="3A3A3A"/>
        </w:rPr>
        <w:t xml:space="preserve"> (although you </w:t>
      </w:r>
      <w:r>
        <w:rPr>
          <w:rFonts w:ascii="Arial" w:cs="Arial" w:eastAsia="Arial" w:hAnsi="Arial"/>
          <w:sz w:val="17"/>
          <w:szCs w:val="17"/>
          <w:color w:val="282828"/>
        </w:rPr>
        <w:t>may choose voluntarily to sign it sooner);</w:t>
      </w:r>
      <w:r>
        <w:rPr>
          <w:rFonts w:ascii="Arial" w:cs="Arial" w:eastAsia="Arial" w:hAnsi="Arial"/>
          <w:sz w:val="17"/>
          <w:szCs w:val="17"/>
          <w:color w:val="3A3A3A"/>
        </w:rPr>
        <w:t xml:space="preserve"> (d) </w:t>
      </w:r>
      <w:r>
        <w:rPr>
          <w:rFonts w:ascii="Arial" w:cs="Arial" w:eastAsia="Arial" w:hAnsi="Arial"/>
          <w:sz w:val="17"/>
          <w:szCs w:val="17"/>
          <w:color w:val="282828"/>
        </w:rPr>
        <w:t>you</w:t>
      </w:r>
      <w:r>
        <w:rPr>
          <w:rFonts w:ascii="Arial" w:cs="Arial" w:eastAsia="Arial" w:hAnsi="Arial"/>
          <w:sz w:val="17"/>
          <w:szCs w:val="17"/>
          <w:color w:val="3A3A3A"/>
        </w:rPr>
        <w:t xml:space="preserve"> </w:t>
      </w:r>
      <w:r>
        <w:rPr>
          <w:rFonts w:ascii="Arial" w:cs="Arial" w:eastAsia="Arial" w:hAnsi="Arial"/>
          <w:sz w:val="17"/>
          <w:szCs w:val="17"/>
          <w:color w:val="282828"/>
        </w:rPr>
        <w:t xml:space="preserve">have seven (7) </w:t>
      </w:r>
      <w:r>
        <w:rPr>
          <w:rFonts w:ascii="Arial" w:cs="Arial" w:eastAsia="Arial" w:hAnsi="Arial"/>
          <w:sz w:val="17"/>
          <w:szCs w:val="17"/>
          <w:color w:val="181618"/>
        </w:rPr>
        <w:t>days</w:t>
      </w:r>
      <w:r>
        <w:rPr>
          <w:rFonts w:ascii="Arial" w:cs="Arial" w:eastAsia="Arial" w:hAnsi="Arial"/>
          <w:sz w:val="17"/>
          <w:szCs w:val="17"/>
          <w:color w:val="282828"/>
        </w:rPr>
        <w:t xml:space="preserve"> following the date </w:t>
      </w:r>
      <w:r>
        <w:rPr>
          <w:rFonts w:ascii="Arial" w:cs="Arial" w:eastAsia="Arial" w:hAnsi="Arial"/>
          <w:sz w:val="17"/>
          <w:szCs w:val="17"/>
          <w:color w:val="3A3A3A"/>
        </w:rPr>
        <w:t>you</w:t>
      </w:r>
      <w:r>
        <w:rPr>
          <w:rFonts w:ascii="Arial" w:cs="Arial" w:eastAsia="Arial" w:hAnsi="Arial"/>
          <w:sz w:val="17"/>
          <w:szCs w:val="17"/>
          <w:color w:val="282828"/>
        </w:rPr>
        <w:t xml:space="preserve"> sign this Agreement to revoke this Agreement </w:t>
      </w:r>
      <w:r>
        <w:rPr>
          <w:rFonts w:ascii="Arial" w:cs="Arial" w:eastAsia="Arial" w:hAnsi="Arial"/>
          <w:sz w:val="17"/>
          <w:szCs w:val="17"/>
          <w:color w:val="3A3A3A"/>
        </w:rPr>
        <w:t>(in</w:t>
      </w:r>
      <w:r>
        <w:rPr>
          <w:rFonts w:ascii="Arial" w:cs="Arial" w:eastAsia="Arial" w:hAnsi="Arial"/>
          <w:sz w:val="17"/>
          <w:szCs w:val="17"/>
          <w:color w:val="282828"/>
        </w:rPr>
        <w:t xml:space="preserve"> a written revocation </w:t>
      </w:r>
      <w:r>
        <w:rPr>
          <w:rFonts w:ascii="Arial" w:cs="Arial" w:eastAsia="Arial" w:hAnsi="Arial"/>
          <w:sz w:val="17"/>
          <w:szCs w:val="17"/>
          <w:color w:val="3A3A3A"/>
        </w:rPr>
        <w:t>sent to</w:t>
      </w:r>
      <w:r>
        <w:rPr>
          <w:rFonts w:ascii="Arial" w:cs="Arial" w:eastAsia="Arial" w:hAnsi="Arial"/>
          <w:sz w:val="17"/>
          <w:szCs w:val="17"/>
          <w:color w:val="282828"/>
        </w:rPr>
        <w:t xml:space="preserve"> me at 5670 W. Chandler Blvd., Suite 100, Chandler AZ </w:t>
      </w:r>
      <w:r>
        <w:rPr>
          <w:rFonts w:ascii="Arial" w:cs="Arial" w:eastAsia="Arial" w:hAnsi="Arial"/>
          <w:sz w:val="17"/>
          <w:szCs w:val="17"/>
          <w:color w:val="000000"/>
        </w:rPr>
        <w:t>85226 and</w:t>
      </w:r>
      <w:r>
        <w:rPr>
          <w:rFonts w:ascii="Arial" w:cs="Arial" w:eastAsia="Arial" w:hAnsi="Arial"/>
          <w:sz w:val="17"/>
          <w:szCs w:val="17"/>
          <w:color w:val="282828"/>
        </w:rPr>
        <w:t xml:space="preserve"> </w:t>
      </w:r>
      <w:r>
        <w:rPr>
          <w:rFonts w:ascii="Arial" w:cs="Arial" w:eastAsia="Arial" w:hAnsi="Arial"/>
          <w:sz w:val="17"/>
          <w:szCs w:val="17"/>
          <w:u w:val="single" w:color="auto"/>
          <w:color w:val="000000"/>
        </w:rPr>
        <w:t>darin.billerbeck@everspin.com;</w:t>
      </w:r>
      <w:r>
        <w:rPr>
          <w:rFonts w:ascii="Arial" w:cs="Arial" w:eastAsia="Arial" w:hAnsi="Arial"/>
          <w:sz w:val="17"/>
          <w:szCs w:val="17"/>
          <w:color w:val="282828"/>
        </w:rPr>
        <w:t xml:space="preserve"> </w:t>
      </w:r>
      <w:r>
        <w:rPr>
          <w:rFonts w:ascii="Arial" w:cs="Arial" w:eastAsia="Arial" w:hAnsi="Arial"/>
          <w:sz w:val="17"/>
          <w:szCs w:val="17"/>
          <w:color w:val="000000"/>
        </w:rPr>
        <w:t>and (e) thi</w:t>
      </w:r>
      <w:r>
        <w:rPr>
          <w:rFonts w:ascii="Arial" w:cs="Arial" w:eastAsia="Arial" w:hAnsi="Arial"/>
          <w:sz w:val="17"/>
          <w:szCs w:val="17"/>
          <w:color w:val="282828"/>
        </w:rPr>
        <w:t xml:space="preserve">s Agreement </w:t>
      </w:r>
      <w:r>
        <w:rPr>
          <w:rFonts w:ascii="Arial" w:cs="Arial" w:eastAsia="Arial" w:hAnsi="Arial"/>
          <w:sz w:val="17"/>
          <w:szCs w:val="17"/>
          <w:color w:val="3A3A3A"/>
        </w:rPr>
        <w:t>will</w:t>
      </w:r>
      <w:r>
        <w:rPr>
          <w:rFonts w:ascii="Arial" w:cs="Arial" w:eastAsia="Arial" w:hAnsi="Arial"/>
          <w:sz w:val="17"/>
          <w:szCs w:val="17"/>
          <w:color w:val="282828"/>
        </w:rPr>
        <w:t xml:space="preserve"> not be effecti</w:t>
      </w:r>
      <w:r>
        <w:rPr>
          <w:rFonts w:ascii="Arial" w:cs="Arial" w:eastAsia="Arial" w:hAnsi="Arial"/>
          <w:sz w:val="17"/>
          <w:szCs w:val="17"/>
          <w:color w:val="4F4F4F"/>
        </w:rPr>
        <w:t>ve</w:t>
      </w:r>
      <w:r>
        <w:rPr>
          <w:rFonts w:ascii="Arial" w:cs="Arial" w:eastAsia="Arial" w:hAnsi="Arial"/>
          <w:sz w:val="17"/>
          <w:szCs w:val="17"/>
          <w:color w:val="282828"/>
        </w:rPr>
        <w:t xml:space="preserve"> until the date upon </w:t>
      </w:r>
      <w:r>
        <w:rPr>
          <w:rFonts w:ascii="Arial" w:cs="Arial" w:eastAsia="Arial" w:hAnsi="Arial"/>
          <w:sz w:val="17"/>
          <w:szCs w:val="17"/>
          <w:color w:val="3A3A3A"/>
        </w:rPr>
        <w:t>which</w:t>
      </w:r>
      <w:r>
        <w:rPr>
          <w:rFonts w:ascii="Arial" w:cs="Arial" w:eastAsia="Arial" w:hAnsi="Arial"/>
          <w:sz w:val="17"/>
          <w:szCs w:val="17"/>
          <w:color w:val="282828"/>
        </w:rPr>
        <w:t xml:space="preserve"> the revocation period has </w:t>
      </w:r>
      <w:r>
        <w:rPr>
          <w:rFonts w:ascii="Arial" w:cs="Arial" w:eastAsia="Arial" w:hAnsi="Arial"/>
          <w:sz w:val="17"/>
          <w:szCs w:val="17"/>
          <w:color w:val="3A3A3A"/>
        </w:rPr>
        <w:t>expired,</w:t>
      </w:r>
      <w:r>
        <w:rPr>
          <w:rFonts w:ascii="Arial" w:cs="Arial" w:eastAsia="Arial" w:hAnsi="Arial"/>
          <w:sz w:val="17"/>
          <w:szCs w:val="17"/>
          <w:color w:val="282828"/>
        </w:rPr>
        <w:t xml:space="preserve"> which will be the eighth day after </w:t>
      </w:r>
      <w:r>
        <w:rPr>
          <w:rFonts w:ascii="Arial" w:cs="Arial" w:eastAsia="Arial" w:hAnsi="Arial"/>
          <w:sz w:val="17"/>
          <w:szCs w:val="17"/>
          <w:color w:val="3A3A3A"/>
        </w:rPr>
        <w:t>you</w:t>
      </w:r>
      <w:r>
        <w:rPr>
          <w:rFonts w:ascii="Arial" w:cs="Arial" w:eastAsia="Arial" w:hAnsi="Arial"/>
          <w:sz w:val="17"/>
          <w:szCs w:val="17"/>
          <w:color w:val="282828"/>
        </w:rPr>
        <w:t xml:space="preserve"> sign this </w:t>
      </w:r>
      <w:r>
        <w:rPr>
          <w:rFonts w:ascii="Arial" w:cs="Arial" w:eastAsia="Arial" w:hAnsi="Arial"/>
          <w:sz w:val="17"/>
          <w:szCs w:val="17"/>
          <w:color w:val="3A3A3A"/>
        </w:rPr>
        <w:t>Agreement</w:t>
      </w:r>
      <w:r>
        <w:rPr>
          <w:rFonts w:ascii="Arial" w:cs="Arial" w:eastAsia="Arial" w:hAnsi="Arial"/>
          <w:sz w:val="17"/>
          <w:szCs w:val="17"/>
          <w:color w:val="282828"/>
        </w:rPr>
        <w:t xml:space="preserve"> provided that </w:t>
      </w:r>
      <w:r>
        <w:rPr>
          <w:rFonts w:ascii="Arial" w:cs="Arial" w:eastAsia="Arial" w:hAnsi="Arial"/>
          <w:sz w:val="17"/>
          <w:szCs w:val="17"/>
          <w:color w:val="3A3A3A"/>
        </w:rPr>
        <w:t>you</w:t>
      </w:r>
      <w:r>
        <w:rPr>
          <w:rFonts w:ascii="Arial" w:cs="Arial" w:eastAsia="Arial" w:hAnsi="Arial"/>
          <w:sz w:val="17"/>
          <w:szCs w:val="17"/>
          <w:color w:val="282828"/>
        </w:rPr>
        <w:t xml:space="preserve"> do not revoke it (the </w:t>
      </w:r>
      <w:r>
        <w:rPr>
          <w:rFonts w:ascii="Arial" w:cs="Arial" w:eastAsia="Arial" w:hAnsi="Arial"/>
          <w:sz w:val="17"/>
          <w:szCs w:val="17"/>
          <w:b w:val="1"/>
          <w:bCs w:val="1"/>
          <w:color w:val="282828"/>
        </w:rPr>
        <w:t>“Effective</w:t>
      </w:r>
      <w:r>
        <w:rPr>
          <w:rFonts w:ascii="Arial" w:cs="Arial" w:eastAsia="Arial" w:hAnsi="Arial"/>
          <w:sz w:val="17"/>
          <w:szCs w:val="17"/>
          <w:color w:val="282828"/>
        </w:rPr>
        <w:t xml:space="preserve"> </w:t>
      </w:r>
      <w:r>
        <w:rPr>
          <w:rFonts w:ascii="Arial" w:cs="Arial" w:eastAsia="Arial" w:hAnsi="Arial"/>
          <w:sz w:val="17"/>
          <w:szCs w:val="17"/>
          <w:b w:val="1"/>
          <w:bCs w:val="1"/>
          <w:color w:val="181618"/>
        </w:rPr>
        <w:t>Date”</w:t>
      </w:r>
      <w:r>
        <w:rPr>
          <w:rFonts w:ascii="Arial" w:cs="Arial" w:eastAsia="Arial" w:hAnsi="Arial"/>
          <w:sz w:val="17"/>
          <w:szCs w:val="17"/>
          <w:b w:val="1"/>
          <w:bCs w:val="1"/>
          <w:color w:val="3A3A3A"/>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12"/>
          </w:cols>
          <w:pgMar w:left="988" w:top="877" w:right="999" w:bottom="1440" w:gutter="0" w:footer="0" w:header="0"/>
        </w:sectPr>
      </w:pPr>
    </w:p>
    <w:bookmarkStart w:id="54" w:name="page55"/>
    <w:bookmarkEnd w:id="54"/>
    <w:p>
      <w:pPr>
        <w:jc w:val="both"/>
        <w:ind w:left="660" w:hanging="328"/>
        <w:spacing w:after="0" w:line="270" w:lineRule="auto"/>
        <w:tabs>
          <w:tab w:leader="none" w:pos="660" w:val="left"/>
        </w:tabs>
        <w:numPr>
          <w:ilvl w:val="0"/>
          <w:numId w:val="27"/>
        </w:numPr>
        <w:rPr>
          <w:rFonts w:ascii="Arial" w:cs="Arial" w:eastAsia="Arial" w:hAnsi="Arial"/>
          <w:sz w:val="17"/>
          <w:szCs w:val="17"/>
          <w:b w:val="1"/>
          <w:bCs w:val="1"/>
          <w:color w:val="2A2A2A"/>
        </w:rPr>
      </w:pPr>
      <w:r>
        <w:rPr>
          <w:rFonts w:ascii="Arial" w:cs="Arial" w:eastAsia="Arial" w:hAnsi="Arial"/>
          <w:sz w:val="17"/>
          <w:szCs w:val="17"/>
          <w:b w:val="1"/>
          <w:bCs w:val="1"/>
          <w:color w:val="1C1A1C"/>
        </w:rPr>
        <w:t xml:space="preserve">PROTECTED RIGHTS </w:t>
      </w:r>
      <w:r>
        <w:rPr>
          <w:rFonts w:ascii="Arial" w:cs="Arial" w:eastAsia="Arial" w:hAnsi="Arial"/>
          <w:sz w:val="17"/>
          <w:szCs w:val="17"/>
          <w:color w:val="1C1A1C"/>
        </w:rPr>
        <w:t>-</w:t>
      </w:r>
      <w:r>
        <w:rPr>
          <w:rFonts w:ascii="Arial" w:cs="Arial" w:eastAsia="Arial" w:hAnsi="Arial"/>
          <w:sz w:val="17"/>
          <w:szCs w:val="17"/>
          <w:b w:val="1"/>
          <w:bCs w:val="1"/>
          <w:color w:val="1C1A1C"/>
        </w:rPr>
        <w:t xml:space="preserve"> </w:t>
      </w:r>
      <w:r>
        <w:rPr>
          <w:rFonts w:ascii="Arial" w:cs="Arial" w:eastAsia="Arial" w:hAnsi="Arial"/>
          <w:sz w:val="17"/>
          <w:szCs w:val="17"/>
          <w:color w:val="2A2A2A"/>
        </w:rPr>
        <w:t>YOU understand that nothing in this Agreement limits your ability to file a charge or complaint with</w:t>
      </w:r>
      <w:r>
        <w:rPr>
          <w:rFonts w:ascii="Arial" w:cs="Arial" w:eastAsia="Arial" w:hAnsi="Arial"/>
          <w:sz w:val="17"/>
          <w:szCs w:val="17"/>
          <w:b w:val="1"/>
          <w:bCs w:val="1"/>
          <w:color w:val="1C1A1C"/>
        </w:rPr>
        <w:t xml:space="preserve"> </w:t>
      </w:r>
      <w:r>
        <w:rPr>
          <w:rFonts w:ascii="Arial" w:cs="Arial" w:eastAsia="Arial" w:hAnsi="Arial"/>
          <w:sz w:val="17"/>
          <w:szCs w:val="17"/>
          <w:color w:val="2A2A2A"/>
        </w:rPr>
        <w:t>the Equal Employment Opportunity Commission, the Department of Labor</w:t>
      </w:r>
      <w:r>
        <w:rPr>
          <w:rFonts w:ascii="Arial" w:cs="Arial" w:eastAsia="Arial" w:hAnsi="Arial"/>
          <w:sz w:val="17"/>
          <w:szCs w:val="17"/>
          <w:color w:val="4D4D4D"/>
        </w:rPr>
        <w:t>,</w:t>
      </w:r>
      <w:r>
        <w:rPr>
          <w:rFonts w:ascii="Arial" w:cs="Arial" w:eastAsia="Arial" w:hAnsi="Arial"/>
          <w:sz w:val="17"/>
          <w:szCs w:val="17"/>
          <w:color w:val="2A2A2A"/>
        </w:rPr>
        <w:t xml:space="preserve"> the National Labor Relations Board</w:t>
      </w:r>
      <w:r>
        <w:rPr>
          <w:rFonts w:ascii="Arial" w:cs="Arial" w:eastAsia="Arial" w:hAnsi="Arial"/>
          <w:sz w:val="17"/>
          <w:szCs w:val="17"/>
          <w:color w:val="4D4D4D"/>
        </w:rPr>
        <w:t>,</w:t>
      </w:r>
      <w:r>
        <w:rPr>
          <w:rFonts w:ascii="Arial" w:cs="Arial" w:eastAsia="Arial" w:hAnsi="Arial"/>
          <w:sz w:val="17"/>
          <w:szCs w:val="17"/>
          <w:color w:val="2A2A2A"/>
        </w:rPr>
        <w:t xml:space="preserve"> the Occupational Safety and Health Administration</w:t>
      </w:r>
      <w:r>
        <w:rPr>
          <w:rFonts w:ascii="Arial" w:cs="Arial" w:eastAsia="Arial" w:hAnsi="Arial"/>
          <w:sz w:val="17"/>
          <w:szCs w:val="17"/>
          <w:color w:val="4D4D4D"/>
        </w:rPr>
        <w:t>,</w:t>
      </w:r>
      <w:r>
        <w:rPr>
          <w:rFonts w:ascii="Arial" w:cs="Arial" w:eastAsia="Arial" w:hAnsi="Arial"/>
          <w:sz w:val="17"/>
          <w:szCs w:val="17"/>
          <w:color w:val="2A2A2A"/>
        </w:rPr>
        <w:t xml:space="preserve"> the Securities and Exchange Commission or any other federal</w:t>
      </w:r>
      <w:r>
        <w:rPr>
          <w:rFonts w:ascii="Arial" w:cs="Arial" w:eastAsia="Arial" w:hAnsi="Arial"/>
          <w:sz w:val="17"/>
          <w:szCs w:val="17"/>
          <w:color w:val="4D4D4D"/>
        </w:rPr>
        <w:t>,</w:t>
      </w:r>
      <w:r>
        <w:rPr>
          <w:rFonts w:ascii="Arial" w:cs="Arial" w:eastAsia="Arial" w:hAnsi="Arial"/>
          <w:sz w:val="17"/>
          <w:szCs w:val="17"/>
          <w:color w:val="2A2A2A"/>
        </w:rPr>
        <w:t xml:space="preserve"> state or local governmental </w:t>
      </w:r>
      <w:r>
        <w:rPr>
          <w:rFonts w:ascii="Arial" w:cs="Arial" w:eastAsia="Arial" w:hAnsi="Arial"/>
          <w:sz w:val="17"/>
          <w:szCs w:val="17"/>
          <w:color w:val="1C1A1C"/>
        </w:rPr>
        <w:t>agency</w:t>
      </w:r>
      <w:r>
        <w:rPr>
          <w:rFonts w:ascii="Arial" w:cs="Arial" w:eastAsia="Arial" w:hAnsi="Arial"/>
          <w:sz w:val="17"/>
          <w:szCs w:val="17"/>
          <w:color w:val="2A2A2A"/>
        </w:rPr>
        <w:t xml:space="preserve"> or commission </w:t>
      </w:r>
      <w:r>
        <w:rPr>
          <w:rFonts w:ascii="Arial" w:cs="Arial" w:eastAsia="Arial" w:hAnsi="Arial"/>
          <w:sz w:val="17"/>
          <w:szCs w:val="17"/>
          <w:b w:val="1"/>
          <w:bCs w:val="1"/>
          <w:color w:val="2A2A2A"/>
        </w:rPr>
        <w:t>(“Government</w:t>
      </w:r>
      <w:r>
        <w:rPr>
          <w:rFonts w:ascii="Arial" w:cs="Arial" w:eastAsia="Arial" w:hAnsi="Arial"/>
          <w:sz w:val="17"/>
          <w:szCs w:val="17"/>
          <w:color w:val="2A2A2A"/>
        </w:rPr>
        <w:t xml:space="preserve"> </w:t>
      </w:r>
      <w:r>
        <w:rPr>
          <w:rFonts w:ascii="Arial" w:cs="Arial" w:eastAsia="Arial" w:hAnsi="Arial"/>
          <w:sz w:val="17"/>
          <w:szCs w:val="17"/>
          <w:b w:val="1"/>
          <w:bCs w:val="1"/>
          <w:color w:val="1C1A1C"/>
        </w:rPr>
        <w:t>Agencies”</w:t>
      </w:r>
      <w:r>
        <w:rPr>
          <w:rFonts w:ascii="Arial" w:cs="Arial" w:eastAsia="Arial" w:hAnsi="Arial"/>
          <w:sz w:val="17"/>
          <w:szCs w:val="17"/>
          <w:b w:val="1"/>
          <w:bCs w:val="1"/>
          <w:color w:val="2A2A2A"/>
        </w:rPr>
        <w:t>).</w:t>
      </w:r>
      <w:r>
        <w:rPr>
          <w:rFonts w:ascii="Arial" w:cs="Arial" w:eastAsia="Arial" w:hAnsi="Arial"/>
          <w:sz w:val="17"/>
          <w:szCs w:val="17"/>
          <w:color w:val="2A2A2A"/>
        </w:rPr>
        <w:t xml:space="preserve"> You further understand this Agreement does not limit your ability to communicate with any Government Agencies or otherwise participate in any investigation or proceeding that may be conducted by any Government Agency</w:t>
      </w:r>
      <w:r>
        <w:rPr>
          <w:rFonts w:ascii="Arial" w:cs="Arial" w:eastAsia="Arial" w:hAnsi="Arial"/>
          <w:sz w:val="17"/>
          <w:szCs w:val="17"/>
          <w:color w:val="4D4D4D"/>
        </w:rPr>
        <w:t>,</w:t>
      </w:r>
      <w:r>
        <w:rPr>
          <w:rFonts w:ascii="Arial" w:cs="Arial" w:eastAsia="Arial" w:hAnsi="Arial"/>
          <w:sz w:val="17"/>
          <w:szCs w:val="17"/>
          <w:color w:val="2A2A2A"/>
        </w:rPr>
        <w:t xml:space="preserve"> including providing documents or other information</w:t>
      </w:r>
      <w:r>
        <w:rPr>
          <w:rFonts w:ascii="Arial" w:cs="Arial" w:eastAsia="Arial" w:hAnsi="Arial"/>
          <w:sz w:val="17"/>
          <w:szCs w:val="17"/>
          <w:color w:val="4D4D4D"/>
        </w:rPr>
        <w:t>,</w:t>
      </w:r>
      <w:r>
        <w:rPr>
          <w:rFonts w:ascii="Arial" w:cs="Arial" w:eastAsia="Arial" w:hAnsi="Arial"/>
          <w:sz w:val="17"/>
          <w:szCs w:val="17"/>
          <w:color w:val="2A2A2A"/>
        </w:rPr>
        <w:t xml:space="preserve"> without notice to the Company. While this Agreement </w:t>
      </w:r>
      <w:r>
        <w:rPr>
          <w:rFonts w:ascii="Arial" w:cs="Arial" w:eastAsia="Arial" w:hAnsi="Arial"/>
          <w:sz w:val="17"/>
          <w:szCs w:val="17"/>
          <w:color w:val="1C1A1C"/>
        </w:rPr>
        <w:t>does</w:t>
      </w:r>
      <w:r>
        <w:rPr>
          <w:rFonts w:ascii="Arial" w:cs="Arial" w:eastAsia="Arial" w:hAnsi="Arial"/>
          <w:sz w:val="17"/>
          <w:szCs w:val="17"/>
          <w:color w:val="2A2A2A"/>
        </w:rPr>
        <w:t xml:space="preserve"> not limit your right to receive an award for information provided to the Securities </w:t>
      </w:r>
      <w:r>
        <w:rPr>
          <w:rFonts w:ascii="Arial" w:cs="Arial" w:eastAsia="Arial" w:hAnsi="Arial"/>
          <w:sz w:val="17"/>
          <w:szCs w:val="17"/>
          <w:color w:val="1C1A1C"/>
        </w:rPr>
        <w:t>and</w:t>
      </w:r>
      <w:r>
        <w:rPr>
          <w:rFonts w:ascii="Arial" w:cs="Arial" w:eastAsia="Arial" w:hAnsi="Arial"/>
          <w:sz w:val="17"/>
          <w:szCs w:val="17"/>
          <w:color w:val="2A2A2A"/>
        </w:rPr>
        <w:t xml:space="preserve"> Exchange Commission, you understand and agree that</w:t>
      </w:r>
      <w:r>
        <w:rPr>
          <w:rFonts w:ascii="Arial" w:cs="Arial" w:eastAsia="Arial" w:hAnsi="Arial"/>
          <w:sz w:val="17"/>
          <w:szCs w:val="17"/>
          <w:color w:val="4D4D4D"/>
        </w:rPr>
        <w:t>,</w:t>
      </w:r>
      <w:r>
        <w:rPr>
          <w:rFonts w:ascii="Arial" w:cs="Arial" w:eastAsia="Arial" w:hAnsi="Arial"/>
          <w:sz w:val="17"/>
          <w:szCs w:val="17"/>
          <w:color w:val="2A2A2A"/>
        </w:rPr>
        <w:t xml:space="preserve"> to maximum extent permitted by law</w:t>
      </w:r>
      <w:r>
        <w:rPr>
          <w:rFonts w:ascii="Arial" w:cs="Arial" w:eastAsia="Arial" w:hAnsi="Arial"/>
          <w:sz w:val="17"/>
          <w:szCs w:val="17"/>
          <w:color w:val="4D4D4D"/>
        </w:rPr>
        <w:t>,</w:t>
      </w:r>
      <w:r>
        <w:rPr>
          <w:rFonts w:ascii="Arial" w:cs="Arial" w:eastAsia="Arial" w:hAnsi="Arial"/>
          <w:sz w:val="17"/>
          <w:szCs w:val="17"/>
          <w:color w:val="2A2A2A"/>
        </w:rPr>
        <w:t xml:space="preserve"> you are otherwise waiving any and all rights you may have to individual relief based on any claims that you have released and any rights you have waived by signing this Agreement.</w:t>
      </w:r>
    </w:p>
    <w:p>
      <w:pPr>
        <w:spacing w:after="0" w:line="176" w:lineRule="exact"/>
        <w:rPr>
          <w:rFonts w:ascii="Arial" w:cs="Arial" w:eastAsia="Arial" w:hAnsi="Arial"/>
          <w:sz w:val="17"/>
          <w:szCs w:val="17"/>
          <w:b w:val="1"/>
          <w:bCs w:val="1"/>
          <w:color w:val="2A2A2A"/>
        </w:rPr>
      </w:pPr>
    </w:p>
    <w:p>
      <w:pPr>
        <w:jc w:val="both"/>
        <w:ind w:left="660" w:hanging="328"/>
        <w:spacing w:after="0" w:line="261" w:lineRule="auto"/>
        <w:tabs>
          <w:tab w:leader="none" w:pos="660" w:val="left"/>
        </w:tabs>
        <w:numPr>
          <w:ilvl w:val="0"/>
          <w:numId w:val="27"/>
        </w:numPr>
        <w:rPr>
          <w:rFonts w:ascii="Arial" w:cs="Arial" w:eastAsia="Arial" w:hAnsi="Arial"/>
          <w:sz w:val="18"/>
          <w:szCs w:val="18"/>
          <w:b w:val="1"/>
          <w:bCs w:val="1"/>
          <w:color w:val="1C1A1C"/>
        </w:rPr>
      </w:pPr>
      <w:r>
        <w:rPr>
          <w:rFonts w:ascii="Arial" w:cs="Arial" w:eastAsia="Arial" w:hAnsi="Arial"/>
          <w:sz w:val="18"/>
          <w:szCs w:val="18"/>
          <w:b w:val="1"/>
          <w:bCs w:val="1"/>
          <w:color w:val="1C1A1C"/>
        </w:rPr>
        <w:t xml:space="preserve">REPRESENTATIONS </w:t>
      </w:r>
      <w:r>
        <w:rPr>
          <w:rFonts w:ascii="Arial" w:cs="Arial" w:eastAsia="Arial" w:hAnsi="Arial"/>
          <w:sz w:val="18"/>
          <w:szCs w:val="18"/>
          <w:color w:val="1C1A1C"/>
        </w:rPr>
        <w:t>-</w:t>
      </w:r>
      <w:r>
        <w:rPr>
          <w:rFonts w:ascii="Arial" w:cs="Arial" w:eastAsia="Arial" w:hAnsi="Arial"/>
          <w:sz w:val="18"/>
          <w:szCs w:val="18"/>
          <w:b w:val="1"/>
          <w:bCs w:val="1"/>
          <w:color w:val="1C1A1C"/>
        </w:rPr>
        <w:t xml:space="preserve"> </w:t>
      </w:r>
      <w:r>
        <w:rPr>
          <w:rFonts w:ascii="Arial" w:cs="Arial" w:eastAsia="Arial" w:hAnsi="Arial"/>
          <w:sz w:val="18"/>
          <w:szCs w:val="18"/>
          <w:color w:val="2A2A2A"/>
        </w:rPr>
        <w:t>You hereby represent</w:t>
      </w:r>
      <w:r>
        <w:rPr>
          <w:rFonts w:ascii="Arial" w:cs="Arial" w:eastAsia="Arial" w:hAnsi="Arial"/>
          <w:sz w:val="18"/>
          <w:szCs w:val="18"/>
          <w:b w:val="1"/>
          <w:bCs w:val="1"/>
          <w:color w:val="1C1A1C"/>
        </w:rPr>
        <w:t xml:space="preserve"> </w:t>
      </w:r>
      <w:r>
        <w:rPr>
          <w:rFonts w:ascii="Arial" w:cs="Arial" w:eastAsia="Arial" w:hAnsi="Arial"/>
          <w:sz w:val="18"/>
          <w:szCs w:val="18"/>
          <w:color w:val="1C1A1C"/>
        </w:rPr>
        <w:t>that</w:t>
      </w:r>
      <w:r>
        <w:rPr>
          <w:rFonts w:ascii="Arial" w:cs="Arial" w:eastAsia="Arial" w:hAnsi="Arial"/>
          <w:sz w:val="18"/>
          <w:szCs w:val="18"/>
          <w:b w:val="1"/>
          <w:bCs w:val="1"/>
          <w:color w:val="1C1A1C"/>
        </w:rPr>
        <w:t xml:space="preserve"> </w:t>
      </w:r>
      <w:r>
        <w:rPr>
          <w:rFonts w:ascii="Arial" w:cs="Arial" w:eastAsia="Arial" w:hAnsi="Arial"/>
          <w:sz w:val="18"/>
          <w:szCs w:val="18"/>
          <w:color w:val="2A2A2A"/>
        </w:rPr>
        <w:t>you have been paid all compensation owed and for all hours worked have</w:t>
      </w:r>
      <w:r>
        <w:rPr>
          <w:rFonts w:ascii="Arial" w:cs="Arial" w:eastAsia="Arial" w:hAnsi="Arial"/>
          <w:sz w:val="18"/>
          <w:szCs w:val="18"/>
          <w:b w:val="1"/>
          <w:bCs w:val="1"/>
          <w:color w:val="1C1A1C"/>
        </w:rPr>
        <w:t xml:space="preserve"> </w:t>
      </w:r>
      <w:r>
        <w:rPr>
          <w:rFonts w:ascii="Arial" w:cs="Arial" w:eastAsia="Arial" w:hAnsi="Arial"/>
          <w:sz w:val="18"/>
          <w:szCs w:val="18"/>
          <w:color w:val="2A2A2A"/>
        </w:rPr>
        <w:t xml:space="preserve">received all the leave and leave benefits and protections for which </w:t>
      </w:r>
      <w:r>
        <w:rPr>
          <w:rFonts w:ascii="Arial" w:cs="Arial" w:eastAsia="Arial" w:hAnsi="Arial"/>
          <w:sz w:val="18"/>
          <w:szCs w:val="18"/>
          <w:color w:val="4D4D4D"/>
        </w:rPr>
        <w:t>y</w:t>
      </w:r>
      <w:r>
        <w:rPr>
          <w:rFonts w:ascii="Arial" w:cs="Arial" w:eastAsia="Arial" w:hAnsi="Arial"/>
          <w:sz w:val="18"/>
          <w:szCs w:val="18"/>
          <w:color w:val="2A2A2A"/>
        </w:rPr>
        <w:t>ou are eligible pursuant to the Family and Medical Lea</w:t>
      </w:r>
      <w:r>
        <w:rPr>
          <w:rFonts w:ascii="Arial" w:cs="Arial" w:eastAsia="Arial" w:hAnsi="Arial"/>
          <w:sz w:val="18"/>
          <w:szCs w:val="18"/>
          <w:color w:val="4D4D4D"/>
        </w:rPr>
        <w:t>v</w:t>
      </w:r>
      <w:r>
        <w:rPr>
          <w:rFonts w:ascii="Arial" w:cs="Arial" w:eastAsia="Arial" w:hAnsi="Arial"/>
          <w:sz w:val="18"/>
          <w:szCs w:val="18"/>
          <w:color w:val="2A2A2A"/>
        </w:rPr>
        <w:t>e Act or otherwise</w:t>
      </w:r>
      <w:r>
        <w:rPr>
          <w:rFonts w:ascii="Arial" w:cs="Arial" w:eastAsia="Arial" w:hAnsi="Arial"/>
          <w:sz w:val="18"/>
          <w:szCs w:val="18"/>
          <w:color w:val="4D4D4D"/>
        </w:rPr>
        <w:t>,</w:t>
      </w:r>
      <w:r>
        <w:rPr>
          <w:rFonts w:ascii="Arial" w:cs="Arial" w:eastAsia="Arial" w:hAnsi="Arial"/>
          <w:sz w:val="18"/>
          <w:szCs w:val="18"/>
          <w:color w:val="2A2A2A"/>
        </w:rPr>
        <w:t xml:space="preserve"> and have not suffered any on-the-job injury for which you have not already filed a workers’ compensation </w:t>
      </w:r>
      <w:r>
        <w:rPr>
          <w:rFonts w:ascii="Arial" w:cs="Arial" w:eastAsia="Arial" w:hAnsi="Arial"/>
          <w:sz w:val="18"/>
          <w:szCs w:val="18"/>
          <w:color w:val="1C1A1C"/>
        </w:rPr>
        <w:t>claim.</w:t>
      </w:r>
    </w:p>
    <w:p>
      <w:pPr>
        <w:spacing w:after="0" w:line="179" w:lineRule="exact"/>
        <w:rPr>
          <w:rFonts w:ascii="Arial" w:cs="Arial" w:eastAsia="Arial" w:hAnsi="Arial"/>
          <w:sz w:val="18"/>
          <w:szCs w:val="18"/>
          <w:b w:val="1"/>
          <w:bCs w:val="1"/>
          <w:color w:val="1C1A1C"/>
        </w:rPr>
      </w:pPr>
    </w:p>
    <w:p>
      <w:pPr>
        <w:jc w:val="both"/>
        <w:ind w:left="660" w:hanging="328"/>
        <w:spacing w:after="0" w:line="269" w:lineRule="auto"/>
        <w:tabs>
          <w:tab w:leader="none" w:pos="660" w:val="left"/>
        </w:tabs>
        <w:numPr>
          <w:ilvl w:val="0"/>
          <w:numId w:val="27"/>
        </w:numPr>
        <w:rPr>
          <w:rFonts w:ascii="Arial" w:cs="Arial" w:eastAsia="Arial" w:hAnsi="Arial"/>
          <w:sz w:val="17"/>
          <w:szCs w:val="17"/>
          <w:b w:val="1"/>
          <w:bCs w:val="1"/>
          <w:color w:val="2A2A2A"/>
        </w:rPr>
      </w:pPr>
      <w:r>
        <w:rPr>
          <w:rFonts w:ascii="Arial" w:cs="Arial" w:eastAsia="Arial" w:hAnsi="Arial"/>
          <w:sz w:val="17"/>
          <w:szCs w:val="17"/>
          <w:b w:val="1"/>
          <w:bCs w:val="1"/>
          <w:color w:val="2A2A2A"/>
        </w:rPr>
        <w:t xml:space="preserve">MISCELLANEOUS </w:t>
      </w:r>
      <w:r>
        <w:rPr>
          <w:rFonts w:ascii="Arial" w:cs="Arial" w:eastAsia="Arial" w:hAnsi="Arial"/>
          <w:sz w:val="17"/>
          <w:szCs w:val="17"/>
          <w:color w:val="2A2A2A"/>
        </w:rPr>
        <w:t>- This Agreement</w:t>
      </w:r>
      <w:r>
        <w:rPr>
          <w:rFonts w:ascii="Arial" w:cs="Arial" w:eastAsia="Arial" w:hAnsi="Arial"/>
          <w:sz w:val="17"/>
          <w:szCs w:val="17"/>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including</w:t>
      </w:r>
      <w:r>
        <w:rPr>
          <w:rFonts w:ascii="Arial" w:cs="Arial" w:eastAsia="Arial" w:hAnsi="Arial"/>
          <w:sz w:val="17"/>
          <w:szCs w:val="17"/>
          <w:b w:val="1"/>
          <w:bCs w:val="1"/>
          <w:color w:val="2A2A2A"/>
        </w:rPr>
        <w:t xml:space="preserve"> Exhibit A</w:t>
      </w:r>
      <w:r>
        <w:rPr>
          <w:rFonts w:ascii="Arial" w:cs="Arial" w:eastAsia="Arial" w:hAnsi="Arial"/>
          <w:sz w:val="17"/>
          <w:szCs w:val="17"/>
          <w:b w:val="1"/>
          <w:bCs w:val="1"/>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constitutes the complete</w:t>
      </w:r>
      <w:r>
        <w:rPr>
          <w:rFonts w:ascii="Arial" w:cs="Arial" w:eastAsia="Arial" w:hAnsi="Arial"/>
          <w:sz w:val="17"/>
          <w:szCs w:val="17"/>
          <w:color w:val="4D4D4D"/>
        </w:rPr>
        <w:t>,</w:t>
      </w:r>
      <w:r>
        <w:rPr>
          <w:rFonts w:ascii="Arial" w:cs="Arial" w:eastAsia="Arial" w:hAnsi="Arial"/>
          <w:sz w:val="17"/>
          <w:szCs w:val="17"/>
          <w:b w:val="1"/>
          <w:bCs w:val="1"/>
          <w:color w:val="2A2A2A"/>
        </w:rPr>
        <w:t xml:space="preserve"> </w:t>
      </w:r>
      <w:r>
        <w:rPr>
          <w:rFonts w:ascii="Arial" w:cs="Arial" w:eastAsia="Arial" w:hAnsi="Arial"/>
          <w:sz w:val="17"/>
          <w:szCs w:val="17"/>
          <w:color w:val="2A2A2A"/>
        </w:rPr>
        <w:t>final and exclusive embodiment of the</w:t>
      </w:r>
      <w:r>
        <w:rPr>
          <w:rFonts w:ascii="Arial" w:cs="Arial" w:eastAsia="Arial" w:hAnsi="Arial"/>
          <w:sz w:val="17"/>
          <w:szCs w:val="17"/>
          <w:b w:val="1"/>
          <w:bCs w:val="1"/>
          <w:color w:val="2A2A2A"/>
        </w:rPr>
        <w:t xml:space="preserve"> </w:t>
      </w:r>
      <w:r>
        <w:rPr>
          <w:rFonts w:ascii="Arial" w:cs="Arial" w:eastAsia="Arial" w:hAnsi="Arial"/>
          <w:sz w:val="17"/>
          <w:szCs w:val="17"/>
          <w:color w:val="2A2A2A"/>
        </w:rPr>
        <w:t>entire agreement between you and the Company with regard to its subject matter. It is entered into without reliance on any promise or representation, written or oral</w:t>
      </w:r>
      <w:r>
        <w:rPr>
          <w:rFonts w:ascii="Arial" w:cs="Arial" w:eastAsia="Arial" w:hAnsi="Arial"/>
          <w:sz w:val="17"/>
          <w:szCs w:val="17"/>
          <w:color w:val="4D4D4D"/>
        </w:rPr>
        <w:t>,</w:t>
      </w:r>
      <w:r>
        <w:rPr>
          <w:rFonts w:ascii="Arial" w:cs="Arial" w:eastAsia="Arial" w:hAnsi="Arial"/>
          <w:sz w:val="17"/>
          <w:szCs w:val="17"/>
          <w:color w:val="2A2A2A"/>
        </w:rPr>
        <w:t xml:space="preserve"> other than those expressly contained herein, and it supersedes any other such promises</w:t>
      </w:r>
      <w:r>
        <w:rPr>
          <w:rFonts w:ascii="Arial" w:cs="Arial" w:eastAsia="Arial" w:hAnsi="Arial"/>
          <w:sz w:val="17"/>
          <w:szCs w:val="17"/>
          <w:color w:val="4D4D4D"/>
        </w:rPr>
        <w:t>,</w:t>
      </w:r>
      <w:r>
        <w:rPr>
          <w:rFonts w:ascii="Arial" w:cs="Arial" w:eastAsia="Arial" w:hAnsi="Arial"/>
          <w:sz w:val="17"/>
          <w:szCs w:val="17"/>
          <w:color w:val="2A2A2A"/>
        </w:rPr>
        <w:t xml:space="preserve"> warranties</w:t>
      </w:r>
      <w:r>
        <w:rPr>
          <w:rFonts w:ascii="Arial" w:cs="Arial" w:eastAsia="Arial" w:hAnsi="Arial"/>
          <w:sz w:val="17"/>
          <w:szCs w:val="17"/>
          <w:color w:val="4D4D4D"/>
        </w:rPr>
        <w:t>,</w:t>
      </w:r>
      <w:r>
        <w:rPr>
          <w:rFonts w:ascii="Arial" w:cs="Arial" w:eastAsia="Arial" w:hAnsi="Arial"/>
          <w:sz w:val="17"/>
          <w:szCs w:val="17"/>
          <w:color w:val="2A2A2A"/>
        </w:rPr>
        <w:t xml:space="preserve"> or representations. This Agreement may not be modified or amended except in a writing signed by both you and a duly authorized officer of the Company. This Agreement will </w:t>
      </w:r>
      <w:r>
        <w:rPr>
          <w:rFonts w:ascii="Arial" w:cs="Arial" w:eastAsia="Arial" w:hAnsi="Arial"/>
          <w:sz w:val="17"/>
          <w:szCs w:val="17"/>
          <w:color w:val="1C1A1C"/>
        </w:rPr>
        <w:t>bind</w:t>
      </w:r>
      <w:r>
        <w:rPr>
          <w:rFonts w:ascii="Arial" w:cs="Arial" w:eastAsia="Arial" w:hAnsi="Arial"/>
          <w:sz w:val="17"/>
          <w:szCs w:val="17"/>
          <w:color w:val="2A2A2A"/>
        </w:rPr>
        <w:t xml:space="preserve"> the </w:t>
      </w:r>
      <w:r>
        <w:rPr>
          <w:rFonts w:ascii="Arial" w:cs="Arial" w:eastAsia="Arial" w:hAnsi="Arial"/>
          <w:sz w:val="17"/>
          <w:szCs w:val="17"/>
          <w:color w:val="1C1A1C"/>
        </w:rPr>
        <w:t>heirs</w:t>
      </w:r>
      <w:r>
        <w:rPr>
          <w:rFonts w:ascii="Arial" w:cs="Arial" w:eastAsia="Arial" w:hAnsi="Arial"/>
          <w:sz w:val="17"/>
          <w:szCs w:val="17"/>
          <w:color w:val="4D4D4D"/>
        </w:rPr>
        <w:t>,</w:t>
      </w:r>
      <w:r>
        <w:rPr>
          <w:rFonts w:ascii="Arial" w:cs="Arial" w:eastAsia="Arial" w:hAnsi="Arial"/>
          <w:sz w:val="17"/>
          <w:szCs w:val="17"/>
          <w:color w:val="2A2A2A"/>
        </w:rPr>
        <w:t xml:space="preserve"> </w:t>
      </w:r>
      <w:r>
        <w:rPr>
          <w:rFonts w:ascii="Arial" w:cs="Arial" w:eastAsia="Arial" w:hAnsi="Arial"/>
          <w:sz w:val="17"/>
          <w:szCs w:val="17"/>
          <w:color w:val="1C1A1C"/>
        </w:rPr>
        <w:t>personal representatives,</w:t>
      </w:r>
      <w:r>
        <w:rPr>
          <w:rFonts w:ascii="Arial" w:cs="Arial" w:eastAsia="Arial" w:hAnsi="Arial"/>
          <w:sz w:val="17"/>
          <w:szCs w:val="17"/>
          <w:color w:val="2A2A2A"/>
        </w:rPr>
        <w:t xml:space="preserve"> successors and </w:t>
      </w:r>
      <w:r>
        <w:rPr>
          <w:rFonts w:ascii="Arial" w:cs="Arial" w:eastAsia="Arial" w:hAnsi="Arial"/>
          <w:sz w:val="17"/>
          <w:szCs w:val="17"/>
          <w:color w:val="1C1A1C"/>
        </w:rPr>
        <w:t xml:space="preserve">assigns of both </w:t>
      </w:r>
      <w:r>
        <w:rPr>
          <w:rFonts w:ascii="Arial" w:cs="Arial" w:eastAsia="Arial" w:hAnsi="Arial"/>
          <w:sz w:val="17"/>
          <w:szCs w:val="17"/>
          <w:color w:val="2A2A2A"/>
        </w:rPr>
        <w:t>you and the Company</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and inure to the benefit of both you and the Company</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their heirs, successors</w:t>
      </w:r>
      <w:r>
        <w:rPr>
          <w:rFonts w:ascii="Arial" w:cs="Arial" w:eastAsia="Arial" w:hAnsi="Arial"/>
          <w:sz w:val="17"/>
          <w:szCs w:val="17"/>
          <w:color w:val="4D4D4D"/>
        </w:rPr>
        <w:t>,</w:t>
      </w:r>
      <w:r>
        <w:rPr>
          <w:rFonts w:ascii="Arial" w:cs="Arial" w:eastAsia="Arial" w:hAnsi="Arial"/>
          <w:sz w:val="17"/>
          <w:szCs w:val="17"/>
          <w:color w:val="1C1A1C"/>
        </w:rPr>
        <w:t xml:space="preserve"> </w:t>
      </w:r>
      <w:r>
        <w:rPr>
          <w:rFonts w:ascii="Arial" w:cs="Arial" w:eastAsia="Arial" w:hAnsi="Arial"/>
          <w:sz w:val="17"/>
          <w:szCs w:val="17"/>
          <w:color w:val="2A2A2A"/>
        </w:rPr>
        <w:t>and</w:t>
      </w:r>
      <w:r>
        <w:rPr>
          <w:rFonts w:ascii="Arial" w:cs="Arial" w:eastAsia="Arial" w:hAnsi="Arial"/>
          <w:sz w:val="17"/>
          <w:szCs w:val="17"/>
          <w:color w:val="1C1A1C"/>
        </w:rPr>
        <w:t xml:space="preserve"> </w:t>
      </w:r>
      <w:r>
        <w:rPr>
          <w:rFonts w:ascii="Arial" w:cs="Arial" w:eastAsia="Arial" w:hAnsi="Arial"/>
          <w:sz w:val="17"/>
          <w:szCs w:val="17"/>
          <w:color w:val="2A2A2A"/>
        </w:rPr>
        <w:t>assigns. If any provision of this Agreement is determined to be invalid or unenforceable</w:t>
      </w:r>
      <w:r>
        <w:rPr>
          <w:rFonts w:ascii="Arial" w:cs="Arial" w:eastAsia="Arial" w:hAnsi="Arial"/>
          <w:sz w:val="17"/>
          <w:szCs w:val="17"/>
          <w:color w:val="4D4D4D"/>
        </w:rPr>
        <w:t>,</w:t>
      </w:r>
      <w:r>
        <w:rPr>
          <w:rFonts w:ascii="Arial" w:cs="Arial" w:eastAsia="Arial" w:hAnsi="Arial"/>
          <w:sz w:val="17"/>
          <w:szCs w:val="17"/>
          <w:color w:val="2A2A2A"/>
        </w:rPr>
        <w:t xml:space="preserve"> in whole or in part</w:t>
      </w:r>
      <w:r>
        <w:rPr>
          <w:rFonts w:ascii="Arial" w:cs="Arial" w:eastAsia="Arial" w:hAnsi="Arial"/>
          <w:sz w:val="17"/>
          <w:szCs w:val="17"/>
          <w:color w:val="4D4D4D"/>
        </w:rPr>
        <w:t>,</w:t>
      </w:r>
      <w:r>
        <w:rPr>
          <w:rFonts w:ascii="Arial" w:cs="Arial" w:eastAsia="Arial" w:hAnsi="Arial"/>
          <w:sz w:val="17"/>
          <w:szCs w:val="17"/>
          <w:color w:val="2A2A2A"/>
        </w:rPr>
        <w:t xml:space="preserve"> this determination will not affect any other provision of this Agreement and the provision in question will </w:t>
      </w:r>
      <w:r>
        <w:rPr>
          <w:rFonts w:ascii="Arial" w:cs="Arial" w:eastAsia="Arial" w:hAnsi="Arial"/>
          <w:sz w:val="17"/>
          <w:szCs w:val="17"/>
          <w:color w:val="1C1A1C"/>
        </w:rPr>
        <w:t>be</w:t>
      </w:r>
      <w:r>
        <w:rPr>
          <w:rFonts w:ascii="Arial" w:cs="Arial" w:eastAsia="Arial" w:hAnsi="Arial"/>
          <w:sz w:val="17"/>
          <w:szCs w:val="17"/>
          <w:color w:val="2A2A2A"/>
        </w:rPr>
        <w:t xml:space="preserve"> modified so as to be rendered enforceable. This Agreement will </w:t>
      </w:r>
      <w:r>
        <w:rPr>
          <w:rFonts w:ascii="Arial" w:cs="Arial" w:eastAsia="Arial" w:hAnsi="Arial"/>
          <w:sz w:val="17"/>
          <w:szCs w:val="17"/>
          <w:color w:val="1C1A1C"/>
        </w:rPr>
        <w:t>be deemed</w:t>
      </w:r>
      <w:r>
        <w:rPr>
          <w:rFonts w:ascii="Arial" w:cs="Arial" w:eastAsia="Arial" w:hAnsi="Arial"/>
          <w:sz w:val="17"/>
          <w:szCs w:val="17"/>
          <w:color w:val="2A2A2A"/>
        </w:rPr>
        <w:t xml:space="preserve"> to </w:t>
      </w:r>
      <w:r>
        <w:rPr>
          <w:rFonts w:ascii="Arial" w:cs="Arial" w:eastAsia="Arial" w:hAnsi="Arial"/>
          <w:sz w:val="17"/>
          <w:szCs w:val="17"/>
          <w:color w:val="1C1A1C"/>
        </w:rPr>
        <w:t>have been</w:t>
      </w:r>
      <w:r>
        <w:rPr>
          <w:rFonts w:ascii="Arial" w:cs="Arial" w:eastAsia="Arial" w:hAnsi="Arial"/>
          <w:sz w:val="17"/>
          <w:szCs w:val="17"/>
          <w:color w:val="2A2A2A"/>
        </w:rPr>
        <w:t xml:space="preserve"> entered into and will </w:t>
      </w:r>
      <w:r>
        <w:rPr>
          <w:rFonts w:ascii="Arial" w:cs="Arial" w:eastAsia="Arial" w:hAnsi="Arial"/>
          <w:sz w:val="17"/>
          <w:szCs w:val="17"/>
          <w:color w:val="1C1A1C"/>
        </w:rPr>
        <w:t>be</w:t>
      </w:r>
      <w:r>
        <w:rPr>
          <w:rFonts w:ascii="Arial" w:cs="Arial" w:eastAsia="Arial" w:hAnsi="Arial"/>
          <w:sz w:val="17"/>
          <w:szCs w:val="17"/>
          <w:color w:val="2A2A2A"/>
        </w:rPr>
        <w:t xml:space="preserve"> construed and enforced in accordance with the laws of the State of Arizona without regard to conflict of laws principles. Any ambiguity in this Agreement shall not be construed against either party as the drafter. Any waiver of a breach of this Agreement shall be in writing and shall not be </w:t>
      </w:r>
      <w:r>
        <w:rPr>
          <w:rFonts w:ascii="Arial" w:cs="Arial" w:eastAsia="Arial" w:hAnsi="Arial"/>
          <w:sz w:val="17"/>
          <w:szCs w:val="17"/>
          <w:color w:val="1C1A1C"/>
        </w:rPr>
        <w:t xml:space="preserve">deemed </w:t>
      </w:r>
      <w:r>
        <w:rPr>
          <w:rFonts w:ascii="Arial" w:cs="Arial" w:eastAsia="Arial" w:hAnsi="Arial"/>
          <w:sz w:val="17"/>
          <w:szCs w:val="17"/>
          <w:color w:val="2A2A2A"/>
        </w:rPr>
        <w:t>to</w:t>
      </w:r>
      <w:r>
        <w:rPr>
          <w:rFonts w:ascii="Arial" w:cs="Arial" w:eastAsia="Arial" w:hAnsi="Arial"/>
          <w:sz w:val="17"/>
          <w:szCs w:val="17"/>
          <w:color w:val="1C1A1C"/>
        </w:rPr>
        <w:t xml:space="preserve"> be </w:t>
      </w:r>
      <w:r>
        <w:rPr>
          <w:rFonts w:ascii="Arial" w:cs="Arial" w:eastAsia="Arial" w:hAnsi="Arial"/>
          <w:sz w:val="17"/>
          <w:szCs w:val="17"/>
          <w:color w:val="2A2A2A"/>
        </w:rPr>
        <w:t>a waiver</w:t>
      </w:r>
      <w:r>
        <w:rPr>
          <w:rFonts w:ascii="Arial" w:cs="Arial" w:eastAsia="Arial" w:hAnsi="Arial"/>
          <w:sz w:val="17"/>
          <w:szCs w:val="17"/>
          <w:color w:val="1C1A1C"/>
        </w:rPr>
        <w:t xml:space="preserve"> of any successive breach. </w:t>
      </w:r>
      <w:r>
        <w:rPr>
          <w:rFonts w:ascii="Arial" w:cs="Arial" w:eastAsia="Arial" w:hAnsi="Arial"/>
          <w:sz w:val="17"/>
          <w:szCs w:val="17"/>
          <w:color w:val="2A2A2A"/>
        </w:rPr>
        <w:t>This Agreement may</w:t>
      </w:r>
      <w:r>
        <w:rPr>
          <w:rFonts w:ascii="Arial" w:cs="Arial" w:eastAsia="Arial" w:hAnsi="Arial"/>
          <w:sz w:val="17"/>
          <w:szCs w:val="17"/>
          <w:color w:val="1C1A1C"/>
        </w:rPr>
        <w:t xml:space="preserve"> be </w:t>
      </w:r>
      <w:r>
        <w:rPr>
          <w:rFonts w:ascii="Arial" w:cs="Arial" w:eastAsia="Arial" w:hAnsi="Arial"/>
          <w:sz w:val="17"/>
          <w:szCs w:val="17"/>
          <w:color w:val="2A2A2A"/>
        </w:rPr>
        <w:t>executed in counterparts and facsimile signatures will</w:t>
      </w:r>
      <w:r>
        <w:rPr>
          <w:rFonts w:ascii="Arial" w:cs="Arial" w:eastAsia="Arial" w:hAnsi="Arial"/>
          <w:sz w:val="17"/>
          <w:szCs w:val="17"/>
          <w:color w:val="1C1A1C"/>
        </w:rPr>
        <w:t xml:space="preserve"> </w:t>
      </w:r>
      <w:r>
        <w:rPr>
          <w:rFonts w:ascii="Arial" w:cs="Arial" w:eastAsia="Arial" w:hAnsi="Arial"/>
          <w:sz w:val="17"/>
          <w:szCs w:val="17"/>
          <w:color w:val="2A2A2A"/>
        </w:rPr>
        <w:t>suffice as original signatures.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2A2A2A"/>
        </w:rPr>
        <w:t xml:space="preserve">If this </w:t>
      </w:r>
      <w:r>
        <w:rPr>
          <w:rFonts w:ascii="Arial" w:cs="Arial" w:eastAsia="Arial" w:hAnsi="Arial"/>
          <w:sz w:val="18"/>
          <w:szCs w:val="18"/>
          <w:color w:val="1C1A1C"/>
        </w:rPr>
        <w:t>Agreement</w:t>
      </w:r>
      <w:r>
        <w:rPr>
          <w:rFonts w:ascii="Arial" w:cs="Arial" w:eastAsia="Arial" w:hAnsi="Arial"/>
          <w:sz w:val="18"/>
          <w:szCs w:val="18"/>
          <w:color w:val="2A2A2A"/>
        </w:rPr>
        <w:t xml:space="preserve"> is </w:t>
      </w:r>
      <w:r>
        <w:rPr>
          <w:rFonts w:ascii="Arial" w:cs="Arial" w:eastAsia="Arial" w:hAnsi="Arial"/>
          <w:sz w:val="18"/>
          <w:szCs w:val="18"/>
          <w:color w:val="1C1A1C"/>
        </w:rPr>
        <w:t>acceptable to</w:t>
      </w:r>
      <w:r>
        <w:rPr>
          <w:rFonts w:ascii="Arial" w:cs="Arial" w:eastAsia="Arial" w:hAnsi="Arial"/>
          <w:sz w:val="18"/>
          <w:szCs w:val="18"/>
          <w:color w:val="2A2A2A"/>
        </w:rPr>
        <w:t xml:space="preserve"> you, </w:t>
      </w:r>
      <w:r>
        <w:rPr>
          <w:rFonts w:ascii="Arial" w:cs="Arial" w:eastAsia="Arial" w:hAnsi="Arial"/>
          <w:sz w:val="18"/>
          <w:szCs w:val="18"/>
          <w:color w:val="1C1A1C"/>
        </w:rPr>
        <w:t>please sign below and return</w:t>
      </w:r>
      <w:r>
        <w:rPr>
          <w:rFonts w:ascii="Arial" w:cs="Arial" w:eastAsia="Arial" w:hAnsi="Arial"/>
          <w:sz w:val="18"/>
          <w:szCs w:val="18"/>
          <w:color w:val="2A2A2A"/>
        </w:rPr>
        <w:t xml:space="preserve"> the </w:t>
      </w:r>
      <w:r>
        <w:rPr>
          <w:rFonts w:ascii="Arial" w:cs="Arial" w:eastAsia="Arial" w:hAnsi="Arial"/>
          <w:sz w:val="18"/>
          <w:szCs w:val="18"/>
          <w:color w:val="1C1A1C"/>
        </w:rPr>
        <w:t>original Agreement</w:t>
      </w:r>
      <w:r>
        <w:rPr>
          <w:rFonts w:ascii="Arial" w:cs="Arial" w:eastAsia="Arial" w:hAnsi="Arial"/>
          <w:sz w:val="18"/>
          <w:szCs w:val="18"/>
          <w:color w:val="2A2A2A"/>
        </w:rPr>
        <w:t xml:space="preserve"> to me by April 8</w:t>
      </w:r>
      <w:r>
        <w:rPr>
          <w:rFonts w:ascii="Arial" w:cs="Arial" w:eastAsia="Arial" w:hAnsi="Arial"/>
          <w:sz w:val="18"/>
          <w:szCs w:val="18"/>
          <w:color w:val="4D4D4D"/>
        </w:rPr>
        <w:t>,</w:t>
      </w:r>
      <w:r>
        <w:rPr>
          <w:rFonts w:ascii="Arial" w:cs="Arial" w:eastAsia="Arial" w:hAnsi="Arial"/>
          <w:sz w:val="18"/>
          <w:szCs w:val="18"/>
          <w:color w:val="2A2A2A"/>
        </w:rPr>
        <w:t xml:space="preserve"> 2021 at 5:00pm. The Company</w:t>
      </w:r>
      <w:r>
        <w:rPr>
          <w:rFonts w:ascii="Arial" w:cs="Arial" w:eastAsia="Arial" w:hAnsi="Arial"/>
          <w:sz w:val="18"/>
          <w:szCs w:val="18"/>
          <w:color w:val="4D4D4D"/>
        </w:rPr>
        <w:t>’</w:t>
      </w:r>
      <w:r>
        <w:rPr>
          <w:rFonts w:ascii="Arial" w:cs="Arial" w:eastAsia="Arial" w:hAnsi="Arial"/>
          <w:sz w:val="18"/>
          <w:szCs w:val="18"/>
          <w:color w:val="2A2A2A"/>
        </w:rPr>
        <w:t>s offer contained herein will automatically expire if you do not sign and return it within this timeframe.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2A2A2B"/>
        </w:rPr>
        <w:t>Sincerely</w:t>
      </w:r>
      <w:r>
        <w:rPr>
          <w:rFonts w:ascii="Arial" w:cs="Arial" w:eastAsia="Arial" w:hAnsi="Arial"/>
          <w:sz w:val="18"/>
          <w:szCs w:val="18"/>
          <w:color w:val="505050"/>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Amy McKillip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5715</wp:posOffset>
            </wp:positionV>
            <wp:extent cx="29317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Amy McKillip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Human Resources Manager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Everspin Technologies,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18181A"/>
        </w:rPr>
        <w:t xml:space="preserve">I </w:t>
      </w:r>
      <w:r>
        <w:rPr>
          <w:rFonts w:ascii="Arial" w:cs="Arial" w:eastAsia="Arial" w:hAnsi="Arial"/>
          <w:sz w:val="18"/>
          <w:szCs w:val="18"/>
          <w:b w:val="1"/>
          <w:bCs w:val="1"/>
          <w:color w:val="2A2A2B"/>
        </w:rPr>
        <w:t>HAVE</w:t>
      </w:r>
      <w:r>
        <w:rPr>
          <w:rFonts w:ascii="Arial" w:cs="Arial" w:eastAsia="Arial" w:hAnsi="Arial"/>
          <w:sz w:val="18"/>
          <w:szCs w:val="18"/>
          <w:color w:val="18181A"/>
        </w:rPr>
        <w:t xml:space="preserve"> </w:t>
      </w:r>
      <w:r>
        <w:rPr>
          <w:rFonts w:ascii="Arial" w:cs="Arial" w:eastAsia="Arial" w:hAnsi="Arial"/>
          <w:sz w:val="18"/>
          <w:szCs w:val="18"/>
          <w:b w:val="1"/>
          <w:bCs w:val="1"/>
          <w:color w:val="18181A"/>
        </w:rPr>
        <w:t>READ,</w:t>
      </w:r>
      <w:r>
        <w:rPr>
          <w:rFonts w:ascii="Arial" w:cs="Arial" w:eastAsia="Arial" w:hAnsi="Arial"/>
          <w:sz w:val="18"/>
          <w:szCs w:val="18"/>
          <w:color w:val="18181A"/>
        </w:rPr>
        <w:t xml:space="preserve"> </w:t>
      </w:r>
      <w:r>
        <w:rPr>
          <w:rFonts w:ascii="Arial" w:cs="Arial" w:eastAsia="Arial" w:hAnsi="Arial"/>
          <w:sz w:val="18"/>
          <w:szCs w:val="18"/>
          <w:b w:val="1"/>
          <w:bCs w:val="1"/>
          <w:color w:val="2A2A2B"/>
        </w:rPr>
        <w:t>UNDERSTAND AND AGREE FULLY TO THE FOREGOING</w:t>
      </w:r>
      <w:r>
        <w:rPr>
          <w:rFonts w:ascii="Arial" w:cs="Arial" w:eastAsia="Arial" w:hAnsi="Arial"/>
          <w:sz w:val="18"/>
          <w:szCs w:val="18"/>
          <w:color w:val="18181A"/>
        </w:rPr>
        <w:t xml:space="preserve"> </w:t>
      </w:r>
      <w:r>
        <w:rPr>
          <w:rFonts w:ascii="Arial" w:cs="Arial" w:eastAsia="Arial" w:hAnsi="Arial"/>
          <w:sz w:val="18"/>
          <w:szCs w:val="18"/>
          <w:b w:val="1"/>
          <w:bCs w:val="1"/>
          <w:color w:val="18181A"/>
        </w:rPr>
        <w:t>AGREEMENT: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Berenbaum</w:t>
            </w:r>
          </w:p>
        </w:tc>
        <w:tc>
          <w:tcPr>
            <w:tcW w:w="2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7, 2021</w:t>
            </w:r>
          </w:p>
        </w:tc>
      </w:tr>
      <w:tr>
        <w:trPr>
          <w:trHeight w:val="426"/>
        </w:trPr>
        <w:tc>
          <w:tcPr>
            <w:tcW w:w="5080" w:type="dxa"/>
            <w:vAlign w:val="bottom"/>
            <w:gridSpan w:val="2"/>
          </w:tcPr>
          <w:p>
            <w:pPr>
              <w:spacing w:after="0"/>
              <w:rPr>
                <w:sz w:val="20"/>
                <w:szCs w:val="20"/>
                <w:color w:val="auto"/>
              </w:rPr>
            </w:pPr>
            <w:r>
              <w:rPr>
                <w:rFonts w:ascii="Arial" w:cs="Arial" w:eastAsia="Arial" w:hAnsi="Arial"/>
                <w:sz w:val="18"/>
                <w:szCs w:val="18"/>
                <w:color w:val="auto"/>
              </w:rPr>
              <w:t xml:space="preserve">Daniel </w:t>
            </w:r>
            <w:r>
              <w:rPr>
                <w:rFonts w:ascii="Arial" w:cs="Arial" w:eastAsia="Arial" w:hAnsi="Arial"/>
                <w:sz w:val="18"/>
                <w:szCs w:val="18"/>
                <w:color w:val="18181A"/>
              </w:rPr>
              <w:t>Berenbaum</w:t>
            </w:r>
          </w:p>
        </w:tc>
        <w:tc>
          <w:tcPr>
            <w:tcW w:w="4840" w:type="dxa"/>
            <w:vAlign w:val="bottom"/>
          </w:tcPr>
          <w:p>
            <w:pPr>
              <w:spacing w:after="0"/>
              <w:rPr>
                <w:sz w:val="20"/>
                <w:szCs w:val="20"/>
                <w:color w:val="auto"/>
              </w:rPr>
            </w:pPr>
            <w:r>
              <w:rPr>
                <w:rFonts w:ascii="Arial" w:cs="Arial" w:eastAsia="Arial" w:hAnsi="Arial"/>
                <w:sz w:val="18"/>
                <w:szCs w:val="18"/>
                <w:color w:val="18181A"/>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81" w:right="99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232323"/>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2323"/>
        </w:rPr>
        <w:t>EMPLOYEE PROPRIETARY INFORMATION AND INVENTIONS ASSIGNMENT AGREEMENT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57" w:name="page58"/>
    <w:bookmarkEnd w:id="57"/>
    <w:p>
      <w:pPr>
        <w:jc w:val="right"/>
        <w:ind w:right="59"/>
        <w:spacing w:after="0"/>
        <w:rPr>
          <w:sz w:val="20"/>
          <w:szCs w:val="20"/>
          <w:color w:val="auto"/>
        </w:rPr>
      </w:pPr>
      <w:r>
        <w:rPr>
          <w:rFonts w:ascii="Arial" w:cs="Arial" w:eastAsia="Arial" w:hAnsi="Arial"/>
          <w:sz w:val="22"/>
          <w:szCs w:val="22"/>
          <w:b w:val="1"/>
          <w:bCs w:val="1"/>
          <w:color w:val="auto"/>
        </w:rPr>
        <w:t>Exhibit 10.5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SECOND AMENDMENT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LOAN AND SECURITY AGREEMENT</w:t>
      </w:r>
    </w:p>
    <w:p>
      <w:pPr>
        <w:spacing w:after="0" w:line="188" w:lineRule="exact"/>
        <w:rPr>
          <w:sz w:val="20"/>
          <w:szCs w:val="20"/>
          <w:color w:val="auto"/>
        </w:rPr>
      </w:pPr>
    </w:p>
    <w:p>
      <w:pPr>
        <w:jc w:val="both"/>
        <w:ind w:left="60" w:right="59" w:firstLine="648"/>
        <w:spacing w:after="0" w:line="241" w:lineRule="auto"/>
        <w:rPr>
          <w:sz w:val="20"/>
          <w:szCs w:val="20"/>
          <w:color w:val="auto"/>
        </w:rPr>
      </w:pPr>
      <w:r>
        <w:rPr>
          <w:rFonts w:ascii="Arial" w:cs="Arial" w:eastAsia="Arial" w:hAnsi="Arial"/>
          <w:sz w:val="22"/>
          <w:szCs w:val="22"/>
          <w:color w:val="auto"/>
        </w:rPr>
        <w:t>THIS SECOND AMENDMENT TO AMENDED AND RESTATED LOAN AND SECURITY AGREEMENT (this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 this [ ] day of July, 2021, by and between SILICON VALLEY BANK, a California corporation (“</w:t>
      </w:r>
      <w:r>
        <w:rPr>
          <w:rFonts w:ascii="Arial" w:cs="Arial" w:eastAsia="Arial" w:hAnsi="Arial"/>
          <w:sz w:val="22"/>
          <w:szCs w:val="22"/>
          <w:b w:val="1"/>
          <w:bCs w:val="1"/>
          <w:color w:val="auto"/>
        </w:rPr>
        <w:t>Bank</w:t>
      </w:r>
      <w:r>
        <w:rPr>
          <w:rFonts w:ascii="Arial" w:cs="Arial" w:eastAsia="Arial" w:hAnsi="Arial"/>
          <w:sz w:val="22"/>
          <w:szCs w:val="22"/>
          <w:color w:val="auto"/>
        </w:rPr>
        <w:t>”), and EVERSPIN TECHNOLOGIES, INC.,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jc w:val="both"/>
        <w:ind w:left="60" w:right="59" w:firstLine="638"/>
        <w:spacing w:after="0"/>
        <w:tabs>
          <w:tab w:leader="none" w:pos="1447" w:val="left"/>
        </w:tabs>
        <w:numPr>
          <w:ilvl w:val="0"/>
          <w:numId w:val="28"/>
        </w:numPr>
        <w:rPr>
          <w:rFonts w:ascii="Arial" w:cs="Arial" w:eastAsia="Arial" w:hAnsi="Arial"/>
          <w:sz w:val="22"/>
          <w:szCs w:val="22"/>
          <w:color w:val="auto"/>
        </w:rPr>
      </w:pPr>
      <w:r>
        <w:rPr>
          <w:rFonts w:ascii="Arial" w:cs="Arial" w:eastAsia="Arial" w:hAnsi="Arial"/>
          <w:sz w:val="22"/>
          <w:szCs w:val="22"/>
          <w:color w:val="auto"/>
        </w:rPr>
        <w:t>Bank and Borrower have entered into that certain Amended and Restated Loan and Security Agreement dated as of August 5, 2019 (as the same may from time to time be further amended, modified, supplemented or restated, the “</w:t>
      </w:r>
      <w:r>
        <w:rPr>
          <w:rFonts w:ascii="Arial" w:cs="Arial" w:eastAsia="Arial" w:hAnsi="Arial"/>
          <w:sz w:val="22"/>
          <w:szCs w:val="22"/>
          <w:b w:val="1"/>
          <w:bCs w:val="1"/>
          <w:color w:val="auto"/>
        </w:rPr>
        <w:t>Loan Agreement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440" w:hanging="742"/>
        <w:spacing w:after="0"/>
        <w:tabs>
          <w:tab w:leader="none" w:pos="14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w:t>
      </w:r>
    </w:p>
    <w:p>
      <w:pPr>
        <w:spacing w:after="0" w:line="8" w:lineRule="exact"/>
        <w:rPr>
          <w:rFonts w:ascii="Arial" w:cs="Arial" w:eastAsia="Arial" w:hAnsi="Arial"/>
          <w:sz w:val="22"/>
          <w:szCs w:val="22"/>
          <w:color w:val="auto"/>
        </w:rPr>
      </w:pPr>
    </w:p>
    <w:p>
      <w:pPr>
        <w:ind w:left="60"/>
        <w:spacing w:after="0"/>
        <w:rPr>
          <w:rFonts w:ascii="Arial" w:cs="Arial" w:eastAsia="Arial" w:hAnsi="Arial"/>
          <w:sz w:val="22"/>
          <w:szCs w:val="22"/>
          <w:color w:val="auto"/>
        </w:rPr>
      </w:pPr>
      <w:r>
        <w:rPr>
          <w:rFonts w:ascii="Arial" w:cs="Arial" w:eastAsia="Arial" w:hAnsi="Arial"/>
          <w:sz w:val="22"/>
          <w:szCs w:val="22"/>
          <w:color w:val="auto"/>
        </w:rPr>
        <w:t>Agreement.</w:t>
      </w:r>
    </w:p>
    <w:p>
      <w:pPr>
        <w:spacing w:after="0" w:line="188" w:lineRule="exact"/>
        <w:rPr>
          <w:rFonts w:ascii="Arial" w:cs="Arial" w:eastAsia="Arial" w:hAnsi="Arial"/>
          <w:sz w:val="22"/>
          <w:szCs w:val="22"/>
          <w:color w:val="auto"/>
        </w:rPr>
      </w:pPr>
    </w:p>
    <w:p>
      <w:pPr>
        <w:ind w:left="1440" w:hanging="742"/>
        <w:spacing w:after="0"/>
        <w:tabs>
          <w:tab w:leader="none" w:pos="14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Borrower has requested that Bank make certain changes to the Loan Agreement as set</w:t>
      </w:r>
    </w:p>
    <w:p>
      <w:pPr>
        <w:spacing w:after="0" w:line="42"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forth herein.</w:t>
      </w:r>
    </w:p>
    <w:p>
      <w:pPr>
        <w:spacing w:after="0" w:line="188" w:lineRule="exact"/>
        <w:rPr>
          <w:rFonts w:ascii="Arial" w:cs="Arial" w:eastAsia="Arial" w:hAnsi="Arial"/>
          <w:sz w:val="19"/>
          <w:szCs w:val="19"/>
          <w:color w:val="auto"/>
        </w:rPr>
      </w:pPr>
    </w:p>
    <w:p>
      <w:pPr>
        <w:jc w:val="both"/>
        <w:ind w:left="60" w:right="59" w:firstLine="638"/>
        <w:spacing w:after="0" w:line="257" w:lineRule="auto"/>
        <w:tabs>
          <w:tab w:leader="none" w:pos="1447" w:val="left"/>
        </w:tabs>
        <w:numPr>
          <w:ilvl w:val="0"/>
          <w:numId w:val="28"/>
        </w:numPr>
        <w:rPr>
          <w:rFonts w:ascii="Arial" w:cs="Arial" w:eastAsia="Arial" w:hAnsi="Arial"/>
          <w:sz w:val="21"/>
          <w:szCs w:val="21"/>
          <w:color w:val="auto"/>
        </w:rPr>
      </w:pPr>
      <w:r>
        <w:rPr>
          <w:rFonts w:ascii="Arial" w:cs="Arial" w:eastAsia="Arial" w:hAnsi="Arial"/>
          <w:sz w:val="21"/>
          <w:szCs w:val="21"/>
          <w:color w:val="auto"/>
        </w:rPr>
        <w:t>Although Bank is under no obligation to do so, Bank is willing to amend certain provisions of the Loan Agreement, but only to the extent, in accordance with the terms, subject to the conditions and in reliance upon the representations and warranties set forth below.</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7"/>
          <w:szCs w:val="17"/>
          <w:b w:val="1"/>
          <w:bCs w:val="1"/>
          <w:color w:val="auto"/>
        </w:rPr>
        <w:t>OW</w:t>
      </w:r>
      <w:r>
        <w:rPr>
          <w:rFonts w:ascii="Arial" w:cs="Arial" w:eastAsia="Arial" w:hAnsi="Arial"/>
          <w:sz w:val="22"/>
          <w:szCs w:val="22"/>
          <w:b w:val="1"/>
          <w:bCs w:val="1"/>
          <w:color w:val="auto"/>
        </w:rPr>
        <w:t>, T</w:t>
      </w:r>
      <w:r>
        <w:rPr>
          <w:rFonts w:ascii="Arial" w:cs="Arial" w:eastAsia="Arial" w:hAnsi="Arial"/>
          <w:sz w:val="17"/>
          <w:szCs w:val="17"/>
          <w:b w:val="1"/>
          <w:bCs w:val="1"/>
          <w:color w:val="auto"/>
        </w:rPr>
        <w:t>HEREFORE</w:t>
      </w:r>
      <w:r>
        <w:rPr>
          <w:rFonts w:ascii="Arial" w:cs="Arial" w:eastAsia="Arial" w:hAnsi="Arial"/>
          <w:sz w:val="22"/>
          <w:szCs w:val="22"/>
          <w:b w:val="1"/>
          <w:bCs w:val="1"/>
          <w:color w:val="auto"/>
        </w:rPr>
        <w:t xml:space="preserve">, </w:t>
      </w:r>
      <w:r>
        <w:rPr>
          <w:rFonts w:ascii="Arial" w:cs="Arial" w:eastAsia="Arial" w:hAnsi="Arial"/>
          <w:sz w:val="22"/>
          <w:szCs w:val="22"/>
          <w:color w:val="auto"/>
        </w:rPr>
        <w:t>in consideration of the foregoing recitals and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adequacy of which is hereby acknowledged, and intending to be legally bound, the parties hereto agree as follows:</w:t>
      </w:r>
    </w:p>
    <w:p>
      <w:pPr>
        <w:spacing w:after="0" w:line="177" w:lineRule="exact"/>
        <w:rPr>
          <w:sz w:val="20"/>
          <w:szCs w:val="20"/>
          <w:color w:val="auto"/>
        </w:rPr>
      </w:pPr>
    </w:p>
    <w:p>
      <w:pPr>
        <w:ind w:left="60" w:right="59" w:firstLine="638"/>
        <w:spacing w:after="0" w:line="256" w:lineRule="auto"/>
        <w:tabs>
          <w:tab w:leader="none" w:pos="1447"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given to them in the Loan Agreement.</w:t>
      </w:r>
    </w:p>
    <w:p>
      <w:pPr>
        <w:spacing w:after="0" w:line="162" w:lineRule="exact"/>
        <w:rPr>
          <w:rFonts w:ascii="Arial" w:cs="Arial" w:eastAsia="Arial" w:hAnsi="Arial"/>
          <w:sz w:val="22"/>
          <w:szCs w:val="22"/>
          <w:b w:val="1"/>
          <w:bCs w:val="1"/>
          <w:color w:val="auto"/>
        </w:rPr>
      </w:pPr>
    </w:p>
    <w:p>
      <w:pPr>
        <w:ind w:left="1440" w:hanging="742"/>
        <w:spacing w:after="0"/>
        <w:tabs>
          <w:tab w:leader="none" w:pos="1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left="1340"/>
        <w:spacing w:after="0"/>
        <w:tabs>
          <w:tab w:leader="none" w:pos="20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Section 10 (Address for Notices</w:t>
      </w:r>
      <w:r>
        <w:rPr>
          <w:rFonts w:ascii="Arial" w:cs="Arial" w:eastAsia="Arial" w:hAnsi="Arial"/>
          <w:sz w:val="19"/>
          <w:szCs w:val="19"/>
          <w:color w:val="auto"/>
        </w:rPr>
        <w:t>). Borrower’s address for notices set forth in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Section 10 of the Loan Agreement is hereby amended in its entirety and replaced with the following:</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40" w:type="dxa"/>
            <w:vAlign w:val="bottom"/>
          </w:tcPr>
          <w:p>
            <w:pPr>
              <w:ind w:left="1300"/>
              <w:spacing w:after="0"/>
              <w:rPr>
                <w:sz w:val="20"/>
                <w:szCs w:val="20"/>
                <w:color w:val="auto"/>
              </w:rPr>
            </w:pPr>
            <w:r>
              <w:rPr>
                <w:rFonts w:ascii="Arial" w:cs="Arial" w:eastAsia="Arial" w:hAnsi="Arial"/>
                <w:sz w:val="22"/>
                <w:szCs w:val="22"/>
                <w:color w:val="auto"/>
              </w:rPr>
              <w:t>If to Borrower:</w:t>
            </w:r>
          </w:p>
        </w:tc>
        <w:tc>
          <w:tcPr>
            <w:tcW w:w="5980" w:type="dxa"/>
            <w:vAlign w:val="bottom"/>
          </w:tcPr>
          <w:p>
            <w:pPr>
              <w:ind w:left="320"/>
              <w:spacing w:after="0"/>
              <w:rPr>
                <w:sz w:val="20"/>
                <w:szCs w:val="20"/>
                <w:color w:val="auto"/>
              </w:rPr>
            </w:pPr>
            <w:r>
              <w:rPr>
                <w:rFonts w:ascii="Arial" w:cs="Arial" w:eastAsia="Arial" w:hAnsi="Arial"/>
                <w:sz w:val="22"/>
                <w:szCs w:val="22"/>
                <w:color w:val="auto"/>
              </w:rPr>
              <w:t>Everspin Technologies, Inc.</w:t>
            </w:r>
          </w:p>
        </w:tc>
      </w:tr>
      <w:tr>
        <w:trPr>
          <w:trHeight w:val="243"/>
        </w:trPr>
        <w:tc>
          <w:tcPr>
            <w:tcW w:w="2940" w:type="dxa"/>
            <w:vAlign w:val="bottom"/>
          </w:tcPr>
          <w:p>
            <w:pPr>
              <w:spacing w:after="0"/>
              <w:rPr>
                <w:sz w:val="21"/>
                <w:szCs w:val="21"/>
                <w:color w:val="auto"/>
              </w:rPr>
            </w:pPr>
          </w:p>
        </w:tc>
        <w:tc>
          <w:tcPr>
            <w:tcW w:w="5980" w:type="dxa"/>
            <w:vAlign w:val="bottom"/>
          </w:tcPr>
          <w:p>
            <w:pPr>
              <w:ind w:left="320"/>
              <w:spacing w:after="0" w:line="243" w:lineRule="exact"/>
              <w:rPr>
                <w:sz w:val="20"/>
                <w:szCs w:val="20"/>
                <w:color w:val="auto"/>
              </w:rPr>
            </w:pPr>
            <w:r>
              <w:rPr>
                <w:rFonts w:ascii="Arial" w:cs="Arial" w:eastAsia="Arial" w:hAnsi="Arial"/>
                <w:sz w:val="22"/>
                <w:szCs w:val="22"/>
                <w:color w:val="auto"/>
              </w:rPr>
              <w:t>5670 W. Chandler Blvd, Suite 100</w:t>
            </w:r>
          </w:p>
        </w:tc>
      </w:tr>
      <w:tr>
        <w:trPr>
          <w:trHeight w:val="243"/>
        </w:trPr>
        <w:tc>
          <w:tcPr>
            <w:tcW w:w="2940" w:type="dxa"/>
            <w:vAlign w:val="bottom"/>
          </w:tcPr>
          <w:p>
            <w:pPr>
              <w:spacing w:after="0"/>
              <w:rPr>
                <w:sz w:val="21"/>
                <w:szCs w:val="21"/>
                <w:color w:val="auto"/>
              </w:rPr>
            </w:pPr>
          </w:p>
        </w:tc>
        <w:tc>
          <w:tcPr>
            <w:tcW w:w="5980" w:type="dxa"/>
            <w:vAlign w:val="bottom"/>
          </w:tcPr>
          <w:p>
            <w:pPr>
              <w:ind w:left="320"/>
              <w:spacing w:after="0" w:line="243" w:lineRule="exact"/>
              <w:rPr>
                <w:sz w:val="20"/>
                <w:szCs w:val="20"/>
                <w:color w:val="auto"/>
              </w:rPr>
            </w:pPr>
            <w:r>
              <w:rPr>
                <w:rFonts w:ascii="Arial" w:cs="Arial" w:eastAsia="Arial" w:hAnsi="Arial"/>
                <w:sz w:val="22"/>
                <w:szCs w:val="22"/>
                <w:color w:val="auto"/>
              </w:rPr>
              <w:t>Chandler, Arizona 85226</w:t>
            </w:r>
          </w:p>
        </w:tc>
      </w:tr>
      <w:tr>
        <w:trPr>
          <w:trHeight w:val="243"/>
        </w:trPr>
        <w:tc>
          <w:tcPr>
            <w:tcW w:w="2940" w:type="dxa"/>
            <w:vAlign w:val="bottom"/>
          </w:tcPr>
          <w:p>
            <w:pPr>
              <w:spacing w:after="0"/>
              <w:rPr>
                <w:sz w:val="21"/>
                <w:szCs w:val="21"/>
                <w:color w:val="auto"/>
              </w:rPr>
            </w:pPr>
          </w:p>
        </w:tc>
        <w:tc>
          <w:tcPr>
            <w:tcW w:w="5980" w:type="dxa"/>
            <w:vAlign w:val="bottom"/>
          </w:tcPr>
          <w:p>
            <w:pPr>
              <w:ind w:left="320"/>
              <w:spacing w:after="0" w:line="243" w:lineRule="exact"/>
              <w:rPr>
                <w:sz w:val="20"/>
                <w:szCs w:val="20"/>
                <w:color w:val="auto"/>
              </w:rPr>
            </w:pPr>
            <w:r>
              <w:rPr>
                <w:rFonts w:ascii="Arial" w:cs="Arial" w:eastAsia="Arial" w:hAnsi="Arial"/>
                <w:sz w:val="22"/>
                <w:szCs w:val="22"/>
                <w:color w:val="auto"/>
              </w:rPr>
              <w:t>Attn: Anuj Aggarwal, CFO</w:t>
            </w:r>
          </w:p>
        </w:tc>
      </w:tr>
      <w:tr>
        <w:trPr>
          <w:trHeight w:val="274"/>
        </w:trPr>
        <w:tc>
          <w:tcPr>
            <w:tcW w:w="2940" w:type="dxa"/>
            <w:vAlign w:val="bottom"/>
          </w:tcPr>
          <w:p>
            <w:pPr>
              <w:spacing w:after="0"/>
              <w:rPr>
                <w:sz w:val="23"/>
                <w:szCs w:val="23"/>
                <w:color w:val="auto"/>
              </w:rPr>
            </w:pPr>
          </w:p>
        </w:tc>
        <w:tc>
          <w:tcPr>
            <w:tcW w:w="5980" w:type="dxa"/>
            <w:vAlign w:val="bottom"/>
          </w:tcPr>
          <w:p>
            <w:pPr>
              <w:ind w:left="320"/>
              <w:spacing w:after="0"/>
              <w:rPr>
                <w:sz w:val="20"/>
                <w:szCs w:val="20"/>
                <w:color w:val="auto"/>
              </w:rPr>
            </w:pPr>
            <w:r>
              <w:rPr>
                <w:rFonts w:ascii="Arial" w:cs="Arial" w:eastAsia="Arial" w:hAnsi="Arial"/>
                <w:sz w:val="22"/>
                <w:szCs w:val="22"/>
                <w:color w:val="auto"/>
              </w:rPr>
              <w:t>Email: anuj.aggarwal@everspin.com</w:t>
            </w:r>
          </w:p>
        </w:tc>
      </w:tr>
      <w:tr>
        <w:trPr>
          <w:trHeight w:val="766"/>
        </w:trPr>
        <w:tc>
          <w:tcPr>
            <w:tcW w:w="294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58" w:name="page59"/>
    <w:bookmarkEnd w:id="58"/>
    <w:p>
      <w:pPr>
        <w:ind w:left="1340"/>
        <w:spacing w:after="0"/>
        <w:tabs>
          <w:tab w:leader="none" w:pos="206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b w:val="1"/>
          <w:bCs w:val="1"/>
          <w:color w:val="auto"/>
        </w:rPr>
        <w:t>Section 13 (Definitions).</w:t>
      </w:r>
    </w:p>
    <w:p>
      <w:pPr>
        <w:spacing w:after="0" w:line="207" w:lineRule="exact"/>
        <w:rPr>
          <w:sz w:val="20"/>
          <w:szCs w:val="20"/>
          <w:color w:val="auto"/>
        </w:rPr>
      </w:pPr>
    </w:p>
    <w:p>
      <w:pPr>
        <w:ind w:left="60" w:right="59" w:firstLine="1286"/>
        <w:spacing w:after="0" w:line="256" w:lineRule="auto"/>
        <w:tabs>
          <w:tab w:leader="none" w:pos="20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Clause (z) of the definition of “</w:t>
      </w:r>
      <w:r>
        <w:rPr>
          <w:rFonts w:ascii="Arial" w:cs="Arial" w:eastAsia="Arial" w:hAnsi="Arial"/>
          <w:sz w:val="22"/>
          <w:szCs w:val="22"/>
          <w:b w:val="1"/>
          <w:bCs w:val="1"/>
          <w:color w:val="auto"/>
        </w:rPr>
        <w:t>Eligible Accounts</w:t>
      </w:r>
      <w:r>
        <w:rPr>
          <w:rFonts w:ascii="Arial" w:cs="Arial" w:eastAsia="Arial" w:hAnsi="Arial"/>
          <w:sz w:val="22"/>
          <w:szCs w:val="22"/>
          <w:color w:val="auto"/>
        </w:rPr>
        <w:t>” in Section 13.1 of the Loan Agreement is hereby amended in its entirety and replaced with the following:</w:t>
      </w:r>
    </w:p>
    <w:p>
      <w:pPr>
        <w:spacing w:after="0" w:line="168" w:lineRule="exact"/>
        <w:rPr>
          <w:rFonts w:ascii="Arial" w:cs="Arial" w:eastAsia="Arial" w:hAnsi="Arial"/>
          <w:sz w:val="22"/>
          <w:szCs w:val="22"/>
          <w:color w:val="auto"/>
        </w:rPr>
      </w:pPr>
    </w:p>
    <w:p>
      <w:pPr>
        <w:jc w:val="both"/>
        <w:ind w:left="700" w:right="59" w:firstLine="1294"/>
        <w:spacing w:after="0" w:line="287" w:lineRule="auto"/>
        <w:tabs>
          <w:tab w:leader="none" w:pos="2838" w:val="left"/>
        </w:tabs>
        <w:numPr>
          <w:ilvl w:val="1"/>
          <w:numId w:val="30"/>
        </w:numPr>
        <w:rPr>
          <w:rFonts w:ascii="Arial" w:cs="Arial" w:eastAsia="Arial" w:hAnsi="Arial"/>
          <w:sz w:val="19"/>
          <w:szCs w:val="19"/>
          <w:color w:val="auto"/>
        </w:rPr>
      </w:pPr>
      <w:r>
        <w:rPr>
          <w:rFonts w:ascii="Arial" w:cs="Arial" w:eastAsia="Arial" w:hAnsi="Arial"/>
          <w:sz w:val="19"/>
          <w:szCs w:val="19"/>
          <w:color w:val="auto"/>
        </w:rPr>
        <w:t>Accounts owing from an Account Debtor, whose total obligations to Borrower exceed twenty-five percent (25%) of all Accounts, except for Celestica Shared Service Centre and Metatech Limited, for which such percentage is thirty-five percent (35%) for the amounts that exceed that percentage, unless Bank approves in writing; and</w:t>
      </w:r>
    </w:p>
    <w:p>
      <w:pPr>
        <w:spacing w:after="0" w:line="142" w:lineRule="exact"/>
        <w:rPr>
          <w:rFonts w:ascii="Arial" w:cs="Arial" w:eastAsia="Arial" w:hAnsi="Arial"/>
          <w:sz w:val="19"/>
          <w:szCs w:val="19"/>
          <w:color w:val="auto"/>
        </w:rPr>
      </w:pPr>
    </w:p>
    <w:p>
      <w:pPr>
        <w:ind w:left="60" w:right="59" w:firstLine="1286"/>
        <w:spacing w:after="0" w:line="250" w:lineRule="auto"/>
        <w:tabs>
          <w:tab w:leader="none" w:pos="20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following term and its definition set forth in Section 13.1 of the Loan Agreement is hereby amended in its entirety and replaced with the following: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“Revolving Line Maturity Date” </w:t>
      </w:r>
      <w:r>
        <w:rPr>
          <w:rFonts w:ascii="Arial" w:cs="Arial" w:eastAsia="Arial" w:hAnsi="Arial"/>
          <w:sz w:val="22"/>
          <w:szCs w:val="22"/>
          <w:color w:val="auto"/>
        </w:rPr>
        <w:t>is August 5, 2022.</w:t>
      </w:r>
    </w:p>
    <w:p>
      <w:pPr>
        <w:spacing w:after="0" w:line="206" w:lineRule="exact"/>
        <w:rPr>
          <w:sz w:val="20"/>
          <w:szCs w:val="20"/>
          <w:color w:val="auto"/>
        </w:rPr>
      </w:pPr>
    </w:p>
    <w:p>
      <w:pPr>
        <w:ind w:left="1440" w:hanging="742"/>
        <w:spacing w:after="0"/>
        <w:tabs>
          <w:tab w:leader="none" w:pos="14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r>
        <w:rPr>
          <w:rFonts w:ascii="Arial" w:cs="Arial" w:eastAsia="Arial" w:hAnsi="Arial"/>
          <w:sz w:val="22"/>
          <w:szCs w:val="22"/>
          <w:color w:val="auto"/>
        </w:rPr>
        <w:t>.</w:t>
      </w:r>
    </w:p>
    <w:p>
      <w:pPr>
        <w:spacing w:after="0" w:line="206" w:lineRule="exact"/>
        <w:rPr>
          <w:sz w:val="20"/>
          <w:szCs w:val="20"/>
          <w:color w:val="auto"/>
        </w:rPr>
      </w:pPr>
    </w:p>
    <w:p>
      <w:pPr>
        <w:jc w:val="both"/>
        <w:ind w:left="60" w:right="59" w:firstLine="1296"/>
        <w:spacing w:after="0" w:line="237"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is effective for the purposes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82" w:lineRule="exact"/>
        <w:rPr>
          <w:sz w:val="20"/>
          <w:szCs w:val="20"/>
          <w:color w:val="auto"/>
        </w:rPr>
      </w:pPr>
    </w:p>
    <w:p>
      <w:pPr>
        <w:jc w:val="both"/>
        <w:ind w:left="60" w:right="59" w:firstLine="1296"/>
        <w:spacing w:after="0" w:line="239"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and all terms, conditions, representations, warranties, covenants and agreements set forth in the Loan Documents, except as herein amended, are hereby ratified and confirmed and shall remain in full force and effect.</w:t>
      </w:r>
    </w:p>
    <w:p>
      <w:pPr>
        <w:spacing w:after="0" w:line="180" w:lineRule="exact"/>
        <w:rPr>
          <w:sz w:val="20"/>
          <w:szCs w:val="20"/>
          <w:color w:val="auto"/>
        </w:rPr>
      </w:pPr>
    </w:p>
    <w:p>
      <w:pPr>
        <w:ind w:left="700"/>
        <w:spacing w:after="0"/>
        <w:tabs>
          <w:tab w:leader="none" w:pos="1420" w:val="left"/>
          <w:tab w:leader="none" w:pos="3320" w:val="left"/>
          <w:tab w:leader="none" w:pos="4100" w:val="left"/>
          <w:tab w:leader="none" w:pos="55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2"/>
          <w:szCs w:val="22"/>
          <w:b w:val="1"/>
          <w:bCs w:val="1"/>
          <w:color w:val="auto"/>
        </w:rPr>
        <w:t>Representations</w:t>
      </w:r>
      <w:r>
        <w:rPr>
          <w:sz w:val="20"/>
          <w:szCs w:val="20"/>
          <w:color w:val="auto"/>
        </w:rPr>
        <w:tab/>
      </w:r>
      <w:r>
        <w:rPr>
          <w:rFonts w:ascii="Arial" w:cs="Arial" w:eastAsia="Arial" w:hAnsi="Arial"/>
          <w:sz w:val="22"/>
          <w:szCs w:val="22"/>
          <w:b w:val="1"/>
          <w:bCs w:val="1"/>
          <w:color w:val="auto"/>
        </w:rPr>
        <w:t>and</w:t>
      </w:r>
      <w:r>
        <w:rPr>
          <w:sz w:val="20"/>
          <w:szCs w:val="20"/>
          <w:color w:val="auto"/>
        </w:rPr>
        <w:tab/>
      </w:r>
      <w:r>
        <w:rPr>
          <w:rFonts w:ascii="Arial" w:cs="Arial" w:eastAsia="Arial" w:hAnsi="Arial"/>
          <w:sz w:val="22"/>
          <w:szCs w:val="22"/>
          <w:b w:val="1"/>
          <w:bCs w:val="1"/>
          <w:color w:val="auto"/>
        </w:rPr>
        <w:t>Warranties.</w:t>
      </w:r>
      <w:r>
        <w:rPr>
          <w:sz w:val="20"/>
          <w:szCs w:val="20"/>
          <w:color w:val="auto"/>
        </w:rPr>
        <w:tab/>
      </w:r>
      <w:r>
        <w:rPr>
          <w:rFonts w:ascii="Arial" w:cs="Arial" w:eastAsia="Arial" w:hAnsi="Arial"/>
          <w:sz w:val="21"/>
          <w:szCs w:val="21"/>
          <w:color w:val="auto"/>
        </w:rPr>
        <w:t>To induce  Bank  to  enter  into  this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22"/>
          <w:szCs w:val="22"/>
          <w:color w:val="auto"/>
        </w:rPr>
        <w:t>Amendment, Borrower hereby represents and warrants to Bank as follows:</w:t>
      </w:r>
    </w:p>
    <w:p>
      <w:pPr>
        <w:spacing w:after="0" w:line="182" w:lineRule="exact"/>
        <w:rPr>
          <w:sz w:val="20"/>
          <w:szCs w:val="20"/>
          <w:color w:val="auto"/>
        </w:rPr>
      </w:pPr>
    </w:p>
    <w:p>
      <w:pPr>
        <w:jc w:val="both"/>
        <w:ind w:left="60" w:right="59" w:firstLine="1296"/>
        <w:spacing w:after="0" w:line="237"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82" w:lineRule="exact"/>
        <w:rPr>
          <w:sz w:val="20"/>
          <w:szCs w:val="20"/>
          <w:color w:val="auto"/>
        </w:rPr>
      </w:pPr>
    </w:p>
    <w:p>
      <w:pPr>
        <w:jc w:val="both"/>
        <w:ind w:left="60" w:right="59" w:firstLine="1296"/>
        <w:spacing w:after="0" w:line="280" w:lineRule="auto"/>
        <w:rPr>
          <w:sz w:val="20"/>
          <w:szCs w:val="20"/>
          <w:color w:val="auto"/>
        </w:rPr>
      </w:pPr>
      <w:r>
        <w:rPr>
          <w:rFonts w:ascii="Arial" w:cs="Arial" w:eastAsia="Arial" w:hAnsi="Arial"/>
          <w:sz w:val="21"/>
          <w:szCs w:val="21"/>
          <w:b w:val="1"/>
          <w:bCs w:val="1"/>
          <w:color w:val="auto"/>
        </w:rPr>
        <w:t xml:space="preserve">4.2 </w:t>
      </w:r>
      <w:r>
        <w:rPr>
          <w:rFonts w:ascii="Arial" w:cs="Arial" w:eastAsia="Arial" w:hAnsi="Arial"/>
          <w:sz w:val="21"/>
          <w:szCs w:val="21"/>
          <w:color w:val="auto"/>
        </w:rPr>
        <w:t>Borrower has the power and authority to execute and deliver this Amendment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to perform its obligations under the Loan Agreement, as amended by this Amendment;</w:t>
      </w:r>
    </w:p>
    <w:p>
      <w:pPr>
        <w:spacing w:after="0" w:line="139" w:lineRule="exact"/>
        <w:rPr>
          <w:sz w:val="20"/>
          <w:szCs w:val="20"/>
          <w:color w:val="auto"/>
        </w:rPr>
      </w:pPr>
    </w:p>
    <w:p>
      <w:pPr>
        <w:jc w:val="both"/>
        <w:ind w:left="60" w:right="79" w:firstLine="1296"/>
        <w:spacing w:after="0" w:line="243" w:lineRule="auto"/>
        <w:rPr>
          <w:sz w:val="20"/>
          <w:szCs w:val="20"/>
          <w:color w:val="auto"/>
        </w:rPr>
      </w:pPr>
      <w:r>
        <w:rPr>
          <w:rFonts w:ascii="Arial" w:cs="Arial" w:eastAsia="Arial" w:hAnsi="Arial"/>
          <w:sz w:val="22"/>
          <w:szCs w:val="22"/>
          <w:b w:val="1"/>
          <w:bCs w:val="1"/>
          <w:color w:val="auto"/>
        </w:rPr>
        <w:t xml:space="preserve">4.3 </w:t>
      </w:r>
      <w:r>
        <w:rPr>
          <w:rFonts w:ascii="Arial" w:cs="Arial" w:eastAsia="Arial" w:hAnsi="Arial"/>
          <w:sz w:val="22"/>
          <w:szCs w:val="22"/>
          <w:color w:val="auto"/>
        </w:rPr>
        <w:t>The organizational documents of Borrower delivered to Bank on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Date remain true, accurate and complete and have not been amended, supplemented or restated and are and continue to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9" w:name="page60"/>
    <w:bookmarkEnd w:id="59"/>
    <w:p>
      <w:pPr>
        <w:jc w:val="both"/>
        <w:ind w:left="60" w:right="59" w:firstLine="1296"/>
        <w:spacing w:after="0" w:line="243"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have been duly authorized;</w:t>
      </w:r>
    </w:p>
    <w:p>
      <w:pPr>
        <w:spacing w:after="0" w:line="177" w:lineRule="exact"/>
        <w:rPr>
          <w:sz w:val="20"/>
          <w:szCs w:val="20"/>
          <w:color w:val="auto"/>
        </w:rPr>
      </w:pPr>
    </w:p>
    <w:p>
      <w:pPr>
        <w:jc w:val="both"/>
        <w:ind w:left="60" w:right="59" w:firstLine="1296"/>
        <w:spacing w:after="0" w:line="236"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2" w:lineRule="exact"/>
        <w:rPr>
          <w:sz w:val="20"/>
          <w:szCs w:val="20"/>
          <w:color w:val="auto"/>
        </w:rPr>
      </w:pPr>
    </w:p>
    <w:p>
      <w:pPr>
        <w:jc w:val="both"/>
        <w:ind w:left="60" w:right="59" w:firstLine="1296"/>
        <w:spacing w:after="0" w:line="283" w:lineRule="auto"/>
        <w:rPr>
          <w:sz w:val="20"/>
          <w:szCs w:val="20"/>
          <w:color w:val="auto"/>
        </w:rPr>
      </w:pPr>
      <w:r>
        <w:rPr>
          <w:rFonts w:ascii="Arial" w:cs="Arial" w:eastAsia="Arial" w:hAnsi="Arial"/>
          <w:sz w:val="19"/>
          <w:szCs w:val="19"/>
          <w:b w:val="1"/>
          <w:bCs w:val="1"/>
          <w:color w:val="auto"/>
        </w:rPr>
        <w:t xml:space="preserve">4.6 </w:t>
      </w:r>
      <w:r>
        <w:rPr>
          <w:rFonts w:ascii="Arial" w:cs="Arial" w:eastAsia="Arial" w:hAnsi="Arial"/>
          <w:sz w:val="19"/>
          <w:szCs w:val="19"/>
          <w:color w:val="auto"/>
        </w:rPr>
        <w:t>The execution and delivery by Borrower of this Amendment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43" w:lineRule="exact"/>
        <w:rPr>
          <w:sz w:val="20"/>
          <w:szCs w:val="20"/>
          <w:color w:val="auto"/>
        </w:rPr>
      </w:pPr>
    </w:p>
    <w:p>
      <w:pPr>
        <w:jc w:val="both"/>
        <w:ind w:left="60" w:right="59" w:firstLine="1296"/>
        <w:spacing w:after="0" w:line="237"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w:t>
      </w:r>
      <w:r>
        <w:rPr>
          <w:rFonts w:ascii="Arial" w:cs="Arial" w:eastAsia="Arial" w:hAnsi="Arial"/>
          <w:sz w:val="22"/>
          <w:szCs w:val="22"/>
          <w:b w:val="1"/>
          <w:bCs w:val="1"/>
          <w:color w:val="auto"/>
        </w:rPr>
        <w:t xml:space="preserve"> </w:t>
      </w:r>
      <w:r>
        <w:rPr>
          <w:rFonts w:ascii="Arial" w:cs="Arial" w:eastAsia="Arial" w:hAnsi="Arial"/>
          <w:sz w:val="22"/>
          <w:szCs w:val="22"/>
          <w:color w:val="auto"/>
        </w:rPr>
        <w:t>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2" w:lineRule="exact"/>
        <w:rPr>
          <w:sz w:val="20"/>
          <w:szCs w:val="20"/>
          <w:color w:val="auto"/>
        </w:rPr>
      </w:pPr>
    </w:p>
    <w:p>
      <w:pPr>
        <w:jc w:val="both"/>
        <w:ind w:left="60" w:right="59" w:firstLine="638"/>
        <w:spacing w:after="0" w:line="289" w:lineRule="auto"/>
        <w:tabs>
          <w:tab w:leader="none" w:pos="1447"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 of Perfection Certificate</w:t>
      </w:r>
      <w:r>
        <w:rPr>
          <w:rFonts w:ascii="Arial" w:cs="Arial" w:eastAsia="Arial" w:hAnsi="Arial"/>
          <w:sz w:val="19"/>
          <w:szCs w:val="19"/>
          <w:color w:val="auto"/>
        </w:rPr>
        <w:t>. Borrower hereby ratifies, confirms and</w:t>
      </w:r>
      <w:r>
        <w:rPr>
          <w:rFonts w:ascii="Arial" w:cs="Arial" w:eastAsia="Arial" w:hAnsi="Arial"/>
          <w:sz w:val="19"/>
          <w:szCs w:val="19"/>
          <w:b w:val="1"/>
          <w:bCs w:val="1"/>
          <w:color w:val="auto"/>
        </w:rPr>
        <w:t xml:space="preserve"> </w:t>
      </w:r>
      <w:r>
        <w:rPr>
          <w:rFonts w:ascii="Arial" w:cs="Arial" w:eastAsia="Arial" w:hAnsi="Arial"/>
          <w:sz w:val="19"/>
          <w:szCs w:val="19"/>
          <w:color w:val="auto"/>
        </w:rPr>
        <w:t>reaffirms, all and singular, the terms and disclosures contained in a certain Perfection Certificate dated as of August 5, 2019, and acknowledges, confirms and agrees that the disclosures and information Borrower provided to Bank in such Perfection Certificate have not changed, as of the date hereof.</w:t>
      </w:r>
    </w:p>
    <w:p>
      <w:pPr>
        <w:spacing w:after="0" w:line="135" w:lineRule="exact"/>
        <w:rPr>
          <w:rFonts w:ascii="Arial" w:cs="Arial" w:eastAsia="Arial" w:hAnsi="Arial"/>
          <w:sz w:val="19"/>
          <w:szCs w:val="19"/>
          <w:b w:val="1"/>
          <w:bCs w:val="1"/>
          <w:color w:val="auto"/>
        </w:rPr>
      </w:pPr>
    </w:p>
    <w:p>
      <w:pPr>
        <w:jc w:val="both"/>
        <w:ind w:left="60" w:right="59" w:firstLine="638"/>
        <w:spacing w:after="0" w:line="237" w:lineRule="auto"/>
        <w:tabs>
          <w:tab w:leader="none" w:pos="1447"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Reaffirmation of Obligations</w:t>
      </w:r>
      <w:r>
        <w:rPr>
          <w:rFonts w:ascii="Arial" w:cs="Arial" w:eastAsia="Arial" w:hAnsi="Arial"/>
          <w:sz w:val="22"/>
          <w:szCs w:val="22"/>
          <w:color w:val="auto"/>
        </w:rPr>
        <w:t>. Borrower (a) ratifies, confirms, and reaffirms the</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and (b) acknowledges and agrees that (i) the Loan Agreement and each of the other Loan Documents remain in full force and effect in accordance with the original terms, except as expressly modified hereby and (ii) the Loan Agreement and the other Loan Documents shall continue to secure all Obligations as stated therein.</w:t>
      </w:r>
    </w:p>
    <w:p>
      <w:pPr>
        <w:spacing w:after="0" w:line="181" w:lineRule="exact"/>
        <w:rPr>
          <w:rFonts w:ascii="Arial" w:cs="Arial" w:eastAsia="Arial" w:hAnsi="Arial"/>
          <w:sz w:val="22"/>
          <w:szCs w:val="22"/>
          <w:b w:val="1"/>
          <w:bCs w:val="1"/>
          <w:color w:val="auto"/>
        </w:rPr>
      </w:pPr>
    </w:p>
    <w:p>
      <w:pPr>
        <w:jc w:val="both"/>
        <w:ind w:left="60" w:right="59" w:firstLine="638"/>
        <w:spacing w:after="0" w:line="278" w:lineRule="auto"/>
        <w:tabs>
          <w:tab w:leader="none" w:pos="1447"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Reaffirmation of Security Interest in the Collateral</w:t>
      </w:r>
      <w:r>
        <w:rPr>
          <w:rFonts w:ascii="Arial" w:cs="Arial" w:eastAsia="Arial" w:hAnsi="Arial"/>
          <w:sz w:val="19"/>
          <w:szCs w:val="19"/>
          <w:color w:val="auto"/>
        </w:rPr>
        <w:t>. Borrower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(a) the security interests and Liens in the Collateral granted by Borrower under the Loan Agreement and the other Loan Documents shall remain in place, unimpaired by the transactions contemplated by this Amendment, and Bank’s priority with respect thereto shall not be affected hereby or thereby and (b) the Loan Agreement and the other Loan Documents shall continue to secure all Obligations as set forth therein. Nothing in this Amendment is intended to impair or limit the validity, priority or extent of Bank’s security interests in and Liens upon the Collateral.</w:t>
      </w:r>
    </w:p>
    <w:p>
      <w:pPr>
        <w:spacing w:after="0" w:line="145" w:lineRule="exact"/>
        <w:rPr>
          <w:rFonts w:ascii="Arial" w:cs="Arial" w:eastAsia="Arial" w:hAnsi="Arial"/>
          <w:sz w:val="19"/>
          <w:szCs w:val="19"/>
          <w:b w:val="1"/>
          <w:bCs w:val="1"/>
          <w:color w:val="auto"/>
        </w:rPr>
      </w:pPr>
    </w:p>
    <w:p>
      <w:pPr>
        <w:ind w:left="60" w:right="59" w:firstLine="638"/>
        <w:spacing w:after="0" w:line="280" w:lineRule="auto"/>
        <w:tabs>
          <w:tab w:leader="none" w:pos="1447"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Integration</w:t>
      </w:r>
      <w:r>
        <w:rPr>
          <w:rFonts w:ascii="Arial" w:cs="Arial" w:eastAsia="Arial" w:hAnsi="Arial"/>
          <w:sz w:val="21"/>
          <w:szCs w:val="21"/>
          <w:color w:val="auto"/>
        </w:rPr>
        <w:t>. This Amendment and the Loan Documents represent the entire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about this subject matter and supersede prior negotiations or agreements. All prior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0" w:name="page61"/>
    <w:bookmarkEnd w:id="60"/>
    <w:p>
      <w:pPr>
        <w:jc w:val="both"/>
        <w:ind w:left="60" w:right="59"/>
        <w:spacing w:after="0" w:line="241" w:lineRule="auto"/>
        <w:rPr>
          <w:sz w:val="20"/>
          <w:szCs w:val="20"/>
          <w:color w:val="auto"/>
        </w:rPr>
      </w:pPr>
      <w:r>
        <w:rPr>
          <w:rFonts w:ascii="Arial" w:cs="Arial" w:eastAsia="Arial" w:hAnsi="Arial"/>
          <w:sz w:val="22"/>
          <w:szCs w:val="22"/>
          <w:color w:val="auto"/>
        </w:rPr>
        <w:t>agreements, understandings, representations, warranties, and negotiations between the parties about the subject matter of this Amendment and the Loan Documents merge into this Amendment and the Loan Documents.</w:t>
      </w:r>
    </w:p>
    <w:p>
      <w:pPr>
        <w:spacing w:after="0" w:line="178" w:lineRule="exact"/>
        <w:rPr>
          <w:sz w:val="20"/>
          <w:szCs w:val="20"/>
          <w:color w:val="auto"/>
        </w:rPr>
      </w:pPr>
    </w:p>
    <w:p>
      <w:pPr>
        <w:ind w:left="60" w:right="59" w:firstLine="638"/>
        <w:spacing w:after="0" w:line="334" w:lineRule="auto"/>
        <w:tabs>
          <w:tab w:leader="none" w:pos="1447"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Amendment may be executed in any number of counterparts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of such counterparts taken together shall be deemed to constitute one and the same instrument.</w:t>
      </w:r>
    </w:p>
    <w:p>
      <w:pPr>
        <w:spacing w:after="0" w:line="93" w:lineRule="exact"/>
        <w:rPr>
          <w:rFonts w:ascii="Arial" w:cs="Arial" w:eastAsia="Arial" w:hAnsi="Arial"/>
          <w:sz w:val="19"/>
          <w:szCs w:val="19"/>
          <w:b w:val="1"/>
          <w:bCs w:val="1"/>
          <w:color w:val="auto"/>
        </w:rPr>
      </w:pPr>
    </w:p>
    <w:p>
      <w:pPr>
        <w:jc w:val="both"/>
        <w:ind w:left="60" w:right="59" w:firstLine="638"/>
        <w:spacing w:after="0" w:line="275" w:lineRule="auto"/>
        <w:tabs>
          <w:tab w:leader="none" w:pos="1447"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Effectiveness</w:t>
      </w:r>
      <w:r>
        <w:rPr>
          <w:rFonts w:ascii="Arial" w:cs="Arial" w:eastAsia="Arial" w:hAnsi="Arial"/>
          <w:sz w:val="19"/>
          <w:szCs w:val="19"/>
          <w:color w:val="auto"/>
        </w:rPr>
        <w:t>. This Amendment shall be deemed effective upon (a) the due execution</w:t>
      </w:r>
      <w:r>
        <w:rPr>
          <w:rFonts w:ascii="Arial" w:cs="Arial" w:eastAsia="Arial" w:hAnsi="Arial"/>
          <w:sz w:val="19"/>
          <w:szCs w:val="19"/>
          <w:b w:val="1"/>
          <w:bCs w:val="1"/>
          <w:color w:val="auto"/>
        </w:rPr>
        <w:t xml:space="preserve"> </w:t>
      </w:r>
      <w:r>
        <w:rPr>
          <w:rFonts w:ascii="Arial" w:cs="Arial" w:eastAsia="Arial" w:hAnsi="Arial"/>
          <w:sz w:val="19"/>
          <w:szCs w:val="19"/>
          <w:color w:val="auto"/>
        </w:rPr>
        <w:t>and delivery to Bank of this Amendment by each party hereto, (b) Borrower’s delivery to Bank of a certificate duly executed by a Responsible Officer or secretary of Borrower with respect to Borrower</w:t>
      </w:r>
    </w:p>
    <w:p>
      <w:pPr>
        <w:spacing w:after="0" w:line="1" w:lineRule="exact"/>
        <w:rPr>
          <w:rFonts w:ascii="Arial" w:cs="Arial" w:eastAsia="Arial" w:hAnsi="Arial"/>
          <w:sz w:val="19"/>
          <w:szCs w:val="19"/>
          <w:b w:val="1"/>
          <w:bCs w:val="1"/>
          <w:color w:val="auto"/>
        </w:rPr>
      </w:pPr>
    </w:p>
    <w:p>
      <w:pPr>
        <w:jc w:val="both"/>
        <w:ind w:left="60" w:right="59" w:hanging="10"/>
        <w:spacing w:after="0" w:line="233" w:lineRule="auto"/>
        <w:tabs>
          <w:tab w:leader="none" w:pos="3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Operating Documents and (ii) Borrowing Resolutions, (c) Borrower’s payment of a fully-earned, nonrefundable amendment fee in an amount equal to Ten Thousand Dollars ($10,000) and (d) payment of Bank’s legal fees and expenses in connection with the negotiation and preparation of this Amendment.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1" w:name="page62"/>
    <w:bookmarkEnd w:id="61"/>
    <w:p>
      <w:pPr>
        <w:ind w:left="60" w:right="59" w:firstLine="648"/>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7"/>
          <w:szCs w:val="17"/>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and delivered as of the date first written above.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color w:val="auto"/>
        </w:rPr>
        <w:t>EVERSPIN TECHNOLOGIES, INC.</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By: /s/ 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6985</wp:posOffset>
            </wp:positionV>
            <wp:extent cx="19113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2"/>
          <w:szCs w:val="22"/>
          <w:color w:val="auto"/>
        </w:rPr>
        <w:t>Anuj Aggarwal</w:t>
      </w:r>
    </w:p>
    <w:p>
      <w:pPr>
        <w:ind w:left="420"/>
        <w:spacing w:after="0"/>
        <w:rPr>
          <w:sz w:val="20"/>
          <w:szCs w:val="20"/>
          <w:color w:val="auto"/>
        </w:rPr>
      </w:pPr>
      <w:r>
        <w:rPr>
          <w:rFonts w:ascii="Arial" w:cs="Arial" w:eastAsia="Arial" w:hAnsi="Arial"/>
          <w:sz w:val="22"/>
          <w:szCs w:val="22"/>
          <w:color w:val="auto"/>
        </w:rPr>
        <w:t>CFO</w:t>
      </w:r>
    </w:p>
    <w:p>
      <w:pPr>
        <w:spacing w:after="0" w:line="39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color w:val="auto"/>
        </w:rPr>
        <w:t>SILICON VALLEY BANK</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By: /s/ Brian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6985</wp:posOffset>
            </wp:positionV>
            <wp:extent cx="19113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22"/>
          <w:szCs w:val="22"/>
          <w:color w:val="auto"/>
        </w:rPr>
        <w:t>Brian Brown</w:t>
      </w:r>
    </w:p>
    <w:p>
      <w:pPr>
        <w:ind w:left="420"/>
        <w:spacing w:after="0"/>
        <w:rPr>
          <w:sz w:val="20"/>
          <w:szCs w:val="20"/>
          <w:color w:val="auto"/>
        </w:rPr>
      </w:pPr>
      <w:r>
        <w:rPr>
          <w:rFonts w:ascii="Arial" w:cs="Arial" w:eastAsia="Arial" w:hAnsi="Arial"/>
          <w:sz w:val="22"/>
          <w:szCs w:val="22"/>
          <w:color w:val="auto"/>
        </w:rPr>
        <w:t>Managing Director</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Second Amendment to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509270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2" w:right="1440" w:bottom="1440" w:gutter="0" w:footer="0" w:header="0"/>
        </w:sectPr>
      </w:pPr>
    </w:p>
    <w:bookmarkStart w:id="62" w:name="page63"/>
    <w:bookmarkEnd w:id="62"/>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Darin Billerbeck, certify that:</w:t>
      </w:r>
    </w:p>
    <w:p>
      <w:pPr>
        <w:spacing w:after="0" w:line="198" w:lineRule="exact"/>
        <w:rPr>
          <w:sz w:val="20"/>
          <w:szCs w:val="20"/>
          <w:color w:val="auto"/>
        </w:rPr>
      </w:pPr>
    </w:p>
    <w:p>
      <w:pPr>
        <w:ind w:left="380" w:hanging="330"/>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jc w:val="both"/>
        <w:ind w:left="380" w:right="11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80" w:right="7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80" w:right="239" w:hanging="330"/>
        <w:spacing w:after="0" w:line="270" w:lineRule="auto"/>
        <w:tabs>
          <w:tab w:leader="none" w:pos="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jc w:val="both"/>
        <w:ind w:left="380" w:right="59" w:hanging="6"/>
        <w:spacing w:after="0" w:line="243" w:lineRule="auto"/>
        <w:tabs>
          <w:tab w:leader="none" w:pos="66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380" w:right="59" w:hanging="6"/>
        <w:spacing w:after="0" w:line="243" w:lineRule="auto"/>
        <w:tabs>
          <w:tab w:leader="none" w:pos="64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380" w:right="59" w:hanging="6"/>
        <w:spacing w:after="0" w:line="248" w:lineRule="auto"/>
        <w:tabs>
          <w:tab w:leader="none" w:pos="641"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380" w:right="59" w:hanging="6"/>
        <w:spacing w:after="0" w:line="243" w:lineRule="auto"/>
        <w:tabs>
          <w:tab w:leader="none" w:pos="6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80" w:right="319" w:hanging="330"/>
        <w:spacing w:after="0" w:line="248" w:lineRule="auto"/>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380" w:right="59" w:hanging="6"/>
        <w:spacing w:after="0" w:line="248" w:lineRule="auto"/>
        <w:tabs>
          <w:tab w:leader="none" w:pos="6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380" w:right="79" w:hanging="6"/>
        <w:spacing w:after="0" w:line="261"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12, 2021</w:t>
      </w:r>
    </w:p>
    <w:p>
      <w:pPr>
        <w:spacing w:after="0" w:line="212"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/s/ Darin Billerbeck</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-130175</wp:posOffset>
            </wp:positionV>
            <wp:extent cx="25031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Anuj Aggarwal, certify that:</w:t>
      </w:r>
    </w:p>
    <w:p>
      <w:pPr>
        <w:spacing w:after="0" w:line="198" w:lineRule="exact"/>
        <w:rPr>
          <w:sz w:val="20"/>
          <w:szCs w:val="20"/>
          <w:color w:val="auto"/>
        </w:rPr>
      </w:pPr>
    </w:p>
    <w:p>
      <w:pPr>
        <w:ind w:left="700" w:hanging="32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98" w:lineRule="exact"/>
        <w:rPr>
          <w:rFonts w:ascii="Arial" w:cs="Arial" w:eastAsia="Arial" w:hAnsi="Arial"/>
          <w:sz w:val="18"/>
          <w:szCs w:val="18"/>
          <w:color w:val="auto"/>
        </w:rPr>
      </w:pPr>
    </w:p>
    <w:p>
      <w:pPr>
        <w:ind w:left="700" w:right="299" w:hanging="326"/>
        <w:spacing w:after="0" w:line="24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179" w:hanging="326"/>
        <w:spacing w:after="0" w:line="24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326"/>
        <w:spacing w:after="0" w:line="294" w:lineRule="auto"/>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jc w:val="both"/>
        <w:ind w:left="1020" w:right="79" w:hanging="322"/>
        <w:spacing w:after="0" w:line="24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jc w:val="both"/>
        <w:ind w:left="1020" w:right="79" w:hanging="322"/>
        <w:spacing w:after="0" w:line="243"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99" w:hanging="326"/>
        <w:spacing w:after="0" w:line="248"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jc w:val="both"/>
        <w:ind w:left="1020" w:right="79" w:hanging="322"/>
        <w:spacing w:after="0" w:line="248"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020" w:right="79" w:hanging="322"/>
        <w:spacing w:after="0" w:line="261" w:lineRule="auto"/>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12, 2021</w:t>
      </w: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/s/Anuj Aggarwal</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Anuj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-130175</wp:posOffset>
            </wp:positionV>
            <wp:extent cx="23577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Interim Chief Financial Officer</w:t>
      </w:r>
    </w:p>
    <w:p>
      <w:pPr>
        <w:spacing w:after="0" w:line="11"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4" w:name="page65"/>
    <w:bookmarkEnd w:id="64"/>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16"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Darin Billerbeck, Interim Chief Executive Officer of Everspin Technologies, Inc. (the “Company”), and Anuj Aggarwal, Interim Chief Financial Officer of the Company, each hereby certifies that, to the best of his knowledge:</w:t>
      </w:r>
    </w:p>
    <w:p>
      <w:pPr>
        <w:spacing w:after="0" w:line="172" w:lineRule="exact"/>
        <w:rPr>
          <w:sz w:val="20"/>
          <w:szCs w:val="20"/>
          <w:color w:val="auto"/>
        </w:rPr>
      </w:pPr>
    </w:p>
    <w:p>
      <w:pPr>
        <w:ind w:left="60" w:right="159" w:hanging="10"/>
        <w:spacing w:after="0" w:line="248" w:lineRule="auto"/>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2021, to which this Certification is attached as Exhibit 32.1 (the “Periodic Report”), fully complies with the requirements of Section 13(a) or Section 15(d) of the Exchange Act; and</w:t>
      </w:r>
    </w:p>
    <w:p>
      <w:pPr>
        <w:spacing w:after="0" w:line="181" w:lineRule="exact"/>
        <w:rPr>
          <w:rFonts w:ascii="Arial" w:cs="Arial" w:eastAsia="Arial" w:hAnsi="Arial"/>
          <w:sz w:val="18"/>
          <w:szCs w:val="18"/>
          <w:color w:val="auto"/>
        </w:rPr>
      </w:pPr>
    </w:p>
    <w:p>
      <w:pPr>
        <w:ind w:left="60" w:right="439" w:hanging="10"/>
        <w:spacing w:after="0" w:line="261" w:lineRule="auto"/>
        <w:tabs>
          <w:tab w:leader="none" w:pos="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12, 2021</w:t>
      </w:r>
    </w:p>
    <w:p>
      <w:pPr>
        <w:spacing w:after="0" w:line="21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-121920</wp:posOffset>
            </wp:positionV>
            <wp:extent cx="5648960" cy="12426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5648960" cy="1242695"/>
                    </a:xfrm>
                    <a:prstGeom prst="rect">
                      <a:avLst/>
                    </a:prstGeom>
                    <a:noFill/>
                  </pic:spPr>
                </pic:pic>
              </a:graphicData>
            </a:graphic>
          </wp:anchor>
        </w:drawing>
      </w:r>
    </w:p>
    <w:p>
      <w:pPr>
        <w:spacing w:after="0" w:line="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Interim Chief Executive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Executive Officer)</w:t>
      </w:r>
    </w:p>
    <w:p>
      <w:pPr>
        <w:spacing w:after="0" w:line="19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 Anuj Aggarwal</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Anuj Aggarwal</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(Principal Financial Officer)</w:t>
      </w:r>
    </w:p>
    <w:p>
      <w:pPr>
        <w:spacing w:after="0" w:line="197"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313055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5"/>
    </w:lvl>
  </w:abstractNum>
  <w:abstractNum w:abstractNumId="24">
    <w:nsid w:val="7C3DBD3D"/>
    <w:multiLevelType w:val="hybridMultilevel"/>
    <w:lvl w:ilvl="0">
      <w:lvlJc w:val="left"/>
      <w:lvlText w:val="%1."/>
      <w:numFmt w:val="decimal"/>
      <w:start w:val="6"/>
    </w:lvl>
  </w:abstractNum>
  <w:abstractNum w:abstractNumId="25">
    <w:nsid w:val="737B8DDC"/>
    <w:multiLevelType w:val="hybridMultilevel"/>
    <w:lvl w:ilvl="0">
      <w:lvlJc w:val="left"/>
      <w:lvlText w:val="%1."/>
      <w:numFmt w:val="decimal"/>
      <w:start w:val="12"/>
    </w:lvl>
    <w:lvl w:ilvl="1">
      <w:lvlJc w:val="left"/>
      <w:lvlText w:val="%2."/>
      <w:numFmt w:val="decimal"/>
      <w:start w:val="1"/>
    </w:lvl>
  </w:abstractNum>
  <w:abstractNum w:abstractNumId="26">
    <w:nsid w:val="6CEAF087"/>
    <w:multiLevelType w:val="hybridMultilevel"/>
    <w:lvl w:ilvl="0">
      <w:lvlJc w:val="left"/>
      <w:lvlText w:val="%1."/>
      <w:numFmt w:val="decimal"/>
      <w:start w:val="2"/>
    </w:lvl>
  </w:abstractNum>
  <w:abstractNum w:abstractNumId="27">
    <w:nsid w:val="22221A70"/>
    <w:multiLevelType w:val="hybridMultilevel"/>
    <w:lvl w:ilvl="0">
      <w:lvlJc w:val="left"/>
      <w:lvlText w:val="%1."/>
      <w:numFmt w:val="upperLetter"/>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lowerLetter"/>
      <w:start w:val="1"/>
    </w:lvl>
    <w:lvl w:ilvl="1">
      <w:lvlJc w:val="left"/>
      <w:lvlText w:val="(%2)"/>
      <w:numFmt w:val="lowerLetter"/>
      <w:start w:val="26"/>
    </w:lvl>
  </w:abstractNum>
  <w:abstractNum w:abstractNumId="30">
    <w:nsid w:val="614FD4A1"/>
    <w:multiLevelType w:val="hybridMultilevel"/>
    <w:lvl w:ilvl="0">
      <w:lvlJc w:val="left"/>
      <w:lvlText w:val="%1."/>
      <w:numFmt w:val="decimal"/>
      <w:start w:val="3"/>
    </w:lvl>
  </w:abstractNum>
  <w:abstractNum w:abstractNumId="31">
    <w:nsid w:val="419AC241"/>
    <w:multiLevelType w:val="hybridMultilevel"/>
    <w:lvl w:ilvl="0">
      <w:lvlJc w:val="left"/>
      <w:lvlText w:val="%1."/>
      <w:numFmt w:val="decimal"/>
      <w:start w:val="5"/>
    </w:lvl>
  </w:abstractNum>
  <w:abstractNum w:abstractNumId="32">
    <w:nsid w:val="5577F8E1"/>
    <w:multiLevelType w:val="hybridMultilevel"/>
    <w:lvl w:ilvl="0">
      <w:lvlJc w:val="left"/>
      <w:lvlText w:val="%1"/>
      <w:numFmt w:val="lowerRoman"/>
      <w:start w:val="1"/>
    </w:lvl>
    <w:lvl w:ilvl="1">
      <w:lvlJc w:val="left"/>
      <w:lvlText w:val="%2."/>
      <w:numFmt w:val="decimal"/>
      <w:start w:val="9"/>
    </w:lvl>
  </w:abstractNum>
  <w:abstractNum w:abstractNumId="33">
    <w:nsid w:val="440BADFC"/>
    <w:multiLevelType w:val="hybridMultilevel"/>
    <w:lvl w:ilvl="0">
      <w:lvlJc w:val="left"/>
      <w:lvlText w:val="(%1)"/>
      <w:numFmt w:val="lowerRoman"/>
      <w:start w:val="1"/>
    </w:lvl>
    <w:lvl w:ilvl="1">
      <w:lvlJc w:val="left"/>
      <w:lvlText w:val="%2"/>
      <w:numFmt w:val="decimal"/>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jpe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69" Type="http://schemas.openxmlformats.org/officeDocument/2006/relationships/hyperlink" Target="http://www.sec.gov/Archives/edgar/data/1438423/000119312516737688/d271840dex31.htm" TargetMode="External"/><Relationship Id="rId70" Type="http://schemas.openxmlformats.org/officeDocument/2006/relationships/hyperlink" Target="http://www.sec.gov/Archives/edgar/data/1438423/000119312519154165/d752899dex31.htm" TargetMode="External"/><Relationship Id="rId71" Type="http://schemas.openxmlformats.org/officeDocument/2006/relationships/hyperlink" Target="https://www.sec.gov/Archives/edgar/data/1438423/000119312520153247/d936625dex31.htm" TargetMode="External"/><Relationship Id="rId72" Type="http://schemas.openxmlformats.org/officeDocument/2006/relationships/hyperlink" Target="https://www.sec.gov/Archives/edgar/data/1438423/000119312519154165/d752899dex32.htm" TargetMode="External"/><Relationship Id="rId73" Type="http://schemas.openxmlformats.org/officeDocument/2006/relationships/hyperlink" Target="https://www.sec.gov/Archives/edgar/data/1438423/000110465921071785/tm2117465d1_10-1.htm" TargetMode="External"/><Relationship Id="rId74" Type="http://schemas.openxmlformats.org/officeDocument/2006/relationships/hyperlink" Target="https://www.sec.gov/Archives/edgar/data/1438423/000110465921094559/tm2122756d1_ex10-1.htm" TargetMode="External"/><Relationship Id="rId75" Type="http://schemas.openxmlformats.org/officeDocument/2006/relationships/hyperlink" Target="https://www.sec.gov/Archives/edgar/data/1438423/000110465921094559/tm212275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2021-08-12T16:58:21Z</dcterms:created>
  <dcterms:modified xsi:type="dcterms:W3CDTF">2021-08-12T16:58:21Z</dcterms:modified>
</cp:coreProperties>
</file>