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133350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3"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48"/>
        </w:trPr>
        <w:tc>
          <w:tcPr>
            <w:tcW w:w="19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5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1540" w:type="dxa"/>
            <w:vAlign w:val="bottom"/>
          </w:tcPr>
          <w:p>
            <w:pPr>
              <w:spacing w:after="0"/>
              <w:rPr>
                <w:sz w:val="19"/>
                <w:szCs w:val="19"/>
                <w:color w:val="auto"/>
              </w:rPr>
            </w:pPr>
          </w:p>
        </w:tc>
      </w:tr>
      <w:tr>
        <w:trPr>
          <w:trHeight w:val="149"/>
        </w:trPr>
        <w:tc>
          <w:tcPr>
            <w:tcW w:w="1940" w:type="dxa"/>
            <w:vAlign w:val="bottom"/>
          </w:tcPr>
          <w:p>
            <w:pPr>
              <w:spacing w:after="0"/>
              <w:rPr>
                <w:sz w:val="12"/>
                <w:szCs w:val="12"/>
                <w:color w:val="auto"/>
              </w:rPr>
            </w:pPr>
          </w:p>
        </w:tc>
        <w:tc>
          <w:tcPr>
            <w:tcW w:w="45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Suite 130</w:t>
            </w:r>
          </w:p>
        </w:tc>
        <w:tc>
          <w:tcPr>
            <w:tcW w:w="1540" w:type="dxa"/>
            <w:vAlign w:val="bottom"/>
          </w:tcPr>
          <w:p>
            <w:pPr>
              <w:spacing w:after="0"/>
              <w:rPr>
                <w:sz w:val="12"/>
                <w:szCs w:val="12"/>
                <w:color w:val="auto"/>
              </w:rPr>
            </w:pPr>
          </w:p>
        </w:tc>
      </w:tr>
      <w:tr>
        <w:trPr>
          <w:trHeight w:val="148"/>
        </w:trPr>
        <w:tc>
          <w:tcPr>
            <w:tcW w:w="1940" w:type="dxa"/>
            <w:vAlign w:val="bottom"/>
          </w:tcPr>
          <w:p>
            <w:pPr>
              <w:spacing w:after="0"/>
              <w:rPr>
                <w:sz w:val="12"/>
                <w:szCs w:val="12"/>
                <w:color w:val="auto"/>
              </w:rPr>
            </w:pPr>
          </w:p>
        </w:tc>
        <w:tc>
          <w:tcPr>
            <w:tcW w:w="4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Chandler, Arizona 85226</w:t>
            </w:r>
          </w:p>
        </w:tc>
        <w:tc>
          <w:tcPr>
            <w:tcW w:w="1540" w:type="dxa"/>
            <w:vAlign w:val="bottom"/>
          </w:tcPr>
          <w:p>
            <w:pPr>
              <w:spacing w:after="0"/>
              <w:rPr>
                <w:sz w:val="12"/>
                <w:szCs w:val="12"/>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40" w:type="dxa"/>
            <w:vAlign w:val="bottom"/>
          </w:tcPr>
          <w:p>
            <w:pPr>
              <w:spacing w:after="0"/>
              <w:rPr>
                <w:sz w:val="16"/>
                <w:szCs w:val="16"/>
                <w:color w:val="auto"/>
              </w:rPr>
            </w:pPr>
          </w:p>
        </w:tc>
      </w:tr>
      <w:tr>
        <w:trPr>
          <w:trHeight w:val="228"/>
        </w:trPr>
        <w:tc>
          <w:tcPr>
            <w:tcW w:w="1940" w:type="dxa"/>
            <w:vAlign w:val="bottom"/>
          </w:tcPr>
          <w:p>
            <w:pPr>
              <w:spacing w:after="0"/>
              <w:rPr>
                <w:sz w:val="19"/>
                <w:szCs w:val="19"/>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540" w:type="dxa"/>
            <w:vAlign w:val="bottom"/>
          </w:tcPr>
          <w:p>
            <w:pPr>
              <w:spacing w:after="0"/>
              <w:rPr>
                <w:sz w:val="19"/>
                <w:szCs w:val="19"/>
                <w:color w:val="auto"/>
              </w:rPr>
            </w:pPr>
          </w:p>
        </w:tc>
      </w:tr>
      <w:tr>
        <w:trPr>
          <w:trHeight w:val="190"/>
        </w:trPr>
        <w:tc>
          <w:tcPr>
            <w:tcW w:w="1940" w:type="dxa"/>
            <w:vAlign w:val="bottom"/>
          </w:tcPr>
          <w:p>
            <w:pPr>
              <w:spacing w:after="0"/>
              <w:rPr>
                <w:sz w:val="16"/>
                <w:szCs w:val="16"/>
                <w:color w:val="auto"/>
              </w:rPr>
            </w:pPr>
          </w:p>
        </w:tc>
        <w:tc>
          <w:tcPr>
            <w:tcW w:w="4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2" w:lineRule="exact"/>
        <w:rPr>
          <w:sz w:val="24"/>
          <w:szCs w:val="24"/>
          <w:color w:val="auto"/>
        </w:rPr>
      </w:pPr>
    </w:p>
    <w:p>
      <w:pPr>
        <w:ind w:left="60" w:right="539"/>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60" w:hanging="410"/>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60" w:right="2139" w:hanging="2"/>
        <w:spacing w:after="0" w:line="421" w:lineRule="auto"/>
        <w:tabs>
          <w:tab w:leader="none" w:pos="45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149"/>
        </w:trPr>
        <w:tc>
          <w:tcPr>
            <w:tcW w:w="3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4"/>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160" w:type="dxa"/>
            <w:vAlign w:val="bottom"/>
          </w:tcPr>
          <w:p>
            <w:pPr>
              <w:spacing w:after="0"/>
              <w:rPr>
                <w:sz w:val="15"/>
                <w:szCs w:val="15"/>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MRAM</w:t>
            </w:r>
          </w:p>
        </w:tc>
        <w:tc>
          <w:tcPr>
            <w:tcW w:w="160" w:type="dxa"/>
            <w:vAlign w:val="bottom"/>
          </w:tcPr>
          <w:p>
            <w:pPr>
              <w:spacing w:after="0"/>
              <w:rPr>
                <w:sz w:val="15"/>
                <w:szCs w:val="15"/>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60" w:right="43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51" w:lineRule="exact"/>
        <w:rPr>
          <w:sz w:val="24"/>
          <w:szCs w:val="24"/>
          <w:color w:val="auto"/>
        </w:rPr>
      </w:pPr>
    </w:p>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481330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52705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95885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7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37" w:lineRule="exact"/>
        <w:rPr>
          <w:sz w:val="20"/>
          <w:szCs w:val="20"/>
          <w:color w:val="auto"/>
        </w:rPr>
      </w:pPr>
    </w:p>
    <w:p>
      <w:pPr>
        <w:ind w:left="60" w:right="259" w:firstLine="648"/>
        <w:spacing w:after="0" w:line="272" w:lineRule="auto"/>
        <w:rPr>
          <w:sz w:val="20"/>
          <w:szCs w:val="20"/>
          <w:color w:val="auto"/>
        </w:rPr>
      </w:pPr>
      <w:r>
        <w:rPr>
          <w:rFonts w:ascii="Times New Roman" w:cs="Times New Roman" w:eastAsia="Times New Roman" w:hAnsi="Times New Roman"/>
          <w:sz w:val="16"/>
          <w:szCs w:val="16"/>
          <w:color w:val="auto"/>
        </w:rPr>
        <w:t>On May 1, 2024, Everspin Technologies, Inc. issued a press release announcing its financial results for the quarter ended March 31, 2024,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1"/>
        </w:trPr>
        <w:tc>
          <w:tcPr>
            <w:tcW w:w="20" w:type="dxa"/>
            <w:vAlign w:val="bottom"/>
          </w:tcPr>
          <w:p>
            <w:pPr>
              <w:spacing w:after="0"/>
              <w:rPr>
                <w:sz w:val="14"/>
                <w:szCs w:val="14"/>
                <w:color w:val="auto"/>
              </w:rPr>
            </w:pPr>
          </w:p>
        </w:tc>
        <w:tc>
          <w:tcPr>
            <w:tcW w:w="900" w:type="dxa"/>
            <w:vAlign w:val="bottom"/>
          </w:tcPr>
          <w:p>
            <w:pPr>
              <w:jc w:val="right"/>
              <w:ind w:right="239"/>
              <w:spacing w:after="0" w:line="161"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120" w:type="dxa"/>
            <w:vAlign w:val="bottom"/>
            <w:tcBorders>
              <w:bottom w:val="single" w:sz="8" w:color="0000EE"/>
            </w:tcBorders>
          </w:tcPr>
          <w:p>
            <w:pPr>
              <w:spacing w:after="0" w:line="161" w:lineRule="exact"/>
              <w:rPr>
                <w:sz w:val="20"/>
                <w:szCs w:val="20"/>
                <w:color w:val="auto"/>
              </w:rPr>
            </w:pPr>
            <w:r>
              <w:rPr>
                <w:rFonts w:ascii="Times New Roman" w:cs="Times New Roman" w:eastAsia="Times New Roman" w:hAnsi="Times New Roman"/>
                <w:sz w:val="16"/>
                <w:szCs w:val="16"/>
                <w:color w:val="0000EE"/>
                <w:w w:val="99"/>
              </w:rPr>
              <w:t>Press release dated May 1, 2024.</w:t>
            </w:r>
          </w:p>
        </w:tc>
        <w:tc>
          <w:tcPr>
            <w:tcW w:w="5620" w:type="dxa"/>
            <w:vAlign w:val="bottom"/>
          </w:tcPr>
          <w:p>
            <w:pPr>
              <w:spacing w:after="0"/>
              <w:rPr>
                <w:sz w:val="14"/>
                <w:szCs w:val="14"/>
                <w:color w:val="auto"/>
              </w:rPr>
            </w:pPr>
          </w:p>
        </w:tc>
      </w:tr>
      <w:tr>
        <w:trPr>
          <w:trHeight w:val="217"/>
        </w:trPr>
        <w:tc>
          <w:tcPr>
            <w:tcW w:w="9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241"/>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60" w:right="15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May 1, 2024</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/s/ Anuj Aggarwal</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2640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504190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156845</wp:posOffset>
            </wp:positionV>
            <wp:extent cx="2280285"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Everspin Reports Unaudited First Quarter 2024 Financial Results</w:t>
      </w:r>
    </w:p>
    <w:p>
      <w:pPr>
        <w:spacing w:after="0" w:line="25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Q1’24 revenue of $14.4 million near high end of guidance range</w:t>
      </w:r>
    </w:p>
    <w:p>
      <w:pPr>
        <w:spacing w:after="0" w:line="248" w:lineRule="exact"/>
        <w:rPr>
          <w:sz w:val="20"/>
          <w:szCs w:val="20"/>
          <w:color w:val="auto"/>
        </w:rPr>
      </w:pPr>
    </w:p>
    <w:p>
      <w:pPr>
        <w:jc w:val="both"/>
        <w:ind w:left="280" w:right="7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Chandler, AZ, May 1, 2024 </w:t>
      </w:r>
      <w:r>
        <w:rPr>
          <w:rFonts w:ascii="Times New Roman" w:cs="Times New Roman" w:eastAsia="Times New Roman" w:hAnsi="Times New Roman"/>
          <w:sz w:val="18"/>
          <w:szCs w:val="18"/>
          <w:color w:val="auto"/>
        </w:rPr>
        <w:t>— Everspin Technologies, Inc. (NASDAQ: MRAM), the world’s leading developer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magnetoresistive random access memory (MRAM) persistent memory solutions, today announced preliminary unaudited financial results for the first quarter ended March 31, 2024.</w:t>
      </w:r>
    </w:p>
    <w:p>
      <w:pPr>
        <w:spacing w:after="0" w:line="175"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18"/>
          <w:szCs w:val="18"/>
          <w:color w:val="auto"/>
        </w:rPr>
        <w:t>“Our first quarter revenue came in near the high end of our expectations while our GAAP net income came in below our expectations,” said Sanjeev Aggarwal, President and Chief Executive Officer. "We are very pleased with some of our recent wins, most notably with IBM for our PERSYST STT-MRAM solution, which will be used in their FCM4 FlashCore Module, and we are entering into an agreement with a commercial customer to provide foundry services. Looking ahead, we expect our Toggle and STT-MRAM design wins to ramp in the second half of 2024.”</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First Quarter 2024 Results</w:t>
      </w:r>
    </w:p>
    <w:p>
      <w:pPr>
        <w:spacing w:after="0" w:line="216" w:lineRule="exact"/>
        <w:rPr>
          <w:sz w:val="20"/>
          <w:szCs w:val="20"/>
          <w:color w:val="auto"/>
        </w:rPr>
      </w:pPr>
    </w:p>
    <w:p>
      <w:pPr>
        <w:ind w:left="840" w:hanging="320"/>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$14.4 million, compared to $14.8 million in the first quarter of 2023.</w:t>
      </w:r>
    </w:p>
    <w:p>
      <w:pPr>
        <w:spacing w:after="0" w:line="211" w:lineRule="exact"/>
        <w:rPr>
          <w:rFonts w:ascii="Times New Roman" w:cs="Times New Roman" w:eastAsia="Times New Roman" w:hAnsi="Times New Roman"/>
          <w:sz w:val="18"/>
          <w:szCs w:val="18"/>
          <w:color w:val="auto"/>
        </w:rPr>
      </w:pPr>
    </w:p>
    <w:p>
      <w:pPr>
        <w:ind w:left="840" w:right="660" w:hanging="320"/>
        <w:spacing w:after="0" w:line="297"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includes both Toggle and STT-MRAM revenue, of $10.9 million, compared to $13.8 million in the first quarter of 2023.</w:t>
      </w:r>
    </w:p>
    <w:p>
      <w:pPr>
        <w:spacing w:after="0" w:line="149" w:lineRule="exact"/>
        <w:rPr>
          <w:rFonts w:ascii="Times New Roman" w:cs="Times New Roman" w:eastAsia="Times New Roman" w:hAnsi="Times New Roman"/>
          <w:sz w:val="18"/>
          <w:szCs w:val="18"/>
          <w:color w:val="auto"/>
        </w:rPr>
      </w:pPr>
    </w:p>
    <w:p>
      <w:pPr>
        <w:ind w:left="840" w:right="660" w:hanging="320"/>
        <w:spacing w:after="0" w:line="297"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patent, and other revenue of $3.6 million, compared to $1.1 million in the first quarter of 2023.</w:t>
      </w:r>
    </w:p>
    <w:p>
      <w:pPr>
        <w:spacing w:after="0" w:line="149"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56.5%, compared to 56.8% in the first quarter of 2023.</w:t>
      </w:r>
    </w:p>
    <w:p>
      <w:pPr>
        <w:spacing w:after="0" w:line="211"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$8.8 million, compared to $7.7 million in the first quarter of 2023.</w:t>
      </w:r>
    </w:p>
    <w:p>
      <w:pPr>
        <w:spacing w:after="0" w:line="211" w:lineRule="exact"/>
        <w:rPr>
          <w:rFonts w:ascii="Times New Roman" w:cs="Times New Roman" w:eastAsia="Times New Roman" w:hAnsi="Times New Roman"/>
          <w:sz w:val="18"/>
          <w:szCs w:val="18"/>
          <w:color w:val="auto"/>
        </w:rPr>
      </w:pPr>
    </w:p>
    <w:p>
      <w:pPr>
        <w:ind w:left="840" w:right="660" w:hanging="320"/>
        <w:spacing w:after="0" w:line="282"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$0.2 million, or $(0.01) per diluted share, compared to net income of $0.8 million, or $0.04 per diluted share, in the first quarter of 2023.</w:t>
      </w:r>
    </w:p>
    <w:p>
      <w:pPr>
        <w:spacing w:after="0" w:line="148"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$1.9 million, compared to $2.3 million in the first quarter of 2023.</w:t>
      </w:r>
    </w:p>
    <w:p>
      <w:pPr>
        <w:spacing w:after="0" w:line="212" w:lineRule="exact"/>
        <w:rPr>
          <w:sz w:val="20"/>
          <w:szCs w:val="20"/>
          <w:color w:val="auto"/>
        </w:rPr>
      </w:pPr>
    </w:p>
    <w:p>
      <w:pPr>
        <w:jc w:val="both"/>
        <w:ind w:left="200" w:right="200"/>
        <w:spacing w:after="0" w:line="266" w:lineRule="auto"/>
        <w:rPr>
          <w:sz w:val="20"/>
          <w:szCs w:val="20"/>
          <w:color w:val="auto"/>
        </w:rPr>
      </w:pPr>
      <w:r>
        <w:rPr>
          <w:rFonts w:ascii="Times New Roman" w:cs="Times New Roman" w:eastAsia="Times New Roman" w:hAnsi="Times New Roman"/>
          <w:sz w:val="18"/>
          <w:szCs w:val="18"/>
          <w:color w:val="auto"/>
        </w:rPr>
        <w:t>“We are pleased to end the quarter with a strong balance sheet and solid gross margin,” said Anuj Aggarwal, Everspin’s Chief Financial Officer. “We are encouraged by the traction our products have had, as evidenced by our recent design wins, and we remain confident in our ability to scale the business and convert those design wins to revenue.”</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89" w:lineRule="exact"/>
        <w:rPr>
          <w:sz w:val="20"/>
          <w:szCs w:val="20"/>
          <w:color w:val="auto"/>
        </w:rPr>
      </w:pPr>
    </w:p>
    <w:p>
      <w:pPr>
        <w:jc w:val="both"/>
        <w:ind w:left="200" w:right="660"/>
        <w:spacing w:after="0" w:line="282" w:lineRule="auto"/>
        <w:rPr>
          <w:sz w:val="20"/>
          <w:szCs w:val="20"/>
          <w:color w:val="auto"/>
        </w:rPr>
      </w:pPr>
      <w:r>
        <w:rPr>
          <w:rFonts w:ascii="Times New Roman" w:cs="Times New Roman" w:eastAsia="Times New Roman" w:hAnsi="Times New Roman"/>
          <w:sz w:val="18"/>
          <w:szCs w:val="18"/>
          <w:color w:val="auto"/>
        </w:rPr>
        <w:t>For the second quarter 2024, Everspin expects total revenue in a range of $10.0 million to $11.0 million and GAAP net loss per basic share to be between $(0.14) and ($0.09).</w:t>
      </w:r>
    </w:p>
    <w:p>
      <w:pPr>
        <w:spacing w:after="0" w:line="162" w:lineRule="exact"/>
        <w:rPr>
          <w:sz w:val="20"/>
          <w:szCs w:val="20"/>
          <w:color w:val="auto"/>
        </w:rPr>
      </w:pPr>
    </w:p>
    <w:p>
      <w:pPr>
        <w:jc w:val="both"/>
        <w:ind w:left="200" w:right="660"/>
        <w:spacing w:after="0" w:line="289" w:lineRule="auto"/>
        <w:rPr>
          <w:sz w:val="20"/>
          <w:szCs w:val="20"/>
          <w:color w:val="auto"/>
        </w:rPr>
      </w:pPr>
      <w:r>
        <w:rPr>
          <w:rFonts w:ascii="Times New Roman" w:cs="Times New Roman" w:eastAsia="Times New Roman" w:hAnsi="Times New Roman"/>
          <w:sz w:val="17"/>
          <w:szCs w:val="17"/>
          <w:color w:val="auto"/>
        </w:rPr>
        <w:t>This outlook is dependent on Everspin's current expectations, which may be impacted by, among other things, evolving external conditions, such as the military conflict in Ukraine, instability in the Middle East, recent market volatility, semiconductor downturn and the other risk factors described in Everspin's filings with the Securities and Exchange Commission (the "SEC"), including its Annual Report on Form 10-K for the fiscal year ended December 31, 2023, its Quarterly Reports on Form 10-Q filed with the SEC during 2024, as well as in its subsequent filings with the SEC.</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31" w:lineRule="exact"/>
        <w:rPr>
          <w:sz w:val="20"/>
          <w:szCs w:val="20"/>
          <w:color w:val="auto"/>
        </w:rPr>
      </w:pPr>
    </w:p>
    <w:p>
      <w:pPr>
        <w:jc w:val="both"/>
        <w:ind w:left="200" w:right="740"/>
        <w:spacing w:after="0" w:line="255"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Adjusted EBITDA, which is a non-GAAP financial measure. Everspin defines Adjusted EBITDA as net income or loss adjusted for interest expense, taxes,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335280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color w:val="auto"/>
        </w:rPr>
        <w:t>amortization, stock-based compensation expense, and restructuring costs (if any).</w:t>
      </w:r>
    </w:p>
    <w:p>
      <w:pPr>
        <w:spacing w:after="0" w:line="225" w:lineRule="exact"/>
        <w:rPr>
          <w:sz w:val="20"/>
          <w:szCs w:val="20"/>
          <w:color w:val="auto"/>
        </w:rPr>
      </w:pPr>
    </w:p>
    <w:p>
      <w:pPr>
        <w:jc w:val="both"/>
        <w:ind w:left="200" w:right="660"/>
        <w:spacing w:after="0" w:line="254" w:lineRule="auto"/>
        <w:rPr>
          <w:sz w:val="20"/>
          <w:szCs w:val="20"/>
          <w:color w:val="auto"/>
        </w:rPr>
      </w:pPr>
      <w:r>
        <w:rPr>
          <w:rFonts w:ascii="Times New Roman" w:cs="Times New Roman" w:eastAsia="Times New Roman" w:hAnsi="Times New Roman"/>
          <w:sz w:val="18"/>
          <w:szCs w:val="18"/>
          <w:color w:val="auto"/>
        </w:rPr>
        <w:t>Everspin’s management and board of directors use Adjusted EBITDA to understand and evaluate its operating performance and trends, to prepare and approve its annual budget and to develop short-term and long-term operating and financing plans. Accordingly, Everspin believes that Adjusted EBITDA provides useful information for investors in understanding and evaluating its operating results in the same manner as its management and board of directors. Adjusted EBITDA is a non-GAAP financial measure and should be considered in addition to, not as superior to, or as a substitute for, net income or loss reported in accordance with GAAP. Moreover, other companies may define Adjusted EBITDA differently, which limits the usefulness of this measure for comparisons with such other companies. Everspin encourages investors to review its financial statements and publicly-filed reports in their entirety and not to rely on any single financial measure.</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May 1, 2024, at 5:00 p.m. Eastern Time.</w:t>
      </w:r>
    </w:p>
    <w:p>
      <w:pPr>
        <w:spacing w:after="0" w:line="212"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148"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 xml:space="preserve">The live webcast of the call will be accessible on the Company’s website at </w:t>
      </w:r>
      <w:r>
        <w:rPr>
          <w:rFonts w:ascii="Times New Roman" w:cs="Times New Roman" w:eastAsia="Times New Roman" w:hAnsi="Times New Roman"/>
          <w:sz w:val="18"/>
          <w:szCs w:val="18"/>
          <w:color w:val="0462C1"/>
        </w:rPr>
        <w:t>investor.everspin.com.</w:t>
      </w:r>
      <w:r>
        <w:rPr>
          <w:rFonts w:ascii="Times New Roman" w:cs="Times New Roman" w:eastAsia="Times New Roman" w:hAnsi="Times New Roman"/>
          <w:sz w:val="18"/>
          <w:szCs w:val="18"/>
          <w:color w:val="auto"/>
        </w:rPr>
        <w:t xml:space="preserve"> Approximately two hours after conclusion of the live event, an archived webcast of the conference call will be accessible from the Investor Relations section of the Company’s website for twelve months.</w:t>
      </w: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Everspin Technologies</w:t>
      </w:r>
    </w:p>
    <w:p>
      <w:pPr>
        <w:spacing w:after="0" w:line="67" w:lineRule="exact"/>
        <w:rPr>
          <w:sz w:val="20"/>
          <w:szCs w:val="20"/>
          <w:color w:val="auto"/>
        </w:rPr>
      </w:pPr>
    </w:p>
    <w:p>
      <w:pPr>
        <w:jc w:val="both"/>
        <w:ind w:left="200" w:right="660"/>
        <w:spacing w:after="0" w:line="258" w:lineRule="auto"/>
        <w:rPr>
          <w:sz w:val="20"/>
          <w:szCs w:val="20"/>
          <w:color w:val="auto"/>
        </w:rPr>
      </w:pPr>
      <w:r>
        <w:rPr>
          <w:rFonts w:ascii="Times New Roman" w:cs="Times New Roman" w:eastAsia="Times New Roman" w:hAnsi="Times New Roman"/>
          <w:sz w:val="18"/>
          <w:szCs w:val="18"/>
          <w:color w:val="auto"/>
        </w:rPr>
        <w:t xml:space="preserve">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t>
      </w:r>
      <w:r>
        <w:rPr>
          <w:rFonts w:ascii="Times New Roman" w:cs="Times New Roman" w:eastAsia="Times New Roman" w:hAnsi="Times New Roman"/>
          <w:sz w:val="18"/>
          <w:szCs w:val="18"/>
          <w:color w:val="0462C1"/>
        </w:rPr>
        <w:t>www.everspin.com</w:t>
      </w:r>
      <w:r>
        <w:rPr>
          <w:rFonts w:ascii="Times New Roman" w:cs="Times New Roman" w:eastAsia="Times New Roman" w:hAnsi="Times New Roman"/>
          <w:sz w:val="18"/>
          <w:szCs w:val="18"/>
          <w:color w:val="auto"/>
        </w:rPr>
        <w:t>. NASDAQ: MRAM.</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81" w:lineRule="exact"/>
        <w:rPr>
          <w:sz w:val="20"/>
          <w:szCs w:val="20"/>
          <w:color w:val="auto"/>
        </w:rPr>
      </w:pPr>
    </w:p>
    <w:p>
      <w:pPr>
        <w:jc w:val="both"/>
        <w:ind w:left="200" w:right="6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second quarter 2024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2023 filed with the SEC on February 29, 2024, and its Quarterly Reports on Form 10-Q filed with the SEC during 2024,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ofnew information, future events or otherwise, except as required by law.</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Monica Gould</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50" w:lineRule="exact"/>
        <w:rPr>
          <w:sz w:val="20"/>
          <w:szCs w:val="20"/>
          <w:color w:val="auto"/>
        </w:rPr>
      </w:pPr>
    </w:p>
    <w:p>
      <w:pPr>
        <w:jc w:val="both"/>
        <w:ind w:left="200" w:right="7940" w:hanging="4"/>
        <w:spacing w:after="0" w:line="346" w:lineRule="auto"/>
        <w:tabs>
          <w:tab w:leader="none" w:pos="3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982345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80"/>
          </w:cols>
          <w:pgMar w:left="1440" w:top="121" w:right="10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 21,406,511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21,080,472 shares issued and outstanding as of March 31, 2024 and December 31, 2023,</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3086100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 w:name="page7"/>
    <w:bookmarkEnd w:id="6"/>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0"/>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and comprehensive income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21,252,359</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20,832,074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3771900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40" w:type="dxa"/>
            <w:vAlign w:val="bottom"/>
            <w:gridSpan w:val="2"/>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prepayment and termination of credit facility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warrant revaluation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net</w:t>
            </w: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197"/>
        </w:trPr>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34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2383155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00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57"/>
        </w:trPr>
        <w:tc>
          <w:tcPr>
            <w:tcW w:w="10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2024-05-01T15:22:12Z</dcterms:created>
  <dcterms:modified xsi:type="dcterms:W3CDTF">2024-05-01T15:22:12Z</dcterms:modified>
</cp:coreProperties>
</file>