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November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Everspin Technologies,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tbl>
      <w:tblPr>
        <w:tblLayout w:type="fixed"/>
        <w:tblInd w:w="260" w:type="dxa"/>
        <w:tblCellMar>
          <w:top w:w="0" w:type="dxa"/>
          <w:left w:w="0" w:type="dxa"/>
          <w:bottom w:w="0" w:type="dxa"/>
          <w:right w:w="0" w:type="dxa"/>
        </w:tblCellMar>
      </w:tblPr>
      <w:tr>
        <w:trPr>
          <w:trHeight w:val="162"/>
        </w:trPr>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Delaware</w:t>
            </w: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001-37900</w:t>
            </w:r>
          </w:p>
        </w:tc>
        <w:tc>
          <w:tcPr>
            <w:tcW w:w="1500" w:type="dxa"/>
            <w:vAlign w:val="bottom"/>
          </w:tcPr>
          <w:p>
            <w:pPr>
              <w:jc w:val="center"/>
              <w:ind w:left="228"/>
              <w:spacing w:after="0"/>
              <w:rPr>
                <w:sz w:val="20"/>
                <w:szCs w:val="20"/>
                <w:color w:val="auto"/>
              </w:rPr>
            </w:pPr>
            <w:r>
              <w:rPr>
                <w:rFonts w:ascii="Arial" w:cs="Arial" w:eastAsia="Arial" w:hAnsi="Arial"/>
                <w:sz w:val="14"/>
                <w:szCs w:val="14"/>
                <w:b w:val="1"/>
                <w:bCs w:val="1"/>
                <w:color w:val="auto"/>
              </w:rPr>
              <w:t>26-2640654</w:t>
            </w:r>
          </w:p>
        </w:tc>
      </w:tr>
      <w:tr>
        <w:trPr>
          <w:trHeight w:val="162"/>
        </w:trPr>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(State or other jurisdiction</w:t>
            </w: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(Commission</w:t>
            </w:r>
          </w:p>
        </w:tc>
        <w:tc>
          <w:tcPr>
            <w:tcW w:w="1500" w:type="dxa"/>
            <w:vAlign w:val="bottom"/>
          </w:tcPr>
          <w:p>
            <w:pPr>
              <w:jc w:val="center"/>
              <w:ind w:left="22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of incorporation)</w:t>
            </w: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ind w:left="228"/>
              <w:spacing w:after="0"/>
              <w:rPr>
                <w:sz w:val="20"/>
                <w:szCs w:val="20"/>
                <w:color w:val="auto"/>
              </w:rPr>
            </w:pPr>
            <w:r>
              <w:rPr>
                <w:rFonts w:ascii="Arial" w:cs="Arial" w:eastAsia="Arial" w:hAnsi="Arial"/>
                <w:sz w:val="14"/>
                <w:szCs w:val="14"/>
                <w:b w:val="1"/>
                <w:bCs w:val="1"/>
                <w:color w:val="auto"/>
              </w:rPr>
              <w:t>Identification No.)</w:t>
            </w:r>
          </w:p>
        </w:tc>
      </w:tr>
      <w:tr>
        <w:trPr>
          <w:trHeight w:val="255"/>
        </w:trPr>
        <w:tc>
          <w:tcPr>
            <w:tcW w:w="1960" w:type="dxa"/>
            <w:vAlign w:val="bottom"/>
          </w:tcPr>
          <w:p>
            <w:pPr>
              <w:spacing w:after="0"/>
              <w:rPr>
                <w:sz w:val="22"/>
                <w:szCs w:val="22"/>
                <w:color w:val="auto"/>
              </w:rPr>
            </w:pPr>
          </w:p>
        </w:tc>
        <w:tc>
          <w:tcPr>
            <w:tcW w:w="4720" w:type="dxa"/>
            <w:vAlign w:val="bottom"/>
          </w:tcPr>
          <w:p>
            <w:pPr>
              <w:jc w:val="center"/>
              <w:ind w:right="68"/>
              <w:spacing w:after="0"/>
              <w:rPr>
                <w:sz w:val="20"/>
                <w:szCs w:val="20"/>
                <w:color w:val="auto"/>
              </w:rPr>
            </w:pPr>
            <w:r>
              <w:rPr>
                <w:rFonts w:ascii="Arial" w:cs="Arial" w:eastAsia="Arial" w:hAnsi="Arial"/>
                <w:sz w:val="14"/>
                <w:szCs w:val="14"/>
                <w:b w:val="1"/>
                <w:bCs w:val="1"/>
                <w:color w:val="auto"/>
              </w:rPr>
              <w:t>5670 W. Chandler Blvd.</w:t>
            </w:r>
          </w:p>
        </w:tc>
        <w:tc>
          <w:tcPr>
            <w:tcW w:w="1500" w:type="dxa"/>
            <w:vAlign w:val="bottom"/>
          </w:tcPr>
          <w:p>
            <w:pPr>
              <w:spacing w:after="0"/>
              <w:rPr>
                <w:sz w:val="22"/>
                <w:szCs w:val="22"/>
                <w:color w:val="auto"/>
              </w:rPr>
            </w:pPr>
          </w:p>
        </w:tc>
      </w:tr>
      <w:tr>
        <w:trPr>
          <w:trHeight w:val="162"/>
        </w:trPr>
        <w:tc>
          <w:tcPr>
            <w:tcW w:w="1960" w:type="dxa"/>
            <w:vAlign w:val="bottom"/>
          </w:tcPr>
          <w:p>
            <w:pPr>
              <w:spacing w:after="0"/>
              <w:rPr>
                <w:sz w:val="14"/>
                <w:szCs w:val="14"/>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Suite 130</w:t>
            </w:r>
          </w:p>
        </w:tc>
        <w:tc>
          <w:tcPr>
            <w:tcW w:w="150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Chandler, Arizona 85226</w:t>
            </w:r>
          </w:p>
        </w:tc>
        <w:tc>
          <w:tcPr>
            <w:tcW w:w="1500" w:type="dxa"/>
            <w:vAlign w:val="bottom"/>
          </w:tcPr>
          <w:p>
            <w:pPr>
              <w:spacing w:after="0"/>
              <w:rPr>
                <w:sz w:val="14"/>
                <w:szCs w:val="14"/>
                <w:color w:val="auto"/>
              </w:rPr>
            </w:pPr>
          </w:p>
        </w:tc>
      </w:tr>
      <w:tr>
        <w:trPr>
          <w:trHeight w:val="190"/>
        </w:trPr>
        <w:tc>
          <w:tcPr>
            <w:tcW w:w="1960" w:type="dxa"/>
            <w:vAlign w:val="bottom"/>
          </w:tcPr>
          <w:p>
            <w:pPr>
              <w:spacing w:after="0"/>
              <w:rPr>
                <w:sz w:val="16"/>
                <w:szCs w:val="16"/>
                <w:color w:val="auto"/>
              </w:rPr>
            </w:pPr>
          </w:p>
        </w:tc>
        <w:tc>
          <w:tcPr>
            <w:tcW w:w="4720" w:type="dxa"/>
            <w:vAlign w:val="bottom"/>
          </w:tcPr>
          <w:p>
            <w:pPr>
              <w:jc w:val="center"/>
              <w:ind w:right="68"/>
              <w:spacing w:after="0"/>
              <w:rPr>
                <w:sz w:val="20"/>
                <w:szCs w:val="20"/>
                <w:color w:val="auto"/>
              </w:rPr>
            </w:pPr>
            <w:r>
              <w:rPr>
                <w:rFonts w:ascii="Arial" w:cs="Arial" w:eastAsia="Arial" w:hAnsi="Arial"/>
                <w:sz w:val="14"/>
                <w:szCs w:val="14"/>
                <w:b w:val="1"/>
                <w:bCs w:val="1"/>
                <w:color w:val="auto"/>
              </w:rPr>
              <w:t>(Address of principal executive offices, including zip code)</w:t>
            </w:r>
          </w:p>
        </w:tc>
        <w:tc>
          <w:tcPr>
            <w:tcW w:w="1500" w:type="dxa"/>
            <w:vAlign w:val="bottom"/>
          </w:tcPr>
          <w:p>
            <w:pPr>
              <w:spacing w:after="0"/>
              <w:rPr>
                <w:sz w:val="16"/>
                <w:szCs w:val="16"/>
                <w:color w:val="auto"/>
              </w:rPr>
            </w:pPr>
          </w:p>
        </w:tc>
      </w:tr>
      <w:tr>
        <w:trPr>
          <w:trHeight w:val="255"/>
        </w:trPr>
        <w:tc>
          <w:tcPr>
            <w:tcW w:w="1960" w:type="dxa"/>
            <w:vAlign w:val="bottom"/>
          </w:tcPr>
          <w:p>
            <w:pPr>
              <w:spacing w:after="0"/>
              <w:rPr>
                <w:sz w:val="22"/>
                <w:szCs w:val="22"/>
                <w:color w:val="auto"/>
              </w:rPr>
            </w:pPr>
          </w:p>
        </w:tc>
        <w:tc>
          <w:tcPr>
            <w:tcW w:w="4720" w:type="dxa"/>
            <w:vAlign w:val="bottom"/>
          </w:tcPr>
          <w:p>
            <w:pPr>
              <w:jc w:val="center"/>
              <w:ind w:right="68"/>
              <w:spacing w:after="0"/>
              <w:rPr>
                <w:sz w:val="20"/>
                <w:szCs w:val="20"/>
                <w:color w:val="auto"/>
              </w:rPr>
            </w:pPr>
            <w:r>
              <w:rPr>
                <w:rFonts w:ascii="Arial" w:cs="Arial" w:eastAsia="Arial" w:hAnsi="Arial"/>
                <w:sz w:val="14"/>
                <w:szCs w:val="14"/>
                <w:b w:val="1"/>
                <w:bCs w:val="1"/>
                <w:color w:val="auto"/>
              </w:rPr>
              <w:t>(480) 347-1111</w:t>
            </w:r>
          </w:p>
        </w:tc>
        <w:tc>
          <w:tcPr>
            <w:tcW w:w="1500" w:type="dxa"/>
            <w:vAlign w:val="bottom"/>
          </w:tcPr>
          <w:p>
            <w:pPr>
              <w:spacing w:after="0"/>
              <w:rPr>
                <w:sz w:val="22"/>
                <w:szCs w:val="22"/>
                <w:color w:val="auto"/>
              </w:rPr>
            </w:pPr>
          </w:p>
        </w:tc>
      </w:tr>
      <w:tr>
        <w:trPr>
          <w:trHeight w:val="190"/>
        </w:trPr>
        <w:tc>
          <w:tcPr>
            <w:tcW w:w="1960" w:type="dxa"/>
            <w:vAlign w:val="bottom"/>
          </w:tcPr>
          <w:p>
            <w:pPr>
              <w:spacing w:after="0"/>
              <w:rPr>
                <w:sz w:val="16"/>
                <w:szCs w:val="16"/>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500" w:type="dxa"/>
            <w:vAlign w:val="bottom"/>
          </w:tcPr>
          <w:p>
            <w:pPr>
              <w:spacing w:after="0"/>
              <w:rPr>
                <w:sz w:val="16"/>
                <w:szCs w:val="16"/>
                <w:color w:val="auto"/>
              </w:rPr>
            </w:pPr>
          </w:p>
        </w:tc>
      </w:tr>
      <w:tr>
        <w:trPr>
          <w:trHeight w:val="255"/>
        </w:trPr>
        <w:tc>
          <w:tcPr>
            <w:tcW w:w="1960" w:type="dxa"/>
            <w:vAlign w:val="bottom"/>
          </w:tcPr>
          <w:p>
            <w:pPr>
              <w:spacing w:after="0"/>
              <w:rPr>
                <w:sz w:val="22"/>
                <w:szCs w:val="22"/>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Not Applicable</w:t>
            </w:r>
          </w:p>
        </w:tc>
        <w:tc>
          <w:tcPr>
            <w:tcW w:w="1500" w:type="dxa"/>
            <w:vAlign w:val="bottom"/>
          </w:tcPr>
          <w:p>
            <w:pPr>
              <w:spacing w:after="0"/>
              <w:rPr>
                <w:sz w:val="22"/>
                <w:szCs w:val="22"/>
                <w:color w:val="auto"/>
              </w:rPr>
            </w:pPr>
          </w:p>
        </w:tc>
      </w:tr>
      <w:tr>
        <w:trPr>
          <w:trHeight w:val="190"/>
        </w:trPr>
        <w:tc>
          <w:tcPr>
            <w:tcW w:w="1960" w:type="dxa"/>
            <w:vAlign w:val="bottom"/>
          </w:tcPr>
          <w:p>
            <w:pPr>
              <w:spacing w:after="0"/>
              <w:rPr>
                <w:sz w:val="16"/>
                <w:szCs w:val="16"/>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(Former name or former address, if changed since last report.)</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ind w:left="60" w:right="99"/>
        <w:spacing w:after="0" w:line="258"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36" w:lineRule="exact"/>
        <w:rPr>
          <w:rFonts w:ascii="MS PGothic" w:cs="MS PGothic" w:eastAsia="MS PGothic" w:hAnsi="MS PGothic"/>
          <w:sz w:val="14"/>
          <w:szCs w:val="14"/>
          <w:color w:val="auto"/>
        </w:rPr>
      </w:pPr>
    </w:p>
    <w:p>
      <w:pPr>
        <w:ind w:left="60" w:right="1459" w:hanging="2"/>
        <w:spacing w:after="0" w:line="429" w:lineRule="auto"/>
        <w:tabs>
          <w:tab w:leader="none" w:pos="453"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w:t>
            </w:r>
          </w:p>
        </w:tc>
      </w:tr>
      <w:tr>
        <w:trPr>
          <w:trHeight w:val="175"/>
        </w:trPr>
        <w:tc>
          <w:tcPr>
            <w:tcW w:w="3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 of each class</w:t>
            </w:r>
          </w:p>
        </w:tc>
        <w:tc>
          <w:tcPr>
            <w:tcW w:w="2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Trading Symbol(s)</w:t>
            </w: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registered</w:t>
            </w:r>
          </w:p>
        </w:tc>
      </w:tr>
      <w:tr>
        <w:trPr>
          <w:trHeight w:val="184"/>
        </w:trPr>
        <w:tc>
          <w:tcPr>
            <w:tcW w:w="2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Common Stock, par value $0.0001</w:t>
            </w:r>
          </w:p>
        </w:tc>
        <w:tc>
          <w:tcPr>
            <w:tcW w:w="160" w:type="dxa"/>
            <w:vAlign w:val="bottom"/>
          </w:tcPr>
          <w:p>
            <w:pPr>
              <w:spacing w:after="0"/>
              <w:rPr>
                <w:sz w:val="15"/>
                <w:szCs w:val="15"/>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MRAM</w:t>
            </w:r>
          </w:p>
        </w:tc>
        <w:tc>
          <w:tcPr>
            <w:tcW w:w="160" w:type="dxa"/>
            <w:vAlign w:val="bottom"/>
          </w:tcPr>
          <w:p>
            <w:pPr>
              <w:spacing w:after="0"/>
              <w:rPr>
                <w:sz w:val="15"/>
                <w:szCs w:val="15"/>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98" w:lineRule="exact"/>
        <w:rPr>
          <w:sz w:val="24"/>
          <w:szCs w:val="24"/>
          <w:color w:val="auto"/>
        </w:rPr>
      </w:pPr>
    </w:p>
    <w:p>
      <w:pPr>
        <w:ind w:left="60" w:right="1039"/>
        <w:spacing w:after="0" w:line="25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62"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73" w:lineRule="exact"/>
        <w:rPr>
          <w:sz w:val="24"/>
          <w:szCs w:val="24"/>
          <w:color w:val="auto"/>
        </w:rPr>
      </w:pPr>
    </w:p>
    <w:p>
      <w:pPr>
        <w:ind w:left="60" w:right="15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486410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8" w:lineRule="exact"/>
        <w:rPr>
          <w:sz w:val="20"/>
          <w:szCs w:val="20"/>
          <w:color w:val="auto"/>
        </w:rPr>
      </w:pPr>
    </w:p>
    <w:p>
      <w:pPr>
        <w:ind w:left="60" w:right="159" w:firstLine="648"/>
        <w:spacing w:after="0" w:line="249" w:lineRule="auto"/>
        <w:rPr>
          <w:sz w:val="20"/>
          <w:szCs w:val="20"/>
          <w:color w:val="auto"/>
        </w:rPr>
      </w:pPr>
      <w:r>
        <w:rPr>
          <w:rFonts w:ascii="Arial" w:cs="Arial" w:eastAsia="Arial" w:hAnsi="Arial"/>
          <w:sz w:val="16"/>
          <w:szCs w:val="16"/>
          <w:color w:val="auto"/>
        </w:rPr>
        <w:t>On November 9, 2022, Everspin Technologies, Inc. issued a press release announcing its financial results for the quarter ended September 30, 2022,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pacing w:after="0" w:line="158" w:lineRule="exact"/>
        <w:rPr>
          <w:sz w:val="20"/>
          <w:szCs w:val="20"/>
          <w:color w:val="auto"/>
        </w:rPr>
      </w:pPr>
    </w:p>
    <w:p>
      <w:pPr>
        <w:ind w:left="60" w:right="699"/>
        <w:spacing w:after="0" w:line="28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49" w:lineRule="exact"/>
        <w:rPr>
          <w:sz w:val="20"/>
          <w:szCs w:val="20"/>
          <w:color w:val="auto"/>
        </w:rPr>
      </w:pPr>
    </w:p>
    <w:p>
      <w:pPr>
        <w:ind w:left="60" w:right="299" w:firstLine="405"/>
        <w:spacing w:after="0" w:line="260" w:lineRule="auto"/>
        <w:rPr>
          <w:sz w:val="20"/>
          <w:szCs w:val="20"/>
          <w:color w:val="auto"/>
        </w:rPr>
      </w:pPr>
      <w:r>
        <w:rPr>
          <w:rFonts w:ascii="Arial" w:cs="Arial" w:eastAsia="Arial" w:hAnsi="Arial"/>
          <w:sz w:val="16"/>
          <w:szCs w:val="16"/>
          <w:color w:val="auto"/>
        </w:rPr>
        <w:t>On November 8, 2022, Darrin Billerbeck, the Executive Chairman of the Board of the Board of Directors of Everspin Technologies, Inc., transitioned from Executive Chairman of the Board back to Chairman of the Board.</w:t>
      </w:r>
    </w:p>
    <w:p>
      <w:pPr>
        <w:spacing w:after="0" w:line="36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8" w:lineRule="exact"/>
        <w:rPr>
          <w:sz w:val="20"/>
          <w:szCs w:val="20"/>
          <w:color w:val="auto"/>
        </w:rPr>
      </w:pPr>
    </w:p>
    <w:p>
      <w:pPr>
        <w:ind w:left="80"/>
        <w:spacing w:after="0"/>
        <w:tabs>
          <w:tab w:leader="none" w:pos="4620" w:val="left"/>
        </w:tabs>
        <w:rPr>
          <w:sz w:val="20"/>
          <w:szCs w:val="20"/>
          <w:color w:val="auto"/>
        </w:rPr>
      </w:pPr>
      <w:r>
        <w:rPr>
          <w:rFonts w:ascii="Arial" w:cs="Arial" w:eastAsia="Arial" w:hAnsi="Arial"/>
          <w:sz w:val="16"/>
          <w:szCs w:val="16"/>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14605</wp:posOffset>
            </wp:positionV>
            <wp:extent cx="4920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19"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u w:val="single" w:color="auto"/>
          <w:color w:val="0000EE"/>
        </w:rPr>
        <w:t>Press release dated November 9, 2022.</w:t>
      </w:r>
    </w:p>
    <w:p>
      <w:pPr>
        <w:spacing w:after="0" w:line="5" w:lineRule="exact"/>
        <w:rPr>
          <w:sz w:val="20"/>
          <w:szCs w:val="20"/>
          <w:color w:val="auto"/>
        </w:rPr>
      </w:pPr>
    </w:p>
    <w:p>
      <w:pPr>
        <w:ind w:left="380"/>
        <w:spacing w:after="0"/>
        <w:tabs>
          <w:tab w:leader="none" w:pos="118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748030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left="60" w:right="199"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Everspin Technologies, Inc.</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Dated: November 9, 2022</w:t>
      </w:r>
    </w:p>
    <w:p>
      <w:pPr>
        <w:spacing w:after="0" w:line="194"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 /s/ 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1905</wp:posOffset>
            </wp:positionV>
            <wp:extent cx="26403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6"/>
          <w:szCs w:val="16"/>
          <w:color w:val="auto"/>
        </w:rPr>
        <w:t>Anuj Aggarwal</w:t>
      </w:r>
    </w:p>
    <w:p>
      <w:pPr>
        <w:spacing w:after="0" w:line="5"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610870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13970</wp:posOffset>
            </wp:positionV>
            <wp:extent cx="199707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970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900"/>
        <w:spacing w:after="0"/>
        <w:rPr>
          <w:sz w:val="20"/>
          <w:szCs w:val="20"/>
          <w:color w:val="auto"/>
        </w:rPr>
      </w:pPr>
      <w:r>
        <w:rPr>
          <w:rFonts w:ascii="Arial" w:cs="Arial" w:eastAsia="Arial" w:hAnsi="Arial"/>
          <w:sz w:val="25"/>
          <w:szCs w:val="25"/>
          <w:b w:val="1"/>
          <w:bCs w:val="1"/>
          <w:color w:val="auto"/>
        </w:rPr>
        <w:t>Q3</w:t>
      </w:r>
      <w:r>
        <w:rPr>
          <w:rFonts w:ascii="Arial" w:cs="Arial" w:eastAsia="Arial" w:hAnsi="Arial"/>
          <w:sz w:val="25"/>
          <w:szCs w:val="25"/>
          <w:b w:val="1"/>
          <w:bCs w:val="1"/>
          <w:i w:val="1"/>
          <w:iCs w:val="1"/>
          <w:color w:val="auto"/>
        </w:rPr>
        <w:t>’2</w:t>
      </w:r>
      <w:r>
        <w:rPr>
          <w:rFonts w:ascii="Arial" w:cs="Arial" w:eastAsia="Arial" w:hAnsi="Arial"/>
          <w:sz w:val="25"/>
          <w:szCs w:val="25"/>
          <w:b w:val="1"/>
          <w:bCs w:val="1"/>
          <w:color w:val="auto"/>
        </w:rPr>
        <w:t>2 Earnings Press Release</w:t>
      </w:r>
    </w:p>
    <w:p>
      <w:pPr>
        <w:spacing w:after="0" w:line="33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Everspin Reports Unaudited Third Quarter 2022 Financial Results</w:t>
      </w:r>
    </w:p>
    <w:p>
      <w:pPr>
        <w:spacing w:after="0" w:line="308" w:lineRule="exact"/>
        <w:rPr>
          <w:sz w:val="20"/>
          <w:szCs w:val="20"/>
          <w:color w:val="auto"/>
        </w:rPr>
      </w:pPr>
    </w:p>
    <w:p>
      <w:pPr>
        <w:ind w:left="100"/>
        <w:spacing w:after="0"/>
        <w:rPr>
          <w:sz w:val="20"/>
          <w:szCs w:val="20"/>
          <w:color w:val="auto"/>
        </w:rPr>
      </w:pPr>
      <w:r>
        <w:rPr>
          <w:rFonts w:ascii="Arial" w:cs="Arial" w:eastAsia="Arial" w:hAnsi="Arial"/>
          <w:sz w:val="22"/>
          <w:szCs w:val="22"/>
          <w:i w:val="1"/>
          <w:iCs w:val="1"/>
          <w:color w:val="auto"/>
        </w:rPr>
        <w:t>The Company continues to see positive growth and profitability with strong third quarter results</w:t>
      </w:r>
    </w:p>
    <w:p>
      <w:pPr>
        <w:spacing w:after="0" w:line="254" w:lineRule="exact"/>
        <w:rPr>
          <w:sz w:val="20"/>
          <w:szCs w:val="20"/>
          <w:color w:val="auto"/>
        </w:rPr>
      </w:pPr>
    </w:p>
    <w:p>
      <w:pPr>
        <w:jc w:val="both"/>
        <w:ind w:left="100" w:right="740"/>
        <w:spacing w:after="0" w:line="256" w:lineRule="auto"/>
        <w:rPr>
          <w:sz w:val="20"/>
          <w:szCs w:val="20"/>
          <w:color w:val="auto"/>
        </w:rPr>
      </w:pPr>
      <w:r>
        <w:rPr>
          <w:rFonts w:ascii="Arial" w:cs="Arial" w:eastAsia="Arial" w:hAnsi="Arial"/>
          <w:sz w:val="22"/>
          <w:szCs w:val="22"/>
          <w:b w:val="1"/>
          <w:bCs w:val="1"/>
          <w:color w:val="auto"/>
        </w:rPr>
        <w:t xml:space="preserve">Chandler, AZ, November 9, 2022 </w:t>
      </w:r>
      <w:r>
        <w:rPr>
          <w:rFonts w:ascii="Arial" w:cs="Arial" w:eastAsia="Arial" w:hAnsi="Arial"/>
          <w:sz w:val="22"/>
          <w:szCs w:val="22"/>
          <w:color w:val="auto"/>
        </w:rPr>
        <w:t>— Everspin Technologies, Inc. (NASDAQ: MRAM), the market</w:t>
      </w:r>
      <w:r>
        <w:rPr>
          <w:rFonts w:ascii="Arial" w:cs="Arial" w:eastAsia="Arial" w:hAnsi="Arial"/>
          <w:sz w:val="22"/>
          <w:szCs w:val="22"/>
          <w:b w:val="1"/>
          <w:bCs w:val="1"/>
          <w:color w:val="auto"/>
        </w:rPr>
        <w:t xml:space="preserve"> </w:t>
      </w:r>
      <w:r>
        <w:rPr>
          <w:rFonts w:ascii="Arial" w:cs="Arial" w:eastAsia="Arial" w:hAnsi="Arial"/>
          <w:sz w:val="22"/>
          <w:szCs w:val="22"/>
          <w:color w:val="auto"/>
        </w:rPr>
        <w:t>leader in MRAM, today announced preliminary unaudited financial results for the third quarter of 2022.</w:t>
      </w:r>
    </w:p>
    <w:p>
      <w:pPr>
        <w:spacing w:after="0" w:line="25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Third Quarter 2022 Highlights</w:t>
      </w:r>
    </w:p>
    <w:p>
      <w:pPr>
        <w:spacing w:after="0" w:line="307" w:lineRule="exact"/>
        <w:rPr>
          <w:sz w:val="20"/>
          <w:szCs w:val="20"/>
          <w:color w:val="auto"/>
        </w:rPr>
      </w:pPr>
    </w:p>
    <w:p>
      <w:pPr>
        <w:ind w:left="420" w:right="280" w:hanging="315"/>
        <w:spacing w:after="0" w:line="251" w:lineRule="auto"/>
        <w:tabs>
          <w:tab w:leader="none" w:pos="420" w:val="left"/>
        </w:tabs>
        <w:numPr>
          <w:ilvl w:val="0"/>
          <w:numId w:val="2"/>
        </w:numPr>
        <w:rPr>
          <w:rFonts w:ascii="Arial" w:cs="Arial" w:eastAsia="Arial" w:hAnsi="Arial"/>
          <w:sz w:val="22"/>
          <w:szCs w:val="22"/>
          <w:color w:val="auto"/>
        </w:rPr>
      </w:pPr>
      <w:r>
        <w:rPr>
          <w:rFonts w:ascii="Arial" w:cs="Arial" w:eastAsia="Arial" w:hAnsi="Arial"/>
          <w:sz w:val="22"/>
          <w:szCs w:val="22"/>
          <w:color w:val="auto"/>
        </w:rPr>
        <w:t>Q3’22 revenue increased $0.5 million, or 4%, to $15.2 million from $14.7 million for Q2’22. Q3’22 revenue increased $0.4 million, or 3% from $14.8 million in Q3’21.</w:t>
      </w:r>
    </w:p>
    <w:p>
      <w:pPr>
        <w:spacing w:after="0" w:line="1" w:lineRule="exact"/>
        <w:rPr>
          <w:rFonts w:ascii="Arial" w:cs="Arial" w:eastAsia="Arial" w:hAnsi="Arial"/>
          <w:sz w:val="22"/>
          <w:szCs w:val="22"/>
          <w:color w:val="auto"/>
        </w:rPr>
      </w:pPr>
    </w:p>
    <w:p>
      <w:pPr>
        <w:ind w:left="420" w:right="280" w:hanging="315"/>
        <w:spacing w:after="0" w:line="243" w:lineRule="auto"/>
        <w:tabs>
          <w:tab w:leader="none" w:pos="42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reported net income of $1.9 million for Q3’22, compared to $1.7 million for Q2’22, and $0.9 million in Q3’21.</w:t>
      </w:r>
    </w:p>
    <w:p>
      <w:pPr>
        <w:ind w:left="420" w:right="280" w:hanging="315"/>
        <w:spacing w:after="0" w:line="254" w:lineRule="auto"/>
        <w:tabs>
          <w:tab w:leader="none" w:pos="420" w:val="left"/>
        </w:tabs>
        <w:numPr>
          <w:ilvl w:val="0"/>
          <w:numId w:val="2"/>
        </w:numPr>
        <w:rPr>
          <w:rFonts w:ascii="Arial" w:cs="Arial" w:eastAsia="Arial" w:hAnsi="Arial"/>
          <w:sz w:val="21"/>
          <w:szCs w:val="21"/>
          <w:color w:val="auto"/>
        </w:rPr>
      </w:pPr>
      <w:r>
        <w:rPr>
          <w:rFonts w:ascii="Arial" w:cs="Arial" w:eastAsia="Arial" w:hAnsi="Arial"/>
          <w:sz w:val="21"/>
          <w:szCs w:val="21"/>
          <w:color w:val="auto"/>
        </w:rPr>
        <w:t>Basic EPS for Q3’22 increased to $0.09 compared to $0.08 for Q2’22, and $0.05 for Q3’21. Diluted EPS for Q3’22 increased to $0.09 compared to $0.08 for Q2’22, and $0.04 for Q3’21.</w:t>
      </w:r>
    </w:p>
    <w:p>
      <w:pPr>
        <w:spacing w:after="0" w:line="1" w:lineRule="exact"/>
        <w:rPr>
          <w:rFonts w:ascii="Arial" w:cs="Arial" w:eastAsia="Arial" w:hAnsi="Arial"/>
          <w:sz w:val="21"/>
          <w:szCs w:val="21"/>
          <w:color w:val="auto"/>
        </w:rPr>
      </w:pPr>
    </w:p>
    <w:p>
      <w:pPr>
        <w:ind w:left="420" w:right="280" w:hanging="315"/>
        <w:spacing w:after="0" w:line="243" w:lineRule="auto"/>
        <w:tabs>
          <w:tab w:leader="none" w:pos="420" w:val="left"/>
        </w:tabs>
        <w:numPr>
          <w:ilvl w:val="0"/>
          <w:numId w:val="2"/>
        </w:numPr>
        <w:rPr>
          <w:rFonts w:ascii="Arial" w:cs="Arial" w:eastAsia="Arial" w:hAnsi="Arial"/>
          <w:sz w:val="22"/>
          <w:szCs w:val="22"/>
          <w:color w:val="auto"/>
        </w:rPr>
      </w:pPr>
      <w:r>
        <w:rPr>
          <w:rFonts w:ascii="Arial" w:cs="Arial" w:eastAsia="Arial" w:hAnsi="Arial"/>
          <w:sz w:val="22"/>
          <w:szCs w:val="22"/>
          <w:color w:val="auto"/>
        </w:rPr>
        <w:t>Adjusted EBITDA for Q3’22 improved to $3.4 million, compared to $3.3 million for Q2’22, and $2.5 million in Q3’21.</w:t>
      </w:r>
    </w:p>
    <w:p>
      <w:pPr>
        <w:ind w:left="420" w:right="280" w:hanging="315"/>
        <w:spacing w:after="0" w:line="246" w:lineRule="auto"/>
        <w:tabs>
          <w:tab w:leader="none" w:pos="420" w:val="left"/>
        </w:tabs>
        <w:numPr>
          <w:ilvl w:val="0"/>
          <w:numId w:val="2"/>
        </w:numPr>
        <w:rPr>
          <w:rFonts w:ascii="Arial" w:cs="Arial" w:eastAsia="Arial" w:hAnsi="Arial"/>
          <w:sz w:val="22"/>
          <w:szCs w:val="22"/>
          <w:color w:val="auto"/>
        </w:rPr>
      </w:pPr>
      <w:r>
        <w:rPr>
          <w:rFonts w:ascii="Arial" w:cs="Arial" w:eastAsia="Arial" w:hAnsi="Arial"/>
          <w:sz w:val="22"/>
          <w:szCs w:val="22"/>
          <w:color w:val="auto"/>
        </w:rPr>
        <w:t>Ended Q3’22 with cash and cash equivalents of $23.4 million, an increase from $23.1 million at the end of Q2’22.</w:t>
      </w:r>
    </w:p>
    <w:p>
      <w:pPr>
        <w:spacing w:after="0" w:line="233" w:lineRule="exact"/>
        <w:rPr>
          <w:sz w:val="20"/>
          <w:szCs w:val="20"/>
          <w:color w:val="auto"/>
        </w:rPr>
      </w:pPr>
    </w:p>
    <w:p>
      <w:pPr>
        <w:jc w:val="both"/>
        <w:ind w:left="100" w:right="20"/>
        <w:spacing w:after="0" w:line="266" w:lineRule="auto"/>
        <w:rPr>
          <w:sz w:val="20"/>
          <w:szCs w:val="20"/>
          <w:color w:val="auto"/>
        </w:rPr>
      </w:pPr>
      <w:r>
        <w:rPr>
          <w:rFonts w:ascii="Arial" w:cs="Arial" w:eastAsia="Arial" w:hAnsi="Arial"/>
          <w:sz w:val="21"/>
          <w:szCs w:val="21"/>
          <w:color w:val="auto"/>
        </w:rPr>
        <w:t>“Everspin delivered quarterly revenue of $15.2 million, an increase of 3% year-on-year and close to the high end of guidance. Our team successfully navigated challenging supply chain environments to meet customer demand,” said Sanjeev Aggarwal, President &amp; CEO. “We are seeing a strong customer interest in our new xSPI family of STT-MRAM products now commercially available in densities from 8Mb to 64Mb, which we expect to drive further growth in the industrial markets.”</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Third Quarter 2022 Results</w:t>
      </w:r>
    </w:p>
    <w:p>
      <w:pPr>
        <w:spacing w:after="0" w:line="212" w:lineRule="exact"/>
        <w:rPr>
          <w:sz w:val="20"/>
          <w:szCs w:val="20"/>
          <w:color w:val="auto"/>
        </w:rPr>
      </w:pPr>
    </w:p>
    <w:p>
      <w:pPr>
        <w:jc w:val="both"/>
        <w:ind w:left="100" w:right="660"/>
        <w:spacing w:after="0" w:line="253" w:lineRule="auto"/>
        <w:rPr>
          <w:sz w:val="20"/>
          <w:szCs w:val="20"/>
          <w:color w:val="auto"/>
        </w:rPr>
      </w:pPr>
      <w:r>
        <w:rPr>
          <w:rFonts w:ascii="Arial" w:cs="Arial" w:eastAsia="Arial" w:hAnsi="Arial"/>
          <w:sz w:val="22"/>
          <w:szCs w:val="22"/>
          <w:color w:val="auto"/>
        </w:rPr>
        <w:t>Total revenue for the third quarter of 2022 was $15.2 million, an increase of 4% from the $14.7 million reported in the second quarter of 2022. This is an increase of 3% compared to $14.8 million of revenue in the third quarter of 2021.</w:t>
      </w:r>
    </w:p>
    <w:p>
      <w:pPr>
        <w:spacing w:after="0" w:line="172" w:lineRule="exact"/>
        <w:rPr>
          <w:sz w:val="20"/>
          <w:szCs w:val="20"/>
          <w:color w:val="auto"/>
        </w:rPr>
      </w:pPr>
    </w:p>
    <w:p>
      <w:pPr>
        <w:jc w:val="both"/>
        <w:ind w:left="100" w:right="660"/>
        <w:spacing w:after="0" w:line="334" w:lineRule="auto"/>
        <w:rPr>
          <w:sz w:val="20"/>
          <w:szCs w:val="20"/>
          <w:color w:val="auto"/>
        </w:rPr>
      </w:pPr>
      <w:r>
        <w:rPr>
          <w:rFonts w:ascii="Arial" w:cs="Arial" w:eastAsia="Arial" w:hAnsi="Arial"/>
          <w:sz w:val="19"/>
          <w:szCs w:val="19"/>
          <w:color w:val="auto"/>
        </w:rPr>
        <w:t>MRAM product sales in the third quarter of 2022, which includes both Toggle and STT-MRAM revenue, was $14.6 million, an increase of 10% from the $13.2 million reported in the second quarter of 2022. This is an increase of 21% compared to $12.0 million in the third quarter of 2021.</w:t>
      </w:r>
    </w:p>
    <w:p>
      <w:pPr>
        <w:spacing w:after="0" w:line="127" w:lineRule="exact"/>
        <w:rPr>
          <w:sz w:val="20"/>
          <w:szCs w:val="20"/>
          <w:color w:val="auto"/>
        </w:rPr>
      </w:pPr>
    </w:p>
    <w:p>
      <w:pPr>
        <w:jc w:val="both"/>
        <w:ind w:left="100" w:right="660"/>
        <w:spacing w:after="0" w:line="358" w:lineRule="auto"/>
        <w:rPr>
          <w:sz w:val="20"/>
          <w:szCs w:val="20"/>
          <w:color w:val="auto"/>
        </w:rPr>
      </w:pPr>
      <w:r>
        <w:rPr>
          <w:rFonts w:ascii="Arial" w:cs="Arial" w:eastAsia="Arial" w:hAnsi="Arial"/>
          <w:sz w:val="19"/>
          <w:szCs w:val="19"/>
          <w:color w:val="auto"/>
        </w:rPr>
        <w:t>Licensing, Royalties, Patents and Other revenue in the third quarter of 2022 was $0.7 million compared to $1.5 million in the second quarter of 2022 and $2.8 million in the third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285750</wp:posOffset>
            </wp:positionV>
            <wp:extent cx="64122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ectPr>
          <w:pgSz w:w="11900" w:h="16838" w:orient="portrait"/>
          <w:cols w:equalWidth="0" w:num="1">
            <w:col w:w="9560"/>
          </w:cols>
          <w:pgMar w:left="1440" w:top="373" w:right="899" w:bottom="1440" w:gutter="0" w:footer="0" w:header="0"/>
        </w:sectPr>
      </w:pPr>
    </w:p>
    <w:bookmarkStart w:id="4" w:name="page5"/>
    <w:bookmarkEnd w:id="4"/>
    <w:p>
      <w:pPr>
        <w:jc w:val="both"/>
        <w:ind w:left="100" w:right="119"/>
        <w:spacing w:after="0" w:line="289" w:lineRule="auto"/>
        <w:rPr>
          <w:sz w:val="20"/>
          <w:szCs w:val="20"/>
          <w:color w:val="auto"/>
        </w:rPr>
      </w:pPr>
      <w:r>
        <w:rPr>
          <w:rFonts w:ascii="Arial" w:cs="Arial" w:eastAsia="Arial" w:hAnsi="Arial"/>
          <w:sz w:val="22"/>
          <w:szCs w:val="22"/>
          <w:color w:val="auto"/>
        </w:rPr>
        <w:t>The increase in total revenue for the third quarter of 2022 compared to the third quarter of 2021 was due to strong toggle demand and sales.</w:t>
      </w:r>
    </w:p>
    <w:p>
      <w:pPr>
        <w:spacing w:after="0" w:line="147" w:lineRule="exact"/>
        <w:rPr>
          <w:sz w:val="20"/>
          <w:szCs w:val="20"/>
          <w:color w:val="auto"/>
        </w:rPr>
      </w:pPr>
    </w:p>
    <w:p>
      <w:pPr>
        <w:jc w:val="both"/>
        <w:ind w:left="100" w:right="119"/>
        <w:spacing w:after="0" w:line="271" w:lineRule="auto"/>
        <w:rPr>
          <w:sz w:val="20"/>
          <w:szCs w:val="20"/>
          <w:color w:val="auto"/>
        </w:rPr>
      </w:pPr>
      <w:r>
        <w:rPr>
          <w:rFonts w:ascii="Arial" w:cs="Arial" w:eastAsia="Arial" w:hAnsi="Arial"/>
          <w:sz w:val="21"/>
          <w:szCs w:val="21"/>
          <w:color w:val="auto"/>
        </w:rPr>
        <w:t>Gross margin for the third quarter of 2022 was 58.8% compared to 58.4% in the second quarter of 2022, and 57.1% in the third quarter of 2021. The increase in gross margin compared to the third quarter of 2021 was attributable to increased yields of toggle products.</w:t>
      </w:r>
    </w:p>
    <w:p>
      <w:pPr>
        <w:spacing w:after="0" w:line="154" w:lineRule="exact"/>
        <w:rPr>
          <w:sz w:val="20"/>
          <w:szCs w:val="20"/>
          <w:color w:val="auto"/>
        </w:rPr>
      </w:pPr>
    </w:p>
    <w:p>
      <w:pPr>
        <w:jc w:val="both"/>
        <w:ind w:left="100" w:right="119"/>
        <w:spacing w:after="0" w:line="302" w:lineRule="auto"/>
        <w:rPr>
          <w:sz w:val="20"/>
          <w:szCs w:val="20"/>
          <w:color w:val="auto"/>
        </w:rPr>
      </w:pPr>
      <w:r>
        <w:rPr>
          <w:rFonts w:ascii="Arial" w:cs="Arial" w:eastAsia="Arial" w:hAnsi="Arial"/>
          <w:sz w:val="19"/>
          <w:szCs w:val="19"/>
          <w:color w:val="auto"/>
        </w:rPr>
        <w:t>GAAP operating expenses was $7.1 million in the third quarter of 2022, compared to $6.9 million in the second quarter of 2022 and $7.4 million in the third quarter of 2021. GAAP operating expenses decreased in the third quarter of 2022 compared to the third quarter of 2021 as a result of reduced development costs related to the new STT 28nm product that has started producing samples in 2022.</w:t>
      </w:r>
    </w:p>
    <w:p>
      <w:pPr>
        <w:spacing w:after="0" w:line="129" w:lineRule="exact"/>
        <w:rPr>
          <w:sz w:val="20"/>
          <w:szCs w:val="20"/>
          <w:color w:val="auto"/>
        </w:rPr>
      </w:pPr>
    </w:p>
    <w:p>
      <w:pPr>
        <w:jc w:val="both"/>
        <w:ind w:left="100" w:right="119"/>
        <w:spacing w:after="0" w:line="297" w:lineRule="auto"/>
        <w:rPr>
          <w:sz w:val="20"/>
          <w:szCs w:val="20"/>
          <w:color w:val="auto"/>
        </w:rPr>
      </w:pPr>
      <w:r>
        <w:rPr>
          <w:rFonts w:ascii="Arial" w:cs="Arial" w:eastAsia="Arial" w:hAnsi="Arial"/>
          <w:sz w:val="19"/>
          <w:szCs w:val="19"/>
          <w:color w:val="auto"/>
        </w:rPr>
        <w:t>GAAP net income for the third quarter of 2022 was $1.9 million, or $0.09 per basic share, based on 20.2 million weighted-average basic common shares outstanding. This is an increase compared to a net income of $1.7 million, or $0.08 per basic share, in the second quarter of 2022 and a net income of $0.9 million, or $0.05 per basic share, in the third quarter of 2021. Diluted EPS for the third quarter of 2022 increased to $0.09 based on 20.5 million weighted-average diluted common shares compared to $0.08 in the second quarter of 2022, and $0.04 in the third quarter of 2021.</w:t>
      </w:r>
    </w:p>
    <w:p>
      <w:pPr>
        <w:spacing w:after="0" w:line="133" w:lineRule="exact"/>
        <w:rPr>
          <w:sz w:val="20"/>
          <w:szCs w:val="20"/>
          <w:color w:val="auto"/>
        </w:rPr>
      </w:pPr>
    </w:p>
    <w:p>
      <w:pPr>
        <w:jc w:val="both"/>
        <w:ind w:left="100" w:right="119"/>
        <w:spacing w:after="0" w:line="263" w:lineRule="auto"/>
        <w:rPr>
          <w:sz w:val="20"/>
          <w:szCs w:val="20"/>
          <w:color w:val="auto"/>
        </w:rPr>
      </w:pPr>
      <w:r>
        <w:rPr>
          <w:rFonts w:ascii="Arial" w:cs="Arial" w:eastAsia="Arial" w:hAnsi="Arial"/>
          <w:sz w:val="22"/>
          <w:szCs w:val="22"/>
          <w:color w:val="auto"/>
        </w:rPr>
        <w:t>Adjusted EBITDA for the third quarter of 2022 improved to $3.4 million, compared to $3.3 million in the second quarter of 2022 and $2.5 million in the third quarter of 2021.</w:t>
      </w:r>
    </w:p>
    <w:p>
      <w:pPr>
        <w:spacing w:after="0" w:line="161" w:lineRule="exact"/>
        <w:rPr>
          <w:sz w:val="20"/>
          <w:szCs w:val="20"/>
          <w:color w:val="auto"/>
        </w:rPr>
      </w:pPr>
    </w:p>
    <w:p>
      <w:pPr>
        <w:jc w:val="both"/>
        <w:ind w:left="100" w:right="119"/>
        <w:spacing w:after="0" w:line="263" w:lineRule="auto"/>
        <w:rPr>
          <w:sz w:val="20"/>
          <w:szCs w:val="20"/>
          <w:color w:val="auto"/>
        </w:rPr>
      </w:pPr>
      <w:r>
        <w:rPr>
          <w:rFonts w:ascii="Arial" w:cs="Arial" w:eastAsia="Arial" w:hAnsi="Arial"/>
          <w:sz w:val="22"/>
          <w:szCs w:val="22"/>
          <w:color w:val="auto"/>
        </w:rPr>
        <w:t>Cash and cash equivalents as of the end of the third quarter of 2022 were $23.4 million, compared to $23.1 million at the end of the second quarter of 2022.</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Business Outlook</w:t>
      </w:r>
    </w:p>
    <w:p>
      <w:pPr>
        <w:spacing w:after="0" w:line="158" w:lineRule="exact"/>
        <w:rPr>
          <w:sz w:val="20"/>
          <w:szCs w:val="20"/>
          <w:color w:val="auto"/>
        </w:rPr>
      </w:pPr>
    </w:p>
    <w:p>
      <w:pPr>
        <w:jc w:val="both"/>
        <w:ind w:left="100" w:right="119"/>
        <w:spacing w:after="0" w:line="280" w:lineRule="auto"/>
        <w:rPr>
          <w:sz w:val="20"/>
          <w:szCs w:val="20"/>
          <w:color w:val="auto"/>
        </w:rPr>
      </w:pPr>
      <w:r>
        <w:rPr>
          <w:rFonts w:ascii="Arial" w:cs="Arial" w:eastAsia="Arial" w:hAnsi="Arial"/>
          <w:sz w:val="21"/>
          <w:szCs w:val="21"/>
          <w:color w:val="auto"/>
        </w:rPr>
        <w:t>For the fourth quarter 2022, Everspin is confident in its growth opportunities and ability to navigate macroeconomic challenges. Everspin expects total revenue in a range of $14.1 million to $15.1 million with some industry supply constraints to limit supply and push some unfulfilled customer demand to future quarters. Everspin expects GAAP net income per basic share to be between breakeven and $0.05, primarily influenced by expenses related to next generation 28nm STT MRAM product development and price increases from its suppliers.</w:t>
      </w:r>
    </w:p>
    <w:p>
      <w:pPr>
        <w:spacing w:after="0" w:line="159" w:lineRule="exact"/>
        <w:rPr>
          <w:sz w:val="20"/>
          <w:szCs w:val="20"/>
          <w:color w:val="auto"/>
        </w:rPr>
      </w:pPr>
    </w:p>
    <w:p>
      <w:pPr>
        <w:jc w:val="both"/>
        <w:ind w:left="100" w:right="119"/>
        <w:spacing w:after="0" w:line="311" w:lineRule="auto"/>
        <w:rPr>
          <w:sz w:val="20"/>
          <w:szCs w:val="20"/>
          <w:color w:val="auto"/>
        </w:rPr>
      </w:pPr>
      <w:r>
        <w:rPr>
          <w:rFonts w:ascii="Arial" w:cs="Arial" w:eastAsia="Arial" w:hAnsi="Arial"/>
          <w:sz w:val="19"/>
          <w:szCs w:val="19"/>
          <w:color w:val="auto"/>
        </w:rPr>
        <w:t>This outlook is dependent on Everspin's current expectations, which may be impacted by, among other things, evolving external conditions, such as the resurgence of COVID-19 and its variants, local safety guidelines, worsening impacts due to supply chain constraints or interruptions, including due to the recent military conflict in Ukraine and recent market volatility, and the other risk factors described in Everspin's filings with the Securities and Exchange Commission (the "SEC"), including its Annual Report on Form 10-K for the fiscal year ended December 31, 2021, its Quarterly Reports on Form 10-Q filed with the SEC during 2022, as well as in its subsequent filings with the SEC.</w:t>
      </w:r>
    </w:p>
    <w:p>
      <w:pPr>
        <w:spacing w:after="0" w:line="17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Use of Non-GAAP Financial Measures</w:t>
      </w:r>
    </w:p>
    <w:p>
      <w:pPr>
        <w:spacing w:after="0" w:line="27" w:lineRule="exact"/>
        <w:rPr>
          <w:sz w:val="20"/>
          <w:szCs w:val="20"/>
          <w:color w:val="auto"/>
        </w:rPr>
      </w:pPr>
    </w:p>
    <w:p>
      <w:pPr>
        <w:jc w:val="both"/>
        <w:ind w:left="100" w:right="199"/>
        <w:spacing w:after="0" w:line="244" w:lineRule="auto"/>
        <w:rPr>
          <w:sz w:val="20"/>
          <w:szCs w:val="20"/>
          <w:color w:val="auto"/>
        </w:rPr>
      </w:pPr>
      <w:r>
        <w:rPr>
          <w:rFonts w:ascii="Arial" w:cs="Arial" w:eastAsia="Arial" w:hAnsi="Arial"/>
          <w:sz w:val="22"/>
          <w:szCs w:val="22"/>
          <w:color w:val="auto"/>
        </w:rPr>
        <w:t>Everspin supplements the reporting of its financial information determined under generally accepted accounting principles in the United States of America (GAAP) with Adjusted EBITDA, which is a non-GAAP financial measure. Everspin defines Adjusted EBITDA as net income adjusted for interest expense, taxes, depreciation and amortization, stock- based compensation expense, and restructuring costs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334645</wp:posOffset>
            </wp:positionV>
            <wp:extent cx="641223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25400"/>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5" w:name="page6"/>
    <w:bookmarkEnd w:id="5"/>
    <w:p>
      <w:pPr>
        <w:jc w:val="both"/>
        <w:ind w:left="100" w:right="700"/>
        <w:spacing w:after="0" w:line="259" w:lineRule="auto"/>
        <w:rPr>
          <w:sz w:val="20"/>
          <w:szCs w:val="20"/>
          <w:color w:val="auto"/>
        </w:rPr>
      </w:pPr>
      <w:r>
        <w:rPr>
          <w:rFonts w:ascii="Arial" w:cs="Arial" w:eastAsia="Arial" w:hAnsi="Arial"/>
          <w:sz w:val="21"/>
          <w:szCs w:val="21"/>
          <w:color w:val="auto"/>
        </w:rPr>
        <w:t>Everspin’s management and board of directors use Adjusted EBITDA to understand and evaluate its operating performance and trends, to prepare and approve its annual budget and to develop short-term and long-term operating and financing plans. Accordingly, Everspin believes that Adjusted EBITDA provides useful information for investors in understanding and evaluating its operating results in the same manner as its management and board of directors. Adjusted EBITDA is a non-GAAP financial measure and should be considered in addition to, not as superior to, or as a substitute for, net income reported in accordance with GAAP. Moreover, other companies may define non-GAAP measures differently, which limits the usefulness of these measures for comparisons with such other companies. Everspin encourages investors to review its financial statements and publicly- filed reports in their entirety and not to rely on any single financial measure.</w:t>
      </w:r>
    </w:p>
    <w:p>
      <w:pPr>
        <w:spacing w:after="0" w:line="27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Conference Call</w:t>
      </w:r>
    </w:p>
    <w:p>
      <w:pPr>
        <w:spacing w:after="0" w:line="266" w:lineRule="exact"/>
        <w:rPr>
          <w:sz w:val="20"/>
          <w:szCs w:val="20"/>
          <w:color w:val="auto"/>
        </w:rPr>
      </w:pPr>
    </w:p>
    <w:p>
      <w:pPr>
        <w:ind w:left="100"/>
        <w:spacing w:after="0" w:line="253" w:lineRule="auto"/>
        <w:rPr>
          <w:sz w:val="20"/>
          <w:szCs w:val="20"/>
          <w:color w:val="auto"/>
        </w:rPr>
      </w:pPr>
      <w:r>
        <w:rPr>
          <w:rFonts w:ascii="Arial" w:cs="Arial" w:eastAsia="Arial" w:hAnsi="Arial"/>
          <w:sz w:val="22"/>
          <w:szCs w:val="22"/>
          <w:color w:val="auto"/>
        </w:rPr>
        <w:t>Everspin will host a conference call for analysts and investors on Wednesday, November 9, 2022, at 5:00 p.m. Eastern Time. Interested participants can pre-register online to receive a telephone number and a unique passcode at:</w:t>
      </w:r>
    </w:p>
    <w:p>
      <w:pPr>
        <w:spacing w:after="0" w:line="172" w:lineRule="exact"/>
        <w:rPr>
          <w:sz w:val="20"/>
          <w:szCs w:val="20"/>
          <w:color w:val="auto"/>
        </w:rPr>
      </w:pPr>
    </w:p>
    <w:p>
      <w:pPr>
        <w:ind w:left="100"/>
        <w:spacing w:after="0"/>
        <w:rPr>
          <w:sz w:val="20"/>
          <w:szCs w:val="20"/>
          <w:color w:val="auto"/>
        </w:rPr>
      </w:pPr>
      <w:r>
        <w:rPr>
          <w:rFonts w:ascii="Arial" w:cs="Arial" w:eastAsia="Arial" w:hAnsi="Arial"/>
          <w:sz w:val="22"/>
          <w:szCs w:val="22"/>
          <w:u w:val="single" w:color="auto"/>
          <w:color w:val="auto"/>
        </w:rPr>
        <w:t>https://register.vevent.com/register/BI2bf51e66aa8f4601bf211760a49b5dae</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conference call will be broadcast live in listen-only mode at:</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u w:val="single" w:color="auto"/>
          <w:color w:val="auto"/>
        </w:rPr>
        <w:t>https://edge.media-server.com/mmc/p/vpkjw7mn</w:t>
      </w:r>
    </w:p>
    <w:p>
      <w:pPr>
        <w:spacing w:after="0" w:line="206" w:lineRule="exact"/>
        <w:rPr>
          <w:sz w:val="20"/>
          <w:szCs w:val="20"/>
          <w:color w:val="auto"/>
        </w:rPr>
      </w:pPr>
    </w:p>
    <w:p>
      <w:pPr>
        <w:ind w:left="100" w:right="860"/>
        <w:spacing w:after="0" w:line="263" w:lineRule="auto"/>
        <w:rPr>
          <w:sz w:val="20"/>
          <w:szCs w:val="20"/>
          <w:color w:val="auto"/>
        </w:rPr>
      </w:pPr>
      <w:r>
        <w:rPr>
          <w:rFonts w:ascii="Arial" w:cs="Arial" w:eastAsia="Arial" w:hAnsi="Arial"/>
          <w:sz w:val="22"/>
          <w:szCs w:val="22"/>
          <w:color w:val="auto"/>
        </w:rPr>
        <w:t>The registration link and archived webcast will be available in the Investor Relations section of the company’s website at investor.everspin.com.</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About Everspin Technologies</w:t>
      </w:r>
    </w:p>
    <w:p>
      <w:pPr>
        <w:spacing w:after="0" w:line="64" w:lineRule="exact"/>
        <w:rPr>
          <w:sz w:val="20"/>
          <w:szCs w:val="20"/>
          <w:color w:val="auto"/>
        </w:rPr>
      </w:pPr>
    </w:p>
    <w:p>
      <w:pPr>
        <w:jc w:val="both"/>
        <w:ind w:left="100" w:right="700"/>
        <w:spacing w:after="0" w:line="247" w:lineRule="auto"/>
        <w:rPr>
          <w:sz w:val="20"/>
          <w:szCs w:val="20"/>
          <w:color w:val="auto"/>
        </w:rPr>
      </w:pPr>
      <w:r>
        <w:rPr>
          <w:rFonts w:ascii="Arial" w:cs="Arial" w:eastAsia="Arial" w:hAnsi="Arial"/>
          <w:sz w:val="22"/>
          <w:szCs w:val="22"/>
          <w:color w:val="auto"/>
        </w:rPr>
        <w:t>Everspin Technologies, Inc. is the world’s leading provider of Magnetoresistive RAM (MRAM). Everspin MRAM delivers the industry’s most robust, highest performance non-volatile memory for Industrial IoT, Data Center, and other mission-critical applications where data persistence is paramount. Headquartered in Chandler, Arizona, Everspin provides commercially available MRAM solutions to a large and diverse customer base. For more information, visit www.everspin.com. NASDAQ: MRAM.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-197485</wp:posOffset>
            </wp:positionV>
            <wp:extent cx="1057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791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64" w:lineRule="exact"/>
        <w:rPr>
          <w:sz w:val="20"/>
          <w:szCs w:val="20"/>
          <w:color w:val="auto"/>
        </w:rPr>
      </w:pPr>
    </w:p>
    <w:p>
      <w:pPr>
        <w:jc w:val="both"/>
        <w:ind w:left="100" w:right="700"/>
        <w:spacing w:after="0" w:line="288" w:lineRule="auto"/>
        <w:rPr>
          <w:sz w:val="20"/>
          <w:szCs w:val="20"/>
          <w:color w:val="auto"/>
        </w:rPr>
      </w:pPr>
      <w:r>
        <w:rPr>
          <w:rFonts w:ascii="Arial" w:cs="Arial" w:eastAsia="Arial" w:hAnsi="Arial"/>
          <w:sz w:val="19"/>
          <w:szCs w:val="19"/>
          <w:color w:val="auto"/>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in Mr. Aggarwal’s quote and under the caption “Business Outlook.” Forward-looking statements are identified by words such as “expects” or similar expressions. These include, but are not limited to, Everspin’s future financial performance, including the outlook for fourth quarter 2022 results. Actual results could differ materially from these forward-looking statements as a result of certain risks and uncertainties, including, without limitation, the risks set forth under the caption “Risk Factors” in Everspin’s Annual Report on Form 10-K for the year ended December 31, 2021 filed with the SEC on March 9, 2022, and its Quarterly Reports on Form 10-Q filed with the SEC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311785</wp:posOffset>
            </wp:positionV>
            <wp:extent cx="641223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26035"/>
                    </a:xfrm>
                    <a:prstGeom prst="rect">
                      <a:avLst/>
                    </a:prstGeom>
                    <a:noFill/>
                  </pic:spPr>
                </pic:pic>
              </a:graphicData>
            </a:graphic>
          </wp:anchor>
        </w:drawing>
      </w:r>
    </w:p>
    <w:p>
      <w:pPr>
        <w:sectPr>
          <w:pgSz w:w="11900" w:h="16838" w:orient="portrait"/>
          <w:cols w:equalWidth="0" w:num="1">
            <w:col w:w="9520"/>
          </w:cols>
          <w:pgMar w:left="1440" w:top="901" w:right="939" w:bottom="1440" w:gutter="0" w:footer="0" w:header="0"/>
        </w:sectPr>
      </w:pPr>
    </w:p>
    <w:bookmarkStart w:id="6" w:name="page7"/>
    <w:bookmarkEnd w:id="6"/>
    <w:p>
      <w:pPr>
        <w:jc w:val="both"/>
        <w:ind w:left="100" w:right="179"/>
        <w:spacing w:after="0" w:line="248" w:lineRule="auto"/>
        <w:rPr>
          <w:sz w:val="20"/>
          <w:szCs w:val="20"/>
          <w:color w:val="auto"/>
        </w:rPr>
      </w:pPr>
      <w:r>
        <w:rPr>
          <w:rFonts w:ascii="Arial" w:cs="Arial" w:eastAsia="Arial" w:hAnsi="Arial"/>
          <w:sz w:val="22"/>
          <w:szCs w:val="22"/>
          <w:color w:val="auto"/>
        </w:rPr>
        <w:t>2022, as well as in its subsequent filings with the SEC. Any forward-looking statements made by Everspin in this press release speak only as of the date on which they are made and subsequent events may cause theseexpectations to change. Everspin disclaims any obligations to update or alter these forward-looking statements in the future, whether as a result ofnew information, future events or otherwise.</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Company Contact: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Anuj Aggarwal, CFO</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 480-347-1082</w:t>
      </w:r>
    </w:p>
    <w:p>
      <w:pPr>
        <w:spacing w:after="0" w:line="13" w:lineRule="exact"/>
        <w:rPr>
          <w:sz w:val="20"/>
          <w:szCs w:val="20"/>
          <w:color w:val="auto"/>
        </w:rPr>
      </w:pPr>
    </w:p>
    <w:p>
      <w:pPr>
        <w:ind w:left="440" w:hanging="245"/>
        <w:spacing w:after="0"/>
        <w:tabs>
          <w:tab w:leader="none" w:pos="44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0462C1"/>
        </w:rPr>
        <w:t>anuj.aggarwal@everspin.com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881380</wp:posOffset>
            </wp:positionV>
            <wp:extent cx="64122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2"/>
          <w:szCs w:val="22"/>
          <w:b w:val="1"/>
          <w:bCs w:val="1"/>
          <w:color w:val="auto"/>
        </w:rPr>
        <w:t>EVERSPIN TECHNOLOGIES,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Balance Sheets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75"/>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9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shd w:val="clear" w:color="auto" w:fill="CCEEFF"/>
          </w:tcPr>
          <w:p>
            <w:pPr>
              <w:spacing w:after="0" w:line="250" w:lineRule="exact"/>
              <w:rPr>
                <w:sz w:val="20"/>
                <w:szCs w:val="20"/>
                <w:color w:val="auto"/>
              </w:rPr>
            </w:pPr>
            <w:r>
              <w:rPr>
                <w:rFonts w:ascii="Arial" w:cs="Arial" w:eastAsia="Arial" w:hAnsi="Arial"/>
                <w:sz w:val="22"/>
                <w:szCs w:val="22"/>
                <w:b w:val="1"/>
                <w:bCs w:val="1"/>
                <w:color w:val="auto"/>
              </w:rPr>
              <w:t>Assets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60" w:type="dxa"/>
            <w:vAlign w:val="bottom"/>
          </w:tcPr>
          <w:p>
            <w:pPr>
              <w:spacing w:after="0"/>
              <w:rPr>
                <w:sz w:val="20"/>
                <w:szCs w:val="20"/>
                <w:color w:val="auto"/>
              </w:rPr>
            </w:pPr>
            <w:r>
              <w:rPr>
                <w:rFonts w:ascii="Arial" w:cs="Arial" w:eastAsia="Arial" w:hAnsi="Arial"/>
                <w:sz w:val="22"/>
                <w:szCs w:val="22"/>
                <w:color w:val="auto"/>
              </w:rPr>
              <w:t>Current assets:</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60" w:type="dxa"/>
            <w:vAlign w:val="bottom"/>
            <w:shd w:val="clear" w:color="auto" w:fill="CCEEFF"/>
          </w:tcPr>
          <w:p>
            <w:pPr>
              <w:ind w:left="80"/>
              <w:spacing w:after="0"/>
              <w:rPr>
                <w:sz w:val="20"/>
                <w:szCs w:val="20"/>
                <w:color w:val="auto"/>
              </w:rPr>
            </w:pPr>
            <w:r>
              <w:rPr>
                <w:rFonts w:ascii="Arial" w:cs="Arial" w:eastAsia="Arial" w:hAnsi="Arial"/>
                <w:sz w:val="22"/>
                <w:szCs w:val="22"/>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23,442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21,409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60" w:type="dxa"/>
            <w:vAlign w:val="bottom"/>
          </w:tcPr>
          <w:p>
            <w:pPr>
              <w:ind w:left="80"/>
              <w:spacing w:after="0"/>
              <w:rPr>
                <w:sz w:val="20"/>
                <w:szCs w:val="20"/>
                <w:color w:val="auto"/>
              </w:rPr>
            </w:pPr>
            <w:r>
              <w:rPr>
                <w:rFonts w:ascii="Arial" w:cs="Arial" w:eastAsia="Arial" w:hAnsi="Arial"/>
                <w:sz w:val="22"/>
                <w:szCs w:val="22"/>
                <w:color w:val="auto"/>
              </w:rPr>
              <w:t>Accounts receivable, net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12,550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8,193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60" w:type="dxa"/>
            <w:vAlign w:val="bottom"/>
            <w:shd w:val="clear" w:color="auto" w:fill="CCEEFF"/>
          </w:tcPr>
          <w:p>
            <w:pPr>
              <w:ind w:left="80"/>
              <w:spacing w:after="0"/>
              <w:rPr>
                <w:sz w:val="20"/>
                <w:szCs w:val="20"/>
                <w:color w:val="auto"/>
              </w:rPr>
            </w:pPr>
            <w:r>
              <w:rPr>
                <w:rFonts w:ascii="Arial" w:cs="Arial" w:eastAsia="Arial" w:hAnsi="Arial"/>
                <w:sz w:val="22"/>
                <w:szCs w:val="22"/>
                <w:color w:val="auto"/>
              </w:rPr>
              <w:t>Inventory</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7,862</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6,396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60" w:type="dxa"/>
            <w:vAlign w:val="bottom"/>
            <w:tcBorders>
              <w:bottom w:val="single" w:sz="8" w:color="CCEEFF"/>
            </w:tcBorders>
          </w:tcPr>
          <w:p>
            <w:pPr>
              <w:ind w:left="80"/>
              <w:spacing w:after="0"/>
              <w:rPr>
                <w:sz w:val="20"/>
                <w:szCs w:val="20"/>
                <w:color w:val="auto"/>
              </w:rPr>
            </w:pPr>
            <w:r>
              <w:rPr>
                <w:rFonts w:ascii="Arial" w:cs="Arial" w:eastAsia="Arial" w:hAnsi="Arial"/>
                <w:sz w:val="22"/>
                <w:szCs w:val="22"/>
                <w:color w:val="auto"/>
              </w:rPr>
              <w:t>Prepaid expenses and other current assets</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292</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762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shd w:val="clear" w:color="auto" w:fill="CCEEFF"/>
          </w:tcPr>
          <w:p>
            <w:pPr>
              <w:ind w:left="200"/>
              <w:spacing w:after="0" w:line="250" w:lineRule="exact"/>
              <w:rPr>
                <w:sz w:val="20"/>
                <w:szCs w:val="20"/>
                <w:color w:val="auto"/>
              </w:rPr>
            </w:pPr>
            <w:r>
              <w:rPr>
                <w:rFonts w:ascii="Arial" w:cs="Arial" w:eastAsia="Arial" w:hAnsi="Arial"/>
                <w:sz w:val="22"/>
                <w:szCs w:val="22"/>
                <w:color w:val="auto"/>
              </w:rPr>
              <w:t>Total current assets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44,146</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36,760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6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2,659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973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22"/>
                <w:szCs w:val="22"/>
                <w:color w:val="auto"/>
              </w:rPr>
              <w:t>Right-of-use assets</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6,916</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60" w:type="dxa"/>
            <w:vAlign w:val="bottom"/>
            <w:tcBorders>
              <w:bottom w:val="single" w:sz="8" w:color="CCEEFF"/>
            </w:tcBorders>
          </w:tcPr>
          <w:p>
            <w:pPr>
              <w:spacing w:after="0"/>
              <w:rPr>
                <w:sz w:val="20"/>
                <w:szCs w:val="20"/>
                <w:color w:val="auto"/>
              </w:rPr>
            </w:pPr>
            <w:r>
              <w:rPr>
                <w:rFonts w:ascii="Arial" w:cs="Arial" w:eastAsia="Arial" w:hAnsi="Arial"/>
                <w:sz w:val="22"/>
                <w:szCs w:val="22"/>
                <w:color w:val="auto"/>
              </w:rPr>
              <w:t>Other assets</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00"/>
              <w:spacing w:after="0" w:line="250" w:lineRule="exact"/>
              <w:rPr>
                <w:sz w:val="20"/>
                <w:szCs w:val="20"/>
                <w:color w:val="auto"/>
              </w:rPr>
            </w:pPr>
            <w:r>
              <w:rPr>
                <w:rFonts w:ascii="Arial" w:cs="Arial" w:eastAsia="Arial" w:hAnsi="Arial"/>
                <w:sz w:val="22"/>
                <w:szCs w:val="22"/>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8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53,783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39,380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restart"/>
          </w:tcPr>
          <w:p>
            <w:pPr>
              <w:spacing w:after="0"/>
              <w:rPr>
                <w:sz w:val="20"/>
                <w:szCs w:val="20"/>
                <w:color w:val="auto"/>
              </w:rPr>
            </w:pPr>
          </w:p>
        </w:tc>
        <w:tc>
          <w:tcPr>
            <w:tcW w:w="7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60" w:type="dxa"/>
            <w:vAlign w:val="bottom"/>
          </w:tcPr>
          <w:p>
            <w:pPr>
              <w:spacing w:after="0"/>
              <w:rPr>
                <w:sz w:val="20"/>
                <w:szCs w:val="20"/>
                <w:color w:val="auto"/>
              </w:rPr>
            </w:pPr>
            <w:r>
              <w:rPr>
                <w:rFonts w:ascii="Arial" w:cs="Arial" w:eastAsia="Arial" w:hAnsi="Arial"/>
                <w:sz w:val="22"/>
                <w:szCs w:val="22"/>
                <w:color w:val="auto"/>
              </w:rPr>
              <w:t>Current liabilities:</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60" w:type="dxa"/>
            <w:vAlign w:val="bottom"/>
            <w:shd w:val="clear" w:color="auto" w:fill="CCEEFF"/>
          </w:tcPr>
          <w:p>
            <w:pPr>
              <w:ind w:left="80"/>
              <w:spacing w:after="0"/>
              <w:rPr>
                <w:sz w:val="20"/>
                <w:szCs w:val="20"/>
                <w:color w:val="auto"/>
              </w:rPr>
            </w:pPr>
            <w:r>
              <w:rPr>
                <w:rFonts w:ascii="Arial" w:cs="Arial" w:eastAsia="Arial" w:hAnsi="Arial"/>
                <w:sz w:val="22"/>
                <w:szCs w:val="22"/>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3,399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60" w:type="dxa"/>
            <w:vAlign w:val="bottom"/>
          </w:tcPr>
          <w:p>
            <w:pPr>
              <w:ind w:left="80"/>
              <w:spacing w:after="0"/>
              <w:rPr>
                <w:sz w:val="20"/>
                <w:szCs w:val="20"/>
                <w:color w:val="auto"/>
              </w:rPr>
            </w:pPr>
            <w:r>
              <w:rPr>
                <w:rFonts w:ascii="Arial" w:cs="Arial" w:eastAsia="Arial" w:hAnsi="Arial"/>
                <w:sz w:val="22"/>
                <w:szCs w:val="22"/>
                <w:color w:val="auto"/>
              </w:rPr>
              <w:t>Accrued liabilities</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2,441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3,579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60" w:type="dxa"/>
            <w:vAlign w:val="bottom"/>
            <w:shd w:val="clear" w:color="auto" w:fill="CCEEFF"/>
          </w:tcPr>
          <w:p>
            <w:pPr>
              <w:ind w:left="80"/>
              <w:spacing w:after="0"/>
              <w:rPr>
                <w:sz w:val="20"/>
                <w:szCs w:val="20"/>
                <w:color w:val="auto"/>
              </w:rPr>
            </w:pPr>
            <w:r>
              <w:rPr>
                <w:rFonts w:ascii="Arial" w:cs="Arial" w:eastAsia="Arial" w:hAnsi="Arial"/>
                <w:sz w:val="22"/>
                <w:szCs w:val="22"/>
                <w:color w:val="auto"/>
              </w:rPr>
              <w:t>Deferred revenue</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807</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832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60" w:type="dxa"/>
            <w:vAlign w:val="bottom"/>
          </w:tcPr>
          <w:p>
            <w:pPr>
              <w:ind w:left="80"/>
              <w:spacing w:after="0"/>
              <w:rPr>
                <w:sz w:val="20"/>
                <w:szCs w:val="20"/>
                <w:color w:val="auto"/>
              </w:rPr>
            </w:pPr>
            <w:r>
              <w:rPr>
                <w:rFonts w:ascii="Arial" w:cs="Arial" w:eastAsia="Arial" w:hAnsi="Arial"/>
                <w:sz w:val="22"/>
                <w:szCs w:val="22"/>
                <w:color w:val="auto"/>
              </w:rPr>
              <w:t>Current portion of long-term debt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3,182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3,370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60" w:type="dxa"/>
            <w:vAlign w:val="bottom"/>
            <w:shd w:val="clear" w:color="auto" w:fill="CCEEFF"/>
          </w:tcPr>
          <w:p>
            <w:pPr>
              <w:ind w:left="80"/>
              <w:spacing w:after="0"/>
              <w:rPr>
                <w:sz w:val="20"/>
                <w:szCs w:val="20"/>
                <w:color w:val="auto"/>
              </w:rPr>
            </w:pPr>
            <w:r>
              <w:rPr>
                <w:rFonts w:ascii="Arial" w:cs="Arial" w:eastAsia="Arial" w:hAnsi="Arial"/>
                <w:sz w:val="22"/>
                <w:szCs w:val="22"/>
                <w:color w:val="auto"/>
              </w:rPr>
              <w:t>Lease liabilities</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1,106</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724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60" w:type="dxa"/>
            <w:vAlign w:val="bottom"/>
            <w:tcBorders>
              <w:bottom w:val="single" w:sz="8" w:color="CCEEFF"/>
            </w:tcBorders>
          </w:tcPr>
          <w:p>
            <w:pPr>
              <w:ind w:left="80"/>
              <w:spacing w:after="0"/>
              <w:rPr>
                <w:sz w:val="20"/>
                <w:szCs w:val="20"/>
                <w:color w:val="auto"/>
              </w:rPr>
            </w:pPr>
            <w:r>
              <w:rPr>
                <w:rFonts w:ascii="Arial" w:cs="Arial" w:eastAsia="Arial" w:hAnsi="Arial"/>
                <w:sz w:val="22"/>
                <w:szCs w:val="22"/>
                <w:color w:val="auto"/>
              </w:rPr>
              <w:t>Other liabilities</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shd w:val="clear" w:color="auto" w:fill="CCEEFF"/>
          </w:tcPr>
          <w:p>
            <w:pPr>
              <w:ind w:left="200"/>
              <w:spacing w:after="0" w:line="250" w:lineRule="exact"/>
              <w:rPr>
                <w:sz w:val="20"/>
                <w:szCs w:val="20"/>
                <w:color w:val="auto"/>
              </w:rPr>
            </w:pPr>
            <w:r>
              <w:rPr>
                <w:rFonts w:ascii="Arial" w:cs="Arial" w:eastAsia="Arial" w:hAnsi="Arial"/>
                <w:sz w:val="22"/>
                <w:szCs w:val="22"/>
                <w:color w:val="auto"/>
              </w:rPr>
              <w:t>Total current liabilities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10,964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10,331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60" w:type="dxa"/>
            <w:vAlign w:val="bottom"/>
          </w:tcPr>
          <w:p>
            <w:pPr>
              <w:spacing w:after="0"/>
              <w:rPr>
                <w:sz w:val="20"/>
                <w:szCs w:val="20"/>
                <w:color w:val="auto"/>
              </w:rPr>
            </w:pPr>
            <w:r>
              <w:rPr>
                <w:rFonts w:ascii="Arial" w:cs="Arial" w:eastAsia="Arial" w:hAnsi="Arial"/>
                <w:sz w:val="22"/>
                <w:szCs w:val="22"/>
                <w:color w:val="auto"/>
              </w:rPr>
              <w:t>Long-term debt, net of current portion</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1,529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22"/>
                <w:szCs w:val="22"/>
                <w:color w:val="auto"/>
              </w:rPr>
              <w:t>Lease liabilities, net of current portion</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5,864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60" w:type="dxa"/>
            <w:vAlign w:val="bottom"/>
            <w:tcBorders>
              <w:bottom w:val="single" w:sz="8" w:color="CCEEFF"/>
            </w:tcBorders>
          </w:tcPr>
          <w:p>
            <w:pPr>
              <w:spacing w:after="0"/>
              <w:rPr>
                <w:sz w:val="20"/>
                <w:szCs w:val="20"/>
                <w:color w:val="auto"/>
              </w:rPr>
            </w:pPr>
            <w:r>
              <w:rPr>
                <w:rFonts w:ascii="Arial" w:cs="Arial" w:eastAsia="Arial" w:hAnsi="Arial"/>
                <w:sz w:val="22"/>
                <w:szCs w:val="22"/>
                <w:color w:val="auto"/>
              </w:rPr>
              <w:t>Long-term income tax liability</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214</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shd w:val="clear" w:color="auto" w:fill="CCEEFF"/>
          </w:tcPr>
          <w:p>
            <w:pPr>
              <w:ind w:left="200"/>
              <w:spacing w:after="0" w:line="250" w:lineRule="exact"/>
              <w:rPr>
                <w:sz w:val="20"/>
                <w:szCs w:val="20"/>
                <w:color w:val="auto"/>
              </w:rPr>
            </w:pPr>
            <w:r>
              <w:rPr>
                <w:rFonts w:ascii="Arial" w:cs="Arial" w:eastAsia="Arial" w:hAnsi="Arial"/>
                <w:sz w:val="22"/>
                <w:szCs w:val="22"/>
                <w:color w:val="auto"/>
              </w:rPr>
              <w:t>Total liabilities</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8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17,042</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12,142</w:t>
            </w:r>
          </w:p>
        </w:tc>
        <w:tc>
          <w:tcPr>
            <w:tcW w:w="0" w:type="dxa"/>
            <w:vAlign w:val="bottom"/>
          </w:tcPr>
          <w:p>
            <w:pPr>
              <w:spacing w:after="0"/>
              <w:rPr>
                <w:sz w:val="1"/>
                <w:szCs w:val="1"/>
                <w:color w:val="auto"/>
              </w:rPr>
            </w:pPr>
          </w:p>
        </w:tc>
      </w:tr>
      <w:tr>
        <w:trPr>
          <w:trHeight w:val="250"/>
        </w:trPr>
        <w:tc>
          <w:tcPr>
            <w:tcW w:w="7180" w:type="dxa"/>
            <w:vAlign w:val="bottom"/>
            <w:gridSpan w:val="2"/>
          </w:tcPr>
          <w:p>
            <w:pPr>
              <w:spacing w:after="0" w:line="250"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22"/>
                <w:szCs w:val="22"/>
                <w:color w:val="auto"/>
              </w:rPr>
              <w:t>Stockholders’ equity:</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160" w:type="dxa"/>
            <w:vAlign w:val="bottom"/>
          </w:tcPr>
          <w:p>
            <w:pPr>
              <w:ind w:left="80"/>
              <w:spacing w:after="0" w:line="248" w:lineRule="exact"/>
              <w:rPr>
                <w:sz w:val="20"/>
                <w:szCs w:val="20"/>
                <w:color w:val="auto"/>
              </w:rPr>
            </w:pPr>
            <w:r>
              <w:rPr>
                <w:rFonts w:ascii="Arial" w:cs="Arial" w:eastAsia="Arial" w:hAnsi="Arial"/>
                <w:sz w:val="22"/>
                <w:szCs w:val="22"/>
                <w:color w:val="auto"/>
                <w:w w:val="92"/>
              </w:rPr>
              <w:t>Preferred stock, $0.0001 par value per share; 5,000,000 shares authorized; no</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160" w:type="dxa"/>
            <w:vAlign w:val="bottom"/>
          </w:tcPr>
          <w:p>
            <w:pPr>
              <w:ind w:left="80"/>
              <w:spacing w:after="0"/>
              <w:rPr>
                <w:sz w:val="20"/>
                <w:szCs w:val="20"/>
                <w:color w:val="auto"/>
              </w:rPr>
            </w:pPr>
            <w:r>
              <w:rPr>
                <w:rFonts w:ascii="Arial" w:cs="Arial" w:eastAsia="Arial" w:hAnsi="Arial"/>
                <w:sz w:val="22"/>
                <w:szCs w:val="22"/>
                <w:color w:val="auto"/>
                <w:w w:val="88"/>
              </w:rPr>
              <w:t>shares issued and outstanding as of September 30, 2022 and December 31, 2021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160" w:type="dxa"/>
            <w:vAlign w:val="bottom"/>
            <w:shd w:val="clear" w:color="auto" w:fill="CCEEFF"/>
          </w:tcPr>
          <w:p>
            <w:pPr>
              <w:ind w:left="80"/>
              <w:spacing w:after="0" w:line="248" w:lineRule="exact"/>
              <w:rPr>
                <w:sz w:val="20"/>
                <w:szCs w:val="20"/>
                <w:color w:val="auto"/>
              </w:rPr>
            </w:pPr>
            <w:r>
              <w:rPr>
                <w:rFonts w:ascii="Arial" w:cs="Arial" w:eastAsia="Arial" w:hAnsi="Arial"/>
                <w:sz w:val="22"/>
                <w:szCs w:val="22"/>
                <w:color w:val="auto"/>
                <w:w w:val="93"/>
              </w:rPr>
              <w:t>Common stock, $0.0001 par value per share; 100,000,000 shares authorized;</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60" w:type="dxa"/>
            <w:vAlign w:val="bottom"/>
            <w:shd w:val="clear" w:color="auto" w:fill="CCEEFF"/>
          </w:tcPr>
          <w:p>
            <w:pPr>
              <w:ind w:left="80"/>
              <w:spacing w:after="0"/>
              <w:rPr>
                <w:sz w:val="20"/>
                <w:szCs w:val="20"/>
                <w:color w:val="auto"/>
              </w:rPr>
            </w:pPr>
            <w:r>
              <w:rPr>
                <w:rFonts w:ascii="Arial" w:cs="Arial" w:eastAsia="Arial" w:hAnsi="Arial"/>
                <w:sz w:val="22"/>
                <w:szCs w:val="22"/>
                <w:color w:val="auto"/>
              </w:rPr>
              <w:t>20,276,746 and 19,858,460 shares issued and outstanding as of</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160" w:type="dxa"/>
            <w:vAlign w:val="bottom"/>
            <w:shd w:val="clear" w:color="auto" w:fill="CCEEFF"/>
          </w:tcPr>
          <w:p>
            <w:pPr>
              <w:ind w:left="80"/>
              <w:spacing w:after="0"/>
              <w:rPr>
                <w:sz w:val="20"/>
                <w:szCs w:val="20"/>
                <w:color w:val="auto"/>
              </w:rPr>
            </w:pPr>
            <w:r>
              <w:rPr>
                <w:rFonts w:ascii="Arial" w:cs="Arial" w:eastAsia="Arial" w:hAnsi="Arial"/>
                <w:sz w:val="22"/>
                <w:szCs w:val="22"/>
                <w:color w:val="auto"/>
              </w:rPr>
              <w:t>September 30, 2022, and December 31, 2021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60" w:type="dxa"/>
            <w:vAlign w:val="bottom"/>
          </w:tcPr>
          <w:p>
            <w:pPr>
              <w:ind w:left="80"/>
              <w:spacing w:after="0"/>
              <w:rPr>
                <w:sz w:val="20"/>
                <w:szCs w:val="20"/>
                <w:color w:val="auto"/>
              </w:rPr>
            </w:pPr>
            <w:r>
              <w:rPr>
                <w:rFonts w:ascii="Arial" w:cs="Arial" w:eastAsia="Arial" w:hAnsi="Arial"/>
                <w:sz w:val="22"/>
                <w:szCs w:val="22"/>
                <w:color w:val="auto"/>
              </w:rPr>
              <w:t>Additional paid-in capital</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184,057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180,067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60" w:type="dxa"/>
            <w:vAlign w:val="bottom"/>
            <w:shd w:val="clear" w:color="auto" w:fill="CCEEFF"/>
          </w:tcPr>
          <w:p>
            <w:pPr>
              <w:ind w:left="80"/>
              <w:spacing w:after="0"/>
              <w:rPr>
                <w:sz w:val="20"/>
                <w:szCs w:val="20"/>
                <w:color w:val="auto"/>
              </w:rPr>
            </w:pPr>
            <w:r>
              <w:rPr>
                <w:rFonts w:ascii="Arial" w:cs="Arial" w:eastAsia="Arial" w:hAnsi="Arial"/>
                <w:sz w:val="22"/>
                <w:szCs w:val="22"/>
                <w:color w:val="auto"/>
              </w:rPr>
              <w:t>Accumulated deficit</w:t>
            </w:r>
          </w:p>
        </w:tc>
        <w:tc>
          <w:tcPr>
            <w:tcW w:w="14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(147,318)</w:t>
            </w:r>
          </w:p>
        </w:tc>
        <w:tc>
          <w:tcPr>
            <w:tcW w:w="2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(152,831)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tcBorders>
              <w:bottom w:val="single" w:sz="8" w:color="CCEEFF"/>
            </w:tcBorders>
          </w:tcPr>
          <w:p>
            <w:pPr>
              <w:ind w:left="200"/>
              <w:spacing w:after="0" w:line="250" w:lineRule="exact"/>
              <w:rPr>
                <w:sz w:val="20"/>
                <w:szCs w:val="20"/>
                <w:color w:val="auto"/>
              </w:rPr>
            </w:pPr>
            <w:r>
              <w:rPr>
                <w:rFonts w:ascii="Arial" w:cs="Arial" w:eastAsia="Arial" w:hAnsi="Arial"/>
                <w:sz w:val="22"/>
                <w:szCs w:val="22"/>
                <w:color w:val="auto"/>
              </w:rPr>
              <w:t>Total stockholders’ equity</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36,741</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27,238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00"/>
              <w:spacing w:after="0" w:line="250" w:lineRule="exact"/>
              <w:rPr>
                <w:sz w:val="20"/>
                <w:szCs w:val="20"/>
                <w:color w:val="auto"/>
              </w:rPr>
            </w:pPr>
            <w:r>
              <w:rPr>
                <w:rFonts w:ascii="Arial" w:cs="Arial" w:eastAsia="Arial" w:hAnsi="Arial"/>
                <w:sz w:val="22"/>
                <w:szCs w:val="22"/>
                <w:color w:val="auto"/>
              </w:rPr>
              <w:t>Total 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8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53,783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39,380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7"/>
        </w:trPr>
        <w:tc>
          <w:tcPr>
            <w:tcW w:w="2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00"/>
          </w:cols>
          <w:pgMar w:left="900" w:top="382" w:right="899" w:bottom="1440" w:gutter="0" w:footer="0" w:header="0"/>
        </w:sectPr>
      </w:pPr>
    </w:p>
    <w:bookmarkStart w:id="8" w:name="page9"/>
    <w:bookmarkEnd w:id="8"/>
    <w:p>
      <w:pPr>
        <w:jc w:val="center"/>
        <w:ind w:right="20"/>
        <w:spacing w:after="0" w:line="253" w:lineRule="auto"/>
        <w:rPr>
          <w:sz w:val="20"/>
          <w:szCs w:val="20"/>
          <w:color w:val="auto"/>
        </w:rPr>
      </w:pPr>
      <w:r>
        <w:rPr>
          <w:rFonts w:ascii="Arial" w:cs="Arial" w:eastAsia="Arial" w:hAnsi="Arial"/>
          <w:sz w:val="22"/>
          <w:szCs w:val="22"/>
          <w:b w:val="1"/>
          <w:bCs w:val="1"/>
          <w:color w:val="auto"/>
        </w:rPr>
        <w:t>EVERSPIN TECHNOLOGIES, INC. Condensed Statements of Operations and Comprehensive Income (In thousands, except share and per share amounts) (Unaudited)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shd w:val="clear" w:color="auto" w:fill="CCEEFF"/>
          </w:tcPr>
          <w:p>
            <w:pPr>
              <w:spacing w:after="0" w:line="250" w:lineRule="exact"/>
              <w:rPr>
                <w:sz w:val="20"/>
                <w:szCs w:val="20"/>
                <w:color w:val="auto"/>
              </w:rPr>
            </w:pPr>
            <w:r>
              <w:rPr>
                <w:rFonts w:ascii="Arial" w:cs="Arial" w:eastAsia="Arial" w:hAnsi="Arial"/>
                <w:sz w:val="22"/>
                <w:szCs w:val="22"/>
                <w:color w:val="auto"/>
              </w:rPr>
              <w:t>Product sales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9"/>
                <w:szCs w:val="19"/>
                <w:color w:val="auto"/>
                <w:w w:val="75"/>
              </w:rPr>
              <w:t>$</w:t>
            </w:r>
          </w:p>
        </w:tc>
        <w:tc>
          <w:tcPr>
            <w:tcW w:w="126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14,571</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9"/>
                <w:szCs w:val="19"/>
                <w:color w:val="auto"/>
                <w:w w:val="75"/>
              </w:rPr>
              <w:t>$</w:t>
            </w:r>
          </w:p>
        </w:tc>
        <w:tc>
          <w:tcPr>
            <w:tcW w:w="120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12,037</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38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40,465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40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31,292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20" w:type="dxa"/>
            <w:vAlign w:val="bottom"/>
          </w:tcPr>
          <w:p>
            <w:pPr>
              <w:spacing w:after="0" w:line="248" w:lineRule="exact"/>
              <w:rPr>
                <w:sz w:val="20"/>
                <w:szCs w:val="20"/>
                <w:color w:val="auto"/>
              </w:rPr>
            </w:pPr>
            <w:r>
              <w:rPr>
                <w:rFonts w:ascii="Arial" w:cs="Arial" w:eastAsia="Arial" w:hAnsi="Arial"/>
                <w:sz w:val="22"/>
                <w:szCs w:val="22"/>
                <w:color w:val="auto"/>
              </w:rPr>
              <w:t>Licensing, royalty, patent, and other</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40" w:type="dxa"/>
            <w:vAlign w:val="bottom"/>
            <w:gridSpan w:val="2"/>
          </w:tcPr>
          <w:p>
            <w:pPr>
              <w:spacing w:after="0"/>
              <w:rPr>
                <w:sz w:val="20"/>
                <w:szCs w:val="20"/>
                <w:color w:val="auto"/>
              </w:rPr>
            </w:pPr>
            <w:r>
              <w:rPr>
                <w:rFonts w:ascii="Arial" w:cs="Arial" w:eastAsia="Arial" w:hAnsi="Arial"/>
                <w:sz w:val="22"/>
                <w:szCs w:val="22"/>
                <w:color w:val="auto"/>
              </w:rPr>
              <w:t>revenue</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670</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2,758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3,830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5,631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top w:val="single" w:sz="8" w:color="CCEEFF"/>
            </w:tcBorders>
            <w:shd w:val="clear" w:color="auto" w:fill="CCEEFF"/>
          </w:tcPr>
          <w:p>
            <w:pPr>
              <w:ind w:left="80"/>
              <w:spacing w:after="0" w:line="250" w:lineRule="exact"/>
              <w:rPr>
                <w:sz w:val="20"/>
                <w:szCs w:val="20"/>
                <w:color w:val="auto"/>
              </w:rPr>
            </w:pPr>
            <w:r>
              <w:rPr>
                <w:rFonts w:ascii="Arial" w:cs="Arial" w:eastAsia="Arial" w:hAnsi="Arial"/>
                <w:sz w:val="22"/>
                <w:szCs w:val="22"/>
                <w:color w:val="auto"/>
              </w:rPr>
              <w:t>Total revenue</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15,241</w:t>
            </w:r>
          </w:p>
        </w:tc>
        <w:tc>
          <w:tcPr>
            <w:tcW w:w="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14,795</w:t>
            </w: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44,295</w:t>
            </w: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36,923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tcPr>
          <w:p>
            <w:pPr>
              <w:spacing w:after="0"/>
              <w:rPr>
                <w:sz w:val="20"/>
                <w:szCs w:val="20"/>
                <w:color w:val="auto"/>
              </w:rPr>
            </w:pPr>
            <w:r>
              <w:rPr>
                <w:rFonts w:ascii="Arial" w:cs="Arial" w:eastAsia="Arial" w:hAnsi="Arial"/>
                <w:sz w:val="22"/>
                <w:szCs w:val="22"/>
                <w:color w:val="auto"/>
              </w:rPr>
              <w:t>Cost of product sales</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6,122</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6,043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17,667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14,629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20" w:type="dxa"/>
            <w:vAlign w:val="bottom"/>
            <w:shd w:val="clear" w:color="auto" w:fill="CCEEFF"/>
          </w:tcPr>
          <w:p>
            <w:pPr>
              <w:spacing w:after="0" w:line="248" w:lineRule="exact"/>
              <w:rPr>
                <w:sz w:val="20"/>
                <w:szCs w:val="20"/>
                <w:color w:val="auto"/>
              </w:rPr>
            </w:pPr>
            <w:r>
              <w:rPr>
                <w:rFonts w:ascii="Arial" w:cs="Arial" w:eastAsia="Arial" w:hAnsi="Arial"/>
                <w:sz w:val="22"/>
                <w:szCs w:val="22"/>
                <w:color w:val="auto"/>
                <w:w w:val="97"/>
              </w:rPr>
              <w:t>Cost of licensing, royalty, patent, and</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22"/>
                <w:szCs w:val="22"/>
                <w:color w:val="auto"/>
              </w:rPr>
              <w:t>other revenue</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155</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304</w:t>
            </w:r>
          </w:p>
        </w:tc>
        <w:tc>
          <w:tcPr>
            <w:tcW w:w="1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750</w:t>
            </w:r>
          </w:p>
        </w:tc>
        <w:tc>
          <w:tcPr>
            <w:tcW w:w="1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tcPr>
          <w:p>
            <w:pPr>
              <w:ind w:left="80"/>
              <w:spacing w:after="0" w:line="250" w:lineRule="exact"/>
              <w:rPr>
                <w:sz w:val="20"/>
                <w:szCs w:val="20"/>
                <w:color w:val="auto"/>
              </w:rPr>
            </w:pPr>
            <w:r>
              <w:rPr>
                <w:rFonts w:ascii="Arial" w:cs="Arial" w:eastAsia="Arial" w:hAnsi="Arial"/>
                <w:sz w:val="22"/>
                <w:szCs w:val="22"/>
                <w:color w:val="auto"/>
              </w:rPr>
              <w:t>Total cost of sales</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6,277</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6,347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18,417</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15,294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shd w:val="clear" w:color="auto" w:fill="CCEEFF"/>
          </w:tcPr>
          <w:p>
            <w:pPr>
              <w:ind w:left="80"/>
              <w:spacing w:after="0" w:line="250" w:lineRule="exact"/>
              <w:rPr>
                <w:sz w:val="20"/>
                <w:szCs w:val="20"/>
                <w:color w:val="auto"/>
              </w:rPr>
            </w:pPr>
            <w:r>
              <w:rPr>
                <w:rFonts w:ascii="Arial" w:cs="Arial" w:eastAsia="Arial" w:hAnsi="Arial"/>
                <w:sz w:val="22"/>
                <w:szCs w:val="22"/>
                <w:color w:val="auto"/>
              </w:rPr>
              <w:t>Gross profit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8,964</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8,448</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25,878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21,629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tcPr>
          <w:p>
            <w:pPr>
              <w:spacing w:after="0"/>
              <w:rPr>
                <w:sz w:val="20"/>
                <w:szCs w:val="20"/>
                <w:color w:val="auto"/>
              </w:rPr>
            </w:pPr>
            <w:r>
              <w:rPr>
                <w:rFonts w:ascii="Arial" w:cs="Arial" w:eastAsia="Arial" w:hAnsi="Arial"/>
                <w:sz w:val="22"/>
                <w:szCs w:val="22"/>
                <w:color w:val="auto"/>
              </w:rPr>
              <w:t>Operating expenses:</w:t>
            </w: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shd w:val="clear" w:color="auto" w:fill="CCEEFF"/>
          </w:tcPr>
          <w:p>
            <w:pPr>
              <w:ind w:left="80"/>
              <w:spacing w:after="0"/>
              <w:rPr>
                <w:sz w:val="20"/>
                <w:szCs w:val="20"/>
                <w:color w:val="auto"/>
              </w:rPr>
            </w:pPr>
            <w:r>
              <w:rPr>
                <w:rFonts w:ascii="Arial" w:cs="Arial" w:eastAsia="Arial" w:hAnsi="Arial"/>
                <w:sz w:val="22"/>
                <w:szCs w:val="22"/>
                <w:color w:val="auto"/>
              </w:rPr>
              <w:t>Research and development</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2,879</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3,105</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8,014</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8,901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tcPr>
          <w:p>
            <w:pPr>
              <w:ind w:left="80"/>
              <w:spacing w:after="0"/>
              <w:rPr>
                <w:sz w:val="20"/>
                <w:szCs w:val="20"/>
                <w:color w:val="auto"/>
              </w:rPr>
            </w:pPr>
            <w:r>
              <w:rPr>
                <w:rFonts w:ascii="Arial" w:cs="Arial" w:eastAsia="Arial" w:hAnsi="Arial"/>
                <w:sz w:val="22"/>
                <w:szCs w:val="22"/>
                <w:color w:val="auto"/>
              </w:rPr>
              <w:t>General and administrative</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2,971</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2,996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8,560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8,177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20" w:type="dxa"/>
            <w:vAlign w:val="bottom"/>
            <w:shd w:val="clear" w:color="auto" w:fill="CCEEFF"/>
          </w:tcPr>
          <w:p>
            <w:pPr>
              <w:ind w:left="80"/>
              <w:spacing w:after="0"/>
              <w:rPr>
                <w:sz w:val="20"/>
                <w:szCs w:val="20"/>
                <w:color w:val="auto"/>
              </w:rPr>
            </w:pPr>
            <w:r>
              <w:rPr>
                <w:rFonts w:ascii="Arial" w:cs="Arial" w:eastAsia="Arial" w:hAnsi="Arial"/>
                <w:sz w:val="22"/>
                <w:szCs w:val="22"/>
                <w:color w:val="auto"/>
              </w:rPr>
              <w:t>Sales and marketing</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1,203</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1,272</w:t>
            </w:r>
          </w:p>
        </w:tc>
        <w:tc>
          <w:tcPr>
            <w:tcW w:w="1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3,629</w:t>
            </w:r>
          </w:p>
        </w:tc>
        <w:tc>
          <w:tcPr>
            <w:tcW w:w="1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3,304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tcPr>
          <w:p>
            <w:pPr>
              <w:ind w:left="200"/>
              <w:spacing w:after="0" w:line="250" w:lineRule="exact"/>
              <w:rPr>
                <w:sz w:val="20"/>
                <w:szCs w:val="20"/>
                <w:color w:val="auto"/>
              </w:rPr>
            </w:pPr>
            <w:r>
              <w:rPr>
                <w:rFonts w:ascii="Arial" w:cs="Arial" w:eastAsia="Arial" w:hAnsi="Arial"/>
                <w:sz w:val="22"/>
                <w:szCs w:val="22"/>
                <w:color w:val="auto"/>
              </w:rPr>
              <w:t>Total operating expenses</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7,053</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7,373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20,203</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20,382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shd w:val="clear" w:color="auto" w:fill="CCEEFF"/>
          </w:tcPr>
          <w:p>
            <w:pPr>
              <w:spacing w:after="0" w:line="250" w:lineRule="exact"/>
              <w:rPr>
                <w:sz w:val="20"/>
                <w:szCs w:val="20"/>
                <w:color w:val="auto"/>
              </w:rPr>
            </w:pPr>
            <w:r>
              <w:rPr>
                <w:rFonts w:ascii="Arial" w:cs="Arial" w:eastAsia="Arial" w:hAnsi="Arial"/>
                <w:sz w:val="22"/>
                <w:szCs w:val="22"/>
                <w:color w:val="auto"/>
              </w:rPr>
              <w:t>Income from operations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1,911</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1,075</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5,675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1,247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tcPr>
          <w:p>
            <w:pPr>
              <w:spacing w:after="0"/>
              <w:rPr>
                <w:sz w:val="20"/>
                <w:szCs w:val="20"/>
                <w:color w:val="auto"/>
              </w:rPr>
            </w:pPr>
            <w:r>
              <w:rPr>
                <w:rFonts w:ascii="Arial" w:cs="Arial" w:eastAsia="Arial" w:hAnsi="Arial"/>
                <w:sz w:val="22"/>
                <w:szCs w:val="22"/>
                <w:color w:val="auto"/>
              </w:rPr>
              <w:t>Interest expense</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(73)</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(165)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(218)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(461)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22"/>
                <w:szCs w:val="22"/>
                <w:color w:val="auto"/>
              </w:rPr>
              <w:t>Other income (expense), net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69</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w:t>
            </w:r>
          </w:p>
        </w:tc>
        <w:tc>
          <w:tcPr>
            <w:tcW w:w="1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56</w:t>
            </w:r>
          </w:p>
        </w:tc>
        <w:tc>
          <w:tcPr>
            <w:tcW w:w="1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50"/>
        </w:trPr>
        <w:tc>
          <w:tcPr>
            <w:tcW w:w="3540" w:type="dxa"/>
            <w:vAlign w:val="bottom"/>
            <w:gridSpan w:val="2"/>
          </w:tcPr>
          <w:p>
            <w:pPr>
              <w:spacing w:after="0" w:line="250" w:lineRule="exact"/>
              <w:rPr>
                <w:sz w:val="20"/>
                <w:szCs w:val="20"/>
                <w:color w:val="auto"/>
              </w:rPr>
            </w:pPr>
            <w:r>
              <w:rPr>
                <w:rFonts w:ascii="Arial" w:cs="Arial" w:eastAsia="Arial" w:hAnsi="Arial"/>
                <w:sz w:val="22"/>
                <w:szCs w:val="22"/>
                <w:color w:val="auto"/>
              </w:rPr>
              <w:t>Net income before income taxes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line="250" w:lineRule="exact"/>
              <w:rPr>
                <w:sz w:val="20"/>
                <w:szCs w:val="20"/>
                <w:color w:val="auto"/>
              </w:rPr>
            </w:pPr>
            <w:r>
              <w:rPr>
                <w:rFonts w:ascii="Arial" w:cs="Arial" w:eastAsia="Arial" w:hAnsi="Arial"/>
                <w:sz w:val="22"/>
                <w:szCs w:val="22"/>
                <w:color w:val="auto"/>
              </w:rPr>
              <w:t>1,907</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line="250" w:lineRule="exact"/>
              <w:rPr>
                <w:sz w:val="20"/>
                <w:szCs w:val="20"/>
                <w:color w:val="auto"/>
              </w:rPr>
            </w:pPr>
            <w:r>
              <w:rPr>
                <w:rFonts w:ascii="Arial" w:cs="Arial" w:eastAsia="Arial" w:hAnsi="Arial"/>
                <w:sz w:val="22"/>
                <w:szCs w:val="22"/>
                <w:color w:val="auto"/>
              </w:rPr>
              <w:t>902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line="250" w:lineRule="exact"/>
              <w:rPr>
                <w:sz w:val="20"/>
                <w:szCs w:val="20"/>
                <w:color w:val="auto"/>
              </w:rPr>
            </w:pPr>
            <w:r>
              <w:rPr>
                <w:rFonts w:ascii="Arial" w:cs="Arial" w:eastAsia="Arial" w:hAnsi="Arial"/>
                <w:sz w:val="22"/>
                <w:szCs w:val="22"/>
                <w:color w:val="auto"/>
              </w:rPr>
              <w:t>5,513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line="250" w:lineRule="exact"/>
              <w:rPr>
                <w:sz w:val="20"/>
                <w:szCs w:val="20"/>
                <w:color w:val="auto"/>
              </w:rPr>
            </w:pPr>
            <w:r>
              <w:rPr>
                <w:rFonts w:ascii="Arial" w:cs="Arial" w:eastAsia="Arial" w:hAnsi="Arial"/>
                <w:sz w:val="22"/>
                <w:szCs w:val="22"/>
                <w:color w:val="auto"/>
              </w:rPr>
              <w:t>751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22"/>
                <w:szCs w:val="22"/>
                <w:color w:val="auto"/>
              </w:rPr>
              <w:t>Income tax expense</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(22)</w:t>
            </w:r>
          </w:p>
        </w:tc>
        <w:tc>
          <w:tcPr>
            <w:tcW w:w="1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90"/>
        </w:trPr>
        <w:tc>
          <w:tcPr>
            <w:tcW w:w="3540" w:type="dxa"/>
            <w:vAlign w:val="bottom"/>
            <w:gridSpan w:val="2"/>
          </w:tcPr>
          <w:p>
            <w:pPr>
              <w:spacing w:after="0" w:line="250" w:lineRule="exact"/>
              <w:rPr>
                <w:sz w:val="20"/>
                <w:szCs w:val="20"/>
                <w:color w:val="auto"/>
              </w:rPr>
            </w:pPr>
            <w:r>
              <w:rPr>
                <w:rFonts w:ascii="Arial" w:cs="Arial" w:eastAsia="Arial" w:hAnsi="Arial"/>
                <w:sz w:val="22"/>
                <w:szCs w:val="22"/>
                <w:color w:val="auto"/>
                <w:w w:val="91"/>
              </w:rPr>
              <w:t>Net income and comprehensive income</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w w:val="75"/>
              </w:rPr>
              <w:t>$</w:t>
            </w:r>
          </w:p>
        </w:tc>
        <w:tc>
          <w:tcPr>
            <w:tcW w:w="12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1,907</w:t>
            </w:r>
          </w:p>
        </w:tc>
        <w:tc>
          <w:tcPr>
            <w:tcW w:w="160" w:type="dxa"/>
            <w:vAlign w:val="bottom"/>
          </w:tcPr>
          <w:p>
            <w:pPr>
              <w:spacing w:after="0"/>
              <w:rPr>
                <w:sz w:val="24"/>
                <w:szCs w:val="24"/>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880</w:t>
            </w:r>
          </w:p>
        </w:tc>
        <w:tc>
          <w:tcPr>
            <w:tcW w:w="1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3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5,513</w:t>
            </w:r>
          </w:p>
        </w:tc>
        <w:tc>
          <w:tcPr>
            <w:tcW w:w="16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4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676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Net income per common share:</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520" w:type="dxa"/>
            <w:vAlign w:val="bottom"/>
          </w:tcPr>
          <w:p>
            <w:pPr>
              <w:ind w:left="80"/>
              <w:spacing w:after="0"/>
              <w:rPr>
                <w:sz w:val="20"/>
                <w:szCs w:val="20"/>
                <w:color w:val="auto"/>
              </w:rPr>
            </w:pPr>
            <w:r>
              <w:rPr>
                <w:rFonts w:ascii="Arial" w:cs="Arial" w:eastAsia="Arial" w:hAnsi="Arial"/>
                <w:sz w:val="22"/>
                <w:szCs w:val="22"/>
                <w:color w:val="auto"/>
              </w:rPr>
              <w:t>Basic</w:t>
            </w:r>
          </w:p>
        </w:tc>
        <w:tc>
          <w:tcPr>
            <w:tcW w:w="120" w:type="dxa"/>
            <w:vAlign w:val="bottom"/>
          </w:tcPr>
          <w:p>
            <w:pPr>
              <w:spacing w:after="0"/>
              <w:rPr>
                <w:sz w:val="24"/>
                <w:szCs w:val="24"/>
                <w:color w:val="auto"/>
              </w:rPr>
            </w:pPr>
          </w:p>
        </w:tc>
        <w:tc>
          <w:tcPr>
            <w:tcW w:w="220" w:type="dxa"/>
            <w:vAlign w:val="bottom"/>
          </w:tcPr>
          <w:p>
            <w:pPr>
              <w:jc w:val="right"/>
              <w:ind w:right="23"/>
              <w:spacing w:after="0"/>
              <w:rPr>
                <w:sz w:val="20"/>
                <w:szCs w:val="20"/>
                <w:color w:val="auto"/>
              </w:rPr>
            </w:pPr>
            <w:r>
              <w:rPr>
                <w:rFonts w:ascii="Arial" w:cs="Arial" w:eastAsia="Arial" w:hAnsi="Arial"/>
                <w:sz w:val="19"/>
                <w:szCs w:val="19"/>
                <w:color w:val="auto"/>
                <w:w w:val="75"/>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0.09</w:t>
            </w:r>
          </w:p>
        </w:tc>
        <w:tc>
          <w:tcPr>
            <w:tcW w:w="440" w:type="dxa"/>
            <w:vAlign w:val="bottom"/>
            <w:gridSpan w:val="2"/>
          </w:tcPr>
          <w:p>
            <w:pPr>
              <w:jc w:val="right"/>
              <w:ind w:right="83"/>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0.05</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0.27</w:t>
            </w:r>
          </w:p>
        </w:tc>
        <w:tc>
          <w:tcPr>
            <w:tcW w:w="2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400" w:type="dxa"/>
            <w:vAlign w:val="bottom"/>
          </w:tcPr>
          <w:p>
            <w:pPr>
              <w:jc w:val="right"/>
              <w:spacing w:after="0"/>
              <w:rPr>
                <w:sz w:val="20"/>
                <w:szCs w:val="20"/>
                <w:color w:val="auto"/>
              </w:rPr>
            </w:pPr>
            <w:r>
              <w:rPr>
                <w:rFonts w:ascii="Arial" w:cs="Arial" w:eastAsia="Arial" w:hAnsi="Arial"/>
                <w:sz w:val="22"/>
                <w:szCs w:val="22"/>
                <w:color w:val="auto"/>
              </w:rPr>
              <w:t>0.03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Borders>
              <w:top w:val="single" w:sz="8" w:color="CCEEFF"/>
              <w:bottom w:val="single" w:sz="8" w:color="CCEEFF"/>
            </w:tcBorders>
            <w:shd w:val="clear" w:color="auto" w:fill="CCEEFF"/>
          </w:tcPr>
          <w:p>
            <w:pPr>
              <w:ind w:left="80"/>
              <w:spacing w:after="0" w:line="237" w:lineRule="exact"/>
              <w:rPr>
                <w:sz w:val="20"/>
                <w:szCs w:val="20"/>
                <w:color w:val="auto"/>
              </w:rPr>
            </w:pPr>
            <w:r>
              <w:rPr>
                <w:rFonts w:ascii="Arial" w:cs="Arial" w:eastAsia="Arial" w:hAnsi="Arial"/>
                <w:sz w:val="22"/>
                <w:szCs w:val="22"/>
                <w:color w:val="auto"/>
              </w:rPr>
              <w:t>Diluted</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9"/>
                <w:szCs w:val="19"/>
                <w:color w:val="auto"/>
                <w:w w:val="75"/>
              </w:rPr>
              <w:t>$</w:t>
            </w:r>
          </w:p>
        </w:tc>
        <w:tc>
          <w:tcPr>
            <w:tcW w:w="126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0.09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9"/>
                <w:szCs w:val="19"/>
                <w:color w:val="auto"/>
                <w:w w:val="75"/>
              </w:rPr>
              <w:t>$</w:t>
            </w:r>
          </w:p>
        </w:tc>
        <w:tc>
          <w:tcPr>
            <w:tcW w:w="120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0.04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38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0.27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40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vMerge w:val="restart"/>
          </w:tcPr>
          <w:p>
            <w:pPr>
              <w:spacing w:after="0" w:line="242" w:lineRule="exact"/>
              <w:rPr>
                <w:sz w:val="20"/>
                <w:szCs w:val="20"/>
                <w:color w:val="auto"/>
              </w:rPr>
            </w:pPr>
            <w:r>
              <w:rPr>
                <w:rFonts w:ascii="Arial" w:cs="Arial" w:eastAsia="Arial" w:hAnsi="Arial"/>
                <w:sz w:val="22"/>
                <w:szCs w:val="22"/>
                <w:color w:val="auto"/>
                <w:w w:val="95"/>
              </w:rPr>
              <w:t>Weighted average shares of common</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40" w:type="dxa"/>
            <w:vAlign w:val="bottom"/>
            <w:gridSpan w:val="2"/>
          </w:tcPr>
          <w:p>
            <w:pPr>
              <w:spacing w:after="0"/>
              <w:rPr>
                <w:sz w:val="20"/>
                <w:szCs w:val="20"/>
                <w:color w:val="auto"/>
              </w:rPr>
            </w:pPr>
            <w:r>
              <w:rPr>
                <w:rFonts w:ascii="Arial" w:cs="Arial" w:eastAsia="Arial" w:hAnsi="Arial"/>
                <w:sz w:val="22"/>
                <w:szCs w:val="22"/>
                <w:color w:val="auto"/>
              </w:rPr>
              <w:t>stock outstanding:</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22"/>
                <w:szCs w:val="22"/>
                <w:color w:val="auto"/>
              </w:rPr>
              <w:t>Basic</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20,206,728</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19,511,132</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20,058,744</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19,296,241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vMerge w:val="restart"/>
          </w:tcPr>
          <w:p>
            <w:pPr>
              <w:ind w:left="80"/>
              <w:spacing w:after="0"/>
              <w:rPr>
                <w:sz w:val="20"/>
                <w:szCs w:val="20"/>
                <w:color w:val="auto"/>
              </w:rPr>
            </w:pPr>
            <w:r>
              <w:rPr>
                <w:rFonts w:ascii="Arial" w:cs="Arial" w:eastAsia="Arial" w:hAnsi="Arial"/>
                <w:sz w:val="22"/>
                <w:szCs w:val="22"/>
                <w:color w:val="auto"/>
              </w:rPr>
              <w:t>Diluted</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520" w:type="dxa"/>
            <w:vAlign w:val="bottom"/>
            <w:tcBorders>
              <w:bottom w:val="single" w:sz="8" w:color="CCEEFF"/>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20,539,064</w:t>
            </w: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19,912,918</w:t>
            </w: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20,698,814</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19,787,889</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60" w:type="dxa"/>
            <w:vAlign w:val="bottom"/>
            <w:gridSpan w:val="7"/>
          </w:tcPr>
          <w:p>
            <w:pPr>
              <w:spacing w:after="0"/>
              <w:rPr>
                <w:sz w:val="20"/>
                <w:szCs w:val="20"/>
                <w:color w:val="auto"/>
              </w:rPr>
            </w:pPr>
            <w:r>
              <w:rPr>
                <w:rFonts w:ascii="Arial" w:cs="Arial" w:eastAsia="Arial" w:hAnsi="Arial"/>
                <w:sz w:val="16"/>
                <w:szCs w:val="16"/>
                <w:color w:val="auto"/>
              </w:rPr>
              <w:t>1</w:t>
            </w:r>
            <w:r>
              <w:rPr>
                <w:rFonts w:ascii="Arial" w:cs="Arial" w:eastAsia="Arial" w:hAnsi="Arial"/>
                <w:sz w:val="21"/>
                <w:szCs w:val="21"/>
                <w:color w:val="auto"/>
              </w:rPr>
              <w:t>Operating expenses include stock-based compensation as follows: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shd w:val="clear" w:color="auto" w:fill="CCEEFF"/>
          </w:tcPr>
          <w:p>
            <w:pPr>
              <w:ind w:left="80"/>
              <w:spacing w:after="0"/>
              <w:rPr>
                <w:sz w:val="20"/>
                <w:szCs w:val="20"/>
                <w:color w:val="auto"/>
              </w:rPr>
            </w:pPr>
            <w:r>
              <w:rPr>
                <w:rFonts w:ascii="Arial" w:cs="Arial" w:eastAsia="Arial" w:hAnsi="Arial"/>
                <w:sz w:val="22"/>
                <w:szCs w:val="22"/>
                <w:color w:val="auto"/>
              </w:rPr>
              <w:t>Research and development</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22"/>
                <w:szCs w:val="22"/>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462</w:t>
            </w:r>
          </w:p>
        </w:tc>
        <w:tc>
          <w:tcPr>
            <w:tcW w:w="440" w:type="dxa"/>
            <w:vAlign w:val="bottom"/>
            <w:gridSpan w:val="2"/>
            <w:shd w:val="clear" w:color="auto" w:fill="CCEEFF"/>
          </w:tcPr>
          <w:p>
            <w:pPr>
              <w:jc w:val="right"/>
              <w:ind w:right="83"/>
              <w:spacing w:after="0"/>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874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20" w:type="dxa"/>
            <w:vAlign w:val="bottom"/>
          </w:tcPr>
          <w:p>
            <w:pPr>
              <w:ind w:left="80"/>
              <w:spacing w:after="0"/>
              <w:rPr>
                <w:sz w:val="20"/>
                <w:szCs w:val="20"/>
                <w:color w:val="auto"/>
              </w:rPr>
            </w:pPr>
            <w:r>
              <w:rPr>
                <w:rFonts w:ascii="Arial" w:cs="Arial" w:eastAsia="Arial" w:hAnsi="Arial"/>
                <w:sz w:val="22"/>
                <w:szCs w:val="22"/>
                <w:color w:val="auto"/>
              </w:rPr>
              <w:t>General and administrative</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598</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434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1,616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1,224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shd w:val="clear" w:color="auto" w:fill="CCEEFF"/>
          </w:tcPr>
          <w:p>
            <w:pPr>
              <w:ind w:left="80"/>
              <w:spacing w:after="0"/>
              <w:rPr>
                <w:sz w:val="20"/>
                <w:szCs w:val="20"/>
                <w:color w:val="auto"/>
              </w:rPr>
            </w:pPr>
            <w:r>
              <w:rPr>
                <w:rFonts w:ascii="Arial" w:cs="Arial" w:eastAsia="Arial" w:hAnsi="Arial"/>
                <w:sz w:val="22"/>
                <w:szCs w:val="22"/>
                <w:color w:val="auto"/>
              </w:rPr>
              <w:t>Sales and marketing</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92</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165</w:t>
            </w:r>
          </w:p>
        </w:tc>
        <w:tc>
          <w:tcPr>
            <w:tcW w:w="1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414</w:t>
            </w:r>
          </w:p>
        </w:tc>
        <w:tc>
          <w:tcPr>
            <w:tcW w:w="1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Pr>
          <w:p>
            <w:pPr>
              <w:ind w:left="200"/>
              <w:spacing w:after="0" w:line="250" w:lineRule="exact"/>
              <w:rPr>
                <w:sz w:val="20"/>
                <w:szCs w:val="20"/>
                <w:color w:val="auto"/>
              </w:rPr>
            </w:pPr>
            <w:r>
              <w:rPr>
                <w:rFonts w:ascii="Arial" w:cs="Arial" w:eastAsia="Arial" w:hAnsi="Arial"/>
                <w:sz w:val="22"/>
                <w:szCs w:val="22"/>
                <w:color w:val="auto"/>
              </w:rPr>
              <w:t>Total stock-based compensation</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w w:val="75"/>
              </w:rPr>
              <w:t>$</w:t>
            </w:r>
          </w:p>
        </w:tc>
        <w:tc>
          <w:tcPr>
            <w:tcW w:w="12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1,152</w:t>
            </w:r>
          </w:p>
        </w:tc>
        <w:tc>
          <w:tcPr>
            <w:tcW w:w="160" w:type="dxa"/>
            <w:vAlign w:val="bottom"/>
          </w:tcPr>
          <w:p>
            <w:pPr>
              <w:spacing w:after="0"/>
              <w:rPr>
                <w:sz w:val="21"/>
                <w:szCs w:val="21"/>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1,027</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3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3,287</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4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6"/>
        </w:trPr>
        <w:tc>
          <w:tcPr>
            <w:tcW w:w="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00"/>
          </w:cols>
          <w:pgMar w:left="900" w:top="382" w:right="8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2"/>
          <w:szCs w:val="22"/>
          <w:b w:val="1"/>
          <w:bCs w:val="1"/>
          <w:color w:val="auto"/>
        </w:rPr>
        <w:t>EVERSPIN TECHNOLOGIES,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Statement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 thousands)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4"/>
                <w:szCs w:val="14"/>
                <w:color w:val="auto"/>
              </w:rPr>
            </w:pPr>
          </w:p>
        </w:tc>
        <w:tc>
          <w:tcPr>
            <w:tcW w:w="130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5,513</w:t>
            </w:r>
          </w:p>
        </w:tc>
        <w:tc>
          <w:tcPr>
            <w:tcW w:w="130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704</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on sale of property and equipment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3,287</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warrant revaluation</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8"/>
                <w:szCs w:val="18"/>
                <w:color w:val="auto"/>
              </w:rPr>
              <w:t>Non-cash interest expense</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(4,357)</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(3,022)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(1,466)</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470</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1,218</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liabilities</w:t>
            </w:r>
          </w:p>
        </w:tc>
        <w:tc>
          <w:tcPr>
            <w:tcW w:w="3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(1,320)</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Proceeds received from sale of property and equipment</w:t>
            </w:r>
          </w:p>
        </w:tc>
        <w:tc>
          <w:tcPr>
            <w:tcW w:w="3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(1,118)</w:t>
            </w: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Payments on long-term debt</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(1,800)</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(2,800)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Payments of debt issuance costs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260" w:type="dxa"/>
            <w:vAlign w:val="bottom"/>
          </w:tcPr>
          <w:p>
            <w:pPr>
              <w:spacing w:after="0" w:line="201" w:lineRule="exact"/>
              <w:rPr>
                <w:sz w:val="20"/>
                <w:szCs w:val="20"/>
                <w:color w:val="auto"/>
              </w:rPr>
            </w:pPr>
            <w:r>
              <w:rPr>
                <w:rFonts w:ascii="Arial" w:cs="Arial" w:eastAsia="Arial" w:hAnsi="Arial"/>
                <w:sz w:val="18"/>
                <w:szCs w:val="18"/>
                <w:color w:val="auto"/>
                <w:w w:val="94"/>
              </w:rPr>
              <w:t>Proceeds from exercise of stock options and purchase of shares in employee stock</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 plan</w:t>
            </w:r>
          </w:p>
        </w:tc>
        <w:tc>
          <w:tcPr>
            <w:tcW w:w="3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2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(1,107)</w:t>
            </w:r>
          </w:p>
        </w:tc>
        <w:tc>
          <w:tcPr>
            <w:tcW w:w="2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(2,401)</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2,033</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21,409</w:t>
            </w:r>
          </w:p>
        </w:tc>
        <w:tc>
          <w:tcPr>
            <w:tcW w:w="2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14,599</w:t>
            </w:r>
          </w:p>
        </w:tc>
        <w:tc>
          <w:tcPr>
            <w:tcW w:w="0" w:type="dxa"/>
            <w:vAlign w:val="bottom"/>
          </w:tcPr>
          <w:p>
            <w:pPr>
              <w:spacing w:after="0"/>
              <w:rPr>
                <w:sz w:val="1"/>
                <w:szCs w:val="1"/>
                <w:color w:val="auto"/>
              </w:rPr>
            </w:pPr>
          </w:p>
        </w:tc>
      </w:tr>
      <w:tr>
        <w:trPr>
          <w:trHeight w:val="250"/>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23,442</w:t>
            </w:r>
          </w:p>
        </w:tc>
        <w:tc>
          <w:tcPr>
            <w:tcW w:w="26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14,558</w:t>
            </w:r>
          </w:p>
        </w:tc>
        <w:tc>
          <w:tcPr>
            <w:tcW w:w="0" w:type="dxa"/>
            <w:vAlign w:val="bottom"/>
          </w:tcPr>
          <w:p>
            <w:pPr>
              <w:spacing w:after="0"/>
              <w:rPr>
                <w:sz w:val="1"/>
                <w:szCs w:val="1"/>
                <w:color w:val="auto"/>
              </w:rPr>
            </w:pPr>
          </w:p>
        </w:tc>
      </w:tr>
      <w:tr>
        <w:trPr>
          <w:trHeight w:val="197"/>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Supplementary cash flow information:</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260" w:type="dxa"/>
            <w:vAlign w:val="bottom"/>
          </w:tcPr>
          <w:p>
            <w:pPr>
              <w:spacing w:after="0"/>
              <w:rPr>
                <w:sz w:val="20"/>
                <w:szCs w:val="20"/>
                <w:color w:val="auto"/>
              </w:rPr>
            </w:pPr>
            <w:r>
              <w:rPr>
                <w:rFonts w:ascii="Arial" w:cs="Arial" w:eastAsia="Arial" w:hAnsi="Arial"/>
                <w:sz w:val="18"/>
                <w:szCs w:val="18"/>
                <w:color w:val="auto"/>
              </w:rPr>
              <w:t>Interest paid</w:t>
            </w:r>
          </w:p>
        </w:tc>
        <w:tc>
          <w:tcPr>
            <w:tcW w:w="138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130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62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cash flows paid for operating leases</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978</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Financing cash flows paid for finance leases</w:t>
            </w:r>
          </w:p>
        </w:tc>
        <w:tc>
          <w:tcPr>
            <w:tcW w:w="38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6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w:t>
            </w:r>
          </w:p>
        </w:tc>
        <w:tc>
          <w:tcPr>
            <w:tcW w:w="26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Non-cash investing and financing activities:</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260" w:type="dxa"/>
            <w:vAlign w:val="bottom"/>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38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6,837</w:t>
            </w:r>
          </w:p>
        </w:tc>
        <w:tc>
          <w:tcPr>
            <w:tcW w:w="130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62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Right-of-use assets obtained in exchange for finance lease liabilities</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w w:val="97"/>
              </w:rPr>
              <w:t>Purchases of property and equipment in accounts payable and accrued liabilities</w:t>
            </w:r>
          </w:p>
        </w:tc>
        <w:tc>
          <w:tcPr>
            <w:tcW w:w="38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6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773</w:t>
            </w:r>
          </w:p>
        </w:tc>
        <w:tc>
          <w:tcPr>
            <w:tcW w:w="26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62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Bonus settled in shares of common stock</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2"/>
        </w:trPr>
        <w:tc>
          <w:tcPr>
            <w:tcW w:w="6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00"/>
          </w:cols>
          <w:pgMar w:left="900" w:top="382" w:right="8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2"/>
          <w:szCs w:val="22"/>
          <w:b w:val="1"/>
          <w:bCs w:val="1"/>
          <w:color w:val="auto"/>
        </w:rPr>
        <w:t>EVERSPIN TECHNOLOGIES,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Adjusted EBITDA Reconciliation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 thousands)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0" w:type="dxa"/>
            <w:vAlign w:val="bottom"/>
            <w:gridSpan w:val="4"/>
          </w:tcPr>
          <w:p>
            <w:pPr>
              <w:ind w:left="220"/>
              <w:spacing w:after="0"/>
              <w:rPr>
                <w:sz w:val="20"/>
                <w:szCs w:val="20"/>
                <w:color w:val="auto"/>
              </w:rPr>
            </w:pPr>
            <w:r>
              <w:rPr>
                <w:rFonts w:ascii="Arial" w:cs="Arial" w:eastAsia="Arial" w:hAnsi="Arial"/>
                <w:sz w:val="22"/>
                <w:szCs w:val="22"/>
                <w:b w:val="1"/>
                <w:bCs w:val="1"/>
                <w:color w:val="auto"/>
                <w:w w:val="99"/>
              </w:rPr>
              <w:t>Three Months Ended</w:t>
            </w:r>
          </w:p>
        </w:tc>
        <w:tc>
          <w:tcPr>
            <w:tcW w:w="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0"/>
        </w:trPr>
        <w:tc>
          <w:tcPr>
            <w:tcW w:w="3560" w:type="dxa"/>
            <w:vAlign w:val="bottom"/>
            <w:tcBorders>
              <w:bottom w:val="single" w:sz="8" w:color="CCEEFF"/>
            </w:tcBorders>
          </w:tcPr>
          <w:p>
            <w:pPr>
              <w:spacing w:after="0"/>
              <w:rPr>
                <w:sz w:val="21"/>
                <w:szCs w:val="21"/>
                <w:color w:val="auto"/>
              </w:rPr>
            </w:pPr>
          </w:p>
        </w:tc>
        <w:tc>
          <w:tcPr>
            <w:tcW w:w="2020" w:type="dxa"/>
            <w:vAlign w:val="bottom"/>
            <w:tcBorders>
              <w:top w:val="single" w:sz="8" w:color="auto"/>
              <w:bottom w:val="single" w:sz="8" w:color="auto"/>
            </w:tcBorders>
            <w:gridSpan w:val="2"/>
          </w:tcPr>
          <w:p>
            <w:pPr>
              <w:ind w:left="100"/>
              <w:spacing w:after="0" w:line="250" w:lineRule="exact"/>
              <w:rPr>
                <w:sz w:val="20"/>
                <w:szCs w:val="20"/>
                <w:color w:val="auto"/>
              </w:rPr>
            </w:pPr>
            <w:r>
              <w:rPr>
                <w:rFonts w:ascii="Arial" w:cs="Arial" w:eastAsia="Arial" w:hAnsi="Arial"/>
                <w:sz w:val="22"/>
                <w:szCs w:val="22"/>
                <w:b w:val="1"/>
                <w:bCs w:val="1"/>
                <w:color w:val="auto"/>
                <w:w w:val="92"/>
              </w:rPr>
              <w:t>September 30, 2022</w:t>
            </w:r>
          </w:p>
        </w:tc>
        <w:tc>
          <w:tcPr>
            <w:tcW w:w="2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right"/>
              <w:ind w:right="232"/>
              <w:spacing w:after="0" w:line="250" w:lineRule="exact"/>
              <w:rPr>
                <w:sz w:val="20"/>
                <w:szCs w:val="20"/>
                <w:color w:val="auto"/>
              </w:rPr>
            </w:pPr>
            <w:r>
              <w:rPr>
                <w:rFonts w:ascii="Arial" w:cs="Arial" w:eastAsia="Arial" w:hAnsi="Arial"/>
                <w:sz w:val="22"/>
                <w:szCs w:val="22"/>
                <w:b w:val="1"/>
                <w:bCs w:val="1"/>
                <w:color w:val="auto"/>
                <w:w w:val="89"/>
              </w:rPr>
              <w:t>June 30, 2022</w:t>
            </w:r>
          </w:p>
        </w:tc>
        <w:tc>
          <w:tcPr>
            <w:tcW w:w="240" w:type="dxa"/>
            <w:vAlign w:val="bottom"/>
            <w:tcBorders>
              <w:bottom w:val="single" w:sz="8" w:color="CCEEFF"/>
            </w:tcBorders>
          </w:tcPr>
          <w:p>
            <w:pPr>
              <w:spacing w:after="0"/>
              <w:rPr>
                <w:sz w:val="21"/>
                <w:szCs w:val="21"/>
                <w:color w:val="auto"/>
              </w:rPr>
            </w:pPr>
          </w:p>
        </w:tc>
        <w:tc>
          <w:tcPr>
            <w:tcW w:w="2040" w:type="dxa"/>
            <w:vAlign w:val="bottom"/>
            <w:tcBorders>
              <w:top w:val="single" w:sz="8" w:color="auto"/>
              <w:bottom w:val="single" w:sz="8" w:color="auto"/>
            </w:tcBorders>
            <w:gridSpan w:val="2"/>
          </w:tcPr>
          <w:p>
            <w:pPr>
              <w:ind w:left="120"/>
              <w:spacing w:after="0" w:line="250" w:lineRule="exact"/>
              <w:rPr>
                <w:sz w:val="20"/>
                <w:szCs w:val="20"/>
                <w:color w:val="auto"/>
              </w:rPr>
            </w:pPr>
            <w:r>
              <w:rPr>
                <w:rFonts w:ascii="Arial" w:cs="Arial" w:eastAsia="Arial" w:hAnsi="Arial"/>
                <w:sz w:val="22"/>
                <w:szCs w:val="22"/>
                <w:b w:val="1"/>
                <w:bCs w:val="1"/>
                <w:color w:val="auto"/>
                <w:w w:val="92"/>
              </w:rPr>
              <w:t>September 30, 2021</w:t>
            </w:r>
          </w:p>
        </w:tc>
        <w:tc>
          <w:tcPr>
            <w:tcW w:w="80" w:type="dxa"/>
            <w:vAlign w:val="bottom"/>
          </w:tcPr>
          <w:p>
            <w:pPr>
              <w:spacing w:after="0"/>
              <w:rPr>
                <w:sz w:val="21"/>
                <w:szCs w:val="21"/>
                <w:color w:val="auto"/>
              </w:rPr>
            </w:pPr>
          </w:p>
        </w:tc>
      </w:tr>
      <w:tr>
        <w:trPr>
          <w:trHeight w:val="250"/>
        </w:trPr>
        <w:tc>
          <w:tcPr>
            <w:tcW w:w="3560" w:type="dxa"/>
            <w:vAlign w:val="bottom"/>
            <w:shd w:val="clear" w:color="auto" w:fill="CCEEFF"/>
          </w:tcPr>
          <w:p>
            <w:pPr>
              <w:ind w:left="100"/>
              <w:spacing w:after="0" w:line="250" w:lineRule="exact"/>
              <w:rPr>
                <w:sz w:val="20"/>
                <w:szCs w:val="20"/>
                <w:color w:val="auto"/>
              </w:rPr>
            </w:pPr>
            <w:r>
              <w:rPr>
                <w:rFonts w:ascii="Arial" w:cs="Arial" w:eastAsia="Arial" w:hAnsi="Arial"/>
                <w:sz w:val="22"/>
                <w:szCs w:val="22"/>
                <w:b w:val="1"/>
                <w:bCs w:val="1"/>
                <w:color w:val="auto"/>
              </w:rPr>
              <w:t>Adjusted EBITDA reconciliation:</w:t>
            </w:r>
          </w:p>
        </w:tc>
        <w:tc>
          <w:tcPr>
            <w:tcW w:w="8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3560" w:type="dxa"/>
            <w:vAlign w:val="bottom"/>
          </w:tcPr>
          <w:p>
            <w:pPr>
              <w:ind w:left="100"/>
              <w:spacing w:after="0"/>
              <w:rPr>
                <w:sz w:val="20"/>
                <w:szCs w:val="20"/>
                <w:color w:val="auto"/>
              </w:rPr>
            </w:pPr>
            <w:r>
              <w:rPr>
                <w:rFonts w:ascii="Arial" w:cs="Arial" w:eastAsia="Arial" w:hAnsi="Arial"/>
                <w:sz w:val="22"/>
                <w:szCs w:val="22"/>
                <w:color w:val="auto"/>
              </w:rPr>
              <w:t>Net income</w:t>
            </w:r>
          </w:p>
        </w:tc>
        <w:tc>
          <w:tcPr>
            <w:tcW w:w="800" w:type="dxa"/>
            <w:vAlign w:val="bottom"/>
          </w:tcPr>
          <w:p>
            <w:pPr>
              <w:ind w:left="100"/>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1,907</w:t>
            </w:r>
          </w:p>
        </w:tc>
        <w:tc>
          <w:tcPr>
            <w:tcW w:w="5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640" w:type="dxa"/>
            <w:vAlign w:val="bottom"/>
          </w:tcPr>
          <w:p>
            <w:pPr>
              <w:jc w:val="right"/>
              <w:ind w:right="52"/>
              <w:spacing w:after="0"/>
              <w:rPr>
                <w:sz w:val="20"/>
                <w:szCs w:val="20"/>
                <w:color w:val="auto"/>
              </w:rPr>
            </w:pPr>
            <w:r>
              <w:rPr>
                <w:rFonts w:ascii="Arial" w:cs="Arial" w:eastAsia="Arial" w:hAnsi="Arial"/>
                <w:sz w:val="22"/>
                <w:szCs w:val="22"/>
                <w:color w:val="auto"/>
              </w:rPr>
              <w:t>1,671</w:t>
            </w:r>
          </w:p>
        </w:tc>
        <w:tc>
          <w:tcPr>
            <w:tcW w:w="24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880</w:t>
            </w:r>
          </w:p>
        </w:tc>
        <w:tc>
          <w:tcPr>
            <w:tcW w:w="80" w:type="dxa"/>
            <w:vAlign w:val="bottom"/>
          </w:tcPr>
          <w:p>
            <w:pPr>
              <w:spacing w:after="0"/>
              <w:rPr>
                <w:sz w:val="23"/>
                <w:szCs w:val="23"/>
                <w:color w:val="auto"/>
              </w:rPr>
            </w:pPr>
          </w:p>
        </w:tc>
      </w:tr>
      <w:tr>
        <w:trPr>
          <w:trHeight w:val="270"/>
        </w:trPr>
        <w:tc>
          <w:tcPr>
            <w:tcW w:w="3560" w:type="dxa"/>
            <w:vAlign w:val="bottom"/>
            <w:shd w:val="clear" w:color="auto" w:fill="CCEEFF"/>
          </w:tcPr>
          <w:p>
            <w:pPr>
              <w:ind w:left="100"/>
              <w:spacing w:after="0"/>
              <w:rPr>
                <w:sz w:val="20"/>
                <w:szCs w:val="20"/>
                <w:color w:val="auto"/>
              </w:rPr>
            </w:pPr>
            <w:r>
              <w:rPr>
                <w:rFonts w:ascii="Arial" w:cs="Arial" w:eastAsia="Arial" w:hAnsi="Arial"/>
                <w:sz w:val="22"/>
                <w:szCs w:val="22"/>
                <w:color w:val="auto"/>
              </w:rPr>
              <w:t>Depreciation and amortization</w:t>
            </w:r>
          </w:p>
        </w:tc>
        <w:tc>
          <w:tcPr>
            <w:tcW w:w="8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rPr>
              <w:t>242</w:t>
            </w: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rPr>
              <w:t>204</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rPr>
              <w:t>361</w:t>
            </w:r>
          </w:p>
        </w:tc>
        <w:tc>
          <w:tcPr>
            <w:tcW w:w="80" w:type="dxa"/>
            <w:vAlign w:val="bottom"/>
          </w:tcPr>
          <w:p>
            <w:pPr>
              <w:spacing w:after="0"/>
              <w:rPr>
                <w:sz w:val="23"/>
                <w:szCs w:val="23"/>
                <w:color w:val="auto"/>
              </w:rPr>
            </w:pPr>
          </w:p>
        </w:tc>
      </w:tr>
      <w:tr>
        <w:trPr>
          <w:trHeight w:val="270"/>
        </w:trPr>
        <w:tc>
          <w:tcPr>
            <w:tcW w:w="3560" w:type="dxa"/>
            <w:vAlign w:val="bottom"/>
          </w:tcPr>
          <w:p>
            <w:pPr>
              <w:ind w:left="100"/>
              <w:spacing w:after="0"/>
              <w:rPr>
                <w:sz w:val="20"/>
                <w:szCs w:val="20"/>
                <w:color w:val="auto"/>
              </w:rPr>
            </w:pPr>
            <w:r>
              <w:rPr>
                <w:rFonts w:ascii="Arial" w:cs="Arial" w:eastAsia="Arial" w:hAnsi="Arial"/>
                <w:sz w:val="22"/>
                <w:szCs w:val="22"/>
                <w:color w:val="auto"/>
                <w:w w:val="96"/>
              </w:rPr>
              <w:t>Stock-based compensation expense</w:t>
            </w:r>
          </w:p>
        </w:tc>
        <w:tc>
          <w:tcPr>
            <w:tcW w:w="8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1,152</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right"/>
              <w:ind w:right="52"/>
              <w:spacing w:after="0"/>
              <w:rPr>
                <w:sz w:val="20"/>
                <w:szCs w:val="20"/>
                <w:color w:val="auto"/>
              </w:rPr>
            </w:pPr>
            <w:r>
              <w:rPr>
                <w:rFonts w:ascii="Arial" w:cs="Arial" w:eastAsia="Arial" w:hAnsi="Arial"/>
                <w:sz w:val="22"/>
                <w:szCs w:val="22"/>
                <w:color w:val="auto"/>
              </w:rPr>
              <w:t>1,311</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1,027</w:t>
            </w:r>
          </w:p>
        </w:tc>
        <w:tc>
          <w:tcPr>
            <w:tcW w:w="80" w:type="dxa"/>
            <w:vAlign w:val="bottom"/>
          </w:tcPr>
          <w:p>
            <w:pPr>
              <w:spacing w:after="0"/>
              <w:rPr>
                <w:sz w:val="23"/>
                <w:szCs w:val="23"/>
                <w:color w:val="auto"/>
              </w:rPr>
            </w:pPr>
          </w:p>
        </w:tc>
      </w:tr>
      <w:tr>
        <w:trPr>
          <w:trHeight w:val="270"/>
        </w:trPr>
        <w:tc>
          <w:tcPr>
            <w:tcW w:w="3560" w:type="dxa"/>
            <w:vAlign w:val="bottom"/>
            <w:shd w:val="clear" w:color="auto" w:fill="CCEEFF"/>
          </w:tcPr>
          <w:p>
            <w:pPr>
              <w:ind w:left="100"/>
              <w:spacing w:after="0"/>
              <w:rPr>
                <w:sz w:val="20"/>
                <w:szCs w:val="20"/>
                <w:color w:val="auto"/>
              </w:rPr>
            </w:pPr>
            <w:r>
              <w:rPr>
                <w:rFonts w:ascii="Arial" w:cs="Arial" w:eastAsia="Arial" w:hAnsi="Arial"/>
                <w:sz w:val="22"/>
                <w:szCs w:val="22"/>
                <w:color w:val="auto"/>
              </w:rPr>
              <w:t>Interest expense</w:t>
            </w:r>
          </w:p>
        </w:tc>
        <w:tc>
          <w:tcPr>
            <w:tcW w:w="8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rPr>
              <w:t>73</w:t>
            </w: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rPr>
              <w:t>70</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rPr>
              <w:t>165</w:t>
            </w:r>
          </w:p>
        </w:tc>
        <w:tc>
          <w:tcPr>
            <w:tcW w:w="80" w:type="dxa"/>
            <w:vAlign w:val="bottom"/>
          </w:tcPr>
          <w:p>
            <w:pPr>
              <w:spacing w:after="0"/>
              <w:rPr>
                <w:sz w:val="23"/>
                <w:szCs w:val="23"/>
                <w:color w:val="auto"/>
              </w:rPr>
            </w:pPr>
          </w:p>
        </w:tc>
      </w:tr>
      <w:tr>
        <w:trPr>
          <w:trHeight w:val="282"/>
        </w:trPr>
        <w:tc>
          <w:tcPr>
            <w:tcW w:w="3560" w:type="dxa"/>
            <w:vAlign w:val="bottom"/>
            <w:tcBorders>
              <w:bottom w:val="single" w:sz="8" w:color="CCEEFF"/>
            </w:tcBorders>
          </w:tcPr>
          <w:p>
            <w:pPr>
              <w:ind w:left="100"/>
              <w:spacing w:after="0"/>
              <w:rPr>
                <w:sz w:val="20"/>
                <w:szCs w:val="20"/>
                <w:color w:val="auto"/>
              </w:rPr>
            </w:pPr>
            <w:r>
              <w:rPr>
                <w:rFonts w:ascii="Arial" w:cs="Arial" w:eastAsia="Arial" w:hAnsi="Arial"/>
                <w:sz w:val="22"/>
                <w:szCs w:val="22"/>
                <w:color w:val="auto"/>
              </w:rPr>
              <w:t>Income tax expense</w:t>
            </w: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22</w:t>
            </w:r>
          </w:p>
        </w:tc>
        <w:tc>
          <w:tcPr>
            <w:tcW w:w="80" w:type="dxa"/>
            <w:vAlign w:val="bottom"/>
          </w:tcPr>
          <w:p>
            <w:pPr>
              <w:spacing w:after="0"/>
              <w:rPr>
                <w:sz w:val="24"/>
                <w:szCs w:val="24"/>
                <w:color w:val="auto"/>
              </w:rPr>
            </w:pPr>
          </w:p>
        </w:tc>
      </w:tr>
      <w:tr>
        <w:trPr>
          <w:trHeight w:val="252"/>
        </w:trPr>
        <w:tc>
          <w:tcPr>
            <w:tcW w:w="3560" w:type="dxa"/>
            <w:vAlign w:val="bottom"/>
            <w:tcBorders>
              <w:bottom w:val="single" w:sz="8" w:color="CCEEFF"/>
            </w:tcBorders>
            <w:shd w:val="clear" w:color="auto" w:fill="CCEEFF"/>
          </w:tcPr>
          <w:p>
            <w:pPr>
              <w:ind w:left="100"/>
              <w:spacing w:after="0" w:line="251" w:lineRule="exact"/>
              <w:rPr>
                <w:sz w:val="20"/>
                <w:szCs w:val="20"/>
                <w:color w:val="auto"/>
              </w:rPr>
            </w:pPr>
            <w:r>
              <w:rPr>
                <w:rFonts w:ascii="Arial" w:cs="Arial" w:eastAsia="Arial" w:hAnsi="Arial"/>
                <w:sz w:val="22"/>
                <w:szCs w:val="22"/>
                <w:color w:val="auto"/>
              </w:rPr>
              <w:t>Adjusted EBITDA</w:t>
            </w:r>
          </w:p>
        </w:tc>
        <w:tc>
          <w:tcPr>
            <w:tcW w:w="800" w:type="dxa"/>
            <w:vAlign w:val="bottom"/>
            <w:tcBorders>
              <w:bottom w:val="single" w:sz="8" w:color="auto"/>
            </w:tcBorders>
            <w:shd w:val="clear" w:color="auto" w:fill="CCEEFF"/>
          </w:tcPr>
          <w:p>
            <w:pPr>
              <w:ind w:left="100"/>
              <w:spacing w:after="0" w:line="251" w:lineRule="exact"/>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shd w:val="clear" w:color="auto" w:fill="CCEEFF"/>
          </w:tcPr>
          <w:p>
            <w:pPr>
              <w:jc w:val="right"/>
              <w:ind w:right="52"/>
              <w:spacing w:after="0" w:line="251" w:lineRule="exact"/>
              <w:rPr>
                <w:sz w:val="20"/>
                <w:szCs w:val="20"/>
                <w:color w:val="auto"/>
              </w:rPr>
            </w:pPr>
            <w:r>
              <w:rPr>
                <w:rFonts w:ascii="Arial" w:cs="Arial" w:eastAsia="Arial" w:hAnsi="Arial"/>
                <w:sz w:val="22"/>
                <w:szCs w:val="22"/>
                <w:color w:val="auto"/>
              </w:rPr>
              <w:t>3,374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line="251" w:lineRule="exact"/>
              <w:rPr>
                <w:sz w:val="20"/>
                <w:szCs w:val="20"/>
                <w:color w:val="auto"/>
              </w:rPr>
            </w:pPr>
            <w:r>
              <w:rPr>
                <w:rFonts w:ascii="Arial" w:cs="Arial" w:eastAsia="Arial" w:hAnsi="Arial"/>
                <w:sz w:val="22"/>
                <w:szCs w:val="22"/>
                <w:color w:val="auto"/>
              </w:rPr>
              <w:t>$</w:t>
            </w:r>
          </w:p>
        </w:tc>
        <w:tc>
          <w:tcPr>
            <w:tcW w:w="1640" w:type="dxa"/>
            <w:vAlign w:val="bottom"/>
            <w:tcBorders>
              <w:bottom w:val="single" w:sz="8" w:color="auto"/>
            </w:tcBorders>
            <w:shd w:val="clear" w:color="auto" w:fill="CCEEFF"/>
          </w:tcPr>
          <w:p>
            <w:pPr>
              <w:jc w:val="right"/>
              <w:ind w:right="52"/>
              <w:spacing w:after="0" w:line="251" w:lineRule="exact"/>
              <w:rPr>
                <w:sz w:val="20"/>
                <w:szCs w:val="20"/>
                <w:color w:val="auto"/>
              </w:rPr>
            </w:pPr>
            <w:r>
              <w:rPr>
                <w:rFonts w:ascii="Arial" w:cs="Arial" w:eastAsia="Arial" w:hAnsi="Arial"/>
                <w:sz w:val="22"/>
                <w:szCs w:val="22"/>
                <w:color w:val="auto"/>
              </w:rPr>
              <w:t>3,256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100"/>
              <w:spacing w:after="0" w:line="251" w:lineRule="exact"/>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shd w:val="clear" w:color="auto" w:fill="CCEEFF"/>
          </w:tcPr>
          <w:p>
            <w:pPr>
              <w:jc w:val="right"/>
              <w:ind w:right="52"/>
              <w:spacing w:after="0" w:line="251" w:lineRule="exact"/>
              <w:rPr>
                <w:sz w:val="20"/>
                <w:szCs w:val="20"/>
                <w:color w:val="auto"/>
              </w:rPr>
            </w:pPr>
            <w:r>
              <w:rPr>
                <w:rFonts w:ascii="Arial" w:cs="Arial" w:eastAsia="Arial" w:hAnsi="Arial"/>
                <w:sz w:val="22"/>
                <w:szCs w:val="22"/>
                <w:color w:val="auto"/>
              </w:rPr>
              <w:t>2,455</w:t>
            </w:r>
          </w:p>
        </w:tc>
        <w:tc>
          <w:tcPr>
            <w:tcW w:w="80" w:type="dxa"/>
            <w:vAlign w:val="bottom"/>
          </w:tcPr>
          <w:p>
            <w:pPr>
              <w:spacing w:after="0"/>
              <w:rPr>
                <w:sz w:val="21"/>
                <w:szCs w:val="21"/>
                <w:color w:val="auto"/>
              </w:rPr>
            </w:pPr>
          </w:p>
        </w:tc>
      </w:tr>
      <w:tr>
        <w:trPr>
          <w:trHeight w:val="20"/>
        </w:trPr>
        <w:tc>
          <w:tcPr>
            <w:tcW w:w="3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10"/>
        </w:trPr>
        <w:tc>
          <w:tcPr>
            <w:tcW w:w="3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100"/>
      </w:cols>
      <w:pgMar w:left="900" w:top="382"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2022-11-09T15:47:47Z</dcterms:created>
  <dcterms:modified xsi:type="dcterms:W3CDTF">2022-11-09T15:47:47Z</dcterms:modified>
</cp:coreProperties>
</file>