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133350</wp:posOffset>
            </wp:positionV>
            <wp:extent cx="5657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144780</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February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144780</wp:posOffset>
            </wp:positionV>
            <wp:extent cx="5657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Everspin Technologies, Inc.</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133350</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83"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194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5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001-37900</w:t>
            </w:r>
          </w:p>
        </w:tc>
        <w:tc>
          <w:tcPr>
            <w:tcW w:w="154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26-2640654</w:t>
            </w:r>
          </w:p>
        </w:tc>
      </w:tr>
      <w:tr>
        <w:trPr>
          <w:trHeight w:val="148"/>
        </w:trPr>
        <w:tc>
          <w:tcPr>
            <w:tcW w:w="194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5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5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9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5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54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28"/>
        </w:trPr>
        <w:tc>
          <w:tcPr>
            <w:tcW w:w="1940" w:type="dxa"/>
            <w:vAlign w:val="bottom"/>
          </w:tcPr>
          <w:p>
            <w:pPr>
              <w:spacing w:after="0"/>
              <w:rPr>
                <w:sz w:val="19"/>
                <w:szCs w:val="19"/>
                <w:color w:val="auto"/>
              </w:rPr>
            </w:pPr>
          </w:p>
        </w:tc>
        <w:tc>
          <w:tcPr>
            <w:tcW w:w="45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5670 W. Chandler Blvd.</w:t>
            </w:r>
          </w:p>
        </w:tc>
        <w:tc>
          <w:tcPr>
            <w:tcW w:w="1540" w:type="dxa"/>
            <w:vAlign w:val="bottom"/>
          </w:tcPr>
          <w:p>
            <w:pPr>
              <w:spacing w:after="0"/>
              <w:rPr>
                <w:sz w:val="19"/>
                <w:szCs w:val="19"/>
                <w:color w:val="auto"/>
              </w:rPr>
            </w:pPr>
          </w:p>
        </w:tc>
      </w:tr>
      <w:tr>
        <w:trPr>
          <w:trHeight w:val="149"/>
        </w:trPr>
        <w:tc>
          <w:tcPr>
            <w:tcW w:w="1940" w:type="dxa"/>
            <w:vAlign w:val="bottom"/>
          </w:tcPr>
          <w:p>
            <w:pPr>
              <w:spacing w:after="0"/>
              <w:rPr>
                <w:sz w:val="12"/>
                <w:szCs w:val="12"/>
                <w:color w:val="auto"/>
              </w:rPr>
            </w:pPr>
          </w:p>
        </w:tc>
        <w:tc>
          <w:tcPr>
            <w:tcW w:w="45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Suite 130</w:t>
            </w:r>
          </w:p>
        </w:tc>
        <w:tc>
          <w:tcPr>
            <w:tcW w:w="1540" w:type="dxa"/>
            <w:vAlign w:val="bottom"/>
          </w:tcPr>
          <w:p>
            <w:pPr>
              <w:spacing w:after="0"/>
              <w:rPr>
                <w:sz w:val="12"/>
                <w:szCs w:val="12"/>
                <w:color w:val="auto"/>
              </w:rPr>
            </w:pPr>
          </w:p>
        </w:tc>
      </w:tr>
      <w:tr>
        <w:trPr>
          <w:trHeight w:val="148"/>
        </w:trPr>
        <w:tc>
          <w:tcPr>
            <w:tcW w:w="1940" w:type="dxa"/>
            <w:vAlign w:val="bottom"/>
          </w:tcPr>
          <w:p>
            <w:pPr>
              <w:spacing w:after="0"/>
              <w:rPr>
                <w:sz w:val="12"/>
                <w:szCs w:val="12"/>
                <w:color w:val="auto"/>
              </w:rPr>
            </w:pPr>
          </w:p>
        </w:tc>
        <w:tc>
          <w:tcPr>
            <w:tcW w:w="45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Chandler, Arizona 85226</w:t>
            </w:r>
          </w:p>
        </w:tc>
        <w:tc>
          <w:tcPr>
            <w:tcW w:w="1540" w:type="dxa"/>
            <w:vAlign w:val="bottom"/>
          </w:tcPr>
          <w:p>
            <w:pPr>
              <w:spacing w:after="0"/>
              <w:rPr>
                <w:sz w:val="12"/>
                <w:szCs w:val="12"/>
                <w:color w:val="auto"/>
              </w:rPr>
            </w:pPr>
          </w:p>
        </w:tc>
      </w:tr>
      <w:tr>
        <w:trPr>
          <w:trHeight w:val="190"/>
        </w:trPr>
        <w:tc>
          <w:tcPr>
            <w:tcW w:w="1940" w:type="dxa"/>
            <w:vAlign w:val="bottom"/>
          </w:tcPr>
          <w:p>
            <w:pPr>
              <w:spacing w:after="0"/>
              <w:rPr>
                <w:sz w:val="16"/>
                <w:szCs w:val="16"/>
                <w:color w:val="auto"/>
              </w:rPr>
            </w:pPr>
          </w:p>
        </w:tc>
        <w:tc>
          <w:tcPr>
            <w:tcW w:w="45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540" w:type="dxa"/>
            <w:vAlign w:val="bottom"/>
          </w:tcPr>
          <w:p>
            <w:pPr>
              <w:spacing w:after="0"/>
              <w:rPr>
                <w:sz w:val="16"/>
                <w:szCs w:val="16"/>
                <w:color w:val="auto"/>
              </w:rPr>
            </w:pPr>
          </w:p>
        </w:tc>
      </w:tr>
      <w:tr>
        <w:trPr>
          <w:trHeight w:val="228"/>
        </w:trPr>
        <w:tc>
          <w:tcPr>
            <w:tcW w:w="1940" w:type="dxa"/>
            <w:vAlign w:val="bottom"/>
          </w:tcPr>
          <w:p>
            <w:pPr>
              <w:spacing w:after="0"/>
              <w:rPr>
                <w:sz w:val="19"/>
                <w:szCs w:val="19"/>
                <w:color w:val="auto"/>
              </w:rPr>
            </w:pPr>
          </w:p>
        </w:tc>
        <w:tc>
          <w:tcPr>
            <w:tcW w:w="45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(480) 347-1111</w:t>
            </w:r>
          </w:p>
        </w:tc>
        <w:tc>
          <w:tcPr>
            <w:tcW w:w="1540" w:type="dxa"/>
            <w:vAlign w:val="bottom"/>
          </w:tcPr>
          <w:p>
            <w:pPr>
              <w:spacing w:after="0"/>
              <w:rPr>
                <w:sz w:val="19"/>
                <w:szCs w:val="19"/>
                <w:color w:val="auto"/>
              </w:rPr>
            </w:pPr>
          </w:p>
        </w:tc>
      </w:tr>
      <w:tr>
        <w:trPr>
          <w:trHeight w:val="190"/>
        </w:trPr>
        <w:tc>
          <w:tcPr>
            <w:tcW w:w="1940" w:type="dxa"/>
            <w:vAlign w:val="bottom"/>
          </w:tcPr>
          <w:p>
            <w:pPr>
              <w:spacing w:after="0"/>
              <w:rPr>
                <w:sz w:val="16"/>
                <w:szCs w:val="16"/>
                <w:color w:val="auto"/>
              </w:rPr>
            </w:pPr>
          </w:p>
        </w:tc>
        <w:tc>
          <w:tcPr>
            <w:tcW w:w="45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540" w:type="dxa"/>
            <w:vAlign w:val="bottom"/>
          </w:tcPr>
          <w:p>
            <w:pPr>
              <w:spacing w:after="0"/>
              <w:rPr>
                <w:sz w:val="16"/>
                <w:szCs w:val="16"/>
                <w:color w:val="auto"/>
              </w:rPr>
            </w:pPr>
          </w:p>
        </w:tc>
      </w:tr>
      <w:tr>
        <w:trPr>
          <w:trHeight w:val="228"/>
        </w:trPr>
        <w:tc>
          <w:tcPr>
            <w:tcW w:w="1940" w:type="dxa"/>
            <w:vAlign w:val="bottom"/>
          </w:tcPr>
          <w:p>
            <w:pPr>
              <w:spacing w:after="0"/>
              <w:rPr>
                <w:sz w:val="19"/>
                <w:szCs w:val="19"/>
                <w:color w:val="auto"/>
              </w:rPr>
            </w:pPr>
          </w:p>
        </w:tc>
        <w:tc>
          <w:tcPr>
            <w:tcW w:w="45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1540" w:type="dxa"/>
            <w:vAlign w:val="bottom"/>
          </w:tcPr>
          <w:p>
            <w:pPr>
              <w:spacing w:after="0"/>
              <w:rPr>
                <w:sz w:val="19"/>
                <w:szCs w:val="19"/>
                <w:color w:val="auto"/>
              </w:rPr>
            </w:pPr>
          </w:p>
        </w:tc>
      </w:tr>
      <w:tr>
        <w:trPr>
          <w:trHeight w:val="190"/>
        </w:trPr>
        <w:tc>
          <w:tcPr>
            <w:tcW w:w="1940" w:type="dxa"/>
            <w:vAlign w:val="bottom"/>
          </w:tcPr>
          <w:p>
            <w:pPr>
              <w:spacing w:after="0"/>
              <w:rPr>
                <w:sz w:val="16"/>
                <w:szCs w:val="16"/>
                <w:color w:val="auto"/>
              </w:rPr>
            </w:pPr>
          </w:p>
        </w:tc>
        <w:tc>
          <w:tcPr>
            <w:tcW w:w="45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5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126365</wp:posOffset>
            </wp:positionV>
            <wp:extent cx="56578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72" w:lineRule="exact"/>
        <w:rPr>
          <w:sz w:val="24"/>
          <w:szCs w:val="24"/>
          <w:color w:val="auto"/>
        </w:rPr>
      </w:pPr>
    </w:p>
    <w:p>
      <w:pPr>
        <w:ind w:left="60" w:right="539"/>
        <w:spacing w:after="0" w:line="261"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82" w:lineRule="exact"/>
        <w:rPr>
          <w:sz w:val="24"/>
          <w:szCs w:val="24"/>
          <w:color w:val="auto"/>
        </w:rPr>
      </w:pPr>
    </w:p>
    <w:p>
      <w:pPr>
        <w:ind w:left="460" w:hanging="410"/>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460" w:hanging="410"/>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460" w:hanging="410"/>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36" w:lineRule="exact"/>
        <w:rPr>
          <w:rFonts w:ascii="MS PGothic" w:cs="MS PGothic" w:eastAsia="MS PGothic" w:hAnsi="MS PGothic"/>
          <w:sz w:val="14"/>
          <w:szCs w:val="14"/>
          <w:color w:val="auto"/>
        </w:rPr>
      </w:pPr>
    </w:p>
    <w:p>
      <w:pPr>
        <w:ind w:left="60" w:right="2139" w:hanging="2"/>
        <w:spacing w:after="0" w:line="421" w:lineRule="auto"/>
        <w:tabs>
          <w:tab w:leader="none" w:pos="453"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tbl>
      <w:tblPr>
        <w:tblLayout w:type="fixed"/>
        <w:tblInd w:w="60" w:type="dxa"/>
        <w:tblCellMar>
          <w:top w:w="0" w:type="dxa"/>
          <w:left w:w="0" w:type="dxa"/>
          <w:bottom w:w="0" w:type="dxa"/>
          <w:right w:w="0" w:type="dxa"/>
        </w:tblCellMar>
      </w:tblPr>
      <w:tr>
        <w:trPr>
          <w:trHeight w:val="149"/>
        </w:trPr>
        <w:tc>
          <w:tcPr>
            <w:tcW w:w="3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73"/>
        </w:trPr>
        <w:tc>
          <w:tcPr>
            <w:tcW w:w="3140" w:type="dxa"/>
            <w:vAlign w:val="bottom"/>
            <w:gridSpan w:val="2"/>
            <w:vMerge w:val="continue"/>
          </w:tcPr>
          <w:p>
            <w:pPr>
              <w:spacing w:after="0"/>
              <w:rPr>
                <w:sz w:val="15"/>
                <w:szCs w:val="15"/>
                <w:color w:val="auto"/>
              </w:rPr>
            </w:pPr>
          </w:p>
        </w:tc>
        <w:tc>
          <w:tcPr>
            <w:tcW w:w="2780" w:type="dxa"/>
            <w:vAlign w:val="bottom"/>
            <w:gridSpan w:val="2"/>
            <w:vMerge w:val="continue"/>
          </w:tcPr>
          <w:p>
            <w:pPr>
              <w:spacing w:after="0"/>
              <w:rPr>
                <w:sz w:val="15"/>
                <w:szCs w:val="15"/>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184"/>
        </w:trPr>
        <w:tc>
          <w:tcPr>
            <w:tcW w:w="2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par value $0.0001</w:t>
            </w:r>
          </w:p>
        </w:tc>
        <w:tc>
          <w:tcPr>
            <w:tcW w:w="160" w:type="dxa"/>
            <w:vAlign w:val="bottom"/>
          </w:tcPr>
          <w:p>
            <w:pPr>
              <w:spacing w:after="0"/>
              <w:rPr>
                <w:sz w:val="15"/>
                <w:szCs w:val="15"/>
                <w:color w:val="auto"/>
              </w:rPr>
            </w:pPr>
          </w:p>
        </w:tc>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MRAM</w:t>
            </w:r>
          </w:p>
        </w:tc>
        <w:tc>
          <w:tcPr>
            <w:tcW w:w="160" w:type="dxa"/>
            <w:vAlign w:val="bottom"/>
          </w:tcPr>
          <w:p>
            <w:pPr>
              <w:spacing w:after="0"/>
              <w:rPr>
                <w:sz w:val="15"/>
                <w:szCs w:val="15"/>
                <w:color w:val="auto"/>
              </w:rPr>
            </w:pPr>
          </w:p>
        </w:tc>
        <w:tc>
          <w:tcPr>
            <w:tcW w:w="2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bl>
    <w:p>
      <w:pPr>
        <w:spacing w:after="0" w:line="71" w:lineRule="exact"/>
        <w:rPr>
          <w:sz w:val="24"/>
          <w:szCs w:val="24"/>
          <w:color w:val="auto"/>
        </w:rPr>
      </w:pPr>
    </w:p>
    <w:p>
      <w:pPr>
        <w:ind w:left="60" w:right="43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51" w:lineRule="exact"/>
        <w:rPr>
          <w:sz w:val="24"/>
          <w:szCs w:val="24"/>
          <w:color w:val="auto"/>
        </w:rPr>
      </w:pPr>
    </w:p>
    <w:p>
      <w:pPr>
        <w:ind w:left="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54" w:lineRule="exact"/>
        <w:rPr>
          <w:sz w:val="24"/>
          <w:szCs w:val="24"/>
          <w:color w:val="auto"/>
        </w:rPr>
      </w:pPr>
    </w:p>
    <w:p>
      <w:pPr>
        <w:ind w:left="60" w:right="11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481330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52705</wp:posOffset>
            </wp:positionV>
            <wp:extent cx="56578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95885</wp:posOffset>
            </wp:positionV>
            <wp:extent cx="56578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7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237" w:lineRule="exact"/>
        <w:rPr>
          <w:sz w:val="20"/>
          <w:szCs w:val="20"/>
          <w:color w:val="auto"/>
        </w:rPr>
      </w:pPr>
    </w:p>
    <w:p>
      <w:pPr>
        <w:ind w:left="60" w:right="219" w:firstLine="648"/>
        <w:spacing w:after="0" w:line="272" w:lineRule="auto"/>
        <w:rPr>
          <w:sz w:val="20"/>
          <w:szCs w:val="20"/>
          <w:color w:val="auto"/>
        </w:rPr>
      </w:pPr>
      <w:r>
        <w:rPr>
          <w:rFonts w:ascii="Times New Roman" w:cs="Times New Roman" w:eastAsia="Times New Roman" w:hAnsi="Times New Roman"/>
          <w:sz w:val="16"/>
          <w:szCs w:val="16"/>
          <w:color w:val="auto"/>
        </w:rPr>
        <w:t>On February 28, 2024, Everspin Technologies, Inc. issued a press release announcing its financial results for the quarter and year ended December 31, 2023, a copy of which is attached hereto as Exhibit 99.1 and is incorporated herein by reference. The information disclosed under this Item 2.02, including Exhibit 99.1 hereto, shall not be deemed “filed” for purposes of Section 18 of the Securities Exchange Act of 1934, as amended (the “Exchange Act”), or deemed incorporated by reference in any filing under the Securities Act of 1933, as amended, or the Exchange Act, except as shall be expressly set forth by specific reference in such a filing.</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61"/>
        </w:trPr>
        <w:tc>
          <w:tcPr>
            <w:tcW w:w="20" w:type="dxa"/>
            <w:vAlign w:val="bottom"/>
          </w:tcPr>
          <w:p>
            <w:pPr>
              <w:spacing w:after="0"/>
              <w:rPr>
                <w:sz w:val="14"/>
                <w:szCs w:val="14"/>
                <w:color w:val="auto"/>
              </w:rPr>
            </w:pPr>
          </w:p>
        </w:tc>
        <w:tc>
          <w:tcPr>
            <w:tcW w:w="900" w:type="dxa"/>
            <w:vAlign w:val="bottom"/>
          </w:tcPr>
          <w:p>
            <w:pPr>
              <w:jc w:val="right"/>
              <w:ind w:right="239"/>
              <w:spacing w:after="0" w:line="161" w:lineRule="exact"/>
              <w:rPr>
                <w:sz w:val="20"/>
                <w:szCs w:val="20"/>
                <w:color w:val="auto"/>
              </w:rPr>
            </w:pPr>
            <w:r>
              <w:rPr>
                <w:rFonts w:ascii="Times New Roman" w:cs="Times New Roman" w:eastAsia="Times New Roman" w:hAnsi="Times New Roman"/>
                <w:sz w:val="16"/>
                <w:szCs w:val="16"/>
                <w:color w:val="auto"/>
              </w:rPr>
              <w:t>99.1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4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0000EE"/>
              </w:rPr>
              <w:t>Press release dated February 28, 2024.</w:t>
            </w:r>
          </w:p>
        </w:tc>
      </w:tr>
      <w:tr>
        <w:trPr>
          <w:trHeight w:val="20"/>
        </w:trPr>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217"/>
        </w:trPr>
        <w:tc>
          <w:tcPr>
            <w:tcW w:w="9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104</w:t>
            </w:r>
          </w:p>
        </w:tc>
        <w:tc>
          <w:tcPr>
            <w:tcW w:w="24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tc>
      </w:tr>
      <w:tr>
        <w:trPr>
          <w:trHeight w:val="1241"/>
        </w:trPr>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4"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37" w:lineRule="exact"/>
        <w:rPr>
          <w:sz w:val="20"/>
          <w:szCs w:val="20"/>
          <w:color w:val="auto"/>
        </w:rPr>
      </w:pPr>
    </w:p>
    <w:p>
      <w:pPr>
        <w:ind w:left="60" w:right="159" w:firstLine="648"/>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b w:val="1"/>
          <w:bCs w:val="1"/>
          <w:color w:val="auto"/>
        </w:rPr>
        <w:t>Everspin Technologies, Inc.</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Dated: February 28, 2024</w:t>
      </w:r>
    </w:p>
    <w:p>
      <w:pPr>
        <w:spacing w:after="0" w:line="2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 /s/ Anuj Aggarwal</w:t>
      </w:r>
    </w:p>
    <w:p>
      <w:pPr>
        <w:spacing w:after="0" w:line="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Anuj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-116205</wp:posOffset>
            </wp:positionV>
            <wp:extent cx="26403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504190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156845</wp:posOffset>
            </wp:positionV>
            <wp:extent cx="2280285" cy="4718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8028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Everspin Reports Unaudited Fourth Quarter and Full Year 2023 Financial Results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Q4’23 revenue of $16.7 million and EPS of $0.09 exceeded guidance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Achieved record annual revenue and profitability in 2023</w:t>
      </w:r>
    </w:p>
    <w:p>
      <w:pPr>
        <w:spacing w:after="0" w:line="22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Chandler, AZ, February 28, 2024 </w:t>
      </w:r>
      <w:r>
        <w:rPr>
          <w:rFonts w:ascii="Times New Roman" w:cs="Times New Roman" w:eastAsia="Times New Roman" w:hAnsi="Times New Roman"/>
          <w:sz w:val="18"/>
          <w:szCs w:val="18"/>
          <w:color w:val="auto"/>
        </w:rPr>
        <w:t>— Everspin Technologies, Inc. (NASDAQ: MRAM), the market leader in MRAM, today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preliminary unaudited financial results for the fourth quarter and full year ended December 31, 2023.</w:t>
      </w:r>
    </w:p>
    <w:p>
      <w:pPr>
        <w:spacing w:after="0" w:line="159" w:lineRule="exact"/>
        <w:rPr>
          <w:sz w:val="20"/>
          <w:szCs w:val="20"/>
          <w:color w:val="auto"/>
        </w:rPr>
      </w:pPr>
    </w:p>
    <w:p>
      <w:pPr>
        <w:ind w:right="500"/>
        <w:spacing w:after="0" w:line="289" w:lineRule="auto"/>
        <w:rPr>
          <w:sz w:val="20"/>
          <w:szCs w:val="20"/>
          <w:color w:val="auto"/>
        </w:rPr>
      </w:pPr>
      <w:r>
        <w:rPr>
          <w:rFonts w:ascii="Times New Roman" w:cs="Times New Roman" w:eastAsia="Times New Roman" w:hAnsi="Times New Roman"/>
          <w:sz w:val="17"/>
          <w:szCs w:val="17"/>
          <w:color w:val="auto"/>
        </w:rPr>
        <w:t>“We are pleased that our fourth quarter results exceeded our expectations across the board, led by strong product and RAD Hard revenue,” said Sanjeev Aggarwal, President and Chief Executive Officer. “For the full year, our team delivered record revenue and profitability, while driving improved gross margins through operational excellence, and we closed the year with 217 design wins.”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2023 Results</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$16.7 million, an increase of 6% from $15.7 million in the fourth quarter of 2022.</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MRAM product sales, which includes both Toggle and STT-MRAM revenue, of $12.4 million, compared to $14.6 million in the fourth quarter of 2022.</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royalties, patents, and other revenue of $4.3 million, compared to $1.1 million in the fourth quarter of 2022.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of 58.1%, compared to 51.4% in the fourth quarter of 2022.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operating expenses of $8.1 million, compared to $7.5 million in the fourth quarter of 2022.</w:t>
      </w:r>
    </w:p>
    <w:p>
      <w:pPr>
        <w:spacing w:after="0" w:line="225"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of $2.0 million, or $0.09 per diluted share, compared to net income of $0.6 million, or $0.03 per diluted share, in the fourth quarter of 2022.</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$3.6 million, compared to $2.1 million in the fourth quarter of 2022.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high cash and cash equivalents balance of $36.9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2023 Results</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$63.8 million, an increase of 6% from $60.0 million in 2022.</w:t>
      </w:r>
    </w:p>
    <w:p>
      <w:pPr>
        <w:spacing w:after="0" w:line="2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MRAM product sales, which includes both Toggle and STT-MRAM revenue, of $53.1 million, compared to $55.0 million in 2022.</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royalties, patents, and other revenue of $10.6 million, compared to $5.0 million in 2022.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of 58.4%, compared to 56.6% in 2022.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operating expenses of $31.4 million, compared to $27.7 million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 w:name="page5"/>
    <w:bookmarkEnd w:id="4"/>
    <w:p>
      <w:pPr>
        <w:ind w:left="660" w:right="4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of $9.1 million, or $0.42 per diluted share, compared to net income of $6.1 million, or $0.29 per diluted share, in 2022.</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$15.3 million, compared to $11.8 million in 2022.</w:t>
      </w:r>
    </w:p>
    <w:p>
      <w:pPr>
        <w:spacing w:after="0" w:line="22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reported another profitable quarter, marking our 11th consecutive quarter of profitability, a key focus for the company,” said Anuj Aggarwal, Everspin’s Chief Financial Officer. “Our financial position remains strong, with no debt and the highest cash balance in the company’s history.”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the first quarter 2024, Everspin expects total revenue in a range of $13.5 million to $14.5 million and GAAP net income per diluted share to be between breakeven and $0.05.</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This outlook is dependent on Everspin’s current expectations, which may be impacted by, among other things, evolving external conditions, such as COVID-19 and its variants, local safety guidelines, worsening impacts due to supply chain constraints or interruptions, including due to the military conflict in Ukraine, instability in the Middle East, recent market volatility, semiconductor downturn and the other risk factors described in Everspin’s filings with the Securities and Exchange Commission (the “SEC”), including its Annual Report on Form 10-K for the fiscal year ended December 31, 2022, its Quarterly Reports on Form 10-Q filed with the SEC during 2023, as well as in its subsequent filings with the SEC.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Everspin supplements the reporting of its financial information determined under generally accepted accounting principles in the United States of America (GAAP) with Adjusted EBITDA, which is a non-GAAP financial measure. Everspin defines Adjusted EBITDA as net income adjusted for interest expense, taxes, depreciation and amortization, stock-based compensation expense, and restructuring costs (if any).</w:t>
      </w:r>
    </w:p>
    <w:p>
      <w:pPr>
        <w:spacing w:after="0" w:line="18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Everspin’s management and board of directors use Adjusted EBITDA to understand and evaluate its operating performance and trends, to prepare and approve its annual budget and to develop short-term and long-term operating and financing plans. Accordingly, Everspin believes that Adjusted EBITDA provides useful information for investors in understanding and evaluating its operating results in the same manner as its management and board of directors. Adjusted EBITDA is a non-GAAP financial measure and should be considered in addition to, not as superior to, or as a substitute for, net income reported in accordance with GAAP. Moreover, other companies may define Adjusted EBITDA differently, which limits the usefulness of this measure for comparisons with such other companies. Everspin encourages investors to review its financial statements and publicly-filed reports in their entirety and not to rely on any single financial measure.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Everspin will host a conference call for analysts and investors on Wednesday, February 28, 2024, at 5:00 p.m. Eastern Time.</w:t>
      </w:r>
    </w:p>
    <w:p>
      <w:pPr>
        <w:spacing w:after="0" w:line="22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Dial-in details: To access the call by phone, please go to this link and you will be provided with dial-in details. To avoid delays, we encourage participants to dial into the conference call fifteen minutes ahead of the scheduled start time.</w:t>
      </w:r>
    </w:p>
    <w:p>
      <w:pPr>
        <w:spacing w:after="0" w:line="16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live webcast of the call will be accessible on the Company’s website at investor.everspin.com. Approximately two hours after conclusion of the live event, an archived webcast of the conference call will be accessible from the Investor Relations section of the Company’s website for twelve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Everspin Technologies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Everspin Technologies, Inc. is the world’s leading provider of Magnetoresistive RAM (MRAM). Everspin MRAM delivers the industry’s most robust, highest performance non-volatile memory for Industrial 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5" w:name="page6"/>
    <w:bookmarkEnd w:id="5"/>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Data Center, and other mission-critical applications where data persistence is paramount. Headquartered in Chandler, Arizona, Everspin provides commercially available MRAM solutions to a large and diverse customer base. For more information, visit www.everspin.com. NASDAQ: MRAM.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regarding future results that involve risks and uncertainties that could cause actual results or events to differ materially from the expectations disclosed in the forward-looking statements, including, but not limited to the statements made under the caption “Business Outlook.” Forward-looking statements are identified by words such as “expects” or similar expressions. These include, but are not limited to, Everspin’s future financial performance, including the outlook for first quarter 2024 results. Actual results could differ materially from these forward-looking statements as a result of certain risks and uncertainties, including, without limitation, the risks set forth under the caption “Risk Factors” in Everspin’s Annual Report on Form 10-K for the year ended December 31, 2022 filed with the SEC on March 2, 2023, and its Quarterly Reports on Form 10-Q filed with the SEC during 2023, as well as in its subsequent filings with the SEC. Any forward-looking statements made by Everspin in this press release speak only as of the date on which they are made and subsequent events may cause these expectations to change. Everspin disclaims any obligations to update or alter these forward-looking statements in the future, whether as a result of new information, future events or otherwise, except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Monica Gould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Blueshirt Group</w:t>
      </w:r>
    </w:p>
    <w:p>
      <w:pPr>
        <w:spacing w:after="0" w:line="9" w:lineRule="exact"/>
        <w:rPr>
          <w:sz w:val="20"/>
          <w:szCs w:val="20"/>
          <w:color w:val="auto"/>
        </w:rPr>
      </w:pPr>
    </w:p>
    <w:p>
      <w:pPr>
        <w:jc w:val="both"/>
        <w:ind w:right="8680" w:firstLine="8"/>
        <w:spacing w:after="0" w:line="290" w:lineRule="auto"/>
        <w:tabs>
          <w:tab w:leader="none" w:pos="19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212-871-3927 ir@everspin.com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454660</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1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36,946</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55,333</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income tax liability</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5,000,000 shares authorized; no shares issued and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outstanding as of December 31, 2023 and December 31, 2022, respectively</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100,000,000 shares authorized; 21,080,472 and</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20,374,288 shares issued and outstanding as of December 31, 2023 and December 31, 2022,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(137,650)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(146,702)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53,921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38,664</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55,333</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20" w:type="dxa"/>
            <w:vAlign w:val="bottom"/>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Statements of Income and Comprehensive Income</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Licensing, royalty, patent, and other revenue</w:t>
            </w:r>
          </w:p>
        </w:tc>
        <w:tc>
          <w:tcPr>
            <w:tcW w:w="1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licensing, royalty, patent, and other revenue</w:t>
            </w:r>
          </w:p>
        </w:tc>
        <w:tc>
          <w:tcPr>
            <w:tcW w:w="1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cost of sales</w:t>
            </w:r>
          </w:p>
        </w:tc>
        <w:tc>
          <w:tcPr>
            <w:tcW w:w="1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26,040</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5"/>
                <w:szCs w:val="25"/>
                <w:color w:val="auto"/>
                <w:vertAlign w:val="superscript"/>
              </w:rPr>
              <w:t>1</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27,718</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1260" w:type="dxa"/>
            <w:vAlign w:val="bottom"/>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18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per common share:</w:t>
            </w:r>
          </w:p>
        </w:tc>
        <w:tc>
          <w:tcPr>
            <w:tcW w:w="1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4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8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2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0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20,748,302</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20,130,336</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80" w:type="dxa"/>
            <w:vAlign w:val="bottom"/>
            <w:tcBorders>
              <w:bottom w:val="single" w:sz="8" w:color="CCEEFF"/>
            </w:tcBorders>
            <w:vMerge w:val="continue"/>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21,367,304</w:t>
            </w: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20,775,925</w:t>
            </w: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line="216" w:lineRule="exact"/>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Operating expenses include stock-based compensation as follows: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26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20" w:type="dxa"/>
            <w:vAlign w:val="bottom"/>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6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140" w:type="dxa"/>
            <w:vAlign w:val="bottom"/>
          </w:tcPr>
          <w:p>
            <w:pPr>
              <w:spacing w:after="0"/>
              <w:rPr>
                <w:sz w:val="18"/>
                <w:szCs w:val="18"/>
                <w:color w:val="auto"/>
              </w:rPr>
            </w:pP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prepayment and termination of credit facility</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warrant revaluation</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(2,472)</w:t>
            </w:r>
          </w:p>
        </w:tc>
        <w:tc>
          <w:tcPr>
            <w:tcW w:w="0" w:type="dxa"/>
            <w:vAlign w:val="bottom"/>
          </w:tcPr>
          <w:p>
            <w:pPr>
              <w:spacing w:after="0"/>
              <w:rPr>
                <w:sz w:val="1"/>
                <w:szCs w:val="1"/>
                <w:color w:val="auto"/>
              </w:rPr>
            </w:pPr>
          </w:p>
        </w:tc>
      </w:tr>
      <w:tr>
        <w:trPr>
          <w:trHeight w:val="216"/>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Lease liabilities, net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(2,788)</w:t>
            </w:r>
          </w:p>
        </w:tc>
        <w:tc>
          <w:tcPr>
            <w:tcW w:w="0" w:type="dxa"/>
            <w:vAlign w:val="bottom"/>
          </w:tcPr>
          <w:p>
            <w:pPr>
              <w:spacing w:after="0"/>
              <w:rPr>
                <w:sz w:val="1"/>
                <w:szCs w:val="1"/>
                <w:color w:val="auto"/>
              </w:rPr>
            </w:pPr>
          </w:p>
        </w:tc>
      </w:tr>
      <w:tr>
        <w:trPr>
          <w:trHeight w:val="216"/>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Proceeds received from sale of property and equipment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long-term debt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(2,790)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(2,400)</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 and purchase of shares in employee stock purchase plan</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26,795</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Operating cash flows paid for operating leases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1,384</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1,320</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6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Financing cash flows paid for finance leases</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finance lease 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6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Purchases of property and equipment in accounts payable and accrued liabilities</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446</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807</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Cashless exercise of warrants</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7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9" w:name="page10"/>
    <w:bookmarkEnd w:id="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Reconciliation of Adjusted EBITDA</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14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15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4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7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3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Adjusted EBITDA</w:t>
            </w:r>
          </w:p>
        </w:tc>
        <w:tc>
          <w:tcPr>
            <w:tcW w:w="156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15,309</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10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upperLetter"/>
      <w:start w:val="20"/>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2024-02-28T15:43:42Z</dcterms:created>
  <dcterms:modified xsi:type="dcterms:W3CDTF">2024-02-28T15:43:42Z</dcterms:modified>
</cp:coreProperties>
</file>