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mram-20230802x8k.htm"/>
      <w:bookmarkStart w:id="1" w:name="ksmram20230802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1330e38b_bf3c_4efe_8ddf_af730e23264a"/>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Pursuant to Section 13 or 15(d)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Report (Date of earliest event reported): August 2,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Everspin Technologies,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3D_SjsWRW0a8Rmf0rylvug_3_2"/>
      <w:bookmarkStart w:id="4" w:name="Tc_BXLNYZAWFUy5OgNNFOnFHQ_3_1"/>
      <w:bookmarkStart w:id="5" w:name="Tc_auHFzcsko0uG0lrHoQGXDA_3_0"/>
      <w:bookmarkStart w:id="6" w:name="Tc_saGJW5ZOWk2gt86h8s1eaQ_2_2"/>
      <w:bookmarkStart w:id="7" w:name="Tc_6i0h0uAKvEuF9BiIBHgHEA_2_1"/>
      <w:bookmarkStart w:id="8" w:name="Tc_cTA2APiAnk-BvMGIXlPj2Q_2_0"/>
      <w:bookmarkStart w:id="9" w:name="_95aca28f_023d_4dd8_adf6_29a413db3fd7"/>
      <w:bookmarkStart w:id="10" w:name="Tc_3D_SjsWRW0a8Rmf0rylvug_3_2"/>
      <w:bookmarkStart w:id="11" w:name="Tc_BXLNYZAWFUy5OgNNFOnFHQ_3_1"/>
      <w:bookmarkStart w:id="12" w:name="Tc_auHFzcsko0uG0lrHoQGXDA_3_0"/>
      <w:bookmarkStart w:id="13" w:name="Tc_saGJW5ZOWk2gt86h8s1eaQ_2_2"/>
      <w:bookmarkStart w:id="14" w:name="Tc_6i0h0uAKvEuF9BiIBHgHEA_2_1"/>
      <w:bookmarkStart w:id="15" w:name="Tc_cTA2APiAnk-BvMGIXlPj2Q_2_0"/>
      <w:bookmarkStart w:id="16" w:name="_95aca28f_023d_4dd8_adf6_29a413db3fd7"/>
      <w:bookmarkEnd w:id="10"/>
      <w:bookmarkEnd w:id="11"/>
      <w:bookmarkEnd w:id="12"/>
      <w:bookmarkEnd w:id="13"/>
      <w:bookmarkEnd w:id="14"/>
      <w:bookmarkEnd w:id="15"/>
      <w:bookmarkEnd w:id="16"/>
    </w:p>
    <w:tbl>
      <w:tblPr>
        <w:tblW w:w="4623" w:type="dxa"/>
        <w:jc w:val="left"/>
        <w:tblInd w:w="0" w:type="dxa"/>
        <w:tblLayout w:type="fixed"/>
        <w:tblCellMar>
          <w:top w:w="0" w:type="dxa"/>
          <w:left w:w="0" w:type="dxa"/>
          <w:bottom w:w="0" w:type="dxa"/>
          <w:right w:w="0" w:type="dxa"/>
        </w:tblCellMar>
      </w:tblPr>
      <w:tblGrid>
        <w:gridCol w:w="2071"/>
        <w:gridCol w:w="106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15085" cy="175260"/>
                      <wp:effectExtent l="0" t="0" r="0" b="0"/>
                      <wp:wrapNone/>
                      <wp:docPr id="1" name="Frame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43610" cy="175260"/>
                      <wp:effectExtent l="0" t="0" r="0" b="0"/>
                      <wp:wrapNone/>
                      <wp:docPr id="3" name="Frame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001-37900</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26-2640654</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5670 W. Chandler Blvd.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130</w:t>
      </w:r>
    </w:p>
    <w:p>
      <w:pPr>
        <w:pStyle w:val="TextBody"/>
        <w:bidi w:val="0"/>
        <w:spacing w:before="0" w:after="0"/>
        <w:ind w:left="0" w:right="0" w:hanging="0"/>
        <w:jc w:val="center"/>
        <w:rPr>
          <w:rFonts w:ascii="Arial;Helvetica;sans-serif" w:hAnsi="Arial;Helvetica;sans-serif"/>
          <w:sz w:val="20"/>
        </w:rPr>
      </w:pPr>
      <w:r>
        <w:rPr>
          <w:rFonts w:ascii="Times New Roman;Times;serif" w:hAnsi="Times New Roman;Times;serif"/>
          <w:b/>
          <w:sz w:val="16"/>
        </w:rPr>
        <w:t>Chandler, Arizona</w:t>
      </w:r>
      <w:r>
        <w:rPr>
          <w:rFonts w:ascii="Arial;Helvetica;sans-serif" w:hAnsi="Arial;Helvetica;sans-serif"/>
          <w:sz w:val="20"/>
        </w:rPr>
        <w:t xml:space="preserve"> </w:t>
      </w:r>
      <w:r>
        <w:rPr>
          <w:rFonts w:ascii="Times New Roman;Times;serif" w:hAnsi="Times New Roman;Times;serif"/>
          <w:b/>
          <w:sz w:val="16"/>
        </w:rPr>
        <w:t>85226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(480) 347-1111</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Not Applicable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p>
      <w:pPr>
        <w:pStyle w:val="TextBody"/>
        <w:bidi w:val="0"/>
        <w:spacing w:before="0" w:after="0"/>
        <w:ind w:left="0" w:right="0" w:hanging="0"/>
        <w:jc w:val="left"/>
        <w:rPr/>
      </w:pPr>
      <w:r>
        <w:rPr/>
        <w:t>​</w:t>
      </w:r>
    </w:p>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p>
      <w:pPr>
        <w:pStyle w:val="TextBody"/>
        <w:bidi w:val="0"/>
        <w:spacing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before="0" w:after="0"/>
        <w:ind w:left="0" w:right="0" w:firstLine="8"/>
        <w:jc w:val="left"/>
        <w:rPr/>
      </w:pPr>
      <w:r>
        <w:rPr/>
        <w:t>​</w:t>
      </w:r>
    </w:p>
    <w:p>
      <w:pPr>
        <w:pStyle w:val="TextBody"/>
        <w:bidi w:val="0"/>
        <w:spacing w:before="0" w:after="0"/>
        <w:ind w:left="0" w:right="0" w:firstLine="8"/>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nuDSWE9Z5UGwqR3PLdfNag_2_4"/>
      <w:bookmarkStart w:id="18" w:name="Tc_DmyFYjaCtEait4LvavthwA_2_2"/>
      <w:bookmarkStart w:id="19" w:name="Tc_A3aPjcvZ30qp7xQCNED5QA_2_0"/>
      <w:bookmarkStart w:id="20" w:name="Tc_FTOpdIi9DkulxxykyZmKnQ_1_4"/>
      <w:bookmarkStart w:id="21" w:name="_f2746404_9f51_4d9f_a11d_2495f3f23645"/>
      <w:bookmarkStart w:id="22" w:name="Tc_nuDSWE9Z5UGwqR3PLdfNag_2_4"/>
      <w:bookmarkStart w:id="23" w:name="Tc_DmyFYjaCtEait4LvavthwA_2_2"/>
      <w:bookmarkStart w:id="24" w:name="Tc_A3aPjcvZ30qp7xQCNED5QA_2_0"/>
      <w:bookmarkStart w:id="25" w:name="Tc_FTOpdIi9DkulxxykyZmKnQ_1_4"/>
      <w:bookmarkStart w:id="26" w:name="_f2746404_9f51_4d9f_a11d_2495f3f23645"/>
      <w:bookmarkEnd w:id="22"/>
      <w:bookmarkEnd w:id="23"/>
      <w:bookmarkEnd w:id="24"/>
      <w:bookmarkEnd w:id="25"/>
      <w:bookmarkEnd w:id="26"/>
    </w:p>
    <w:tbl>
      <w:tblPr>
        <w:tblW w:w="7300" w:type="dxa"/>
        <w:jc w:val="left"/>
        <w:tblInd w:w="0" w:type="dxa"/>
        <w:tblLayout w:type="fixed"/>
        <w:tblCellMar>
          <w:top w:w="0" w:type="dxa"/>
          <w:left w:w="0" w:type="dxa"/>
          <w:bottom w:w="0" w:type="dxa"/>
          <w:right w:w="0" w:type="dxa"/>
        </w:tblCellMar>
      </w:tblPr>
      <w:tblGrid>
        <w:gridCol w:w="2641"/>
        <w:gridCol w:w="326"/>
        <w:gridCol w:w="1456"/>
        <w:gridCol w:w="326"/>
        <w:gridCol w:w="255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77035" cy="175260"/>
                      <wp:effectExtent l="0" t="0" r="0" b="0"/>
                      <wp:wrapNone/>
                      <wp:docPr id="4" name="Frame4"/>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4560" cy="175260"/>
                      <wp:effectExtent l="0" t="0" r="0" b="0"/>
                      <wp:wrapNone/>
                      <wp:docPr id="6" name="Frame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619885" cy="175260"/>
                      <wp:effectExtent l="0" t="0" r="0" b="0"/>
                      <wp:wrapNone/>
                      <wp:docPr id="8" name="Frame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r>
          </w:p>
        </w:tc>
        <w:tc>
          <w:tcPr>
            <w:tcW w:w="32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MRAM</w:t>
            </w:r>
          </w:p>
        </w:tc>
        <w:tc>
          <w:tcPr>
            <w:tcW w:w="32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sz w:val="16"/>
        </w:rPr>
        <w:t xml:space="preserve">Emerging growth company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16"/>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7" w:name="_ac4f501a_aeac_4134_b102_375211eb62a8"/>
      <w:bookmarkEnd w:id="27"/>
      <w:r>
        <w:rPr>
          <w:rFonts w:ascii="Times New Roman;Times;serif" w:hAnsi="Times New Roman;Times;serif"/>
          <w:b/>
          <w:sz w:val="18"/>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On August 2, 2023, Everspin Technologies, Inc. issued a press release announcing its financial results for the quarter ended June 30, 2023,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8" w:name="_25ae61e1_e2ec_453a_9ebe_95bb5b19538f"/>
      <w:bookmarkEnd w:id="28"/>
      <w:r>
        <w:rPr>
          <w:rFonts w:ascii="Times New Roman;Times;serif" w:hAnsi="Times New Roman;Times;serif"/>
          <w:b/>
          <w:sz w:val="18"/>
        </w:rPr>
        <w:t>Item 9.01. Financial Statements and Exhibits.</w:t>
      </w:r>
    </w:p>
    <w:p>
      <w:pPr>
        <w:pStyle w:val="TextBody"/>
        <w:bidi w:val="0"/>
        <w:spacing w:before="0" w:after="0"/>
        <w:ind w:left="0" w:right="0" w:hanging="0"/>
        <w:jc w:val="left"/>
        <w:rPr/>
      </w:pPr>
      <w:r>
        <w:rPr/>
        <w:t>​</w:t>
      </w:r>
    </w:p>
    <w:tbl>
      <w:tblPr>
        <w:tblW w:w="5788" w:type="dxa"/>
        <w:jc w:val="left"/>
        <w:tblInd w:w="0" w:type="dxa"/>
        <w:tblLayout w:type="fixed"/>
        <w:tblCellMar>
          <w:top w:w="0" w:type="dxa"/>
          <w:left w:w="0" w:type="dxa"/>
          <w:bottom w:w="28" w:type="dxa"/>
          <w:right w:w="0" w:type="dxa"/>
        </w:tblCellMar>
      </w:tblPr>
      <w:tblGrid>
        <w:gridCol w:w="1006"/>
        <w:gridCol w:w="326"/>
        <w:gridCol w:w="4456"/>
      </w:tblGrid>
      <w:tr>
        <w:trPr/>
        <w:tc>
          <w:tcPr>
            <w:tcW w:w="10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10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99.1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mram-20230802xex99d1.htm">
              <w:r>
                <w:rPr>
                  <w:rStyle w:val="InternetLink"/>
                  <w:rFonts w:ascii="Times New Roman;Times;serif" w:hAnsi="Times New Roman;Times;serif"/>
                  <w:b w:val="false"/>
                  <w:i w:val="false"/>
                  <w:caps w:val="false"/>
                  <w:smallCaps w:val="false"/>
                  <w:sz w:val="20"/>
                </w:rPr>
                <w:t>Press release dated August 2, 2023.</w:t>
              </w:r>
            </w:hyperlink>
          </w:p>
        </w:tc>
      </w:tr>
      <w:tr>
        <w:trPr/>
        <w:tc>
          <w:tcPr>
            <w:tcW w:w="10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9" w:name="_801c76ab_697c_47dd_9079_73a540fb571b"/>
      <w:bookmarkEnd w:id="29"/>
      <w:r>
        <w:rPr>
          <w:rFonts w:ascii="Times New Roman;Times;serif" w:hAnsi="Times New Roman;Times;serif"/>
          <w:b/>
          <w:sz w:val="18"/>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006" w:type="dxa"/>
        <w:jc w:val="left"/>
        <w:tblInd w:w="0" w:type="dxa"/>
        <w:tblLayout w:type="fixed"/>
        <w:tblCellMar>
          <w:top w:w="0" w:type="dxa"/>
          <w:left w:w="0" w:type="dxa"/>
          <w:bottom w:w="0" w:type="dxa"/>
          <w:right w:w="0" w:type="dxa"/>
        </w:tblCellMar>
      </w:tblPr>
      <w:tblGrid>
        <w:gridCol w:w="1741"/>
        <w:gridCol w:w="419"/>
        <w:gridCol w:w="184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105535" cy="175260"/>
                      <wp:effectExtent l="0" t="0" r="0" b="0"/>
                      <wp:wrapNone/>
                      <wp:docPr id="9" name="Frame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6065" cy="175260"/>
                      <wp:effectExtent l="0" t="0" r="0" b="0"/>
                      <wp:wrapNone/>
                      <wp:docPr id="10" name="Frame1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172210" cy="175260"/>
                      <wp:effectExtent l="0" t="0" r="0" b="0"/>
                      <wp:wrapNone/>
                      <wp:docPr id="11" name="Frame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Everspin Technologies, Inc.</w:t>
            </w:r>
          </w:p>
        </w:tc>
      </w:tr>
      <w:tr>
        <w:trPr/>
        <w:tc>
          <w:tcPr>
            <w:tcW w:w="174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August 2, 2023</w:t>
            </w:r>
          </w:p>
        </w:tc>
        <w:tc>
          <w:tcPr>
            <w:tcW w:w="2265"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Anuj Aggarwal</w:t>
            </w:r>
          </w:p>
        </w:tc>
      </w:tr>
      <w:tr>
        <w:trPr/>
        <w:tc>
          <w:tcPr>
            <w:tcW w:w="174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Anuj Aggarwal</w:t>
            </w:r>
          </w:p>
        </w:tc>
      </w:tr>
      <w:tr>
        <w:trPr/>
        <w:tc>
          <w:tcPr>
            <w:tcW w:w="174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1"/>
        <w:ind w:left="820" w:right="0" w:hanging="0"/>
        <w:jc w:val="right"/>
        <w:rPr>
          <w:rFonts w:ascii="Times New Roman;Times;serif" w:hAnsi="Times New Roman;Times;serif"/>
          <w:b/>
          <w:sz w:val="24"/>
        </w:rPr>
      </w:pPr>
      <w:bookmarkStart w:id="30" w:name="mram-20230802xex99d1.htm"/>
      <w:bookmarkStart w:id="31" w:name="ksmram20230802xex99d1"/>
      <w:bookmarkEnd w:id="30"/>
      <w:bookmarkEnd w:id="31"/>
      <w:r>
        <w:rPr>
          <w:rFonts w:ascii="Times New Roman;Times;serif" w:hAnsi="Times New Roman;Times;serif"/>
          <w:b/>
          <w:sz w:val="24"/>
        </w:rPr>
        <w:t>Exhibit 99.1</w:t>
      </w:r>
      <w:r>
        <w:br w:type="page"/>
      </w:r>
    </w:p>
    <w:p>
      <w:pPr>
        <w:pStyle w:val="TextBody"/>
        <w:bidi w:val="0"/>
        <w:spacing w:before="0" w:after="11"/>
        <w:ind w:left="820" w:right="0" w:hanging="0"/>
        <w:jc w:val="center"/>
        <w:rPr/>
      </w:pPr>
      <w:r>
        <w:rPr/>
        <w:t>​</w:t>
      </w:r>
    </w:p>
    <w:p>
      <w:pPr>
        <w:pStyle w:val="TextBody"/>
        <w:bidi w:val="0"/>
        <w:spacing w:before="0" w:after="11"/>
        <w:ind w:left="820" w:right="0" w:hanging="0"/>
        <w:jc w:val="center"/>
        <w:rPr/>
      </w:pPr>
      <w:r>
        <w:rPr/>
        <w:drawing>
          <wp:inline distT="0" distB="0" distL="0" distR="0">
            <wp:extent cx="2542540" cy="52387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542540" cy="52387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sz w:val="32"/>
        </w:rPr>
      </w:pPr>
      <w:r>
        <w:rPr>
          <w:rFonts w:ascii="Times New Roman;Times;serif" w:hAnsi="Times New Roman;Times;serif"/>
          <w:b/>
          <w:sz w:val="32"/>
        </w:rPr>
        <w:t>Everspin Reports Unaudited Second Quarter 2023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4"/>
        </w:rPr>
        <w:t>Everspin continues to generate profits, reporting positive GAAP net income for the 9</w:t>
      </w:r>
      <w:r>
        <w:rPr>
          <w:rFonts w:ascii="Times New Roman;Times;serif" w:hAnsi="Times New Roman;Times;serif"/>
          <w:i/>
          <w:sz w:val="18"/>
        </w:rPr>
        <w:t>th</w:t>
      </w:r>
      <w:r>
        <w:rPr>
          <w:rFonts w:ascii="Times New Roman;Times;serif" w:hAnsi="Times New Roman;Times;serif"/>
          <w:sz w:val="20"/>
        </w:rPr>
        <w:t xml:space="preserve"> </w:t>
      </w:r>
      <w:r>
        <w:rPr>
          <w:rFonts w:ascii="Times New Roman;Times;serif" w:hAnsi="Times New Roman;Times;serif"/>
          <w:i/>
          <w:sz w:val="24"/>
        </w:rPr>
        <w:t>quarter in a row along with strong operational cash flow in its second quarter results.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4"/>
        </w:rPr>
        <w:t xml:space="preserve">Chandler, AZ, August 2, 2023 </w:t>
      </w:r>
      <w:r>
        <w:rPr>
          <w:rFonts w:ascii="Times New Roman;Times;serif" w:hAnsi="Times New Roman;Times;serif"/>
          <w:sz w:val="20"/>
        </w:rPr>
        <w:t xml:space="preserve">— </w:t>
      </w:r>
      <w:r>
        <w:rPr>
          <w:rFonts w:ascii="Times New Roman;Times;serif" w:hAnsi="Times New Roman;Times;serif"/>
          <w:sz w:val="24"/>
        </w:rPr>
        <w:t>Everspin Technologies, Inc. (NASDAQ: MRAM), the market leader in MRAM, today announced preliminary unaudited financial results for the second quarter ended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Second Quarter 2023 Highlights</w:t>
      </w:r>
    </w:p>
    <w:p>
      <w:pPr>
        <w:pStyle w:val="TextBody"/>
        <w:bidi w:val="0"/>
        <w:spacing w:before="0" w:after="0"/>
        <w:ind w:left="0" w:right="0" w:hanging="0"/>
        <w:jc w:val="left"/>
        <w:rPr/>
      </w:pPr>
      <w:r>
        <w:rPr/>
        <w:t>​</w:t>
      </w:r>
    </w:p>
    <w:tbl>
      <w:tblPr>
        <w:tblW w:w="6400" w:type="dxa"/>
        <w:jc w:val="left"/>
        <w:tblInd w:w="0" w:type="dxa"/>
        <w:tblLayout w:type="fixed"/>
        <w:tblCellMar>
          <w:top w:w="0" w:type="dxa"/>
          <w:left w:w="0" w:type="dxa"/>
          <w:bottom w:w="0" w:type="dxa"/>
          <w:right w:w="0" w:type="dxa"/>
        </w:tblCellMar>
      </w:tblPr>
      <w:tblGrid>
        <w:gridCol w:w="125"/>
        <w:gridCol w:w="6275"/>
      </w:tblGrid>
      <w:tr>
        <w:trPr/>
        <w:tc>
          <w:tcPr>
            <w:tcW w:w="125" w:type="dxa"/>
            <w:tcBorders/>
            <w:vAlign w:val="center"/>
          </w:tcPr>
          <w:p>
            <w:pPr>
              <w:pStyle w:val="TableContents"/>
              <w:bidi w:val="0"/>
              <w:spacing w:before="0" w:after="0"/>
              <w:jc w:val="both"/>
              <w:rPr>
                <w:rFonts w:ascii="Symbol" w:hAnsi="Symbol"/>
                <w:sz w:val="24"/>
              </w:rPr>
            </w:pPr>
            <w:r>
              <w:rPr>
                <w:rFonts w:ascii="Symbol" w:hAnsi="Symbol"/>
                <w:sz w:val="24"/>
              </w:rPr>
              <w:t>·</w:t>
            </w:r>
          </w:p>
        </w:tc>
        <w:tc>
          <w:tcPr>
            <w:tcW w:w="62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Q2’23 revenue exceeded the top end of guidance at $15.7 million.</w:t>
            </w:r>
          </w:p>
        </w:tc>
      </w:tr>
    </w:tbl>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0"/>
              <w:jc w:val="left"/>
              <w:rPr>
                <w:rFonts w:ascii="Symbol" w:hAnsi="Symbol"/>
                <w:sz w:val="24"/>
              </w:rPr>
            </w:pPr>
            <w:r>
              <w:rPr>
                <w:rFonts w:ascii="Symbol" w:hAnsi="Symbol"/>
                <w:sz w:val="24"/>
              </w:rPr>
              <w:t>·</w:t>
            </w:r>
          </w:p>
        </w:tc>
        <w:tc>
          <w:tcPr>
            <w:tcW w:w="92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The company reported net income of $3.9 million for Q2’23 compared to $0.8 million for Q1’23.</w:t>
            </w:r>
          </w:p>
        </w:tc>
      </w:tr>
    </w:tbl>
    <w:tbl>
      <w:tblPr>
        <w:tblW w:w="8095" w:type="dxa"/>
        <w:jc w:val="left"/>
        <w:tblInd w:w="0" w:type="dxa"/>
        <w:tblLayout w:type="fixed"/>
        <w:tblCellMar>
          <w:top w:w="0" w:type="dxa"/>
          <w:left w:w="0" w:type="dxa"/>
          <w:bottom w:w="0" w:type="dxa"/>
          <w:right w:w="0" w:type="dxa"/>
        </w:tblCellMar>
      </w:tblPr>
      <w:tblGrid>
        <w:gridCol w:w="125"/>
        <w:gridCol w:w="7970"/>
      </w:tblGrid>
      <w:tr>
        <w:trPr/>
        <w:tc>
          <w:tcPr>
            <w:tcW w:w="125" w:type="dxa"/>
            <w:tcBorders/>
            <w:vAlign w:val="center"/>
          </w:tcPr>
          <w:p>
            <w:pPr>
              <w:pStyle w:val="TableContents"/>
              <w:bidi w:val="0"/>
              <w:spacing w:before="0" w:after="0"/>
              <w:jc w:val="left"/>
              <w:rPr>
                <w:rFonts w:ascii="Symbol" w:hAnsi="Symbol"/>
                <w:sz w:val="24"/>
              </w:rPr>
            </w:pPr>
            <w:r>
              <w:rPr>
                <w:rFonts w:ascii="Symbol" w:hAnsi="Symbol"/>
                <w:sz w:val="24"/>
              </w:rPr>
              <w:t>·</w:t>
            </w:r>
          </w:p>
        </w:tc>
        <w:tc>
          <w:tcPr>
            <w:tcW w:w="797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Adjusted EBITDA for Q2’23 was $5.4 million compared to $2.3 million for Q1’23.</w:t>
            </w:r>
          </w:p>
        </w:tc>
      </w:tr>
    </w:tbl>
    <w:tbl>
      <w:tblPr>
        <w:tblW w:w="5995" w:type="dxa"/>
        <w:jc w:val="left"/>
        <w:tblInd w:w="0" w:type="dxa"/>
        <w:tblLayout w:type="fixed"/>
        <w:tblCellMar>
          <w:top w:w="0" w:type="dxa"/>
          <w:left w:w="0" w:type="dxa"/>
          <w:bottom w:w="0" w:type="dxa"/>
          <w:right w:w="0" w:type="dxa"/>
        </w:tblCellMar>
      </w:tblPr>
      <w:tblGrid>
        <w:gridCol w:w="125"/>
        <w:gridCol w:w="5870"/>
      </w:tblGrid>
      <w:tr>
        <w:trPr/>
        <w:tc>
          <w:tcPr>
            <w:tcW w:w="125" w:type="dxa"/>
            <w:tcBorders/>
            <w:vAlign w:val="center"/>
          </w:tcPr>
          <w:p>
            <w:pPr>
              <w:pStyle w:val="TableContents"/>
              <w:bidi w:val="0"/>
              <w:spacing w:before="0" w:after="0"/>
              <w:jc w:val="left"/>
              <w:rPr>
                <w:rFonts w:ascii="Symbol" w:hAnsi="Symbol"/>
                <w:sz w:val="24"/>
              </w:rPr>
            </w:pPr>
            <w:r>
              <w:rPr>
                <w:rFonts w:ascii="Symbol" w:hAnsi="Symbol"/>
                <w:sz w:val="24"/>
              </w:rPr>
              <w:t>·</w:t>
            </w:r>
          </w:p>
        </w:tc>
        <w:tc>
          <w:tcPr>
            <w:tcW w:w="587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Basic EPS for Q2’23 was $0.19 compared to $0.04 in Q1’23.</w:t>
            </w:r>
          </w:p>
        </w:tc>
      </w:tr>
    </w:tbl>
    <w:tbl>
      <w:tblPr>
        <w:tblW w:w="7885" w:type="dxa"/>
        <w:jc w:val="left"/>
        <w:tblInd w:w="0" w:type="dxa"/>
        <w:tblLayout w:type="fixed"/>
        <w:tblCellMar>
          <w:top w:w="0" w:type="dxa"/>
          <w:left w:w="0" w:type="dxa"/>
          <w:bottom w:w="0" w:type="dxa"/>
          <w:right w:w="0" w:type="dxa"/>
        </w:tblCellMar>
      </w:tblPr>
      <w:tblGrid>
        <w:gridCol w:w="125"/>
        <w:gridCol w:w="7760"/>
      </w:tblGrid>
      <w:tr>
        <w:trPr/>
        <w:tc>
          <w:tcPr>
            <w:tcW w:w="125" w:type="dxa"/>
            <w:tcBorders/>
            <w:vAlign w:val="center"/>
          </w:tcPr>
          <w:p>
            <w:pPr>
              <w:pStyle w:val="TableContents"/>
              <w:bidi w:val="0"/>
              <w:spacing w:before="0" w:after="0"/>
              <w:jc w:val="left"/>
              <w:rPr>
                <w:rFonts w:ascii="Symbol" w:hAnsi="Symbol"/>
                <w:sz w:val="24"/>
              </w:rPr>
            </w:pPr>
            <w:r>
              <w:rPr>
                <w:rFonts w:ascii="Symbol" w:hAnsi="Symbol"/>
                <w:sz w:val="24"/>
              </w:rPr>
              <w:t>·</w:t>
            </w:r>
          </w:p>
        </w:tc>
        <w:tc>
          <w:tcPr>
            <w:tcW w:w="776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Everspin generated cash flows from operating activities of $6.3 million for Q2’23.</w:t>
            </w:r>
          </w:p>
        </w:tc>
      </w:tr>
    </w:tbl>
    <w:tbl>
      <w:tblPr>
        <w:tblW w:w="6895" w:type="dxa"/>
        <w:jc w:val="left"/>
        <w:tblInd w:w="0" w:type="dxa"/>
        <w:tblLayout w:type="fixed"/>
        <w:tblCellMar>
          <w:top w:w="0" w:type="dxa"/>
          <w:left w:w="0" w:type="dxa"/>
          <w:bottom w:w="0" w:type="dxa"/>
          <w:right w:w="0" w:type="dxa"/>
        </w:tblCellMar>
      </w:tblPr>
      <w:tblGrid>
        <w:gridCol w:w="125"/>
        <w:gridCol w:w="6770"/>
      </w:tblGrid>
      <w:tr>
        <w:trPr/>
        <w:tc>
          <w:tcPr>
            <w:tcW w:w="125" w:type="dxa"/>
            <w:tcBorders/>
            <w:vAlign w:val="center"/>
          </w:tcPr>
          <w:p>
            <w:pPr>
              <w:pStyle w:val="TableContents"/>
              <w:bidi w:val="0"/>
              <w:spacing w:before="0" w:after="0"/>
              <w:jc w:val="both"/>
              <w:rPr>
                <w:rFonts w:ascii="Symbol" w:hAnsi="Symbol"/>
                <w:sz w:val="24"/>
              </w:rPr>
            </w:pPr>
            <w:r>
              <w:rPr>
                <w:rFonts w:ascii="Symbol" w:hAnsi="Symbol"/>
                <w:sz w:val="24"/>
              </w:rPr>
              <w:t>·</w:t>
            </w:r>
          </w:p>
        </w:tc>
        <w:tc>
          <w:tcPr>
            <w:tcW w:w="677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Everspin ended Q2’23 with cash and cash equivalents of $30.8 million.</w:t>
            </w:r>
          </w:p>
        </w:tc>
      </w:tr>
    </w:tbl>
    <w:tbl>
      <w:tblPr>
        <w:tblW w:w="7195" w:type="dxa"/>
        <w:jc w:val="left"/>
        <w:tblInd w:w="0" w:type="dxa"/>
        <w:tblLayout w:type="fixed"/>
        <w:tblCellMar>
          <w:top w:w="0" w:type="dxa"/>
          <w:left w:w="0" w:type="dxa"/>
          <w:bottom w:w="0" w:type="dxa"/>
          <w:right w:w="0" w:type="dxa"/>
        </w:tblCellMar>
      </w:tblPr>
      <w:tblGrid>
        <w:gridCol w:w="125"/>
        <w:gridCol w:w="7070"/>
      </w:tblGrid>
      <w:tr>
        <w:trPr/>
        <w:tc>
          <w:tcPr>
            <w:tcW w:w="125" w:type="dxa"/>
            <w:tcBorders/>
            <w:vAlign w:val="center"/>
          </w:tcPr>
          <w:p>
            <w:pPr>
              <w:pStyle w:val="TableContents"/>
              <w:bidi w:val="0"/>
              <w:spacing w:before="0" w:after="0"/>
              <w:jc w:val="both"/>
              <w:rPr>
                <w:rFonts w:ascii="Symbol" w:hAnsi="Symbol"/>
                <w:sz w:val="24"/>
              </w:rPr>
            </w:pPr>
            <w:r>
              <w:rPr>
                <w:rFonts w:ascii="Symbol" w:hAnsi="Symbol"/>
                <w:sz w:val="24"/>
              </w:rPr>
              <w:t>·</w:t>
            </w:r>
          </w:p>
        </w:tc>
        <w:tc>
          <w:tcPr>
            <w:tcW w:w="707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Everspin received a one-time employee retention tax credit of $2.0 million.</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Everspin delivered revenue of $15.7 million in the second quarter, above the high end of guidance, while managing through the supply chain constraints for our Toggle business and delivering a strong performance on our Radiation Hard programs,” said Sanjeev Aggarwal, President &amp; CEO. "We continue to exceed expectations on our Radiation Hard programs to deliver STT-MRAM based solutions for a "high-density memory array" and a "distributed configuration memory" for instant-on FPGAs with multiple time programmability. Healthy backlog in our industrial and automotive markets indicate strength in our core businesses.”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Second Quarter 2023 Results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Total revenue for the second quarter of 2023 was $15.7 million, an increase of 6% from the $14.8 million reported in the first quarter of 2023. This is an increase of 7% compared to $14.7 million of revenue in the second quarter of 2022.</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MRAM product sales in the second quarter of 2023, which includes both Toggle and STT-MRAM revenue, was $13.4 million, compared to $13.8 million reported in the first quarter of 2023. This is compared to $13.2 million reported in the second quarter of 2022.</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Licensing, royalties, patents and other revenue was $2.3 million, an increase from $1.1 million reported in the first quarter of 2023. This is an increase of 58% from $1.5 million reported in the second quarter of 2022.</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Second quarter 2023 revenue increased from the prior quarter due to licensing revenue related to Everspin’s RAD-Hard projects.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Gross margin for the second quarter of 2023 was 58.4%, compared to 56.8% in the first quarter of 2023 and 58.4% in the second quarter of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GAAP operating expenses were $7.6 million in the second</w:t>
      </w:r>
      <w:r>
        <w:rPr>
          <w:rFonts w:ascii="Times New Roman;Times;serif" w:hAnsi="Times New Roman;Times;serif"/>
          <w:sz w:val="20"/>
        </w:rPr>
        <w:t xml:space="preserve"> </w:t>
      </w:r>
      <w:r>
        <w:rPr>
          <w:rFonts w:ascii="Times New Roman;Times;serif" w:hAnsi="Times New Roman;Times;serif"/>
          <w:sz w:val="24"/>
        </w:rPr>
        <w:t>quarter of 2023, compared to $7.7 million in the first quarter of 2023 and $6.9 million in the second quarter of 2022. GAAP operating expenses increased in the second quarter of 2023 compared to the second quarter of 2022 as a result of increased development costs related to Everspin’s new xSPI family of lower density STT-MRAM products that are currently in low volume production.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GAAP net income for the second quarter of 2023</w:t>
      </w:r>
      <w:r>
        <w:rPr>
          <w:rFonts w:ascii="Times New Roman;Times;serif" w:hAnsi="Times New Roman;Times;serif"/>
          <w:sz w:val="20"/>
        </w:rPr>
        <w:t xml:space="preserve"> </w:t>
      </w:r>
      <w:r>
        <w:rPr>
          <w:rFonts w:ascii="Times New Roman;Times;serif" w:hAnsi="Times New Roman;Times;serif"/>
          <w:sz w:val="24"/>
        </w:rPr>
        <w:t>was $3.9 million, or $0.19 per basic share, based on 20.7 million weighted-average basic common shares outstanding. This is compared to net income of $0.8 million, or $0.04 per basic share, in the first quarter of 2023 and net income of $1.7 million, or $0.08 per basic share, in the second quarter of 2022.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Cash and cash equivalents as of the end of the second quarter of 2023 were $30.8 million, compared to $24.2 million as of the end of the first quarter of 2023, and $23.1 million as of the end of the second quarter of 2022.</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Everspin generated cash flows from operating activities of $6.3 million in the second quarter of 2023, compared to $1.2 million in the first quarter of 2023, and $4.3 million in the second quarter of 2022.</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During the second quarter of 2023, Everspin received a one-time Employee Retention Tax Credit (ERTC) refund from the United States Treasury totaling $2.0 million. The refund was received pursuant to provisions within the Coronavirus Aid, Relief, and Economic Security Act.  Everspin recorded the one-time ERTC within other income during the second quarter of 2023.</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Business Outlook</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For the third quarter 2023, Everspin expects total revenue in a range of $15.4 million to $16.4 million. Everspin expects GAAP net income per basic share to be between $0.01 and $0.06.</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including due to the military conflict in Ukraine and recent market volatility, semiconductor downturn and the other risk factors described in Everspin's filings with the Securities and Exchange Commission (the “SEC”), including its Annual Report on Form 10-K for the fiscal year ended December 31, 2022, its Quarterly Reports on Form 10-Q filed with the SEC during 2023, as well as in its subsequent filings with the SEC.</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Use of Non-GAAP Financial Measures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interest expense, taxes, depreciation and amortization, stock-based compensation expense, and restructuring costs if 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Conference Call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Everspin will host a conference call for analysts and investors on Wednesday, August 2, 2023, at 5:00 p.m. Eastern Time. Interested participants can pre-register online to receive a telephone number and a unique passcode 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https://register.vevent.com/register/BI6f420adaead04896a89f74be1072e951</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conference call will be broadcast live in listen-only mode 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https://edge.media-server.com/mmc/p/k8k7f8ap</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registration link and archived webcast will be available in the Investor Relations section of Everspin’s website at investor.everspin.com.</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About Everspin Technologies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Everspin Technologies, Inc. is the world’s leading provider of Magnetoresistive RAM (MRAM). Everspin MRAM delivers the industry’s most robust, highest performance non-volatile memory for Industrial IoT, Data Center, and other mission-critical applications where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data persistence is paramount. Headquartered in Chandler, Arizona, Everspin provides commercially available MRAM solutions to a large and diverse customer base. For more information, visit </w:t>
      </w:r>
      <w:r>
        <w:rPr>
          <w:rFonts w:ascii="Times New Roman;Times;serif" w:hAnsi="Times New Roman;Times;serif"/>
          <w:sz w:val="24"/>
          <w:u w:val="single"/>
        </w:rPr>
        <w:t>www.everspin.com</w:t>
      </w:r>
      <w:r>
        <w:rPr>
          <w:rFonts w:ascii="Times New Roman;Times;serif" w:hAnsi="Times New Roman;Times;serif"/>
          <w:sz w:val="24"/>
        </w:rPr>
        <w:t>. NASDAQ: MRAM.</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4"/>
        </w:rPr>
      </w:pPr>
      <w:r>
        <w:rPr>
          <w:rFonts w:ascii="Times New Roman;Times;serif" w:hAnsi="Times New Roman;Times;serif"/>
          <w:b/>
          <w:sz w:val="24"/>
        </w:rPr>
        <w:t>Cautionary Statement Regarding Forward-Looking Statements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third quarter 2023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2022 filed with the SEC on March 2, 2023, and its Quarterly Reports on Form 10-Q filed with the SEC during 2023,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bidi w:val="0"/>
        <w:spacing w:before="0" w:after="0"/>
        <w:ind w:left="0" w:right="0" w:hanging="0"/>
        <w:jc w:val="both"/>
        <w:rPr/>
      </w:pPr>
      <w:r>
        <w:rPr/>
        <w:t>​</w:t>
      </w:r>
    </w:p>
    <w:p>
      <w:pPr>
        <w:pStyle w:val="TextBody"/>
        <w:bidi w:val="0"/>
        <w:spacing w:before="0" w:after="2"/>
        <w:ind w:left="0" w:right="0" w:hanging="0"/>
        <w:jc w:val="left"/>
        <w:rPr>
          <w:rFonts w:ascii="Times New Roman;Times;serif" w:hAnsi="Times New Roman;Times;serif"/>
          <w:b/>
          <w:sz w:val="24"/>
        </w:rPr>
      </w:pPr>
      <w:r>
        <w:rPr>
          <w:rFonts w:ascii="Times New Roman;Times;serif" w:hAnsi="Times New Roman;Times;serif"/>
          <w:b/>
          <w:sz w:val="24"/>
        </w:rPr>
        <w:t>Company Contact:</w:t>
      </w:r>
    </w:p>
    <w:p>
      <w:pPr>
        <w:pStyle w:val="TextBody"/>
        <w:bidi w:val="0"/>
        <w:spacing w:before="0" w:after="2"/>
        <w:ind w:left="0" w:right="0" w:hanging="0"/>
        <w:jc w:val="left"/>
        <w:rPr>
          <w:rFonts w:ascii="Times New Roman;Times;serif" w:hAnsi="Times New Roman;Times;serif"/>
          <w:sz w:val="24"/>
        </w:rPr>
      </w:pPr>
      <w:r>
        <w:rPr>
          <w:rFonts w:ascii="Times New Roman;Times;serif" w:hAnsi="Times New Roman;Times;serif"/>
          <w:sz w:val="24"/>
        </w:rPr>
        <w:t>Anuj Aggarwal, CFO</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 480-347-1082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E: </w:t>
      </w:r>
      <w:r>
        <w:rPr>
          <w:rFonts w:ascii="Times New Roman;Times;serif" w:hAnsi="Times New Roman;Times;serif"/>
          <w:sz w:val="24"/>
          <w:u w:val="single"/>
        </w:rPr>
        <w:t>anuj.aggarwal@everspin.com</w:t>
      </w:r>
    </w:p>
    <w:p>
      <w:pPr>
        <w:pStyle w:val="TextBody"/>
        <w:bidi w:val="0"/>
        <w:spacing w:before="0" w:after="0"/>
        <w:ind w:left="82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208"/>
        <w:gridCol w:w="326"/>
        <w:gridCol w:w="211"/>
        <w:gridCol w:w="865"/>
        <w:gridCol w:w="326"/>
        <w:gridCol w:w="211"/>
        <w:gridCol w:w="865"/>
        <w:gridCol w:w="193"/>
      </w:tblGrid>
      <w:tr>
        <w:trPr/>
        <w:tc>
          <w:tcPr>
            <w:tcW w:w="7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577080" cy="175260"/>
                      <wp:effectExtent l="0" t="0" r="0" b="0"/>
                      <wp:wrapNone/>
                      <wp:docPr id="13" name="Frame12"/>
                      <a:graphic xmlns:a="http://schemas.openxmlformats.org/drawingml/2006/main">
                        <a:graphicData uri="http://schemas.microsoft.com/office/word/2010/wordprocessingShape">
                          <wps:wsp>
                            <wps:cNvSpPr txBox="1"/>
                            <wps:spPr>
                              <a:xfrm>
                                <a:off x="0" y="0"/>
                                <a:ext cx="457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49275" cy="175260"/>
                      <wp:effectExtent l="0" t="0" r="0" b="0"/>
                      <wp:wrapNone/>
                      <wp:docPr id="16" name="Frame15"/>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49275" cy="175260"/>
                      <wp:effectExtent l="0" t="0" r="0" b="0"/>
                      <wp:wrapNone/>
                      <wp:docPr id="19" name="Frame1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2555" cy="175260"/>
                      <wp:effectExtent l="0" t="0" r="0" b="0"/>
                      <wp:wrapNone/>
                      <wp:docPr id="20" name="Frame1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93"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44,747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57,270</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55,333</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65"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65"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income tax liability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11,198</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16,669</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5)</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June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per share; 100,000,000 shares authorized; 20,743,422 and 20,374,288 shares issued and outstanding as of June 30, 2023 and December 31,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185,364</w:t>
            </w:r>
          </w:p>
        </w:tc>
        <w:tc>
          <w:tcPr>
            <w:tcW w:w="193" w:type="dxa"/>
            <w:tcBorders/>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(142,056)</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(146,702)</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57,270</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55,333</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Income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722"/>
        <w:gridCol w:w="326"/>
        <w:gridCol w:w="211"/>
        <w:gridCol w:w="1036"/>
        <w:gridCol w:w="326"/>
        <w:gridCol w:w="211"/>
        <w:gridCol w:w="1036"/>
        <w:gridCol w:w="326"/>
        <w:gridCol w:w="211"/>
        <w:gridCol w:w="1036"/>
        <w:gridCol w:w="326"/>
        <w:gridCol w:w="211"/>
        <w:gridCol w:w="1036"/>
        <w:gridCol w:w="191"/>
      </w:tblGrid>
      <w:tr>
        <w:trPr/>
        <w:tc>
          <w:tcPr>
            <w:tcW w:w="3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363470" cy="175260"/>
                      <wp:effectExtent l="0" t="0" r="0" b="0"/>
                      <wp:wrapNone/>
                      <wp:docPr id="21" name="Frame20"/>
                      <a:graphic xmlns:a="http://schemas.openxmlformats.org/drawingml/2006/main">
                        <a:graphicData uri="http://schemas.microsoft.com/office/word/2010/wordprocessingShape">
                          <wps:wsp>
                            <wps:cNvSpPr txBox="1"/>
                            <wps:spPr>
                              <a:xfrm>
                                <a:off x="0" y="0"/>
                                <a:ext cx="2363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7" name="Frame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57860" cy="175260"/>
                      <wp:effectExtent l="0" t="0" r="0" b="0"/>
                      <wp:wrapNone/>
                      <wp:docPr id="30" name="Frame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33" name="Frame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1285" cy="175260"/>
                      <wp:effectExtent l="0" t="0" r="0" b="0"/>
                      <wp:wrapNone/>
                      <wp:docPr id="34" name="Frame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7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6,116</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and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20,657,404</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20,069,444</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20,554,769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19,983,526</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21,234,253</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20,424,283</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21,068,059</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20,626,547</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Operating expenses include stock-based compensation as follows: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559"/>
        <w:gridCol w:w="326"/>
        <w:gridCol w:w="211"/>
        <w:gridCol w:w="690"/>
        <w:gridCol w:w="326"/>
        <w:gridCol w:w="211"/>
        <w:gridCol w:w="690"/>
        <w:gridCol w:w="192"/>
      </w:tblGrid>
      <w:tr>
        <w:trPr/>
        <w:tc>
          <w:tcPr>
            <w:tcW w:w="7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799965" cy="175260"/>
                      <wp:effectExtent l="0" t="0" r="0" b="0"/>
                      <wp:wrapNone/>
                      <wp:docPr id="35" name="Frame34"/>
                      <a:graphic xmlns:a="http://schemas.openxmlformats.org/drawingml/2006/main">
                        <a:graphicData uri="http://schemas.microsoft.com/office/word/2010/wordprocessingShape">
                          <wps:wsp>
                            <wps:cNvSpPr txBox="1"/>
                            <wps:spPr>
                              <a:xfrm>
                                <a:off x="0" y="0"/>
                                <a:ext cx="4799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8150" cy="175260"/>
                      <wp:effectExtent l="0" t="0" r="0" b="0"/>
                      <wp:wrapNone/>
                      <wp:docPr id="38" name="Frame3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150" cy="175260"/>
                      <wp:effectExtent l="0" t="0" r="0" b="0"/>
                      <wp:wrapNone/>
                      <wp:docPr id="41" name="Frame4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1920" cy="175260"/>
                      <wp:effectExtent l="0" t="0" r="0" b="0"/>
                      <wp:wrapNone/>
                      <wp:docPr id="42" name="Frame4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75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0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prepayment and termination of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warrant revaluation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7,531</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0"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0"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received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0"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0"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 and purchase of shares in employee stock purchase plan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0"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0"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w:t>
            </w:r>
          </w:p>
        </w:tc>
        <w:tc>
          <w:tcPr>
            <w:tcW w:w="192" w:type="dxa"/>
            <w:tcBorders/>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21,409</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30,830</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23,051</w:t>
            </w:r>
          </w:p>
        </w:tc>
        <w:tc>
          <w:tcPr>
            <w:tcW w:w="1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Supplementary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0"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0"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paid for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1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paid for 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0"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0"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1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1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Adjusted EBITDA Reconciliation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7683" w:type="dxa"/>
        <w:jc w:val="center"/>
        <w:tblInd w:w="0" w:type="dxa"/>
        <w:tblLayout w:type="fixed"/>
        <w:tblCellMar>
          <w:top w:w="0" w:type="dxa"/>
          <w:left w:w="0" w:type="dxa"/>
          <w:bottom w:w="0" w:type="dxa"/>
          <w:right w:w="0" w:type="dxa"/>
        </w:tblCellMar>
      </w:tblPr>
      <w:tblGrid>
        <w:gridCol w:w="3001"/>
        <w:gridCol w:w="326"/>
        <w:gridCol w:w="303"/>
        <w:gridCol w:w="823"/>
        <w:gridCol w:w="326"/>
        <w:gridCol w:w="340"/>
        <w:gridCol w:w="921"/>
        <w:gridCol w:w="326"/>
        <w:gridCol w:w="303"/>
        <w:gridCol w:w="823"/>
        <w:gridCol w:w="19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905635" cy="175260"/>
                      <wp:effectExtent l="0" t="0" r="0" b="0"/>
                      <wp:wrapNone/>
                      <wp:docPr id="43" name="Frame42"/>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92405" cy="175260"/>
                      <wp:effectExtent l="0" t="0" r="0" b="0"/>
                      <wp:wrapNone/>
                      <wp:docPr id="45" name="Frame4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2605" cy="175260"/>
                      <wp:effectExtent l="0" t="0" r="0" b="0"/>
                      <wp:wrapNone/>
                      <wp:docPr id="46" name="Frame4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5900" cy="175260"/>
                      <wp:effectExtent l="0" t="0" r="0" b="0"/>
                      <wp:wrapNone/>
                      <wp:docPr id="48" name="Frame4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84835" cy="175260"/>
                      <wp:effectExtent l="0" t="0" r="0" b="0"/>
                      <wp:wrapNone/>
                      <wp:docPr id="49" name="Frame48"/>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92405" cy="175260"/>
                      <wp:effectExtent l="0" t="0" r="0" b="0"/>
                      <wp:wrapNone/>
                      <wp:docPr id="51" name="Frame5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2605" cy="175260"/>
                      <wp:effectExtent l="0" t="0" r="0" b="0"/>
                      <wp:wrapNone/>
                      <wp:docPr id="52" name="Frame51"/>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1285" cy="175260"/>
                      <wp:effectExtent l="0" t="0" r="0" b="0"/>
                      <wp:wrapNone/>
                      <wp:docPr id="53" name="Frame5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26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2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reconciliation:</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2706</Words>
  <Characters>15050</Characters>
  <CharactersWithSpaces>18124</CharactersWithSpaces>
  <Paragraphs>1387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