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133350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Everspin Technologies,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133350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3"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001-37900</w:t>
            </w:r>
          </w:p>
        </w:tc>
        <w:tc>
          <w:tcPr>
            <w:tcW w:w="15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26-2640654</w:t>
            </w:r>
          </w:p>
        </w:tc>
      </w:tr>
      <w:tr>
        <w:trPr>
          <w:trHeight w:val="148"/>
        </w:trPr>
        <w:tc>
          <w:tcPr>
            <w:tcW w:w="19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5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5670 W. Chandler Blvd.</w:t>
            </w:r>
          </w:p>
        </w:tc>
        <w:tc>
          <w:tcPr>
            <w:tcW w:w="1540" w:type="dxa"/>
            <w:vAlign w:val="bottom"/>
          </w:tcPr>
          <w:p>
            <w:pPr>
              <w:spacing w:after="0"/>
              <w:rPr>
                <w:sz w:val="19"/>
                <w:szCs w:val="19"/>
                <w:color w:val="auto"/>
              </w:rPr>
            </w:pPr>
          </w:p>
        </w:tc>
      </w:tr>
      <w:tr>
        <w:trPr>
          <w:trHeight w:val="149"/>
        </w:trPr>
        <w:tc>
          <w:tcPr>
            <w:tcW w:w="1940" w:type="dxa"/>
            <w:vAlign w:val="bottom"/>
          </w:tcPr>
          <w:p>
            <w:pPr>
              <w:spacing w:after="0"/>
              <w:rPr>
                <w:sz w:val="12"/>
                <w:szCs w:val="12"/>
                <w:color w:val="auto"/>
              </w:rPr>
            </w:pP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Suite 130</w:t>
            </w:r>
          </w:p>
        </w:tc>
        <w:tc>
          <w:tcPr>
            <w:tcW w:w="1540" w:type="dxa"/>
            <w:vAlign w:val="bottom"/>
          </w:tcPr>
          <w:p>
            <w:pPr>
              <w:spacing w:after="0"/>
              <w:rPr>
                <w:sz w:val="12"/>
                <w:szCs w:val="12"/>
                <w:color w:val="auto"/>
              </w:rPr>
            </w:pPr>
          </w:p>
        </w:tc>
      </w:tr>
      <w:tr>
        <w:trPr>
          <w:trHeight w:val="148"/>
        </w:trPr>
        <w:tc>
          <w:tcPr>
            <w:tcW w:w="1940" w:type="dxa"/>
            <w:vAlign w:val="bottom"/>
          </w:tcPr>
          <w:p>
            <w:pPr>
              <w:spacing w:after="0"/>
              <w:rPr>
                <w:sz w:val="12"/>
                <w:szCs w:val="12"/>
                <w:color w:val="auto"/>
              </w:rPr>
            </w:pPr>
          </w:p>
        </w:tc>
        <w:tc>
          <w:tcPr>
            <w:tcW w:w="45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Chandler, Arizona 85226</w:t>
            </w:r>
          </w:p>
        </w:tc>
        <w:tc>
          <w:tcPr>
            <w:tcW w:w="1540" w:type="dxa"/>
            <w:vAlign w:val="bottom"/>
          </w:tcPr>
          <w:p>
            <w:pPr>
              <w:spacing w:after="0"/>
              <w:rPr>
                <w:sz w:val="12"/>
                <w:szCs w:val="12"/>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40" w:type="dxa"/>
            <w:vAlign w:val="bottom"/>
          </w:tcPr>
          <w:p>
            <w:pPr>
              <w:spacing w:after="0"/>
              <w:rPr>
                <w:sz w:val="16"/>
                <w:szCs w:val="16"/>
                <w:color w:val="auto"/>
              </w:rPr>
            </w:pP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(480) 347-1111</w:t>
            </w:r>
          </w:p>
        </w:tc>
        <w:tc>
          <w:tcPr>
            <w:tcW w:w="1540" w:type="dxa"/>
            <w:vAlign w:val="bottom"/>
          </w:tcPr>
          <w:p>
            <w:pPr>
              <w:spacing w:after="0"/>
              <w:rPr>
                <w:sz w:val="19"/>
                <w:szCs w:val="19"/>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40" w:type="dxa"/>
            <w:vAlign w:val="bottom"/>
          </w:tcPr>
          <w:p>
            <w:pPr>
              <w:spacing w:after="0"/>
              <w:rPr>
                <w:sz w:val="16"/>
                <w:szCs w:val="16"/>
                <w:color w:val="auto"/>
              </w:rPr>
            </w:pP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540" w:type="dxa"/>
            <w:vAlign w:val="bottom"/>
          </w:tcPr>
          <w:p>
            <w:pPr>
              <w:spacing w:after="0"/>
              <w:rPr>
                <w:sz w:val="19"/>
                <w:szCs w:val="19"/>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72" w:lineRule="exact"/>
        <w:rPr>
          <w:sz w:val="24"/>
          <w:szCs w:val="24"/>
          <w:color w:val="auto"/>
        </w:rPr>
      </w:pPr>
    </w:p>
    <w:p>
      <w:pPr>
        <w:ind w:left="60" w:right="539"/>
        <w:spacing w:after="0" w:line="261"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60" w:right="2139" w:hanging="2"/>
        <w:spacing w:after="0" w:line="421" w:lineRule="auto"/>
        <w:tabs>
          <w:tab w:leader="none" w:pos="45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49"/>
        </w:trPr>
        <w:tc>
          <w:tcPr>
            <w:tcW w:w="3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4"/>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160" w:type="dxa"/>
            <w:vAlign w:val="bottom"/>
          </w:tcPr>
          <w:p>
            <w:pPr>
              <w:spacing w:after="0"/>
              <w:rPr>
                <w:sz w:val="15"/>
                <w:szCs w:val="15"/>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60" w:right="43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5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481330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52705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95885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7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37"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6"/>
          <w:szCs w:val="16"/>
          <w:color w:val="auto"/>
        </w:rPr>
        <w:t>On July 31, 2024, Everspin Technologies, Inc. issued a press release announcing its financial results for the quarter ended June 30, 2024,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1"/>
        </w:trPr>
        <w:tc>
          <w:tcPr>
            <w:tcW w:w="20" w:type="dxa"/>
            <w:vAlign w:val="bottom"/>
          </w:tcPr>
          <w:p>
            <w:pPr>
              <w:spacing w:after="0"/>
              <w:rPr>
                <w:sz w:val="14"/>
                <w:szCs w:val="14"/>
                <w:color w:val="auto"/>
              </w:rPr>
            </w:pPr>
          </w:p>
        </w:tc>
        <w:tc>
          <w:tcPr>
            <w:tcW w:w="900" w:type="dxa"/>
            <w:vAlign w:val="bottom"/>
          </w:tcPr>
          <w:p>
            <w:pPr>
              <w:jc w:val="right"/>
              <w:ind w:right="239"/>
              <w:spacing w:after="0" w:line="161" w:lineRule="exact"/>
              <w:rPr>
                <w:sz w:val="20"/>
                <w:szCs w:val="20"/>
                <w:color w:val="auto"/>
              </w:rPr>
            </w:pPr>
            <w:r>
              <w:rPr>
                <w:rFonts w:ascii="Times New Roman" w:cs="Times New Roman" w:eastAsia="Times New Roman" w:hAnsi="Times New Roman"/>
                <w:sz w:val="16"/>
                <w:szCs w:val="16"/>
                <w:color w:val="auto"/>
              </w:rPr>
              <w:t>99.1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0000EE"/>
              </w:rPr>
              <w:t>Press release dated July 31, 2024.</w:t>
            </w: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17"/>
        </w:trPr>
        <w:tc>
          <w:tcPr>
            <w:tcW w:w="9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02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60" w:right="159"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Everspin Technologies, Inc.</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July 31, 2024</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Matt Tenorio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Matt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-116205</wp:posOffset>
            </wp:positionV>
            <wp:extent cx="2640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504190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156845</wp:posOffset>
            </wp:positionV>
            <wp:extent cx="228028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2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Reports Unaudited Second Quarter 2024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Q2’24 revenue of $10.6 million in-line with guidance</w:t>
      </w:r>
    </w:p>
    <w:p>
      <w:pPr>
        <w:spacing w:after="0" w:line="22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Chandler, AZ, July 31, 2024 </w:t>
      </w:r>
      <w:r>
        <w:rPr>
          <w:rFonts w:ascii="Times New Roman" w:cs="Times New Roman" w:eastAsia="Times New Roman" w:hAnsi="Times New Roman"/>
          <w:sz w:val="18"/>
          <w:szCs w:val="18"/>
          <w:color w:val="auto"/>
        </w:rPr>
        <w:t>— Everspin Technologies, Inc. (NASDAQ: MRAM), the world’s leading developer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 of magnetoresistive random access memory (MRAM) persistent memory solutions, today announced preliminary unaudited financial results for the second quarter ended June 30, 2024.</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second quarter revenue and GAAP net loss per basic share came in in-line with our guidance,” said Sanjeev Aggarwal, President and Chief Executive Officer. “Despite a slower start to the year, we continue to see a path towards a stronger second half supported by design wins with our PERSYST 4Mb to 128Mb STT-MRAM product family, especially in the European and Asia Pacific regions where we experienced our highest design activity.”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Second Quarter 2024 Results</w:t>
      </w:r>
    </w:p>
    <w:p>
      <w:pPr>
        <w:spacing w:after="0" w:line="229" w:lineRule="exact"/>
        <w:rPr>
          <w:sz w:val="20"/>
          <w:szCs w:val="20"/>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$10.6 million, compared to $15.7 million in the second quarter of 2023.</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includes both Toggle and STT-MRAM revenue, of $9.9 million, compared to $13.4 million in the second quarter of 2023.</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royalty, patent, and other revenue of $0.7 million, compared to $2.3 million in the second quarter of 2023.</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49.0%, compared to 58.4% in the second quarter of 2023.</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$8.0 million, compared to $7.6 million in the second quarter of 2023.</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of $2.5 million, or $0.12 per basic share, compared to net income of $3.9 million, or $0.18 per diluted share, in the second quarter of 2023.</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 loss of $0.2 million, compared to $5.4 million in the second quarter of 2023.</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pleased to end the quarter with a strong balance sheet that remains debt free and the $1.7 million cash flow from operations we generated in the quarter,” said Matt Tenorio, Everspin’s Interim Chief Financial Officer. “Looking ahead to the third quarter, we anticipate a ramp in revenue and design wins and have observed signs of recovery in inventory consumption of our customers.”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third quarter 2024, Everspin expects total revenue in a range of $11.5 million to $12.5 million and GAAP net loss per basic share to be between $0.05 and $0.10.</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This outlook is dependent on Everspin's current expectations, which may be impacted by, among other things, evolving external conditions, such as pandemics or endemics, local safety guidelines, worsening impacts due to supply chain constraints or interruptions, including due to the military conflict between Russia and Ukraine, instability in the Middle East, recent market volatility, semiconductor downturn and the other risk factors described in Everspin's filings with the Securities and Exchange Commission (the "SEC"), including its Annual Report on Form 10-K for the fiscal year ended December 31, 2023, its Quarterly Reports on Form 10-Q filed with the SEC during 2024, as well as in its subsequent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474345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 interest expense, taxes, depreciation and amortization, stock-based compensation expense, and restructuring costs (if any).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Everspin will host a conference call for analysts and investors on Wednesday, July 31, 2024, at 5:00 p.m. Eastern Time.</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Dial-in details: To access the call by phone, please go to this link and you will be provided with dial-in details. To avoid delays, we encourage participants to dial into the conference call fifteen minutes ahead of the scheduled start time.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live webcast of the call will be accessible on the Company’s website at investor.everspin.com. Approximately two hours after conclusion of the live event, an archived webcast of the conference call will be accessible from the Investor Relations section of the Company’s website for twelve months.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Everspin Technologies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t>
      </w:r>
      <w:r>
        <w:rPr>
          <w:rFonts w:ascii="Times New Roman" w:cs="Times New Roman" w:eastAsia="Times New Roman" w:hAnsi="Times New Roman"/>
          <w:sz w:val="18"/>
          <w:szCs w:val="18"/>
          <w:u w:val="single" w:color="auto"/>
          <w:color w:val="auto"/>
        </w:rPr>
        <w:t>www.everspin.com</w:t>
      </w:r>
      <w:r>
        <w:rPr>
          <w:rFonts w:ascii="Times New Roman" w:cs="Times New Roman" w:eastAsia="Times New Roman" w:hAnsi="Times New Roman"/>
          <w:sz w:val="18"/>
          <w:szCs w:val="18"/>
          <w:color w:val="auto"/>
        </w:rPr>
        <w:t>. NASDAQ: MRAM.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third quarter 2024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2023 filed with the SEC on February 29, 2024, and its Quarterly Reports on Form 10-Q filed with the SEC during 2024, as well as in its subsequent filings with the SEC. Any forward-looking statements made by Everspin in this press release speak only as of the date on which they are made and subsequent events may cause these expectations to change. Everspin disclaims any</w:t>
      </w:r>
    </w:p>
    <w:p>
      <w:pPr>
        <w:spacing w:after="0" w:line="5"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obligations to update or alter these forward-looking statements in the future, whether as a result of new information, future events or otherwise, except as required by law.</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Monica Gould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jc w:val="both"/>
        <w:ind w:left="60" w:right="7719" w:hanging="10"/>
        <w:spacing w:after="0" w:line="290" w:lineRule="auto"/>
        <w:tabs>
          <w:tab w:leader="none" w:pos="2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212-871-3927 ir@everspin.com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591820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21,656,683 and 21,080,472 shares issued and outstanding as of June 30, 2024 and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6" w:name="page7"/>
    <w:bookmarkEnd w:id="6"/>
    <w:p>
      <w:pPr>
        <w:jc w:val="center"/>
        <w:ind w:left="40" w:right="59"/>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Income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20,657,404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21,409,611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21,566,863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21,234,253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21,409,611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21,068,059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Operating expenses include stock-based compensation as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follows: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prepayment and termination of credit facility</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warrant revaluation</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of long term tax liability</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net</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received from sale of property and equipment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exercise of stock options and purchase of shares in employee stock</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699</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liabilities</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4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7"/>
        </w:trPr>
        <w:tc>
          <w:tcPr>
            <w:tcW w:w="4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2024-07-31T15:11:00Z</dcterms:created>
  <dcterms:modified xsi:type="dcterms:W3CDTF">2024-07-31T15:11:00Z</dcterms:modified>
</cp:coreProperties>
</file>