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lineRule="atLeast" w:line="142" w:before="0" w:after="0"/>
        <w:ind w:left="0" w:right="0" w:hanging="0"/>
        <w:jc w:val="center"/>
        <w:rPr/>
      </w:pPr>
      <w:bookmarkStart w:id="0" w:name="mram-20250630x8k.htm"/>
      <w:bookmarkStart w:id="1" w:name="ksmram20250630x8k"/>
      <w:bookmarkEnd w:id="0"/>
      <w:bookmarkEnd w:id="1"/>
      <w:r>
        <w:rPr/>
        <w:t>​</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bookmarkStart w:id="2" w:name="_cb935b8a_3cc4_461e_a286_d4d2b4024b8e"/>
      <w:bookmarkEnd w:id="2"/>
      <w:r>
        <w:rPr>
          <w:rFonts w:ascii="Times New Roman;Times;serif" w:hAnsi="Times New Roman;Times;serif"/>
          <w:b/>
          <w:sz w:val="16"/>
        </w:rPr>
        <w:t>UNITED STATES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 8-K</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 REPORT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Pursuant to Section 13 or 15(d)</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the Securities Exchange Act of 1934</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 Report (Date of earliest event reported): June 30, 2025</w:t>
      </w:r>
    </w:p>
    <w:p>
      <w:pPr>
        <w:pStyle w:val="TextBody"/>
        <w:bidi w:val="0"/>
        <w:spacing w:before="0" w:after="0"/>
        <w:ind w:left="0" w:right="0" w:hanging="0"/>
        <w:jc w:val="center"/>
        <w:rPr>
          <w:rFonts w:ascii="Times New Roman;Times;serif" w:hAnsi="Times New Roman;Times;serif"/>
          <w:b/>
          <w:sz w:val="23"/>
        </w:rPr>
      </w:pPr>
      <w:r>
        <w:rPr>
          <w:rFonts w:ascii="Times New Roman;Times;serif" w:hAnsi="Times New Roman;Times;serif"/>
          <w:b/>
          <w:sz w:val="23"/>
        </w:rPr>
        <w:t>Everspin Technologies,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lineRule="atLeast" w:line="142" w:before="0" w:after="0"/>
        <w:ind w:left="0" w:right="0" w:hanging="0"/>
        <w:jc w:val="center"/>
        <w:rPr/>
      </w:pPr>
      <w:r>
        <w:rPr/>
        <w:t>​</w:t>
      </w:r>
    </w:p>
    <w:p>
      <w:pPr>
        <w:pStyle w:val="Normal"/>
        <w:bidi w:val="0"/>
        <w:spacing w:before="0" w:after="0"/>
        <w:jc w:val="left"/>
        <w:rPr>
          <w:sz w:val="4"/>
          <w:szCs w:val="4"/>
        </w:rPr>
      </w:pPr>
      <w:r>
        <w:rPr>
          <w:sz w:val="4"/>
          <w:szCs w:val="4"/>
        </w:rPr>
      </w:r>
      <w:bookmarkStart w:id="3" w:name="Tc_tISJnqi9fUSgVsX5SJQz4g_3_2"/>
      <w:bookmarkStart w:id="4" w:name="Tc_L_X-PZhkM0qQYFDo9EIQsg_3_1"/>
      <w:bookmarkStart w:id="5" w:name="Tc_Dsg2qyOqlEuBpR6Jcf4S4g_3_0"/>
      <w:bookmarkStart w:id="6" w:name="Tc_OwoEiHB57UWZB6GWs1Yofg_2_2"/>
      <w:bookmarkStart w:id="7" w:name="Tc_WJCFGqbifka_qsQjDRuT9Q_2_1"/>
      <w:bookmarkStart w:id="8" w:name="Tc_i1Wd7GjEpEaoo1doIFwvaA_2_0"/>
      <w:bookmarkStart w:id="9" w:name="_95aca28f_023d_4dd8_adf6_29a413db3fd7"/>
      <w:bookmarkStart w:id="10" w:name="Tc_tISJnqi9fUSgVsX5SJQz4g_3_2"/>
      <w:bookmarkStart w:id="11" w:name="Tc_L_X-PZhkM0qQYFDo9EIQsg_3_1"/>
      <w:bookmarkStart w:id="12" w:name="Tc_Dsg2qyOqlEuBpR6Jcf4S4g_3_0"/>
      <w:bookmarkStart w:id="13" w:name="Tc_OwoEiHB57UWZB6GWs1Yofg_2_2"/>
      <w:bookmarkStart w:id="14" w:name="Tc_WJCFGqbifka_qsQjDRuT9Q_2_1"/>
      <w:bookmarkStart w:id="15" w:name="Tc_i1Wd7GjEpEaoo1doIFwvaA_2_0"/>
      <w:bookmarkStart w:id="16" w:name="_95aca28f_023d_4dd8_adf6_29a413db3fd7"/>
      <w:bookmarkEnd w:id="10"/>
      <w:bookmarkEnd w:id="11"/>
      <w:bookmarkEnd w:id="12"/>
      <w:bookmarkEnd w:id="13"/>
      <w:bookmarkEnd w:id="14"/>
      <w:bookmarkEnd w:id="15"/>
      <w:bookmarkEnd w:id="16"/>
    </w:p>
    <w:tbl>
      <w:tblPr>
        <w:tblW w:w="4623" w:type="dxa"/>
        <w:jc w:val="left"/>
        <w:tblInd w:w="0" w:type="dxa"/>
        <w:tblLayout w:type="fixed"/>
        <w:tblCellMar>
          <w:top w:w="0" w:type="dxa"/>
          <w:left w:w="0" w:type="dxa"/>
          <w:bottom w:w="0" w:type="dxa"/>
          <w:right w:w="0" w:type="dxa"/>
        </w:tblCellMar>
      </w:tblPr>
      <w:tblGrid>
        <w:gridCol w:w="2071"/>
        <w:gridCol w:w="1066"/>
        <w:gridCol w:w="148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15085" cy="175260"/>
                      <wp:effectExtent l="0" t="0" r="0" b="0"/>
                      <wp:wrapNone/>
                      <wp:docPr id="1" name="Frame1"/>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76910" cy="175260"/>
                      <wp:effectExtent l="0" t="0" r="0" b="0"/>
                      <wp:wrapNone/>
                      <wp:docPr id="2" name="Frame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43610" cy="175260"/>
                      <wp:effectExtent l="0" t="0" r="0" b="0"/>
                      <wp:wrapNone/>
                      <wp:docPr id="3" name="Frame3"/>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001-37900</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26-2640654</w: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incorporation)</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Number)</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bl>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5670 W. Chandler Blvd.</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Suite 130</w:t>
      </w:r>
    </w:p>
    <w:p>
      <w:pPr>
        <w:pStyle w:val="TextBody"/>
        <w:bidi w:val="0"/>
        <w:spacing w:before="0" w:after="0"/>
        <w:ind w:left="0" w:right="0" w:hanging="0"/>
        <w:jc w:val="center"/>
        <w:rPr>
          <w:rFonts w:ascii="Arial;Helvetica;sans-serif" w:hAnsi="Arial;Helvetica;sans-serif"/>
          <w:sz w:val="20"/>
        </w:rPr>
      </w:pPr>
      <w:r>
        <w:rPr>
          <w:rFonts w:ascii="Times New Roman;Times;serif" w:hAnsi="Times New Roman;Times;serif"/>
          <w:b/>
          <w:sz w:val="16"/>
        </w:rPr>
        <w:t>Chandler, Arizona</w:t>
      </w:r>
      <w:r>
        <w:rPr>
          <w:rFonts w:ascii="Arial;Helvetica;sans-serif" w:hAnsi="Arial;Helvetica;sans-serif"/>
          <w:sz w:val="20"/>
        </w:rPr>
        <w:t xml:space="preserve"> </w:t>
      </w:r>
      <w:r>
        <w:rPr>
          <w:rFonts w:ascii="Times New Roman;Times;serif" w:hAnsi="Times New Roman;Times;serif"/>
          <w:b/>
          <w:sz w:val="16"/>
        </w:rPr>
        <w:t>85226</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 including zip code)</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(480) 347-1111</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Not Applicable </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(Former name or former address, if changed since last report.)</w:t>
      </w:r>
    </w:p>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Check the appropriate box below if the Form 8-K filing is intended to simultaneously satisfy the filing obligation of the registrant under any of the following provisions:</w:t>
      </w:r>
    </w:p>
    <w:p>
      <w:pPr>
        <w:pStyle w:val="TextBody"/>
        <w:bidi w:val="0"/>
        <w:spacing w:lineRule="atLeast" w:line="142" w:before="0" w:after="0"/>
        <w:ind w:left="0" w:right="0" w:hanging="0"/>
        <w:jc w:val="left"/>
        <w:rPr/>
      </w:pPr>
      <w:r>
        <w:rPr/>
        <w:t>​</w:t>
      </w:r>
    </w:p>
    <w:tbl>
      <w:tblPr>
        <w:tblW w:w="6801" w:type="dxa"/>
        <w:jc w:val="left"/>
        <w:tblInd w:w="0" w:type="dxa"/>
        <w:tblLayout w:type="fixed"/>
        <w:tblCellMar>
          <w:top w:w="0" w:type="dxa"/>
          <w:left w:w="0" w:type="dxa"/>
          <w:bottom w:w="0" w:type="dxa"/>
          <w:right w:w="0" w:type="dxa"/>
        </w:tblCellMar>
      </w:tblPr>
      <w:tblGrid>
        <w:gridCol w:w="124"/>
        <w:gridCol w:w="31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36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Written communications pursuant to Rule 425 under the Securities Act (17 CFR 230.425)</w:t>
            </w:r>
          </w:p>
        </w:tc>
      </w:tr>
    </w:tbl>
    <w:p>
      <w:pPr>
        <w:pStyle w:val="TextBody"/>
        <w:bidi w:val="0"/>
        <w:spacing w:lineRule="atLeast" w:line="142" w:before="0" w:after="0"/>
        <w:ind w:left="0" w:right="0" w:hanging="0"/>
        <w:jc w:val="left"/>
        <w:rPr/>
      </w:pPr>
      <w:r>
        <w:rPr/>
        <w:t>​</w:t>
      </w:r>
    </w:p>
    <w:tbl>
      <w:tblPr>
        <w:tblW w:w="6846" w:type="dxa"/>
        <w:jc w:val="left"/>
        <w:tblInd w:w="0" w:type="dxa"/>
        <w:tblLayout w:type="fixed"/>
        <w:tblCellMar>
          <w:top w:w="0" w:type="dxa"/>
          <w:left w:w="0" w:type="dxa"/>
          <w:bottom w:w="0" w:type="dxa"/>
          <w:right w:w="0" w:type="dxa"/>
        </w:tblCellMar>
      </w:tblPr>
      <w:tblGrid>
        <w:gridCol w:w="124"/>
        <w:gridCol w:w="31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406"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Soliciting material pursuant to Rule 14a-12 under the Exchange Act (17 CFR 240.14a-12)</w:t>
            </w:r>
          </w:p>
        </w:tc>
      </w:tr>
    </w:tbl>
    <w:p>
      <w:pPr>
        <w:pStyle w:val="TextBody"/>
        <w:bidi w:val="0"/>
        <w:spacing w:lineRule="atLeast" w:line="142" w:before="0" w:after="0"/>
        <w:ind w:left="0" w:right="0" w:hanging="0"/>
        <w:jc w:val="left"/>
        <w:rPr/>
      </w:pPr>
      <w:r>
        <w:rPr/>
        <w:t>​</w:t>
      </w:r>
    </w:p>
    <w:tbl>
      <w:tblPr>
        <w:tblW w:w="8421" w:type="dxa"/>
        <w:jc w:val="left"/>
        <w:tblInd w:w="0" w:type="dxa"/>
        <w:tblLayout w:type="fixed"/>
        <w:tblCellMar>
          <w:top w:w="0" w:type="dxa"/>
          <w:left w:w="0" w:type="dxa"/>
          <w:bottom w:w="0" w:type="dxa"/>
          <w:right w:w="0" w:type="dxa"/>
        </w:tblCellMar>
      </w:tblPr>
      <w:tblGrid>
        <w:gridCol w:w="124"/>
        <w:gridCol w:w="31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98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Pre-commencement communications pursuant to Rule 14d-2(b) under the Exchange Act (17 CFR 240.14d-2(b))</w:t>
            </w:r>
          </w:p>
        </w:tc>
      </w:tr>
    </w:tbl>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6"/>
        </w:rPr>
        <w:t>Pre-commencement communications pursuant to Rule 13e-4(c) under the Exchange Act (17 CFR 240.13e-4(c))</w:t>
      </w:r>
    </w:p>
    <w:p>
      <w:pPr>
        <w:pStyle w:val="TextBody"/>
        <w:bidi w:val="0"/>
        <w:spacing w:lineRule="atLeast" w:line="142" w:before="0" w:after="0"/>
        <w:ind w:left="0" w:right="0" w:hanging="0"/>
        <w:jc w:val="left"/>
        <w:rPr/>
      </w:pPr>
      <w:r>
        <w:rPr/>
        <w:t>​</w:t>
      </w:r>
    </w:p>
    <w:p>
      <w:pPr>
        <w:pStyle w:val="TextBody"/>
        <w:bidi w:val="0"/>
        <w:spacing w:before="0" w:after="0"/>
        <w:ind w:left="0" w:right="0" w:firstLine="8"/>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lineRule="atLeast" w:line="142" w:before="0" w:after="0"/>
        <w:ind w:left="0" w:right="0" w:hanging="0"/>
        <w:jc w:val="center"/>
        <w:rPr/>
      </w:pPr>
      <w:r>
        <w:rPr/>
        <w:t>​</w:t>
      </w:r>
    </w:p>
    <w:p>
      <w:pPr>
        <w:pStyle w:val="Normal"/>
        <w:bidi w:val="0"/>
        <w:spacing w:before="0" w:after="0"/>
        <w:jc w:val="left"/>
        <w:rPr>
          <w:sz w:val="4"/>
          <w:szCs w:val="4"/>
        </w:rPr>
      </w:pPr>
      <w:r>
        <w:rPr>
          <w:sz w:val="4"/>
          <w:szCs w:val="4"/>
        </w:rPr>
      </w:r>
      <w:bookmarkStart w:id="17" w:name="Tc_IP3qx3uQW0qvvDPBqA_F6A_2_4"/>
      <w:bookmarkStart w:id="18" w:name="Tc_K0-MOw0tBEeenzMj5XiLvg_2_2"/>
      <w:bookmarkStart w:id="19" w:name="Tc_a2DqgkJgIkKfP0pP2hzJiw_2_0"/>
      <w:bookmarkStart w:id="20" w:name="Tc_80oQLky8WEiGbsUeYpIH4A_1_4"/>
      <w:bookmarkStart w:id="21" w:name="_f2746404_9f51_4d9f_a11d_2495f3f23645"/>
      <w:bookmarkStart w:id="22" w:name="Tc_IP3qx3uQW0qvvDPBqA_F6A_2_4"/>
      <w:bookmarkStart w:id="23" w:name="Tc_K0-MOw0tBEeenzMj5XiLvg_2_2"/>
      <w:bookmarkStart w:id="24" w:name="Tc_a2DqgkJgIkKfP0pP2hzJiw_2_0"/>
      <w:bookmarkStart w:id="25" w:name="Tc_80oQLky8WEiGbsUeYpIH4A_1_4"/>
      <w:bookmarkStart w:id="26" w:name="_f2746404_9f51_4d9f_a11d_2495f3f23645"/>
      <w:bookmarkEnd w:id="22"/>
      <w:bookmarkEnd w:id="23"/>
      <w:bookmarkEnd w:id="24"/>
      <w:bookmarkEnd w:id="25"/>
      <w:bookmarkEnd w:id="26"/>
    </w:p>
    <w:tbl>
      <w:tblPr>
        <w:tblW w:w="7300" w:type="dxa"/>
        <w:jc w:val="left"/>
        <w:tblInd w:w="0" w:type="dxa"/>
        <w:tblLayout w:type="fixed"/>
        <w:tblCellMar>
          <w:top w:w="0" w:type="dxa"/>
          <w:left w:w="0" w:type="dxa"/>
          <w:bottom w:w="0" w:type="dxa"/>
          <w:right w:w="0" w:type="dxa"/>
        </w:tblCellMar>
      </w:tblPr>
      <w:tblGrid>
        <w:gridCol w:w="2641"/>
        <w:gridCol w:w="326"/>
        <w:gridCol w:w="1456"/>
        <w:gridCol w:w="326"/>
        <w:gridCol w:w="2551"/>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677035" cy="175260"/>
                      <wp:effectExtent l="0" t="0" r="0" b="0"/>
                      <wp:wrapNone/>
                      <wp:docPr id="4" name="Frame4"/>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924560" cy="175260"/>
                      <wp:effectExtent l="0" t="0" r="0" b="0"/>
                      <wp:wrapNone/>
                      <wp:docPr id="6" name="Frame6"/>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619885" cy="175260"/>
                      <wp:effectExtent l="0" t="0" r="0" b="0"/>
                      <wp:wrapNone/>
                      <wp:docPr id="8" name="Frame8"/>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w:t>
            </w:r>
          </w:p>
        </w:tc>
      </w:tr>
      <w:tr>
        <w:trPr/>
        <w:tc>
          <w:tcPr>
            <w:tcW w:w="26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5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registered</w:t>
            </w:r>
          </w:p>
        </w:tc>
      </w:tr>
      <w:tr>
        <w:trPr/>
        <w:tc>
          <w:tcPr>
            <w:tcW w:w="26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par value $0.0001</w:t>
            </w:r>
          </w:p>
        </w:tc>
        <w:tc>
          <w:tcPr>
            <w:tcW w:w="326" w:type="dxa"/>
            <w:tcBorders/>
            <w:vAlign w:val="center"/>
          </w:tcPr>
          <w:p>
            <w:pPr>
              <w:pStyle w:val="TableContents"/>
              <w:bidi w:val="0"/>
              <w:spacing w:before="0" w:after="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MRAM</w:t>
            </w:r>
          </w:p>
        </w:tc>
        <w:tc>
          <w:tcPr>
            <w:tcW w:w="326" w:type="dxa"/>
            <w:tcBorders/>
            <w:vAlign w:val="center"/>
          </w:tcPr>
          <w:p>
            <w:pPr>
              <w:pStyle w:val="TableContents"/>
              <w:bidi w:val="0"/>
              <w:spacing w:before="0" w:after="0"/>
              <w:ind w:left="0" w:right="0" w:hanging="0"/>
              <w:jc w:val="left"/>
              <w:rPr/>
            </w:pPr>
            <w:r>
              <w:rPr/>
              <w:t>​</w:t>
            </w:r>
          </w:p>
        </w:tc>
        <w:tc>
          <w:tcPr>
            <w:tcW w:w="25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Nasdaq Stock Market LLC</w:t>
            </w:r>
          </w:p>
        </w:tc>
      </w:tr>
    </w:tbl>
    <w:p>
      <w:pPr>
        <w:pStyle w:val="TextBody"/>
        <w:bidi w:val="0"/>
        <w:spacing w:lineRule="atLeast" w:line="142"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an emerging growth company as defined in Rule 405 of the Securities Act of 1933(§230.405 of this chapter) or Rule 12b-2 of the Securities Exchange Act of 1934 (§240.12b-2 of this chapter).</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r>
        <w:rPr>
          <w:rFonts w:ascii="Times New Roman;Times;serif" w:hAnsi="Times New Roman;Times;serif"/>
          <w:sz w:val="16"/>
        </w:rPr>
        <w:t xml:space="preserve">Emerging growth company </w:t>
      </w:r>
      <w:r>
        <w:rPr>
          <w:rFonts w:ascii="Arial;Helvetica;sans-serif" w:hAnsi="Arial;Helvetica;sans-serif"/>
          <w:sz w:val="20"/>
        </w:rPr>
        <w:t>☐</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16"/>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Helvetica;sans-serif" w:hAnsi="Arial;Helvetica;sans-serif"/>
          <w:sz w:val="16"/>
        </w:rPr>
        <w:t>☐</w:t>
      </w:r>
    </w:p>
    <w:p>
      <w:pPr>
        <w:pStyle w:val="TextBody"/>
        <w:bidi w:val="0"/>
        <w:spacing w:lineRule="atLeast" w:line="142" w:before="0" w:after="0"/>
        <w:ind w:left="0" w:right="0" w:hanging="0"/>
        <w:jc w:val="center"/>
        <w:rPr/>
      </w:pPr>
      <w:r>
        <w:rPr/>
        <w:t>​</w:t>
      </w:r>
    </w:p>
    <w:p>
      <w:pPr>
        <w:pStyle w:val="TextBody"/>
        <w:pBdr>
          <w:top w:val="single" w:sz="2" w:space="1" w:color="000000"/>
          <w:bottom w:val="single" w:sz="24" w:space="1" w:color="000000"/>
        </w:pBdr>
        <w:bidi w:val="0"/>
        <w:spacing w:lineRule="atLeast" w:line="142"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8"/>
        </w:rPr>
      </w:pPr>
      <w:bookmarkStart w:id="27" w:name="_18da13b5_efb9_4a8b_a3a8_46f1cf781274"/>
      <w:bookmarkEnd w:id="27"/>
      <w:r>
        <w:rPr>
          <w:rFonts w:ascii="Times New Roman;Times;serif" w:hAnsi="Times New Roman;Times;serif"/>
          <w:b/>
          <w:sz w:val="18"/>
        </w:rPr>
        <w:t>Item 2.02. Results of Operations and Financial Condition.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On August 6, 2025, Everspin Technologies, Inc. issued a press release announcing its financial results for the quarter and quarter ended June 30, 2025, a copy of which is attached hereto as Exhibit 99.1 and is incorporated herein by reference. The information disclosed under this Item 2.02, including Exhibit 99.1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8"/>
        </w:rPr>
      </w:pPr>
      <w:bookmarkStart w:id="28" w:name="_d9f58ff6_b727_4911_978c_3bf2b1a6a014"/>
      <w:bookmarkEnd w:id="28"/>
      <w:r>
        <w:rPr>
          <w:rFonts w:ascii="Times New Roman;Times;serif" w:hAnsi="Times New Roman;Times;serif"/>
          <w:b/>
          <w:sz w:val="18"/>
        </w:rPr>
        <w:t>Item 9.01. Financial Statements and Exhibits.</w:t>
      </w:r>
    </w:p>
    <w:p>
      <w:pPr>
        <w:pStyle w:val="TextBody"/>
        <w:bidi w:val="0"/>
        <w:spacing w:before="0" w:after="0"/>
        <w:ind w:left="0" w:right="0" w:hanging="0"/>
        <w:jc w:val="left"/>
        <w:rPr/>
      </w:pPr>
      <w:r>
        <w:rPr/>
        <w:t>​</w:t>
      </w:r>
    </w:p>
    <w:tbl>
      <w:tblPr>
        <w:tblW w:w="5788" w:type="dxa"/>
        <w:jc w:val="left"/>
        <w:tblInd w:w="0" w:type="dxa"/>
        <w:tblLayout w:type="fixed"/>
        <w:tblCellMar>
          <w:top w:w="0" w:type="dxa"/>
          <w:left w:w="0" w:type="dxa"/>
          <w:bottom w:w="28" w:type="dxa"/>
          <w:right w:w="0" w:type="dxa"/>
        </w:tblCellMar>
      </w:tblPr>
      <w:tblGrid>
        <w:gridCol w:w="1006"/>
        <w:gridCol w:w="326"/>
        <w:gridCol w:w="4456"/>
      </w:tblGrid>
      <w:tr>
        <w:trPr/>
        <w:tc>
          <w:tcPr>
            <w:tcW w:w="100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 No.</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445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Description</w:t>
            </w:r>
          </w:p>
        </w:tc>
      </w:tr>
      <w:tr>
        <w:trPr/>
        <w:tc>
          <w:tcPr>
            <w:tcW w:w="100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99.1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hyperlink w:anchor="mram-20250630xex99d1.htm">
              <w:r>
                <w:rPr>
                  <w:rStyle w:val="InternetLink"/>
                  <w:rFonts w:ascii="Times New Roman;Times;serif" w:hAnsi="Times New Roman;Times;serif"/>
                  <w:b w:val="false"/>
                  <w:i w:val="false"/>
                  <w:caps w:val="false"/>
                  <w:smallCaps w:val="false"/>
                  <w:sz w:val="20"/>
                </w:rPr>
                <w:t>Press release dated August 6, 2025.</w:t>
              </w:r>
            </w:hyperlink>
          </w:p>
        </w:tc>
      </w:tr>
      <w:tr>
        <w:trPr/>
        <w:tc>
          <w:tcPr>
            <w:tcW w:w="100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bookmarkStart w:id="29" w:name="_522055e0_e3c3_4b2d_b1ed_e4d879d609a6"/>
      <w:bookmarkEnd w:id="29"/>
      <w:r>
        <w:rPr>
          <w:rFonts w:ascii="Times New Roman;Times;serif" w:hAnsi="Times New Roman;Times;serif"/>
          <w:b/>
          <w:sz w:val="18"/>
        </w:rPr>
        <w:t>SIGNATURES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4006" w:type="dxa"/>
        <w:jc w:val="left"/>
        <w:tblInd w:w="0" w:type="dxa"/>
        <w:tblLayout w:type="fixed"/>
        <w:tblCellMar>
          <w:top w:w="0" w:type="dxa"/>
          <w:left w:w="0" w:type="dxa"/>
          <w:bottom w:w="0" w:type="dxa"/>
          <w:right w:w="0" w:type="dxa"/>
        </w:tblCellMar>
      </w:tblPr>
      <w:tblGrid>
        <w:gridCol w:w="1741"/>
        <w:gridCol w:w="419"/>
        <w:gridCol w:w="184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105535" cy="175260"/>
                      <wp:effectExtent l="0" t="0" r="0" b="0"/>
                      <wp:wrapNone/>
                      <wp:docPr id="9" name="Frame9"/>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66065" cy="175260"/>
                      <wp:effectExtent l="0" t="0" r="0" b="0"/>
                      <wp:wrapNone/>
                      <wp:docPr id="10" name="Frame10"/>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172210" cy="175260"/>
                      <wp:effectExtent l="0" t="0" r="0" b="0"/>
                      <wp:wrapNone/>
                      <wp:docPr id="11" name="Frame11"/>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2265" w:type="dxa"/>
            <w:gridSpan w:val="2"/>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Everspin Technologies, Inc.</w:t>
            </w:r>
          </w:p>
        </w:tc>
      </w:tr>
      <w:tr>
        <w:trPr/>
        <w:tc>
          <w:tcPr>
            <w:tcW w:w="1741" w:type="dxa"/>
            <w:tcBorders/>
            <w:vAlign w:val="center"/>
          </w:tcPr>
          <w:p>
            <w:pPr>
              <w:pStyle w:val="TableContents"/>
              <w:bidi w:val="0"/>
              <w:spacing w:before="0" w:after="0"/>
              <w:ind w:left="0" w:right="0" w:hanging="0"/>
              <w:jc w:val="left"/>
              <w:rPr/>
            </w:pPr>
            <w:r>
              <w:rPr/>
              <w:t>​</w:t>
            </w:r>
          </w:p>
        </w:tc>
        <w:tc>
          <w:tcPr>
            <w:tcW w:w="2265" w:type="dxa"/>
            <w:gridSpan w:val="2"/>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Dated: August 6, 2025</w:t>
            </w:r>
          </w:p>
        </w:tc>
        <w:tc>
          <w:tcPr>
            <w:tcW w:w="2265" w:type="dxa"/>
            <w:gridSpan w:val="2"/>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2265" w:type="dxa"/>
            <w:gridSpan w:val="2"/>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 </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William Cooper</w:t>
            </w:r>
          </w:p>
        </w:tc>
      </w:tr>
      <w:tr>
        <w:trPr/>
        <w:tc>
          <w:tcPr>
            <w:tcW w:w="1741"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18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William Cooper</w:t>
            </w:r>
          </w:p>
        </w:tc>
      </w:tr>
      <w:tr>
        <w:trPr/>
        <w:tc>
          <w:tcPr>
            <w:tcW w:w="1741"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07" w:before="1" w:after="0"/>
        <w:ind w:left="432" w:right="432" w:hanging="0"/>
        <w:jc w:val="right"/>
        <w:rPr>
          <w:rFonts w:ascii="Times New Roman;Times;serif" w:hAnsi="Times New Roman;Times;serif"/>
          <w:b/>
          <w:sz w:val="20"/>
        </w:rPr>
      </w:pPr>
      <w:bookmarkStart w:id="30" w:name="mram-20250630xex99d1.htm"/>
      <w:bookmarkStart w:id="31" w:name="ksmram20250630xex99d1"/>
      <w:bookmarkEnd w:id="30"/>
      <w:bookmarkEnd w:id="31"/>
      <w:r>
        <w:rPr>
          <w:rFonts w:ascii="Times New Roman;Times;serif" w:hAnsi="Times New Roman;Times;serif"/>
          <w:b/>
          <w:sz w:val="20"/>
        </w:rPr>
        <w:t>Exhibit 99.1</w:t>
      </w:r>
      <w:r>
        <w:br w:type="page"/>
      </w:r>
    </w:p>
    <w:p>
      <w:pPr>
        <w:pStyle w:val="TextBody"/>
        <w:bidi w:val="0"/>
        <w:spacing w:lineRule="auto" w:line="307" w:before="1" w:after="0"/>
        <w:ind w:left="432" w:right="432" w:hanging="0"/>
        <w:jc w:val="right"/>
        <w:rPr>
          <w:color w:val="FF0000"/>
        </w:rPr>
      </w:pPr>
      <w:r>
        <w:rPr>
          <w:color w:val="FF0000"/>
        </w:rPr>
        <w:t>​</w:t>
      </w:r>
    </w:p>
    <w:p>
      <w:pPr>
        <w:pStyle w:val="TextBody"/>
        <w:bidi w:val="0"/>
        <w:spacing w:lineRule="auto" w:line="307" w:before="1" w:after="0"/>
        <w:ind w:left="432" w:right="432" w:hanging="0"/>
        <w:jc w:val="center"/>
        <w:rPr>
          <w:rFonts w:ascii="Times New Roman;Times;serif" w:hAnsi="Times New Roman;Times;serif"/>
          <w:b/>
          <w:sz w:val="20"/>
        </w:rPr>
      </w:pPr>
      <w:r>
        <w:rPr>
          <w:rFonts w:ascii="Times New Roman;Times;serif" w:hAnsi="Times New Roman;Times;serif"/>
          <w:b/>
          <w:sz w:val="20"/>
        </w:rPr>
        <w:t>Everspin Reports Unaudited Second Quarter 2025 Financial Results</w:t>
      </w:r>
    </w:p>
    <w:p>
      <w:pPr>
        <w:pStyle w:val="TextBody"/>
        <w:bidi w:val="0"/>
        <w:spacing w:lineRule="auto" w:line="307" w:before="1" w:after="0"/>
        <w:ind w:left="432" w:right="432" w:hanging="0"/>
        <w:jc w:val="left"/>
        <w:rPr>
          <w:color w:val="FF0000"/>
        </w:rPr>
      </w:pPr>
      <w:r>
        <w:rPr>
          <w:color w:val="FF0000"/>
        </w:rPr>
        <w:t>​</w:t>
      </w:r>
    </w:p>
    <w:p>
      <w:pPr>
        <w:pStyle w:val="TextBody"/>
        <w:bidi w:val="0"/>
        <w:spacing w:before="0" w:after="0"/>
        <w:ind w:left="432" w:right="432" w:hanging="0"/>
        <w:jc w:val="both"/>
        <w:rPr>
          <w:rFonts w:ascii="Times New Roman;Times;serif" w:hAnsi="Times New Roman;Times;serif"/>
          <w:sz w:val="20"/>
        </w:rPr>
      </w:pPr>
      <w:r>
        <w:rPr>
          <w:rFonts w:ascii="Times New Roman;Times;serif" w:hAnsi="Times New Roman;Times;serif"/>
          <w:b/>
          <w:sz w:val="20"/>
        </w:rPr>
        <w:t>Chandler,</w:t>
      </w:r>
      <w:r>
        <w:rPr>
          <w:rFonts w:ascii="Times New Roman;Times;serif" w:hAnsi="Times New Roman;Times;serif"/>
          <w:spacing w:val="-7"/>
          <w:sz w:val="20"/>
        </w:rPr>
        <w:t xml:space="preserve"> </w:t>
      </w:r>
      <w:r>
        <w:rPr>
          <w:rFonts w:ascii="Times New Roman;Times;serif" w:hAnsi="Times New Roman;Times;serif"/>
          <w:b/>
          <w:sz w:val="20"/>
        </w:rPr>
        <w:t>AZ,</w:t>
      </w:r>
      <w:r>
        <w:rPr>
          <w:rFonts w:ascii="Times New Roman;Times;serif" w:hAnsi="Times New Roman;Times;serif"/>
          <w:spacing w:val="-7"/>
          <w:sz w:val="20"/>
        </w:rPr>
        <w:t xml:space="preserve"> </w:t>
      </w:r>
      <w:r>
        <w:rPr>
          <w:rFonts w:ascii="Times New Roman;Times;serif" w:hAnsi="Times New Roman;Times;serif"/>
          <w:b/>
          <w:sz w:val="20"/>
        </w:rPr>
        <w:t>August 6,</w:t>
      </w:r>
      <w:r>
        <w:rPr>
          <w:rFonts w:ascii="Times New Roman;Times;serif" w:hAnsi="Times New Roman;Times;serif"/>
          <w:spacing w:val="-7"/>
          <w:sz w:val="20"/>
        </w:rPr>
        <w:t xml:space="preserve"> </w:t>
      </w:r>
      <w:r>
        <w:rPr>
          <w:rFonts w:ascii="Times New Roman;Times;serif" w:hAnsi="Times New Roman;Times;serif"/>
          <w:b/>
          <w:sz w:val="20"/>
        </w:rPr>
        <w:t>2025</w:t>
      </w:r>
      <w:r>
        <w:rPr>
          <w:rFonts w:ascii="Times New Roman;Times;serif" w:hAnsi="Times New Roman;Times;serif"/>
          <w:spacing w:val="-6"/>
          <w:sz w:val="20"/>
        </w:rPr>
        <w:t xml:space="preserve"> </w:t>
      </w:r>
      <w:r>
        <w:rPr>
          <w:rFonts w:ascii="Times New Roman;Times;serif" w:hAnsi="Times New Roman;Times;serif"/>
          <w:sz w:val="20"/>
        </w:rPr>
        <w:t>—</w:t>
      </w:r>
      <w:r>
        <w:rPr>
          <w:rFonts w:ascii="Times New Roman;Times;serif" w:hAnsi="Times New Roman;Times;serif"/>
          <w:spacing w:val="-8"/>
          <w:sz w:val="20"/>
        </w:rPr>
        <w:t xml:space="preserve"> </w:t>
      </w:r>
      <w:r>
        <w:rPr>
          <w:rFonts w:ascii="Times New Roman;Times;serif" w:hAnsi="Times New Roman;Times;serif"/>
          <w:sz w:val="20"/>
        </w:rPr>
        <w:t>Everspin Technologies, Inc. (NASDAQ: MRAM), the world’s leading developer and manufacturer of magnetoresistive random access memory (MRAM) persistent memory solutions, today announced preliminary unaudited financial results for the second quarter ended June 30, 2025.</w:t>
      </w:r>
    </w:p>
    <w:p>
      <w:pPr>
        <w:pStyle w:val="TextBody"/>
        <w:bidi w:val="0"/>
        <w:spacing w:before="225" w:after="225"/>
        <w:ind w:left="432" w:right="432" w:hanging="0"/>
        <w:jc w:val="both"/>
        <w:rPr/>
      </w:pPr>
      <w:r>
        <w:rPr/>
        <w:t>“</w:t>
      </w:r>
      <w:r>
        <w:rPr>
          <w:rFonts w:ascii="Times New Roman;Times;serif" w:hAnsi="Times New Roman;Times;serif"/>
          <w:sz w:val="20"/>
        </w:rPr>
        <w:t>Our consistent financial performance reflects the strength of our product portfolio and ramping design wins,” said Sanjeev Aggarwal, President and Chief Executive Officer. “In order to accelerate both direct revenue monetization and strategic expansion, we have recently expanded our executive team to include a dedicated VP of Sales and a dedicated VP of Business Development. We believe that this structural change will enable us to better serve our customers and unlock new opportunities.”</w:t>
      </w:r>
    </w:p>
    <w:p>
      <w:pPr>
        <w:pStyle w:val="TextBody"/>
        <w:bidi w:val="0"/>
        <w:spacing w:before="85" w:after="0"/>
        <w:ind w:left="432" w:right="432" w:hanging="0"/>
        <w:jc w:val="left"/>
        <w:rPr>
          <w:rFonts w:ascii="Times New Roman;Times;serif" w:hAnsi="Times New Roman;Times;serif"/>
          <w:b/>
          <w:sz w:val="20"/>
        </w:rPr>
      </w:pPr>
      <w:r>
        <w:rPr>
          <w:rFonts w:ascii="Times New Roman;Times;serif" w:hAnsi="Times New Roman;Times;serif"/>
          <w:b/>
          <w:sz w:val="20"/>
        </w:rPr>
        <w:t>Second</w:t>
      </w:r>
      <w:r>
        <w:rPr>
          <w:rFonts w:ascii="Times New Roman;Times;serif" w:hAnsi="Times New Roman;Times;serif"/>
          <w:b/>
          <w:spacing w:val="-2"/>
          <w:sz w:val="20"/>
        </w:rPr>
        <w:t xml:space="preserve"> </w:t>
      </w:r>
      <w:r>
        <w:rPr>
          <w:rFonts w:ascii="Times New Roman;Times;serif" w:hAnsi="Times New Roman;Times;serif"/>
          <w:b/>
          <w:sz w:val="20"/>
        </w:rPr>
        <w:t>Quarter</w:t>
      </w:r>
      <w:r>
        <w:rPr>
          <w:rFonts w:ascii="Times New Roman;Times;serif" w:hAnsi="Times New Roman;Times;serif"/>
          <w:b/>
          <w:spacing w:val="-3"/>
          <w:sz w:val="20"/>
        </w:rPr>
        <w:t xml:space="preserve"> </w:t>
      </w:r>
      <w:r>
        <w:rPr>
          <w:rFonts w:ascii="Times New Roman;Times;serif" w:hAnsi="Times New Roman;Times;serif"/>
          <w:b/>
          <w:sz w:val="20"/>
        </w:rPr>
        <w:t>2025</w:t>
      </w:r>
      <w:r>
        <w:rPr>
          <w:rFonts w:ascii="Times New Roman;Times;serif" w:hAnsi="Times New Roman;Times;serif"/>
          <w:b/>
          <w:spacing w:val="-1"/>
          <w:sz w:val="20"/>
        </w:rPr>
        <w:t xml:space="preserve"> </w:t>
      </w:r>
      <w:r>
        <w:rPr>
          <w:rFonts w:ascii="Times New Roman;Times;serif" w:hAnsi="Times New Roman;Times;serif"/>
          <w:b/>
          <w:sz w:val="20"/>
        </w:rPr>
        <w:t>Results</w:t>
      </w:r>
    </w:p>
    <w:tbl>
      <w:tblPr>
        <w:tblW w:w="7481" w:type="dxa"/>
        <w:jc w:val="left"/>
        <w:tblInd w:w="0" w:type="dxa"/>
        <w:shd w:fill="FFFFFF" w:val="clear"/>
        <w:tblLayout w:type="fixed"/>
        <w:tblCellMar>
          <w:top w:w="0" w:type="dxa"/>
          <w:left w:w="0" w:type="dxa"/>
          <w:bottom w:w="0" w:type="dxa"/>
          <w:right w:w="0" w:type="dxa"/>
        </w:tblCellMar>
      </w:tblPr>
      <w:tblGrid>
        <w:gridCol w:w="23"/>
        <w:gridCol w:w="170"/>
        <w:gridCol w:w="7265"/>
        <w:gridCol w:w="23"/>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7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revenue of $13.2 million, compared to $10.6 million in the second quarter of 2024. </w:t>
            </w:r>
          </w:p>
        </w:tc>
        <w:tc>
          <w:tcPr>
            <w:tcW w:w="23" w:type="dxa"/>
            <w:tcBorders/>
            <w:shd w:fill="FFFFFF" w:val="cle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MRAM product sales, which include both Toggle and STT-MRAM revenue, of $11.1 million, compared to $9.9 million in the second quarter of 2024. </w:t>
            </w:r>
          </w:p>
        </w:tc>
        <w:tc>
          <w:tcPr>
            <w:tcW w:w="23" w:type="dxa"/>
            <w:tcBorders/>
            <w:vAlign w:val="center"/>
          </w:tcPr>
          <w:p>
            <w:pPr>
              <w:pStyle w:val="TableContents"/>
              <w:bidi w:val="0"/>
              <w:spacing w:before="0" w:after="283"/>
              <w:jc w:val="left"/>
              <w:rPr>
                <w:sz w:val="4"/>
                <w:szCs w:val="4"/>
              </w:rPr>
            </w:pPr>
            <w:r>
              <w:rPr>
                <w:sz w:val="4"/>
                <w:szCs w:val="4"/>
              </w:rPr>
            </w:r>
          </w:p>
        </w:tc>
      </w:tr>
    </w:tbl>
    <w:tbl>
      <w:tblPr>
        <w:tblW w:w="9776" w:type="dxa"/>
        <w:jc w:val="left"/>
        <w:tblInd w:w="0" w:type="dxa"/>
        <w:tblLayout w:type="fixed"/>
        <w:tblCellMar>
          <w:top w:w="0" w:type="dxa"/>
          <w:left w:w="0" w:type="dxa"/>
          <w:bottom w:w="0" w:type="dxa"/>
          <w:right w:w="0" w:type="dxa"/>
        </w:tblCellMar>
      </w:tblPr>
      <w:tblGrid>
        <w:gridCol w:w="23"/>
        <w:gridCol w:w="170"/>
        <w:gridCol w:w="956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Licensing, royalty, patent, and other revenue of $2.1 million, compared to $0.7 million in the second quarter of 2024. </w:t>
            </w:r>
          </w:p>
        </w:tc>
        <w:tc>
          <w:tcPr>
            <w:tcW w:w="23" w:type="dxa"/>
            <w:tcBorders/>
            <w:vAlign w:val="center"/>
          </w:tcPr>
          <w:p>
            <w:pPr>
              <w:pStyle w:val="TableContents"/>
              <w:bidi w:val="0"/>
              <w:spacing w:before="0" w:after="283"/>
              <w:jc w:val="left"/>
              <w:rPr>
                <w:sz w:val="4"/>
                <w:szCs w:val="4"/>
              </w:rPr>
            </w:pPr>
            <w:r>
              <w:rPr>
                <w:sz w:val="4"/>
                <w:szCs w:val="4"/>
              </w:rPr>
            </w:r>
          </w:p>
        </w:tc>
      </w:tr>
    </w:tbl>
    <w:tbl>
      <w:tblPr>
        <w:tblW w:w="6251" w:type="dxa"/>
        <w:jc w:val="left"/>
        <w:tblInd w:w="0" w:type="dxa"/>
        <w:tblLayout w:type="fixed"/>
        <w:tblCellMar>
          <w:top w:w="0" w:type="dxa"/>
          <w:left w:w="0" w:type="dxa"/>
          <w:bottom w:w="0" w:type="dxa"/>
          <w:right w:w="0" w:type="dxa"/>
        </w:tblCellMar>
      </w:tblPr>
      <w:tblGrid>
        <w:gridCol w:w="23"/>
        <w:gridCol w:w="170"/>
        <w:gridCol w:w="60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Gross margin of 51.3%, compared to 49.0% in the second quarter of 2024. </w:t>
            </w:r>
          </w:p>
        </w:tc>
        <w:tc>
          <w:tcPr>
            <w:tcW w:w="23" w:type="dxa"/>
            <w:tcBorders/>
            <w:vAlign w:val="center"/>
          </w:tcPr>
          <w:p>
            <w:pPr>
              <w:pStyle w:val="TableContents"/>
              <w:bidi w:val="0"/>
              <w:spacing w:before="0" w:after="283"/>
              <w:jc w:val="left"/>
              <w:rPr>
                <w:sz w:val="4"/>
                <w:szCs w:val="4"/>
              </w:rPr>
            </w:pPr>
            <w:r>
              <w:rPr>
                <w:sz w:val="4"/>
                <w:szCs w:val="4"/>
              </w:rPr>
            </w:r>
          </w:p>
        </w:tc>
      </w:tr>
    </w:tbl>
    <w:tbl>
      <w:tblPr>
        <w:tblW w:w="8216" w:type="dxa"/>
        <w:jc w:val="left"/>
        <w:tblInd w:w="0" w:type="dxa"/>
        <w:tblLayout w:type="fixed"/>
        <w:tblCellMar>
          <w:top w:w="0" w:type="dxa"/>
          <w:left w:w="0" w:type="dxa"/>
          <w:bottom w:w="0" w:type="dxa"/>
          <w:right w:w="0" w:type="dxa"/>
        </w:tblCellMar>
      </w:tblPr>
      <w:tblGrid>
        <w:gridCol w:w="23"/>
        <w:gridCol w:w="170"/>
        <w:gridCol w:w="800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operating expenses of $8.7 million, compared to $8.0 million in the second quarter of 2024.</w:t>
            </w:r>
          </w:p>
        </w:tc>
        <w:tc>
          <w:tcPr>
            <w:tcW w:w="23" w:type="dxa"/>
            <w:tcBorders/>
            <w:vAlign w:val="center"/>
          </w:tcPr>
          <w:p>
            <w:pPr>
              <w:pStyle w:val="TableContents"/>
              <w:bidi w:val="0"/>
              <w:spacing w:before="0" w:after="283"/>
              <w:jc w:val="left"/>
              <w:rPr>
                <w:sz w:val="4"/>
                <w:szCs w:val="4"/>
              </w:rPr>
            </w:pPr>
            <w:r>
              <w:rPr>
                <w:sz w:val="4"/>
                <w:szCs w:val="4"/>
              </w:rPr>
            </w:r>
          </w:p>
        </w:tc>
      </w:tr>
    </w:tbl>
    <w:tbl>
      <w:tblPr>
        <w:tblW w:w="8576" w:type="dxa"/>
        <w:jc w:val="left"/>
        <w:tblInd w:w="0" w:type="dxa"/>
        <w:tblLayout w:type="fixed"/>
        <w:tblCellMar>
          <w:top w:w="0" w:type="dxa"/>
          <w:left w:w="0" w:type="dxa"/>
          <w:bottom w:w="0" w:type="dxa"/>
          <w:right w:w="0" w:type="dxa"/>
        </w:tblCellMar>
      </w:tblPr>
      <w:tblGrid>
        <w:gridCol w:w="23"/>
        <w:gridCol w:w="170"/>
        <w:gridCol w:w="836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and Other income, net of $1.3 million, compared to $0.4 million in the second quarter of 2024. </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GAAP net loss of $(0.7) million, or $(0.03) per diluted share, compared to net loss of $(2.5) million, or $(0.12) per diluted share, in the second quarter of 2024. </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Non-GAAP net income of $0.7 million, or $0.03 per diluted share, compared to non-GAAP net loss of $(0.6) million, or $(0.03) per diluted share, in the second quarter of 2024. </w:t>
            </w:r>
          </w:p>
        </w:tc>
        <w:tc>
          <w:tcPr>
            <w:tcW w:w="23" w:type="dxa"/>
            <w:tcBorders/>
            <w:vAlign w:val="center"/>
          </w:tcPr>
          <w:p>
            <w:pPr>
              <w:pStyle w:val="TableContents"/>
              <w:bidi w:val="0"/>
              <w:spacing w:before="0" w:after="283"/>
              <w:jc w:val="left"/>
              <w:rPr>
                <w:sz w:val="4"/>
                <w:szCs w:val="4"/>
              </w:rPr>
            </w:pPr>
            <w:r>
              <w:rPr>
                <w:sz w:val="4"/>
                <w:szCs w:val="4"/>
              </w:rPr>
            </w:r>
          </w:p>
        </w:tc>
      </w:tr>
    </w:tbl>
    <w:tbl>
      <w:tblPr>
        <w:tblW w:w="9686" w:type="dxa"/>
        <w:jc w:val="left"/>
        <w:tblInd w:w="0" w:type="dxa"/>
        <w:shd w:fill="FFFFFF" w:val="clear"/>
        <w:tblLayout w:type="fixed"/>
        <w:tblCellMar>
          <w:top w:w="0" w:type="dxa"/>
          <w:left w:w="0" w:type="dxa"/>
          <w:bottom w:w="0" w:type="dxa"/>
          <w:right w:w="0" w:type="dxa"/>
        </w:tblCellMar>
      </w:tblPr>
      <w:tblGrid>
        <w:gridCol w:w="23"/>
        <w:gridCol w:w="170"/>
        <w:gridCol w:w="9470"/>
        <w:gridCol w:w="23"/>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and cash equivalents as of June 30, 2025, increased by $2.9 million to $45.0 million since December 31, 2024. </w:t>
            </w:r>
          </w:p>
        </w:tc>
        <w:tc>
          <w:tcPr>
            <w:tcW w:w="23"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80" w:after="225"/>
        <w:ind w:left="432" w:right="432" w:hanging="0"/>
        <w:jc w:val="both"/>
        <w:rPr/>
      </w:pPr>
      <w:r>
        <w:rPr/>
        <w:t>“</w:t>
      </w:r>
      <w:r>
        <w:rPr>
          <w:rFonts w:ascii="Times New Roman;Times;serif" w:hAnsi="Times New Roman;Times;serif"/>
          <w:sz w:val="20"/>
        </w:rPr>
        <w:t>We are pleased with our second quarter results, which came in toward the high end of our expectations, driven by strength across our product portfolio. Our team remains focused on delivering consistent execution combined with prudent expense management,” said Bill Cooper, Everspin’s Chief Financial Officer. “We did not experience any tariff related impact on our Q2 results and don’t anticipate any material impact on future results. However, the situation continues to be fluid, and we are monitoring it closely.”</w:t>
      </w:r>
    </w:p>
    <w:p>
      <w:pPr>
        <w:pStyle w:val="TextBody"/>
        <w:bidi w:val="0"/>
        <w:spacing w:before="268" w:after="0"/>
        <w:ind w:left="432" w:right="432" w:hanging="0"/>
        <w:jc w:val="both"/>
        <w:rPr>
          <w:rFonts w:ascii="Times New Roman;Times;serif" w:hAnsi="Times New Roman;Times;serif"/>
          <w:b/>
          <w:sz w:val="20"/>
        </w:rPr>
      </w:pPr>
      <w:r>
        <w:rPr>
          <w:rFonts w:ascii="Times New Roman;Times;serif" w:hAnsi="Times New Roman;Times;serif"/>
          <w:b/>
          <w:sz w:val="20"/>
        </w:rPr>
        <w:t>Business Outlook</w:t>
      </w:r>
      <w:bookmarkStart w:id="32" w:name="_Hlk97024562"/>
      <w:bookmarkEnd w:id="32"/>
    </w:p>
    <w:p>
      <w:pPr>
        <w:pStyle w:val="TextBody"/>
        <w:bidi w:val="0"/>
        <w:spacing w:before="80" w:after="225"/>
        <w:ind w:left="432" w:right="432" w:hanging="0"/>
        <w:jc w:val="both"/>
        <w:rPr>
          <w:rFonts w:ascii="Times New Roman;Times;serif" w:hAnsi="Times New Roman;Times;serif"/>
          <w:sz w:val="20"/>
        </w:rPr>
      </w:pPr>
      <w:r>
        <w:rPr>
          <w:rFonts w:ascii="Times New Roman;Times;serif" w:hAnsi="Times New Roman;Times;serif"/>
          <w:sz w:val="20"/>
        </w:rPr>
        <w:t>For the third quarter 2025, Everspin expects total revenue in a range of $13.5 million to $14.5 million and GAAP net (loss) / income per diluted share to be between $(0.05) and $0.00. Non-GAAP net income per diluted share is anticipated to be between $0.02 and $0.07.</w:t>
      </w:r>
    </w:p>
    <w:p>
      <w:pPr>
        <w:pStyle w:val="TextBody"/>
        <w:bidi w:val="0"/>
        <w:spacing w:lineRule="auto" w:line="304" w:before="120" w:after="225"/>
        <w:ind w:left="432" w:right="432" w:hanging="0"/>
        <w:jc w:val="both"/>
        <w:rPr>
          <w:rFonts w:ascii="Times New Roman;Times;serif" w:hAnsi="Times New Roman;Times;serif"/>
          <w:sz w:val="20"/>
        </w:rPr>
      </w:pPr>
      <w:r>
        <w:rPr>
          <w:rFonts w:ascii="Times New Roman;Times;serif" w:hAnsi="Times New Roman;Times;serif"/>
          <w:sz w:val="20"/>
        </w:rPr>
        <w:t>A reconciliation of non-GAAP guidance measures to corresponding GAAP guidance measures is not available on a forward-looking basis without unreasonable effort due to the uncertainty regarding, and the potential variability of, expenses that may be incurred in the future. Stock-based compensation-related charges are impacted by the timing of employee stock transactions, the future fair market value of Everspin’s common stock, and Everspin’s future hiring and retention needs, all of which are difficult to predict and subject to constant change. These factors could be material to Everspin’s results computed in accordance with GAAP. This outlook is dependent on Everspin's current expectations, which may be impacted by, among other things, evolving external conditions, such as public health-related events or outbreaks, local safety guidelines, worsening impacts due to supply chain constraints or interruptions, including recent market volatility, semiconductor downturn and the other risk factors described in Everspin's filings with the Securities and Exchange Commission (the "SEC"), including its Annual Report on Form 10-K for the fiscal year ended December 31, 2024, its Quarterly Reports on Form 10-Q filed with the SEC during 2025, as well as in its subsequent filings with the SEC.</w:t>
      </w:r>
    </w:p>
    <w:p>
      <w:pPr>
        <w:pStyle w:val="HorizontalLine"/>
        <w:pBdr>
          <w:bottom w:val="double" w:sz="2" w:space="0" w:color="808080"/>
        </w:pBdr>
        <w:bidi w:val="0"/>
        <w:spacing w:before="0" w:after="283"/>
        <w:jc w:val="left"/>
        <w:rPr/>
      </w:pPr>
      <w:r>
        <w:rPr/>
      </w:r>
    </w:p>
    <w:p>
      <w:pPr>
        <w:pStyle w:val="TextBody"/>
        <w:bidi w:val="0"/>
        <w:spacing w:before="0" w:after="0"/>
        <w:ind w:left="432" w:right="432" w:hanging="0"/>
        <w:jc w:val="both"/>
        <w:rPr>
          <w:rFonts w:ascii="Times New Roman;Times;serif" w:hAnsi="Times New Roman;Times;serif"/>
          <w:b/>
          <w:sz w:val="20"/>
        </w:rPr>
      </w:pPr>
      <w:r>
        <w:rPr>
          <w:rFonts w:ascii="Times New Roman;Times;serif" w:hAnsi="Times New Roman;Times;serif"/>
          <w:b/>
          <w:sz w:val="20"/>
        </w:rPr>
        <w:t>Use of Non-GAAP Financial Measures</w:t>
      </w:r>
    </w:p>
    <w:p>
      <w:pPr>
        <w:pStyle w:val="TextBody"/>
        <w:bidi w:val="0"/>
        <w:spacing w:before="80" w:after="100"/>
        <w:ind w:left="432" w:right="432" w:hanging="0"/>
        <w:jc w:val="both"/>
        <w:rPr>
          <w:rFonts w:ascii="Times New Roman;Times;serif" w:hAnsi="Times New Roman;Times;serif"/>
          <w:sz w:val="20"/>
        </w:rPr>
      </w:pPr>
      <w:r>
        <w:rPr>
          <w:rFonts w:ascii="Times New Roman;Times;serif" w:hAnsi="Times New Roman;Times;serif"/>
          <w:sz w:val="20"/>
        </w:rPr>
        <w:t>Everspin supplements the reporting of its financial information determined under generally accepted accounting principles in the United States of America (GAAP) with Non-GAAP financial measures including gross profit, gross margin, operating expenses, operating income (loss), operating margin, net income (loss), and EPS which are defined as the GAAP financial measures excluding the effect of stock-based compensation charges. Everspin’s GAAP tax rate is effectively zero due to NOL carryforwards, thus a Non-GAAP tax rate is not included as a Non-GAAP financial measure.</w:t>
      </w:r>
    </w:p>
    <w:p>
      <w:pPr>
        <w:pStyle w:val="TextBody"/>
        <w:bidi w:val="0"/>
        <w:spacing w:before="225" w:after="225"/>
        <w:ind w:left="432" w:right="432" w:hanging="0"/>
        <w:jc w:val="both"/>
        <w:rPr>
          <w:rFonts w:ascii="Times New Roman;Times;serif" w:hAnsi="Times New Roman;Times;serif"/>
          <w:sz w:val="20"/>
        </w:rPr>
      </w:pPr>
      <w:r>
        <w:rPr>
          <w:rFonts w:ascii="Times New Roman;Times;serif" w:hAnsi="Times New Roman;Times;serif"/>
          <w:sz w:val="20"/>
        </w:rPr>
        <w:t>Everspin’s management and board of directors use these non-GAAP measures to understand and evaluate its operating performance and trends, to prepare and approve its annual budget and to develop short-term and long-term operating and financing plans. Accordingly, Everspin believes that these non-GAAP measures provide useful information for investors in understanding and evaluating its operating results in the same manner as its management and board of directors. These non-GAAP financial measures should be considered in addition to, not as superior to, or as a substitute for, financial measures reported in accordance with GAAP. Moreover, other companies may define these non-GAAP measures differently, which limits the usefulness of this measure for comparisons with such other companies. Everspin encourages investors to review its financial statements and publicly filed reports in their entirety and not to rely on any single financial measure. Please see the tables included at the end of this release for the reconciliation of GAAP to non-GAAP results.</w:t>
      </w:r>
    </w:p>
    <w:p>
      <w:pPr>
        <w:pStyle w:val="TextBody"/>
        <w:bidi w:val="0"/>
        <w:spacing w:lineRule="atLeast" w:line="368" w:before="0" w:after="0"/>
        <w:ind w:left="432" w:right="432" w:hanging="0"/>
        <w:jc w:val="both"/>
        <w:rPr>
          <w:rFonts w:ascii="Times New Roman;Times;serif" w:hAnsi="Times New Roman;Times;serif"/>
          <w:b/>
          <w:sz w:val="20"/>
        </w:rPr>
      </w:pPr>
      <w:r>
        <w:rPr>
          <w:rFonts w:ascii="Times New Roman;Times;serif" w:hAnsi="Times New Roman;Times;serif"/>
          <w:b/>
          <w:sz w:val="20"/>
        </w:rPr>
        <w:t>Conference</w:t>
      </w:r>
      <w:r>
        <w:rPr>
          <w:rFonts w:ascii="Times New Roman;Times;serif" w:hAnsi="Times New Roman;Times;serif"/>
          <w:b/>
          <w:spacing w:val="-3"/>
          <w:sz w:val="20"/>
        </w:rPr>
        <w:t xml:space="preserve"> </w:t>
      </w:r>
      <w:r>
        <w:rPr>
          <w:rFonts w:ascii="Times New Roman;Times;serif" w:hAnsi="Times New Roman;Times;serif"/>
          <w:b/>
          <w:sz w:val="20"/>
        </w:rPr>
        <w:t>Call</w:t>
      </w:r>
    </w:p>
    <w:p>
      <w:pPr>
        <w:pStyle w:val="TextBody"/>
        <w:pBdr/>
        <w:shd w:fill="FFFFFF" w:val="clear"/>
        <w:bidi w:val="0"/>
        <w:spacing w:before="80" w:after="0"/>
        <w:ind w:left="432" w:right="432" w:hanging="0"/>
        <w:jc w:val="both"/>
        <w:rPr>
          <w:rFonts w:ascii="Times New Roman;Times;serif" w:hAnsi="Times New Roman;Times;serif"/>
          <w:sz w:val="20"/>
        </w:rPr>
      </w:pPr>
      <w:r>
        <w:rPr>
          <w:rFonts w:ascii="Times New Roman;Times;serif" w:hAnsi="Times New Roman;Times;serif"/>
          <w:sz w:val="20"/>
        </w:rPr>
        <w:t>Everspin will host a conference call to discuss its second quarter 2025 results on Wednesday, August 6, 2025, at 5:00 p.m. Eastern Time.</w:t>
      </w:r>
    </w:p>
    <w:p>
      <w:pPr>
        <w:pStyle w:val="TextBody"/>
        <w:pBdr/>
        <w:shd w:fill="FFFFFF" w:val="clear"/>
        <w:bidi w:val="0"/>
        <w:spacing w:before="0" w:after="0"/>
        <w:ind w:left="432" w:right="432" w:hanging="0"/>
        <w:jc w:val="both"/>
        <w:rPr>
          <w:rFonts w:ascii="Times New Roman;Times;serif" w:hAnsi="Times New Roman;Times;serif"/>
          <w:sz w:val="20"/>
        </w:rPr>
      </w:pPr>
      <w:r>
        <w:rPr>
          <w:rFonts w:ascii="Times New Roman;Times;serif" w:hAnsi="Times New Roman;Times;serif"/>
          <w:sz w:val="20"/>
        </w:rPr>
        <w:t>Dial-in details: To access the call by phone, please go to this link and you will be provided with dial-in details. To avoid delays, we encourage participants to dial into the conference call fifteen minutes ahead of the scheduled start time.</w:t>
      </w:r>
    </w:p>
    <w:p>
      <w:pPr>
        <w:pStyle w:val="TextBody"/>
        <w:shd w:fill="FFFFFF" w:val="clear"/>
        <w:bidi w:val="0"/>
        <w:spacing w:before="0" w:after="225"/>
        <w:ind w:left="432" w:right="432" w:hanging="0"/>
        <w:jc w:val="both"/>
        <w:rPr>
          <w:rFonts w:ascii="Times New Roman;Times;serif" w:hAnsi="Times New Roman;Times;serif"/>
          <w:sz w:val="20"/>
        </w:rPr>
      </w:pPr>
      <w:r>
        <w:rPr>
          <w:rFonts w:ascii="Times New Roman;Times;serif" w:hAnsi="Times New Roman;Times;serif"/>
          <w:sz w:val="20"/>
        </w:rPr>
        <w:t>The live webcast of the call will be accessible on Everspin’s website at investor.everspin.com. Approximately two hours after the conclusion of the live event, an archived webcast of the conference call will be accessible from the Investor Relations section of Everspin’s website for twelve months.</w:t>
      </w:r>
    </w:p>
    <w:p>
      <w:pPr>
        <w:pStyle w:val="TextBody"/>
        <w:bidi w:val="0"/>
        <w:spacing w:lineRule="atLeast" w:line="368" w:before="0" w:after="0"/>
        <w:ind w:left="432" w:right="432" w:hanging="0"/>
        <w:jc w:val="both"/>
        <w:rPr>
          <w:rFonts w:ascii="Times New Roman;Times;serif" w:hAnsi="Times New Roman;Times;serif"/>
          <w:b/>
          <w:sz w:val="20"/>
        </w:rPr>
      </w:pPr>
      <w:r>
        <w:rPr>
          <w:rFonts w:ascii="Times New Roman;Times;serif" w:hAnsi="Times New Roman;Times;serif"/>
          <w:b/>
          <w:sz w:val="20"/>
        </w:rPr>
        <w:t>About</w:t>
      </w:r>
      <w:r>
        <w:rPr>
          <w:rFonts w:ascii="Times New Roman;Times;serif" w:hAnsi="Times New Roman;Times;serif"/>
          <w:b/>
          <w:spacing w:val="-5"/>
          <w:sz w:val="20"/>
        </w:rPr>
        <w:t xml:space="preserve"> </w:t>
      </w:r>
      <w:r>
        <w:rPr>
          <w:rFonts w:ascii="Times New Roman;Times;serif" w:hAnsi="Times New Roman;Times;serif"/>
          <w:b/>
          <w:sz w:val="20"/>
        </w:rPr>
        <w:t>Everspin Technologies</w:t>
      </w:r>
    </w:p>
    <w:p>
      <w:pPr>
        <w:pStyle w:val="TextBody"/>
        <w:bidi w:val="0"/>
        <w:spacing w:before="80" w:after="225"/>
        <w:ind w:left="432" w:right="432" w:hanging="0"/>
        <w:jc w:val="both"/>
        <w:rPr>
          <w:rFonts w:ascii="Times New Roman;Times;serif" w:hAnsi="Times New Roman;Times;serif"/>
          <w:sz w:val="20"/>
        </w:rPr>
      </w:pPr>
      <w:r>
        <w:rPr>
          <w:rFonts w:ascii="Times New Roman;Times;serif" w:hAnsi="Times New Roman;Times;serif"/>
          <w:sz w:val="20"/>
        </w:rPr>
        <w:t>Everspin Technologies, Inc. is the world’s leading provider of magnetoresistive RAM (MRAM). Everspin MRAM delivers the industry’s most robust, highest-performance non-volatile memory for industrial IoT, data centers and other mission-critical applications where data persistence is paramount. Headquartered in Chandler, Arizona, Everspin provides commercially available MRAM solutions to a large and diverse customer base. For more information, visit www.everspin.com. NASDAQ: MRAM.</w:t>
      </w:r>
    </w:p>
    <w:p>
      <w:pPr>
        <w:pStyle w:val="TextBody"/>
        <w:bidi w:val="0"/>
        <w:spacing w:lineRule="atLeast" w:line="368" w:before="0" w:after="0"/>
        <w:ind w:left="432" w:right="432" w:hanging="0"/>
        <w:jc w:val="both"/>
        <w:rPr>
          <w:rFonts w:ascii="Times New Roman;Times;serif" w:hAnsi="Times New Roman;Times;serif"/>
          <w:b/>
          <w:sz w:val="20"/>
        </w:rPr>
      </w:pPr>
      <w:r>
        <w:rPr>
          <w:rFonts w:ascii="Times New Roman;Times;serif" w:hAnsi="Times New Roman;Times;serif"/>
          <w:b/>
          <w:sz w:val="20"/>
        </w:rPr>
        <w:t>Cautionary</w:t>
      </w:r>
      <w:r>
        <w:rPr>
          <w:rFonts w:ascii="Times New Roman;Times;serif" w:hAnsi="Times New Roman;Times;serif"/>
          <w:b/>
          <w:spacing w:val="-4"/>
          <w:sz w:val="20"/>
        </w:rPr>
        <w:t xml:space="preserve"> </w:t>
      </w:r>
      <w:r>
        <w:rPr>
          <w:rFonts w:ascii="Times New Roman;Times;serif" w:hAnsi="Times New Roman;Times;serif"/>
          <w:b/>
          <w:sz w:val="20"/>
        </w:rPr>
        <w:t>Statement</w:t>
      </w:r>
      <w:r>
        <w:rPr>
          <w:rFonts w:ascii="Times New Roman;Times;serif" w:hAnsi="Times New Roman;Times;serif"/>
          <w:b/>
          <w:spacing w:val="-4"/>
          <w:sz w:val="20"/>
        </w:rPr>
        <w:t xml:space="preserve"> </w:t>
      </w:r>
      <w:r>
        <w:rPr>
          <w:rFonts w:ascii="Times New Roman;Times;serif" w:hAnsi="Times New Roman;Times;serif"/>
          <w:b/>
          <w:sz w:val="20"/>
        </w:rPr>
        <w:t>Regarding</w:t>
      </w:r>
      <w:r>
        <w:rPr>
          <w:rFonts w:ascii="Times New Roman;Times;serif" w:hAnsi="Times New Roman;Times;serif"/>
          <w:b/>
          <w:spacing w:val="-1"/>
          <w:sz w:val="20"/>
        </w:rPr>
        <w:t xml:space="preserve"> </w:t>
      </w:r>
      <w:r>
        <w:rPr>
          <w:rFonts w:ascii="Times New Roman;Times;serif" w:hAnsi="Times New Roman;Times;serif"/>
          <w:b/>
          <w:sz w:val="20"/>
        </w:rPr>
        <w:t>Forward-Looking</w:t>
      </w:r>
      <w:r>
        <w:rPr>
          <w:rFonts w:ascii="Times New Roman;Times;serif" w:hAnsi="Times New Roman;Times;serif"/>
          <w:b/>
          <w:spacing w:val="-2"/>
          <w:sz w:val="20"/>
        </w:rPr>
        <w:t xml:space="preserve"> </w:t>
      </w:r>
      <w:r>
        <w:rPr>
          <w:rFonts w:ascii="Times New Roman;Times;serif" w:hAnsi="Times New Roman;Times;serif"/>
          <w:b/>
          <w:sz w:val="20"/>
        </w:rPr>
        <w:t>Statements</w:t>
      </w:r>
    </w:p>
    <w:p>
      <w:pPr>
        <w:pStyle w:val="TextBody"/>
        <w:bidi w:val="0"/>
        <w:spacing w:before="80" w:after="225"/>
        <w:ind w:left="432" w:right="432" w:hanging="0"/>
        <w:jc w:val="both"/>
        <w:rPr>
          <w:rFonts w:ascii="Times New Roman;Times;serif" w:hAnsi="Times New Roman;Times;serif"/>
          <w:sz w:val="20"/>
        </w:rPr>
      </w:pPr>
      <w:r>
        <w:rPr>
          <w:rFonts w:ascii="Times New Roman;Times;serif" w:hAnsi="Times New Roman;Times;serif"/>
          <w:sz w:val="20"/>
        </w:rPr>
        <w:t>This press release contains forward-looking statements regarding future results that involve risks and uncertainties that could cause actual results or events to differ materially from the expectations disclosed in the forward-looking statements, including, but not limited to the statements made under the caption “Business Outlook.” Forward-looking statements are identified by words such as “expects” or similar expressions. These include, but are not limited to, Everspin’s future financial performance, including the outlook for second quarter 2025 results. Actual results could differ materially from these forward-looking statements as a result of certain risks and uncertainties, including, without limitation, the risks set forth under the caption “Risk Factors” in Everspin’s Annual Report on Form 10-K for the year ended December 31, 2024 filed with the SEC on February 27, 2025, and its Quarterly Reports on Form 10-Q filed with the SEC during 2025, as well as in its subsequent filings with the SEC. Any forward-looking statements made by Everspin in this press release speak only as of the date on which they are made and subsequent events may cause these expectations to change. Everspin disclaims any obligations to update or alter these forward-looking statements in the future, whether as a result of new information, future events or otherwise, except as required by law.</w:t>
      </w:r>
    </w:p>
    <w:p>
      <w:pPr>
        <w:pStyle w:val="TextBody"/>
        <w:bidi w:val="0"/>
        <w:spacing w:before="0" w:after="0"/>
        <w:ind w:left="432" w:right="432" w:hanging="0"/>
        <w:jc w:val="both"/>
        <w:rPr/>
      </w:pPr>
      <w:r>
        <w:rPr/>
        <w:t>​</w:t>
      </w:r>
    </w:p>
    <w:p>
      <w:pPr>
        <w:pStyle w:val="TextBody"/>
        <w:bidi w:val="0"/>
        <w:spacing w:lineRule="auto" w:line="328" w:before="0" w:after="0"/>
        <w:ind w:left="432" w:right="432" w:hanging="0"/>
        <w:jc w:val="left"/>
        <w:rPr>
          <w:rFonts w:ascii="Times New Roman;Times;serif" w:hAnsi="Times New Roman;Times;serif"/>
          <w:b/>
          <w:sz w:val="20"/>
        </w:rPr>
      </w:pPr>
      <w:r>
        <w:rPr>
          <w:rFonts w:ascii="Times New Roman;Times;serif" w:hAnsi="Times New Roman;Times;serif"/>
          <w:b/>
          <w:sz w:val="20"/>
        </w:rPr>
        <w:t>Investor Relations:</w:t>
      </w:r>
    </w:p>
    <w:p>
      <w:pPr>
        <w:pStyle w:val="TextBody"/>
        <w:bidi w:val="0"/>
        <w:spacing w:lineRule="auto" w:line="328" w:before="0" w:after="0"/>
        <w:ind w:left="432" w:right="432" w:hanging="0"/>
        <w:jc w:val="left"/>
        <w:rPr>
          <w:rFonts w:ascii="Times New Roman;Times;serif" w:hAnsi="Times New Roman;Times;serif"/>
          <w:sz w:val="20"/>
        </w:rPr>
      </w:pPr>
      <w:r>
        <w:rPr>
          <w:rFonts w:ascii="Times New Roman;Times;serif" w:hAnsi="Times New Roman;Times;serif"/>
          <w:sz w:val="20"/>
        </w:rPr>
        <w:t>Monica Gould</w:t>
      </w:r>
    </w:p>
    <w:p>
      <w:pPr>
        <w:pStyle w:val="TextBody"/>
        <w:bidi w:val="0"/>
        <w:spacing w:lineRule="auto" w:line="328" w:before="0" w:after="0"/>
        <w:ind w:left="432" w:right="432" w:hanging="0"/>
        <w:jc w:val="left"/>
        <w:rPr>
          <w:rFonts w:ascii="Times New Roman;Times;serif" w:hAnsi="Times New Roman;Times;serif"/>
          <w:sz w:val="20"/>
        </w:rPr>
      </w:pPr>
      <w:r>
        <w:rPr>
          <w:rFonts w:ascii="Times New Roman;Times;serif" w:hAnsi="Times New Roman;Times;serif"/>
          <w:sz w:val="20"/>
        </w:rPr>
        <w:t>The Blueshirt Group</w:t>
      </w:r>
    </w:p>
    <w:p>
      <w:pPr>
        <w:pStyle w:val="TextBody"/>
        <w:bidi w:val="0"/>
        <w:spacing w:lineRule="auto" w:line="328" w:before="0" w:after="0"/>
        <w:ind w:left="432" w:right="432" w:hanging="0"/>
        <w:jc w:val="left"/>
        <w:rPr>
          <w:rFonts w:ascii="Times New Roman;Times;serif" w:hAnsi="Times New Roman;Times;serif"/>
          <w:sz w:val="20"/>
        </w:rPr>
      </w:pPr>
      <w:r>
        <w:rPr>
          <w:rFonts w:ascii="Times New Roman;Times;serif" w:hAnsi="Times New Roman;Times;serif"/>
          <w:sz w:val="20"/>
        </w:rPr>
        <w:t>T: 212-871-3927</w:t>
      </w:r>
    </w:p>
    <w:p>
      <w:pPr>
        <w:pStyle w:val="TextBody"/>
        <w:bidi w:val="0"/>
        <w:spacing w:lineRule="auto" w:line="328" w:before="0" w:after="0"/>
        <w:ind w:left="432" w:right="432" w:hanging="0"/>
        <w:jc w:val="left"/>
        <w:rPr>
          <w:rFonts w:ascii="Times New Roman;Times;serif" w:hAnsi="Times New Roman;Times;serif"/>
          <w:sz w:val="20"/>
        </w:rPr>
      </w:pPr>
      <w:r>
        <w:rPr>
          <w:rFonts w:ascii="Times New Roman;Times;serif" w:hAnsi="Times New Roman;Times;serif"/>
          <w:sz w:val="20"/>
        </w:rPr>
        <w:t xml:space="preserve">ir@everspin.com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Balance Sheets</w:t>
      </w:r>
      <w:bookmarkStart w:id="33" w:name="BalanceSheets_202256"/>
      <w:bookmarkEnd w:id="33"/>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120"/>
        <w:ind w:left="0" w:right="0" w:hanging="0"/>
        <w:jc w:val="center"/>
        <w:rPr/>
      </w:pPr>
      <w:r>
        <w:rPr/>
        <w:t>​</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7712"/>
        <w:gridCol w:w="146"/>
        <w:gridCol w:w="211"/>
        <w:gridCol w:w="866"/>
        <w:gridCol w:w="146"/>
        <w:gridCol w:w="211"/>
        <w:gridCol w:w="913"/>
      </w:tblGrid>
      <w:tr>
        <w:trPr/>
        <w:tc>
          <w:tcPr>
            <w:tcW w:w="7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897120" cy="175260"/>
                      <wp:effectExtent l="0" t="0" r="0" b="0"/>
                      <wp:wrapNone/>
                      <wp:docPr id="12" name="Frame12"/>
                      <a:graphic xmlns:a="http://schemas.openxmlformats.org/drawingml/2006/main">
                        <a:graphicData uri="http://schemas.microsoft.com/office/word/2010/wordprocessingShape">
                          <wps:wsp>
                            <wps:cNvSpPr txBox="1"/>
                            <wps:spPr>
                              <a:xfrm>
                                <a:off x="0" y="0"/>
                                <a:ext cx="4897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2710" cy="175260"/>
                      <wp:effectExtent l="0" t="0" r="0" b="0"/>
                      <wp:wrapNone/>
                      <wp:docPr id="13" name="Frame1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49910" cy="175260"/>
                      <wp:effectExtent l="0" t="0" r="0" b="0"/>
                      <wp:wrapNone/>
                      <wp:docPr id="15" name="Frame15"/>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2710" cy="175260"/>
                      <wp:effectExtent l="0" t="0" r="0" b="0"/>
                      <wp:wrapNone/>
                      <wp:docPr id="16" name="Frame1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79755" cy="175260"/>
                      <wp:effectExtent l="0" t="0" r="0" b="0"/>
                      <wp:wrapNone/>
                      <wp:docPr id="18" name="Frame18"/>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71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left"/>
              <w:rPr/>
            </w:pPr>
            <w:r>
              <w:rPr/>
              <w:t>​</w:t>
            </w:r>
          </w:p>
        </w:tc>
        <w:tc>
          <w:tcPr>
            <w:tcW w:w="11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71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0"/>
              <w:ind w:left="0" w:right="0" w:hanging="0"/>
              <w:jc w:val="left"/>
              <w:rPr/>
            </w:pPr>
            <w:r>
              <w:rPr/>
              <w:t>​</w:t>
            </w:r>
          </w:p>
        </w:tc>
        <w:tc>
          <w:tcPr>
            <w:tcW w:w="11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7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  </w:t>
            </w:r>
          </w:p>
        </w:tc>
      </w:tr>
      <w:tr>
        <w:trPr/>
        <w:tc>
          <w:tcPr>
            <w:tcW w:w="77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  </w:t>
            </w:r>
          </w:p>
        </w:tc>
      </w:tr>
      <w:tr>
        <w:trPr/>
        <w:tc>
          <w:tcPr>
            <w:tcW w:w="77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44,962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42,097</w:t>
            </w:r>
          </w:p>
        </w:tc>
      </w:tr>
      <w:tr>
        <w:trPr/>
        <w:tc>
          <w:tcPr>
            <w:tcW w:w="77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11,722</w:t>
            </w:r>
          </w:p>
        </w:tc>
      </w:tr>
      <w:tr>
        <w:trPr/>
        <w:tc>
          <w:tcPr>
            <w:tcW w:w="77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9,110</w:t>
            </w:r>
          </w:p>
        </w:tc>
      </w:tr>
      <w:tr>
        <w:trPr/>
        <w:tc>
          <w:tcPr>
            <w:tcW w:w="77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1,115</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w:t>
            </w:r>
          </w:p>
        </w:tc>
      </w:tr>
      <w:tr>
        <w:trPr/>
        <w:tc>
          <w:tcPr>
            <w:tcW w:w="77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64,753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64,201</w:t>
            </w:r>
          </w:p>
        </w:tc>
      </w:tr>
      <w:tr>
        <w:trPr/>
        <w:tc>
          <w:tcPr>
            <w:tcW w:w="77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3,844</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3,220</w:t>
            </w:r>
          </w:p>
        </w:tc>
      </w:tr>
      <w:tr>
        <w:trPr/>
        <w:tc>
          <w:tcPr>
            <w:tcW w:w="77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3,416</w:t>
            </w:r>
          </w:p>
        </w:tc>
      </w:tr>
      <w:tr>
        <w:trPr/>
        <w:tc>
          <w:tcPr>
            <w:tcW w:w="77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3,907</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4,549</w:t>
            </w:r>
          </w:p>
        </w:tc>
      </w:tr>
      <w:tr>
        <w:trPr/>
        <w:tc>
          <w:tcPr>
            <w:tcW w:w="77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2,403</w:t>
            </w:r>
          </w:p>
        </w:tc>
      </w:tr>
      <w:tr>
        <w:trPr/>
        <w:tc>
          <w:tcPr>
            <w:tcW w:w="77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78,922</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77,789</w:t>
            </w:r>
          </w:p>
        </w:tc>
      </w:tr>
      <w:tr>
        <w:trPr/>
        <w:tc>
          <w:tcPr>
            <w:tcW w:w="7712"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left"/>
              <w:rPr/>
            </w:pPr>
            <w:r>
              <w:rPr/>
              <w:t>​</w:t>
            </w:r>
          </w:p>
        </w:tc>
      </w:tr>
      <w:tr>
        <w:trPr/>
        <w:tc>
          <w:tcPr>
            <w:tcW w:w="771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pPr>
            <w:r>
              <w:rPr/>
              <w:t>  </w:t>
            </w:r>
          </w:p>
        </w:tc>
      </w:tr>
      <w:tr>
        <w:trPr/>
        <w:tc>
          <w:tcPr>
            <w:tcW w:w="77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pPr>
            <w:r>
              <w:rPr/>
              <w:t>  </w:t>
            </w:r>
          </w:p>
        </w:tc>
      </w:tr>
      <w:tr>
        <w:trPr/>
        <w:tc>
          <w:tcPr>
            <w:tcW w:w="77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2,931</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2,278</w:t>
            </w:r>
          </w:p>
        </w:tc>
      </w:tr>
      <w:tr>
        <w:trPr/>
        <w:tc>
          <w:tcPr>
            <w:tcW w:w="77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2,449</w:t>
            </w:r>
          </w:p>
        </w:tc>
      </w:tr>
      <w:tr>
        <w:trPr/>
        <w:tc>
          <w:tcPr>
            <w:tcW w:w="77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77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current portion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w:t>
            </w:r>
          </w:p>
        </w:tc>
      </w:tr>
      <w:tr>
        <w:trPr/>
        <w:tc>
          <w:tcPr>
            <w:tcW w:w="77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obligations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w:t>
            </w:r>
          </w:p>
        </w:tc>
      </w:tr>
      <w:tr>
        <w:trPr/>
        <w:tc>
          <w:tcPr>
            <w:tcW w:w="77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liabilities, current portion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w:t>
            </w:r>
          </w:p>
        </w:tc>
      </w:tr>
      <w:tr>
        <w:trPr/>
        <w:tc>
          <w:tcPr>
            <w:tcW w:w="77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11,028</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9,914</w:t>
            </w:r>
          </w:p>
        </w:tc>
      </w:tr>
      <w:tr>
        <w:trPr/>
        <w:tc>
          <w:tcPr>
            <w:tcW w:w="77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net of current portion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3,336</w:t>
            </w:r>
          </w:p>
        </w:tc>
      </w:tr>
      <w:tr>
        <w:trPr/>
        <w:tc>
          <w:tcPr>
            <w:tcW w:w="77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liabilities, net of current portion</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w:t>
            </w:r>
          </w:p>
        </w:tc>
      </w:tr>
      <w:tr>
        <w:trPr/>
        <w:tc>
          <w:tcPr>
            <w:tcW w:w="77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income tax liability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77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14,847</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15,196</w:t>
            </w:r>
          </w:p>
        </w:tc>
      </w:tr>
      <w:tr>
        <w:trPr/>
        <w:tc>
          <w:tcPr>
            <w:tcW w:w="77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pPr>
            <w:r>
              <w:rPr/>
              <w:t>  </w:t>
            </w:r>
          </w:p>
        </w:tc>
      </w:tr>
      <w:tr>
        <w:trPr/>
        <w:tc>
          <w:tcPr>
            <w:tcW w:w="77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pPr>
            <w:r>
              <w:rPr/>
              <w:t>  </w:t>
            </w:r>
          </w:p>
        </w:tc>
      </w:tr>
      <w:tr>
        <w:trPr/>
        <w:tc>
          <w:tcPr>
            <w:tcW w:w="77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$0.0001 par value per share; 5,000,000 shares authorized; no shares issued and outstanding as of June 30, 2025 and December 31, 2024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r>
      <w:tr>
        <w:trPr/>
        <w:tc>
          <w:tcPr>
            <w:tcW w:w="77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$0.0001 par value per share; 100,000,000 shares authorized; 22,570,591 and 22,059,697 shares issued and outstanding as of June 30, 2025 and December 31, 2024, respectively</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7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202,778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199,460</w:t>
            </w:r>
          </w:p>
        </w:tc>
      </w:tr>
      <w:tr>
        <w:trPr/>
        <w:tc>
          <w:tcPr>
            <w:tcW w:w="77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(138,705)</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(136,869)</w:t>
            </w:r>
          </w:p>
        </w:tc>
      </w:tr>
      <w:tr>
        <w:trPr/>
        <w:tc>
          <w:tcPr>
            <w:tcW w:w="77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64,075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62,593</w:t>
            </w:r>
          </w:p>
        </w:tc>
      </w:tr>
      <w:tr>
        <w:trPr/>
        <w:tc>
          <w:tcPr>
            <w:tcW w:w="77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78,922</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77,789</w:t>
            </w:r>
          </w:p>
        </w:tc>
      </w:tr>
      <w:tr>
        <w:trPr/>
        <w:tc>
          <w:tcPr>
            <w:tcW w:w="771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Condensed Statements of Operations and Comprehensive </w:t>
      </w:r>
      <w:bookmarkStart w:id="34" w:name="ComprehensiveLoss_781075"/>
      <w:bookmarkEnd w:id="34"/>
      <w:r>
        <w:rPr>
          <w:rFonts w:ascii="Times New Roman;Times;serif" w:hAnsi="Times New Roman;Times;serif"/>
          <w:b/>
          <w:sz w:val="20"/>
        </w:rPr>
        <w:t>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3868"/>
        <w:gridCol w:w="326"/>
        <w:gridCol w:w="211"/>
        <w:gridCol w:w="1036"/>
        <w:gridCol w:w="326"/>
        <w:gridCol w:w="211"/>
        <w:gridCol w:w="1036"/>
        <w:gridCol w:w="326"/>
        <w:gridCol w:w="211"/>
        <w:gridCol w:w="1036"/>
        <w:gridCol w:w="326"/>
        <w:gridCol w:w="211"/>
        <w:gridCol w:w="1081"/>
      </w:tblGrid>
      <w:tr>
        <w:trPr/>
        <w:tc>
          <w:tcPr>
            <w:tcW w:w="3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456180" cy="175260"/>
                      <wp:effectExtent l="0" t="0" r="0" b="0"/>
                      <wp:wrapNone/>
                      <wp:docPr id="19" name="Frame19"/>
                      <a:graphic xmlns:a="http://schemas.openxmlformats.org/drawingml/2006/main">
                        <a:graphicData uri="http://schemas.microsoft.com/office/word/2010/wordprocessingShape">
                          <wps:wsp>
                            <wps:cNvSpPr txBox="1"/>
                            <wps:spPr>
                              <a:xfrm>
                                <a:off x="0" y="0"/>
                                <a:ext cx="2456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57860" cy="175260"/>
                      <wp:effectExtent l="0" t="0" r="0" b="0"/>
                      <wp:wrapNone/>
                      <wp:docPr id="22" name="Frame2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57860" cy="175260"/>
                      <wp:effectExtent l="0" t="0" r="0" b="0"/>
                      <wp:wrapNone/>
                      <wp:docPr id="25" name="Frame2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57860" cy="175260"/>
                      <wp:effectExtent l="0" t="0" r="0" b="0"/>
                      <wp:wrapNone/>
                      <wp:docPr id="28" name="Frame2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86435" cy="175260"/>
                      <wp:effectExtent l="0" t="0" r="0" b="0"/>
                      <wp:wrapNone/>
                      <wp:docPr id="31" name="Frame31"/>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vAlign w:val="center"/>
          </w:tcPr>
          <w:p>
            <w:pPr>
              <w:pStyle w:val="TableContents"/>
              <w:bidi w:val="0"/>
              <w:spacing w:before="0" w:after="0"/>
              <w:ind w:left="0" w:right="0" w:hanging="0"/>
              <w:jc w:val="left"/>
              <w:rPr/>
            </w:pPr>
            <w:r>
              <w:rPr/>
              <w:t>​</w:t>
            </w:r>
          </w:p>
        </w:tc>
        <w:tc>
          <w:tcPr>
            <w:tcW w:w="28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8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20,747</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 royalty, patent, and other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4,319</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25,066</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6,166</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11,238</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licensing, royalty, patent, and 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11,690</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13,376</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  </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6,875</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7,290</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16,795</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(3,419)</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and comprehensive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(2,704)</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22,504,957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21,566,863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22,347,411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21,409,611</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22,504,957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21,566,863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22,347,411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21,409,611</w:t>
            </w:r>
          </w:p>
        </w:tc>
      </w:tr>
      <w:tr>
        <w:trPr/>
        <w:tc>
          <w:tcPr>
            <w:tcW w:w="38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Condensed Statements of Cash Flow</w:t>
      </w:r>
      <w:bookmarkStart w:id="35" w:name="CashFlows_802590"/>
      <w:bookmarkEnd w:id="35"/>
      <w:r>
        <w:rPr>
          <w:rFonts w:ascii="Times New Roman;Times;serif" w:hAnsi="Times New Roman;Times;serif"/>
          <w:b/>
          <w:sz w:val="20"/>
        </w:rPr>
        <w: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tbl>
      <w:tblPr>
        <w:tblW w:w="9250" w:type="dxa"/>
        <w:jc w:val="left"/>
        <w:tblInd w:w="0" w:type="dxa"/>
        <w:tblLayout w:type="fixed"/>
        <w:tblCellMar>
          <w:top w:w="0" w:type="dxa"/>
          <w:left w:w="0" w:type="dxa"/>
          <w:bottom w:w="0" w:type="dxa"/>
          <w:right w:w="0" w:type="dxa"/>
        </w:tblCellMar>
      </w:tblPr>
      <w:tblGrid>
        <w:gridCol w:w="6811"/>
        <w:gridCol w:w="326"/>
        <w:gridCol w:w="204"/>
        <w:gridCol w:w="659"/>
        <w:gridCol w:w="340"/>
        <w:gridCol w:w="204"/>
        <w:gridCol w:w="706"/>
      </w:tblGrid>
      <w:tr>
        <w:trPr/>
        <w:tc>
          <w:tcPr>
            <w:tcW w:w="6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324985" cy="175260"/>
                      <wp:effectExtent l="0" t="0" r="0" b="0"/>
                      <wp:wrapNone/>
                      <wp:docPr id="32" name="Frame32"/>
                      <a:graphic xmlns:a="http://schemas.openxmlformats.org/drawingml/2006/main">
                        <a:graphicData uri="http://schemas.microsoft.com/office/word/2010/wordprocessingShape">
                          <wps:wsp>
                            <wps:cNvSpPr txBox="1"/>
                            <wps:spPr>
                              <a:xfrm>
                                <a:off x="0" y="0"/>
                                <a:ext cx="432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9540" cy="175260"/>
                      <wp:effectExtent l="0" t="0" r="0" b="0"/>
                      <wp:wrapNone/>
                      <wp:docPr id="34" name="Frame34"/>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18465" cy="175260"/>
                      <wp:effectExtent l="0" t="0" r="0" b="0"/>
                      <wp:wrapNone/>
                      <wp:docPr id="35" name="Frame35"/>
                      <a:graphic xmlns:a="http://schemas.openxmlformats.org/drawingml/2006/main">
                        <a:graphicData uri="http://schemas.microsoft.com/office/word/2010/wordprocessingShape">
                          <wps:wsp>
                            <wps:cNvSpPr txBox="1"/>
                            <wps:spPr>
                              <a:xfrm>
                                <a:off x="0" y="0"/>
                                <a:ext cx="418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5900" cy="175260"/>
                      <wp:effectExtent l="0" t="0" r="0" b="0"/>
                      <wp:wrapNone/>
                      <wp:docPr id="36" name="Frame36"/>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9540" cy="175260"/>
                      <wp:effectExtent l="0" t="0" r="0" b="0"/>
                      <wp:wrapNone/>
                      <wp:docPr id="37" name="Frame37"/>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48310" cy="175260"/>
                      <wp:effectExtent l="0" t="0" r="0" b="0"/>
                      <wp:wrapNone/>
                      <wp:docPr id="38" name="Frame3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6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0" w:type="dxa"/>
            <w:tcBorders/>
            <w:vAlign w:val="center"/>
          </w:tcPr>
          <w:p>
            <w:pPr>
              <w:pStyle w:val="TableContents"/>
              <w:bidi w:val="0"/>
              <w:spacing w:before="0" w:after="0"/>
              <w:ind w:left="0" w:right="0" w:hanging="0"/>
              <w:jc w:val="left"/>
              <w:rPr/>
            </w:pPr>
            <w:r>
              <w:rPr/>
              <w:t>    </w:t>
            </w:r>
          </w:p>
        </w:tc>
        <w:tc>
          <w:tcPr>
            <w:tcW w:w="9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Cash flows from operating activities</w:t>
            </w:r>
          </w:p>
        </w:tc>
        <w:tc>
          <w:tcPr>
            <w:tcW w:w="32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pPr>
            <w:r>
              <w:rPr/>
              <w:t>  </w:t>
            </w:r>
          </w:p>
        </w:tc>
        <w:tc>
          <w:tcPr>
            <w:tcW w:w="340"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  </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(1,836)</w:t>
            </w:r>
          </w:p>
        </w:tc>
        <w:tc>
          <w:tcPr>
            <w:tcW w:w="340"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(2,704)</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Adjustments to reconcile net loss to net cash provided by operating activities:</w:t>
            </w:r>
          </w:p>
        </w:tc>
        <w:tc>
          <w:tcPr>
            <w:tcW w:w="32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pPr>
            <w:r>
              <w:rPr/>
              <w:t>​</w:t>
            </w:r>
          </w:p>
        </w:tc>
        <w:tc>
          <w:tcPr>
            <w:tcW w:w="340"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 </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1,695</w:t>
            </w:r>
          </w:p>
        </w:tc>
        <w:tc>
          <w:tcPr>
            <w:tcW w:w="340"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795</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Gain on sale of property and equipment</w:t>
            </w:r>
          </w:p>
        </w:tc>
        <w:tc>
          <w:tcPr>
            <w:tcW w:w="32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w:t>
            </w:r>
          </w:p>
        </w:tc>
        <w:tc>
          <w:tcPr>
            <w:tcW w:w="340"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 </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2,996</w:t>
            </w:r>
          </w:p>
        </w:tc>
        <w:tc>
          <w:tcPr>
            <w:tcW w:w="340"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3,576</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pPr>
            <w:r>
              <w:rPr/>
              <w:t>​</w:t>
            </w:r>
          </w:p>
        </w:tc>
        <w:tc>
          <w:tcPr>
            <w:tcW w:w="340"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4,352</w:t>
            </w:r>
          </w:p>
        </w:tc>
        <w:tc>
          <w:tcPr>
            <w:tcW w:w="340"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1,440</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Inventory</w:t>
            </w:r>
          </w:p>
        </w:tc>
        <w:tc>
          <w:tcPr>
            <w:tcW w:w="32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(2,196)</w:t>
            </w:r>
          </w:p>
        </w:tc>
        <w:tc>
          <w:tcPr>
            <w:tcW w:w="340"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404</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157</w:t>
            </w:r>
          </w:p>
        </w:tc>
        <w:tc>
          <w:tcPr>
            <w:tcW w:w="340"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471</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assets</w:t>
            </w:r>
          </w:p>
        </w:tc>
        <w:tc>
          <w:tcPr>
            <w:tcW w:w="32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w:t>
            </w:r>
          </w:p>
        </w:tc>
        <w:tc>
          <w:tcPr>
            <w:tcW w:w="340"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809</w:t>
            </w:r>
          </w:p>
        </w:tc>
        <w:tc>
          <w:tcPr>
            <w:tcW w:w="340"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(595)</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Accrued liabilities</w:t>
            </w:r>
          </w:p>
        </w:tc>
        <w:tc>
          <w:tcPr>
            <w:tcW w:w="32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(196)</w:t>
            </w:r>
          </w:p>
        </w:tc>
        <w:tc>
          <w:tcPr>
            <w:tcW w:w="340"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(2,628)</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(78)</w:t>
            </w:r>
          </w:p>
        </w:tc>
        <w:tc>
          <w:tcPr>
            <w:tcW w:w="340"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(336)</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Contract obligations</w:t>
            </w:r>
          </w:p>
        </w:tc>
        <w:tc>
          <w:tcPr>
            <w:tcW w:w="32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699</w:t>
            </w:r>
          </w:p>
        </w:tc>
        <w:tc>
          <w:tcPr>
            <w:tcW w:w="340"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Lease liabilities, net</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w:t>
            </w:r>
          </w:p>
        </w:tc>
        <w:tc>
          <w:tcPr>
            <w:tcW w:w="340"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Long-term income tax liability</w:t>
            </w:r>
          </w:p>
        </w:tc>
        <w:tc>
          <w:tcPr>
            <w:tcW w:w="326"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98</w:t>
            </w:r>
          </w:p>
        </w:tc>
        <w:tc>
          <w:tcPr>
            <w:tcW w:w="340"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6,455</w:t>
            </w:r>
          </w:p>
        </w:tc>
        <w:tc>
          <w:tcPr>
            <w:tcW w:w="340"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428</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pPr>
            <w:r>
              <w:rPr/>
              <w:t>​</w:t>
            </w:r>
          </w:p>
        </w:tc>
        <w:tc>
          <w:tcPr>
            <w:tcW w:w="340"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Purchases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 </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(2,901)</w:t>
            </w:r>
          </w:p>
        </w:tc>
        <w:tc>
          <w:tcPr>
            <w:tcW w:w="340"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(1,239)</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Purchases of intangible assets</w:t>
            </w:r>
          </w:p>
        </w:tc>
        <w:tc>
          <w:tcPr>
            <w:tcW w:w="326"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(977)</w:t>
            </w:r>
          </w:p>
        </w:tc>
        <w:tc>
          <w:tcPr>
            <w:tcW w:w="340"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(3,878)</w:t>
            </w:r>
          </w:p>
        </w:tc>
        <w:tc>
          <w:tcPr>
            <w:tcW w:w="340"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(1,239)</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pPr>
            <w:r>
              <w:rPr/>
              <w:t>​</w:t>
            </w:r>
          </w:p>
        </w:tc>
        <w:tc>
          <w:tcPr>
            <w:tcW w:w="340"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Payments on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 </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w:t>
            </w:r>
          </w:p>
        </w:tc>
        <w:tc>
          <w:tcPr>
            <w:tcW w:w="340"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exercise of stock options and purchase of shares in employee stock purchase plan</w:t>
            </w:r>
          </w:p>
        </w:tc>
        <w:tc>
          <w:tcPr>
            <w:tcW w:w="326"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322</w:t>
            </w:r>
          </w:p>
        </w:tc>
        <w:tc>
          <w:tcPr>
            <w:tcW w:w="340"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629</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288</w:t>
            </w:r>
          </w:p>
        </w:tc>
        <w:tc>
          <w:tcPr>
            <w:tcW w:w="340"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629</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increase (decrease) in cash and cash equivalents</w:t>
            </w:r>
          </w:p>
        </w:tc>
        <w:tc>
          <w:tcPr>
            <w:tcW w:w="32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2,865</w:t>
            </w:r>
          </w:p>
        </w:tc>
        <w:tc>
          <w:tcPr>
            <w:tcW w:w="340"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(182)</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and cash equivalents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42,097</w:t>
            </w:r>
          </w:p>
        </w:tc>
        <w:tc>
          <w:tcPr>
            <w:tcW w:w="340"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36,946</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and cash equivalents at end of period</w:t>
            </w:r>
          </w:p>
        </w:tc>
        <w:tc>
          <w:tcPr>
            <w:tcW w:w="32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44,962</w:t>
            </w:r>
          </w:p>
        </w:tc>
        <w:tc>
          <w:tcPr>
            <w:tcW w:w="340"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36,764</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Supplementary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 </w:t>
            </w:r>
          </w:p>
        </w:tc>
        <w:tc>
          <w:tcPr>
            <w:tcW w:w="659" w:type="dxa"/>
            <w:tcBorders/>
            <w:shd w:fill="CCEEFF" w:val="clear"/>
            <w:vAlign w:val="center"/>
          </w:tcPr>
          <w:p>
            <w:pPr>
              <w:pStyle w:val="TableContents"/>
              <w:bidi w:val="0"/>
              <w:spacing w:before="0" w:after="0"/>
              <w:ind w:left="0" w:right="0" w:hanging="0"/>
              <w:jc w:val="righ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paid for taxes</w:t>
            </w:r>
          </w:p>
        </w:tc>
        <w:tc>
          <w:tcPr>
            <w:tcW w:w="32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36</w:t>
            </w:r>
          </w:p>
        </w:tc>
        <w:tc>
          <w:tcPr>
            <w:tcW w:w="340"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cash flows paid for 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707</w:t>
            </w:r>
          </w:p>
        </w:tc>
        <w:tc>
          <w:tcPr>
            <w:tcW w:w="340" w:type="dxa"/>
            <w:tcBorders/>
            <w:shd w:fill="CCEEFF" w:val="clear"/>
            <w:vAlign w:val="center"/>
          </w:tcPr>
          <w:p>
            <w:pPr>
              <w:pStyle w:val="TableContents"/>
              <w:bidi w:val="0"/>
              <w:spacing w:before="0" w:after="0"/>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699</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Financing cash flows paid for finance leases</w:t>
            </w:r>
          </w:p>
        </w:tc>
        <w:tc>
          <w:tcPr>
            <w:tcW w:w="32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w:t>
            </w:r>
          </w:p>
        </w:tc>
        <w:tc>
          <w:tcPr>
            <w:tcW w:w="340"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 </w:t>
            </w:r>
          </w:p>
        </w:tc>
        <w:tc>
          <w:tcPr>
            <w:tcW w:w="659" w:type="dxa"/>
            <w:tcBorders/>
            <w:shd w:fill="CCEEFF" w:val="clear"/>
            <w:vAlign w:val="center"/>
          </w:tcPr>
          <w:p>
            <w:pPr>
              <w:pStyle w:val="TableContents"/>
              <w:bidi w:val="0"/>
              <w:spacing w:before="0" w:after="0"/>
              <w:ind w:left="0" w:right="0" w:hanging="0"/>
              <w:jc w:val="righ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Right-of-use assets obtained in exchange for finance lease liabilities</w:t>
            </w:r>
          </w:p>
        </w:tc>
        <w:tc>
          <w:tcPr>
            <w:tcW w:w="32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5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0"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297</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Purchases of property and equipment in accounts payable and 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w:t>
            </w:r>
          </w:p>
        </w:tc>
        <w:tc>
          <w:tcPr>
            <w:tcW w:w="340" w:type="dxa"/>
            <w:tcBorders/>
            <w:shd w:fill="CCEEFF" w:val="clear"/>
            <w:vAlign w:val="center"/>
          </w:tcPr>
          <w:p>
            <w:pPr>
              <w:pStyle w:val="TableContents"/>
              <w:bidi w:val="0"/>
              <w:spacing w:before="0" w:after="0"/>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7"/>
              </w:rPr>
            </w:pPr>
            <w:r>
              <w:rPr>
                <w:rFonts w:ascii="Times New Roman;Times;serif" w:hAnsi="Times New Roman;Times;serif"/>
                <w:sz w:val="17"/>
              </w:rPr>
              <w:t>75</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Supplemental Quarterly Financial Results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10205" w:type="dxa"/>
        <w:jc w:val="center"/>
        <w:tblInd w:w="0" w:type="dxa"/>
        <w:tblLayout w:type="fixed"/>
        <w:tblCellMar>
          <w:top w:w="0" w:type="dxa"/>
          <w:left w:w="0" w:type="dxa"/>
          <w:bottom w:w="0" w:type="dxa"/>
          <w:right w:w="0" w:type="dxa"/>
        </w:tblCellMar>
      </w:tblPr>
      <w:tblGrid>
        <w:gridCol w:w="2714"/>
        <w:gridCol w:w="326"/>
        <w:gridCol w:w="211"/>
        <w:gridCol w:w="690"/>
        <w:gridCol w:w="271"/>
        <w:gridCol w:w="206"/>
        <w:gridCol w:w="211"/>
        <w:gridCol w:w="690"/>
        <w:gridCol w:w="271"/>
        <w:gridCol w:w="206"/>
        <w:gridCol w:w="689"/>
        <w:gridCol w:w="442"/>
        <w:gridCol w:w="206"/>
        <w:gridCol w:w="278"/>
        <w:gridCol w:w="915"/>
        <w:gridCol w:w="358"/>
        <w:gridCol w:w="206"/>
        <w:gridCol w:w="758"/>
        <w:gridCol w:w="557"/>
      </w:tblGrid>
      <w:tr>
        <w:trPr/>
        <w:tc>
          <w:tcPr>
            <w:tcW w:w="2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r>
      <w:tr>
        <w:trPr/>
        <w:tc>
          <w:tcPr>
            <w:tcW w:w="2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65"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GAAP Financial Results</w:t>
            </w:r>
          </w:p>
        </w:tc>
      </w:tr>
      <w:tr>
        <w:trPr/>
        <w:tc>
          <w:tcPr>
            <w:tcW w:w="2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206" w:type="dxa"/>
            <w:tcBorders/>
            <w:vAlign w:val="center"/>
          </w:tcPr>
          <w:p>
            <w:pPr>
              <w:pStyle w:val="TableContents"/>
              <w:bidi w:val="0"/>
              <w:spacing w:before="0" w:after="0"/>
              <w:ind w:left="0" w:right="0" w:hanging="0"/>
              <w:jc w:val="center"/>
              <w:rPr/>
            </w:pPr>
            <w:r>
              <w:rPr/>
              <w:t>​</w:t>
            </w:r>
          </w:p>
        </w:tc>
        <w:tc>
          <w:tcPr>
            <w:tcW w:w="1131"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551"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206" w:type="dxa"/>
            <w:tcBorders/>
            <w:vAlign w:val="center"/>
          </w:tcPr>
          <w:p>
            <w:pPr>
              <w:pStyle w:val="TableContents"/>
              <w:bidi w:val="0"/>
              <w:spacing w:before="0" w:after="0"/>
              <w:ind w:left="0" w:right="0" w:hanging="0"/>
              <w:jc w:val="center"/>
              <w:rPr/>
            </w:pPr>
            <w:r>
              <w:rPr/>
              <w:t>​</w:t>
            </w:r>
          </w:p>
        </w:tc>
        <w:tc>
          <w:tcPr>
            <w:tcW w:w="1315" w:type="dxa"/>
            <w:gridSpan w:val="2"/>
            <w:tcBorders/>
            <w:vAlign w:val="center"/>
          </w:tcPr>
          <w:p>
            <w:pPr>
              <w:pStyle w:val="TableContents"/>
              <w:bidi w:val="0"/>
              <w:spacing w:before="0" w:after="0"/>
              <w:ind w:left="0" w:right="0" w:hanging="0"/>
              <w:jc w:val="center"/>
              <w:rPr/>
            </w:pPr>
            <w:r>
              <w:rPr/>
              <w:t>​</w:t>
            </w:r>
          </w:p>
        </w:tc>
      </w:tr>
      <w:tr>
        <w:trPr/>
        <w:tc>
          <w:tcPr>
            <w:tcW w:w="2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206"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551"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206" w:type="dxa"/>
            <w:tcBorders/>
            <w:vAlign w:val="center"/>
          </w:tcPr>
          <w:p>
            <w:pPr>
              <w:pStyle w:val="TableContents"/>
              <w:bidi w:val="0"/>
              <w:spacing w:before="0" w:after="0"/>
              <w:ind w:left="0" w:right="0" w:hanging="0"/>
              <w:jc w:val="center"/>
              <w:rPr/>
            </w:pPr>
            <w:r>
              <w:rPr/>
              <w:t>​</w:t>
            </w:r>
          </w:p>
        </w:tc>
        <w:tc>
          <w:tcPr>
            <w:tcW w:w="758"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r>
      <w:tr>
        <w:trPr/>
        <w:tc>
          <w:tcPr>
            <w:tcW w:w="2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72"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06" w:type="dxa"/>
            <w:tcBorders/>
            <w:vAlign w:val="center"/>
          </w:tcPr>
          <w:p>
            <w:pPr>
              <w:pStyle w:val="TableContents"/>
              <w:bidi w:val="0"/>
              <w:spacing w:before="0" w:after="0"/>
              <w:ind w:left="0" w:right="0" w:hanging="0"/>
              <w:jc w:val="center"/>
              <w:rPr/>
            </w:pPr>
            <w:r>
              <w:rPr/>
              <w:t>  </w:t>
            </w:r>
          </w:p>
        </w:tc>
        <w:tc>
          <w:tcPr>
            <w:tcW w:w="1172"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06" w:type="dxa"/>
            <w:tcBorders/>
            <w:vAlign w:val="center"/>
          </w:tcPr>
          <w:p>
            <w:pPr>
              <w:pStyle w:val="TableContents"/>
              <w:bidi w:val="0"/>
              <w:spacing w:before="0" w:after="0"/>
              <w:ind w:left="0" w:right="0" w:hanging="0"/>
              <w:jc w:val="center"/>
              <w:rPr/>
            </w:pPr>
            <w:r>
              <w:rPr/>
              <w:t>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Y/Y</w:t>
            </w:r>
          </w:p>
        </w:tc>
        <w:tc>
          <w:tcPr>
            <w:tcW w:w="206" w:type="dxa"/>
            <w:tcBorders/>
            <w:vAlign w:val="center"/>
          </w:tcPr>
          <w:p>
            <w:pPr>
              <w:pStyle w:val="TableContents"/>
              <w:bidi w:val="0"/>
              <w:spacing w:before="0" w:after="0"/>
              <w:ind w:left="0" w:right="0" w:hanging="0"/>
              <w:jc w:val="center"/>
              <w:rPr/>
            </w:pPr>
            <w:r>
              <w:rPr/>
              <w:t>  </w:t>
            </w:r>
          </w:p>
        </w:tc>
        <w:tc>
          <w:tcPr>
            <w:tcW w:w="155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06" w:type="dxa"/>
            <w:tcBorders/>
            <w:vAlign w:val="center"/>
          </w:tcPr>
          <w:p>
            <w:pPr>
              <w:pStyle w:val="TableContents"/>
              <w:bidi w:val="0"/>
              <w:spacing w:before="0" w:after="0"/>
              <w:ind w:left="0" w:right="0" w:hanging="0"/>
              <w:jc w:val="center"/>
              <w:rPr/>
            </w:pPr>
            <w:r>
              <w:rPr/>
              <w:t>  </w:t>
            </w:r>
          </w:p>
        </w:tc>
        <w:tc>
          <w:tcPr>
            <w:tcW w:w="13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Q/Q</w:t>
            </w:r>
          </w:p>
        </w:tc>
      </w:tr>
      <w:tr>
        <w:trPr/>
        <w:tc>
          <w:tcPr>
            <w:tcW w:w="27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13,201</w:t>
            </w:r>
          </w:p>
        </w:tc>
        <w:tc>
          <w:tcPr>
            <w:tcW w:w="27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10,636</w:t>
            </w:r>
          </w:p>
        </w:tc>
        <w:tc>
          <w:tcPr>
            <w:tcW w:w="27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13,138</w:t>
            </w:r>
          </w:p>
        </w:tc>
        <w:tc>
          <w:tcPr>
            <w:tcW w:w="358"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w:t>
            </w:r>
          </w:p>
        </w:tc>
        <w:tc>
          <w:tcPr>
            <w:tcW w:w="557" w:type="dxa"/>
            <w:tcBorders/>
            <w:shd w:fill="CCEEFF" w:val="clear"/>
            <w:vAlign w:val="center"/>
          </w:tcPr>
          <w:p>
            <w:pPr>
              <w:pStyle w:val="TableContents"/>
              <w:bidi w:val="0"/>
              <w:spacing w:before="0" w:after="0"/>
              <w:ind w:left="0" w:right="0" w:hanging="0"/>
              <w:jc w:val="left"/>
              <w:rPr/>
            </w:pPr>
            <w:r>
              <w:rPr/>
              <w:t>​</w:t>
            </w:r>
          </w:p>
        </w:tc>
      </w:tr>
      <w:tr>
        <w:trPr/>
        <w:tc>
          <w:tcPr>
            <w:tcW w:w="27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6,768</w:t>
            </w:r>
          </w:p>
        </w:tc>
        <w:tc>
          <w:tcPr>
            <w:tcW w:w="271"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5,216</w:t>
            </w:r>
          </w:p>
        </w:tc>
        <w:tc>
          <w:tcPr>
            <w:tcW w:w="271"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6,753</w:t>
            </w:r>
          </w:p>
        </w:tc>
        <w:tc>
          <w:tcPr>
            <w:tcW w:w="358"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557" w:type="dxa"/>
            <w:tcBorders/>
            <w:vAlign w:val="center"/>
          </w:tcPr>
          <w:p>
            <w:pPr>
              <w:pStyle w:val="TableContents"/>
              <w:bidi w:val="0"/>
              <w:spacing w:before="0" w:after="0"/>
              <w:ind w:left="0" w:right="0" w:hanging="0"/>
              <w:jc w:val="left"/>
              <w:rPr/>
            </w:pPr>
            <w:r>
              <w:rPr/>
              <w:t>​</w:t>
            </w:r>
          </w:p>
        </w:tc>
      </w:tr>
      <w:tr>
        <w:trPr/>
        <w:tc>
          <w:tcPr>
            <w:tcW w:w="27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131"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Up 2.3 ppts</w:t>
            </w:r>
          </w:p>
        </w:tc>
        <w:tc>
          <w:tcPr>
            <w:tcW w:w="20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c>
          <w:tcPr>
            <w:tcW w:w="3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315"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Down 0.1 ppts</w:t>
            </w:r>
          </w:p>
        </w:tc>
      </w:tr>
      <w:tr>
        <w:trPr/>
        <w:tc>
          <w:tcPr>
            <w:tcW w:w="2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44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557" w:type="dxa"/>
            <w:tcBorders/>
            <w:vAlign w:val="center"/>
          </w:tcPr>
          <w:p>
            <w:pPr>
              <w:pStyle w:val="TableContents"/>
              <w:bidi w:val="0"/>
              <w:spacing w:before="0" w:after="0"/>
              <w:ind w:left="0" w:right="0" w:hanging="0"/>
              <w:jc w:val="left"/>
              <w:rPr/>
            </w:pPr>
            <w:r>
              <w:rPr/>
              <w:t>​</w:t>
            </w:r>
          </w:p>
        </w:tc>
      </w:tr>
      <w:tr>
        <w:trPr/>
        <w:tc>
          <w:tcPr>
            <w:tcW w:w="27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8,729</w:t>
            </w:r>
          </w:p>
        </w:tc>
        <w:tc>
          <w:tcPr>
            <w:tcW w:w="27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8,035</w:t>
            </w:r>
          </w:p>
        </w:tc>
        <w:tc>
          <w:tcPr>
            <w:tcW w:w="27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8,685</w:t>
            </w:r>
          </w:p>
        </w:tc>
        <w:tc>
          <w:tcPr>
            <w:tcW w:w="358"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5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(1,961)</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w:t>
            </w:r>
          </w:p>
        </w:tc>
        <w:tc>
          <w:tcPr>
            <w:tcW w:w="35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5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131"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Up 11.6 ppts</w:t>
            </w:r>
          </w:p>
        </w:tc>
        <w:tc>
          <w:tcPr>
            <w:tcW w:w="20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315"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Down 0.2 ppts</w:t>
            </w:r>
          </w:p>
        </w:tc>
      </w:tr>
      <w:tr>
        <w:trPr/>
        <w:tc>
          <w:tcPr>
            <w:tcW w:w="2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44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557" w:type="dxa"/>
            <w:tcBorders/>
            <w:vAlign w:val="center"/>
          </w:tcPr>
          <w:p>
            <w:pPr>
              <w:pStyle w:val="TableContents"/>
              <w:bidi w:val="0"/>
              <w:spacing w:before="0" w:after="0"/>
              <w:ind w:left="0" w:right="0" w:hanging="0"/>
              <w:jc w:val="left"/>
              <w:rPr/>
            </w:pPr>
            <w:r>
              <w:rPr/>
              <w:t>​</w:t>
            </w:r>
          </w:p>
        </w:tc>
      </w:tr>
      <w:tr>
        <w:trPr/>
        <w:tc>
          <w:tcPr>
            <w:tcW w:w="27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w:t>
            </w:r>
          </w:p>
        </w:tc>
        <w:tc>
          <w:tcPr>
            <w:tcW w:w="271"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271"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w:t>
            </w:r>
          </w:p>
        </w:tc>
        <w:tc>
          <w:tcPr>
            <w:tcW w:w="358"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5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c>
          <w:tcPr>
            <w:tcW w:w="271"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(2,502)</w:t>
            </w:r>
          </w:p>
        </w:tc>
        <w:tc>
          <w:tcPr>
            <w:tcW w:w="271"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w:t>
            </w:r>
          </w:p>
        </w:tc>
        <w:tc>
          <w:tcPr>
            <w:tcW w:w="358"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5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271"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271"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58"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5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44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557" w:type="dxa"/>
            <w:tcBorders/>
            <w:vAlign w:val="center"/>
          </w:tcPr>
          <w:p>
            <w:pPr>
              <w:pStyle w:val="TableContents"/>
              <w:bidi w:val="0"/>
              <w:spacing w:before="0" w:after="0"/>
              <w:ind w:left="0" w:right="0" w:hanging="0"/>
              <w:jc w:val="left"/>
              <w:rPr/>
            </w:pPr>
            <w:r>
              <w:rPr/>
              <w:t>​</w:t>
            </w:r>
          </w:p>
        </w:tc>
      </w:tr>
      <w:tr>
        <w:trPr/>
        <w:tc>
          <w:tcPr>
            <w:tcW w:w="2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44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557" w:type="dxa"/>
            <w:tcBorders/>
            <w:vAlign w:val="center"/>
          </w:tcPr>
          <w:p>
            <w:pPr>
              <w:pStyle w:val="TableContents"/>
              <w:bidi w:val="0"/>
              <w:spacing w:before="0" w:after="0"/>
              <w:ind w:left="0" w:right="0" w:hanging="0"/>
              <w:jc w:val="left"/>
              <w:rPr/>
            </w:pPr>
            <w:r>
              <w:rPr/>
              <w:t>​</w:t>
            </w:r>
          </w:p>
        </w:tc>
      </w:tr>
      <w:tr>
        <w:trPr/>
        <w:tc>
          <w:tcPr>
            <w:tcW w:w="2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44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557" w:type="dxa"/>
            <w:tcBorders/>
            <w:vAlign w:val="center"/>
          </w:tcPr>
          <w:p>
            <w:pPr>
              <w:pStyle w:val="TableContents"/>
              <w:bidi w:val="0"/>
              <w:spacing w:before="0" w:after="0"/>
              <w:ind w:left="0" w:right="0" w:hanging="0"/>
              <w:jc w:val="left"/>
              <w:rPr/>
            </w:pPr>
            <w:r>
              <w:rPr/>
              <w:t>​</w:t>
            </w:r>
          </w:p>
        </w:tc>
      </w:tr>
      <w:tr>
        <w:trPr/>
        <w:tc>
          <w:tcPr>
            <w:tcW w:w="2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65"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Non-GAAP Financial Results</w:t>
            </w:r>
          </w:p>
        </w:tc>
      </w:tr>
      <w:tr>
        <w:trPr/>
        <w:tc>
          <w:tcPr>
            <w:tcW w:w="2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206" w:type="dxa"/>
            <w:tcBorders/>
            <w:vAlign w:val="center"/>
          </w:tcPr>
          <w:p>
            <w:pPr>
              <w:pStyle w:val="TableContents"/>
              <w:bidi w:val="0"/>
              <w:spacing w:before="0" w:after="0"/>
              <w:ind w:left="0" w:right="0" w:hanging="0"/>
              <w:jc w:val="center"/>
              <w:rPr/>
            </w:pPr>
            <w:r>
              <w:rPr/>
              <w:t>​</w:t>
            </w:r>
          </w:p>
        </w:tc>
        <w:tc>
          <w:tcPr>
            <w:tcW w:w="1131"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551"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206" w:type="dxa"/>
            <w:tcBorders/>
            <w:vAlign w:val="center"/>
          </w:tcPr>
          <w:p>
            <w:pPr>
              <w:pStyle w:val="TableContents"/>
              <w:bidi w:val="0"/>
              <w:spacing w:before="0" w:after="0"/>
              <w:ind w:left="0" w:right="0" w:hanging="0"/>
              <w:jc w:val="center"/>
              <w:rPr/>
            </w:pPr>
            <w:r>
              <w:rPr/>
              <w:t>​</w:t>
            </w:r>
          </w:p>
        </w:tc>
        <w:tc>
          <w:tcPr>
            <w:tcW w:w="1315" w:type="dxa"/>
            <w:gridSpan w:val="2"/>
            <w:tcBorders/>
            <w:vAlign w:val="center"/>
          </w:tcPr>
          <w:p>
            <w:pPr>
              <w:pStyle w:val="TableContents"/>
              <w:bidi w:val="0"/>
              <w:spacing w:before="0" w:after="0"/>
              <w:ind w:left="0" w:right="0" w:hanging="0"/>
              <w:jc w:val="center"/>
              <w:rPr/>
            </w:pPr>
            <w:r>
              <w:rPr/>
              <w:t>​</w:t>
            </w:r>
          </w:p>
        </w:tc>
      </w:tr>
      <w:tr>
        <w:trPr/>
        <w:tc>
          <w:tcPr>
            <w:tcW w:w="2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206"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551"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206" w:type="dxa"/>
            <w:tcBorders/>
            <w:vAlign w:val="center"/>
          </w:tcPr>
          <w:p>
            <w:pPr>
              <w:pStyle w:val="TableContents"/>
              <w:bidi w:val="0"/>
              <w:spacing w:before="0" w:after="0"/>
              <w:ind w:left="0" w:right="0" w:hanging="0"/>
              <w:jc w:val="center"/>
              <w:rPr/>
            </w:pPr>
            <w:r>
              <w:rPr/>
              <w:t>​</w:t>
            </w:r>
          </w:p>
        </w:tc>
        <w:tc>
          <w:tcPr>
            <w:tcW w:w="758"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r>
      <w:tr>
        <w:trPr/>
        <w:tc>
          <w:tcPr>
            <w:tcW w:w="2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72"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06" w:type="dxa"/>
            <w:tcBorders/>
            <w:vAlign w:val="center"/>
          </w:tcPr>
          <w:p>
            <w:pPr>
              <w:pStyle w:val="TableContents"/>
              <w:bidi w:val="0"/>
              <w:spacing w:before="0" w:after="0"/>
              <w:ind w:left="0" w:right="0" w:hanging="0"/>
              <w:jc w:val="center"/>
              <w:rPr/>
            </w:pPr>
            <w:r>
              <w:rPr/>
              <w:t>  </w:t>
            </w:r>
          </w:p>
        </w:tc>
        <w:tc>
          <w:tcPr>
            <w:tcW w:w="1172"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06" w:type="dxa"/>
            <w:tcBorders/>
            <w:vAlign w:val="center"/>
          </w:tcPr>
          <w:p>
            <w:pPr>
              <w:pStyle w:val="TableContents"/>
              <w:bidi w:val="0"/>
              <w:spacing w:before="0" w:after="0"/>
              <w:ind w:left="0" w:right="0" w:hanging="0"/>
              <w:jc w:val="center"/>
              <w:rPr/>
            </w:pPr>
            <w:r>
              <w:rPr/>
              <w:t>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Y/Y</w:t>
            </w:r>
          </w:p>
        </w:tc>
        <w:tc>
          <w:tcPr>
            <w:tcW w:w="206" w:type="dxa"/>
            <w:tcBorders/>
            <w:vAlign w:val="center"/>
          </w:tcPr>
          <w:p>
            <w:pPr>
              <w:pStyle w:val="TableContents"/>
              <w:bidi w:val="0"/>
              <w:spacing w:before="0" w:after="0"/>
              <w:ind w:left="0" w:right="0" w:hanging="0"/>
              <w:jc w:val="center"/>
              <w:rPr/>
            </w:pPr>
            <w:r>
              <w:rPr/>
              <w:t>  </w:t>
            </w:r>
          </w:p>
        </w:tc>
        <w:tc>
          <w:tcPr>
            <w:tcW w:w="155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06" w:type="dxa"/>
            <w:tcBorders/>
            <w:vAlign w:val="center"/>
          </w:tcPr>
          <w:p>
            <w:pPr>
              <w:pStyle w:val="TableContents"/>
              <w:bidi w:val="0"/>
              <w:spacing w:before="0" w:after="0"/>
              <w:ind w:left="0" w:right="0" w:hanging="0"/>
              <w:jc w:val="center"/>
              <w:rPr/>
            </w:pPr>
            <w:r>
              <w:rPr/>
              <w:t>  </w:t>
            </w:r>
          </w:p>
        </w:tc>
        <w:tc>
          <w:tcPr>
            <w:tcW w:w="13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Q/Q</w:t>
            </w:r>
          </w:p>
        </w:tc>
      </w:tr>
      <w:tr>
        <w:trPr/>
        <w:tc>
          <w:tcPr>
            <w:tcW w:w="27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13,201</w:t>
            </w:r>
          </w:p>
        </w:tc>
        <w:tc>
          <w:tcPr>
            <w:tcW w:w="27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10,636</w:t>
            </w:r>
          </w:p>
        </w:tc>
        <w:tc>
          <w:tcPr>
            <w:tcW w:w="27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13,138</w:t>
            </w:r>
          </w:p>
        </w:tc>
        <w:tc>
          <w:tcPr>
            <w:tcW w:w="358"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w:t>
            </w:r>
          </w:p>
        </w:tc>
        <w:tc>
          <w:tcPr>
            <w:tcW w:w="5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6,929</w:t>
            </w:r>
          </w:p>
        </w:tc>
        <w:tc>
          <w:tcPr>
            <w:tcW w:w="271"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5,216</w:t>
            </w:r>
          </w:p>
        </w:tc>
        <w:tc>
          <w:tcPr>
            <w:tcW w:w="271"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6,939</w:t>
            </w:r>
          </w:p>
        </w:tc>
        <w:tc>
          <w:tcPr>
            <w:tcW w:w="358"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5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131"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Up 3.5 ppts</w:t>
            </w:r>
          </w:p>
        </w:tc>
        <w:tc>
          <w:tcPr>
            <w:tcW w:w="20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c>
          <w:tcPr>
            <w:tcW w:w="3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315"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Down 0.3 ppts</w:t>
            </w:r>
          </w:p>
        </w:tc>
      </w:tr>
      <w:tr>
        <w:trPr/>
        <w:tc>
          <w:tcPr>
            <w:tcW w:w="2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44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557" w:type="dxa"/>
            <w:tcBorders/>
            <w:vAlign w:val="center"/>
          </w:tcPr>
          <w:p>
            <w:pPr>
              <w:pStyle w:val="TableContents"/>
              <w:bidi w:val="0"/>
              <w:spacing w:before="0" w:after="0"/>
              <w:ind w:left="0" w:right="0" w:hanging="0"/>
              <w:jc w:val="left"/>
              <w:rPr/>
            </w:pPr>
            <w:r>
              <w:rPr/>
              <w:t>​</w:t>
            </w:r>
          </w:p>
        </w:tc>
      </w:tr>
      <w:tr>
        <w:trPr/>
        <w:tc>
          <w:tcPr>
            <w:tcW w:w="27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7,471</w:t>
            </w:r>
          </w:p>
        </w:tc>
        <w:tc>
          <w:tcPr>
            <w:tcW w:w="27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6,173</w:t>
            </w:r>
          </w:p>
        </w:tc>
        <w:tc>
          <w:tcPr>
            <w:tcW w:w="27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7,294</w:t>
            </w:r>
          </w:p>
        </w:tc>
        <w:tc>
          <w:tcPr>
            <w:tcW w:w="358"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5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5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5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131"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Up 4.9 ppts</w:t>
            </w:r>
          </w:p>
        </w:tc>
        <w:tc>
          <w:tcPr>
            <w:tcW w:w="20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315"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Down 1.4 ppts</w:t>
            </w:r>
          </w:p>
        </w:tc>
      </w:tr>
      <w:tr>
        <w:trPr/>
        <w:tc>
          <w:tcPr>
            <w:tcW w:w="2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44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557" w:type="dxa"/>
            <w:tcBorders/>
            <w:vAlign w:val="center"/>
          </w:tcPr>
          <w:p>
            <w:pPr>
              <w:pStyle w:val="TableContents"/>
              <w:bidi w:val="0"/>
              <w:spacing w:before="0" w:after="0"/>
              <w:ind w:left="0" w:right="0" w:hanging="0"/>
              <w:jc w:val="left"/>
              <w:rPr/>
            </w:pPr>
            <w:r>
              <w:rPr/>
              <w:t>​</w:t>
            </w:r>
          </w:p>
        </w:tc>
      </w:tr>
      <w:tr>
        <w:trPr/>
        <w:tc>
          <w:tcPr>
            <w:tcW w:w="27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w:t>
            </w:r>
          </w:p>
        </w:tc>
        <w:tc>
          <w:tcPr>
            <w:tcW w:w="271"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271"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w:t>
            </w:r>
          </w:p>
        </w:tc>
        <w:tc>
          <w:tcPr>
            <w:tcW w:w="358"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5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271"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w:t>
            </w:r>
          </w:p>
        </w:tc>
        <w:tc>
          <w:tcPr>
            <w:tcW w:w="271"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358"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5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271"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271"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58"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5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Supplemental Reconciliations of GAAP Results to Non-GAAP Financial Measures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10205" w:type="dxa"/>
        <w:jc w:val="center"/>
        <w:tblInd w:w="0" w:type="dxa"/>
        <w:tblLayout w:type="fixed"/>
        <w:tblCellMar>
          <w:top w:w="0" w:type="dxa"/>
          <w:left w:w="0" w:type="dxa"/>
          <w:bottom w:w="0" w:type="dxa"/>
          <w:right w:w="0" w:type="dxa"/>
        </w:tblCellMar>
      </w:tblPr>
      <w:tblGrid>
        <w:gridCol w:w="2151"/>
        <w:gridCol w:w="326"/>
        <w:gridCol w:w="234"/>
        <w:gridCol w:w="745"/>
        <w:gridCol w:w="326"/>
        <w:gridCol w:w="211"/>
        <w:gridCol w:w="555"/>
        <w:gridCol w:w="271"/>
        <w:gridCol w:w="326"/>
        <w:gridCol w:w="234"/>
        <w:gridCol w:w="745"/>
        <w:gridCol w:w="326"/>
        <w:gridCol w:w="211"/>
        <w:gridCol w:w="555"/>
        <w:gridCol w:w="271"/>
        <w:gridCol w:w="326"/>
        <w:gridCol w:w="234"/>
        <w:gridCol w:w="745"/>
        <w:gridCol w:w="326"/>
        <w:gridCol w:w="211"/>
        <w:gridCol w:w="555"/>
        <w:gridCol w:w="321"/>
      </w:tblGrid>
      <w:tr>
        <w:trPr/>
        <w:tc>
          <w:tcPr>
            <w:tcW w:w="2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r>
      <w:tr>
        <w:trPr/>
        <w:tc>
          <w:tcPr>
            <w:tcW w:w="2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728"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2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10"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left"/>
              <w:rPr/>
            </w:pPr>
            <w:r>
              <w:rPr/>
              <w:t>​</w:t>
            </w:r>
          </w:p>
        </w:tc>
        <w:tc>
          <w:tcPr>
            <w:tcW w:w="2392"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2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23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239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    </w:t>
            </w:r>
          </w:p>
        </w:tc>
        <w:tc>
          <w:tcPr>
            <w:tcW w:w="1037"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    </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    </w:t>
            </w:r>
          </w:p>
        </w:tc>
        <w:tc>
          <w:tcPr>
            <w:tcW w:w="1037"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    </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    </w:t>
            </w:r>
          </w:p>
        </w:tc>
        <w:tc>
          <w:tcPr>
            <w:tcW w:w="1087"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r>
      <w:tr>
        <w:trPr/>
        <w:tc>
          <w:tcPr>
            <w:tcW w:w="21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326" w:type="dxa"/>
            <w:tcBorders/>
            <w:vAlign w:val="center"/>
          </w:tcPr>
          <w:p>
            <w:pPr>
              <w:pStyle w:val="TableContents"/>
              <w:bidi w:val="0"/>
              <w:spacing w:before="0" w:after="0"/>
              <w:ind w:left="0" w:right="0" w:hanging="0"/>
              <w:jc w:val="center"/>
              <w:rPr/>
            </w:pPr>
            <w:r>
              <w:rPr/>
              <w:t>    </w:t>
            </w:r>
          </w:p>
        </w:tc>
        <w:tc>
          <w:tcPr>
            <w:tcW w:w="103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26" w:type="dxa"/>
            <w:tcBorders/>
            <w:vAlign w:val="center"/>
          </w:tcPr>
          <w:p>
            <w:pPr>
              <w:pStyle w:val="TableContents"/>
              <w:bidi w:val="0"/>
              <w:spacing w:before="0" w:after="0"/>
              <w:ind w:left="0" w:right="0" w:hanging="0"/>
              <w:jc w:val="center"/>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326" w:type="dxa"/>
            <w:tcBorders/>
            <w:vAlign w:val="center"/>
          </w:tcPr>
          <w:p>
            <w:pPr>
              <w:pStyle w:val="TableContents"/>
              <w:bidi w:val="0"/>
              <w:spacing w:before="0" w:after="0"/>
              <w:ind w:left="0" w:right="0" w:hanging="0"/>
              <w:jc w:val="center"/>
              <w:rPr/>
            </w:pPr>
            <w:r>
              <w:rPr/>
              <w:t>    </w:t>
            </w:r>
          </w:p>
        </w:tc>
        <w:tc>
          <w:tcPr>
            <w:tcW w:w="103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26" w:type="dxa"/>
            <w:tcBorders/>
            <w:vAlign w:val="center"/>
          </w:tcPr>
          <w:p>
            <w:pPr>
              <w:pStyle w:val="TableContents"/>
              <w:bidi w:val="0"/>
              <w:spacing w:before="0" w:after="0"/>
              <w:ind w:left="0" w:right="0" w:hanging="0"/>
              <w:jc w:val="center"/>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326" w:type="dxa"/>
            <w:tcBorders/>
            <w:vAlign w:val="center"/>
          </w:tcPr>
          <w:p>
            <w:pPr>
              <w:pStyle w:val="TableContents"/>
              <w:bidi w:val="0"/>
              <w:spacing w:before="0" w:after="0"/>
              <w:ind w:left="0" w:right="0" w:hanging="0"/>
              <w:jc w:val="center"/>
              <w:rPr/>
            </w:pPr>
            <w:r>
              <w:rPr/>
              <w:t>    </w:t>
            </w:r>
          </w:p>
        </w:tc>
        <w:tc>
          <w:tcPr>
            <w:tcW w:w="108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r>
      <w:tr>
        <w:trPr/>
        <w:tc>
          <w:tcPr>
            <w:tcW w:w="2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6,768</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COGS</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r>
      <w:tr>
        <w:trPr/>
        <w:tc>
          <w:tcPr>
            <w:tcW w:w="2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6,929</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r>
      <w:tr>
        <w:trPr/>
        <w:tc>
          <w:tcPr>
            <w:tcW w:w="2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r>
      <w:tr>
        <w:trPr/>
        <w:tc>
          <w:tcPr>
            <w:tcW w:w="2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r>
      <w:tr>
        <w:trPr/>
        <w:tc>
          <w:tcPr>
            <w:tcW w:w="2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0"/>
              <w:ind w:left="0" w:right="0" w:hanging="0"/>
              <w:jc w:val="left"/>
              <w:rPr/>
            </w:pPr>
            <w:r>
              <w:rPr/>
              <w:t>​</w:t>
            </w:r>
          </w:p>
        </w:tc>
        <w:tc>
          <w:tcPr>
            <w:tcW w:w="1037"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 %</w:t>
            </w:r>
          </w:p>
        </w:tc>
        <w:tc>
          <w:tcPr>
            <w:tcW w:w="326" w:type="dxa"/>
            <w:tcBorders/>
            <w:vAlign w:val="center"/>
          </w:tcPr>
          <w:p>
            <w:pPr>
              <w:pStyle w:val="TableContents"/>
              <w:bidi w:val="0"/>
              <w:spacing w:before="0" w:after="0"/>
              <w:ind w:left="0" w:right="0" w:hanging="0"/>
              <w:jc w:val="left"/>
              <w:rPr/>
            </w:pPr>
            <w:r>
              <w:rPr/>
              <w:t>​</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0"/>
              <w:ind w:left="0" w:right="0" w:hanging="0"/>
              <w:jc w:val="left"/>
              <w:rPr/>
            </w:pPr>
            <w:r>
              <w:rPr/>
              <w:t>​</w:t>
            </w:r>
          </w:p>
        </w:tc>
        <w:tc>
          <w:tcPr>
            <w:tcW w:w="1037"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 %</w:t>
            </w:r>
          </w:p>
        </w:tc>
        <w:tc>
          <w:tcPr>
            <w:tcW w:w="326" w:type="dxa"/>
            <w:tcBorders/>
            <w:vAlign w:val="center"/>
          </w:tcPr>
          <w:p>
            <w:pPr>
              <w:pStyle w:val="TableContents"/>
              <w:bidi w:val="0"/>
              <w:spacing w:before="0" w:after="0"/>
              <w:ind w:left="0" w:right="0" w:hanging="0"/>
              <w:jc w:val="left"/>
              <w:rPr/>
            </w:pPr>
            <w:r>
              <w:rPr/>
              <w:t>​</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0"/>
              <w:ind w:left="0" w:right="0" w:hanging="0"/>
              <w:jc w:val="left"/>
              <w:rPr/>
            </w:pPr>
            <w:r>
              <w:rPr/>
              <w:t>​</w:t>
            </w:r>
          </w:p>
        </w:tc>
        <w:tc>
          <w:tcPr>
            <w:tcW w:w="1087"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 %</w:t>
            </w:r>
          </w:p>
        </w:tc>
      </w:tr>
      <w:tr>
        <w:trPr/>
        <w:tc>
          <w:tcPr>
            <w:tcW w:w="21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Expenses</w:t>
            </w:r>
          </w:p>
        </w:tc>
        <w:tc>
          <w:tcPr>
            <w:tcW w:w="326" w:type="dxa"/>
            <w:tcBorders/>
            <w:vAlign w:val="center"/>
          </w:tcPr>
          <w:p>
            <w:pPr>
              <w:pStyle w:val="TableContents"/>
              <w:bidi w:val="0"/>
              <w:spacing w:before="0" w:after="0"/>
              <w:ind w:left="0" w:right="0" w:hanging="0"/>
              <w:jc w:val="center"/>
              <w:rPr/>
            </w:pPr>
            <w:r>
              <w:rPr/>
              <w:t>​</w:t>
            </w:r>
          </w:p>
        </w:tc>
        <w:tc>
          <w:tcPr>
            <w:tcW w:w="103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Revenue</w:t>
            </w:r>
          </w:p>
        </w:tc>
        <w:tc>
          <w:tcPr>
            <w:tcW w:w="326" w:type="dxa"/>
            <w:tcBorders/>
            <w:vAlign w:val="center"/>
          </w:tcPr>
          <w:p>
            <w:pPr>
              <w:pStyle w:val="TableContents"/>
              <w:bidi w:val="0"/>
              <w:spacing w:before="0" w:after="0"/>
              <w:ind w:left="0" w:right="0" w:hanging="0"/>
              <w:jc w:val="center"/>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Expenses</w:t>
            </w:r>
          </w:p>
        </w:tc>
        <w:tc>
          <w:tcPr>
            <w:tcW w:w="326" w:type="dxa"/>
            <w:tcBorders/>
            <w:vAlign w:val="center"/>
          </w:tcPr>
          <w:p>
            <w:pPr>
              <w:pStyle w:val="TableContents"/>
              <w:bidi w:val="0"/>
              <w:spacing w:before="0" w:after="0"/>
              <w:ind w:left="0" w:right="0" w:hanging="0"/>
              <w:jc w:val="center"/>
              <w:rPr/>
            </w:pPr>
            <w:r>
              <w:rPr/>
              <w:t>​</w:t>
            </w:r>
          </w:p>
        </w:tc>
        <w:tc>
          <w:tcPr>
            <w:tcW w:w="103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Revenue</w:t>
            </w:r>
          </w:p>
        </w:tc>
        <w:tc>
          <w:tcPr>
            <w:tcW w:w="326" w:type="dxa"/>
            <w:tcBorders/>
            <w:vAlign w:val="center"/>
          </w:tcPr>
          <w:p>
            <w:pPr>
              <w:pStyle w:val="TableContents"/>
              <w:bidi w:val="0"/>
              <w:spacing w:before="0" w:after="0"/>
              <w:ind w:left="0" w:right="0" w:hanging="0"/>
              <w:jc w:val="center"/>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Expenses</w:t>
            </w:r>
          </w:p>
        </w:tc>
        <w:tc>
          <w:tcPr>
            <w:tcW w:w="326" w:type="dxa"/>
            <w:tcBorders/>
            <w:vAlign w:val="center"/>
          </w:tcPr>
          <w:p>
            <w:pPr>
              <w:pStyle w:val="TableContents"/>
              <w:bidi w:val="0"/>
              <w:spacing w:before="0" w:after="0"/>
              <w:ind w:left="0" w:right="0" w:hanging="0"/>
              <w:jc w:val="center"/>
              <w:rPr/>
            </w:pPr>
            <w:r>
              <w:rPr/>
              <w:t>​</w:t>
            </w:r>
          </w:p>
        </w:tc>
        <w:tc>
          <w:tcPr>
            <w:tcW w:w="108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Revenue</w:t>
            </w:r>
          </w:p>
        </w:tc>
      </w:tr>
      <w:tr>
        <w:trPr/>
        <w:tc>
          <w:tcPr>
            <w:tcW w:w="2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R&amp;D</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r>
      <w:tr>
        <w:trPr/>
        <w:tc>
          <w:tcPr>
            <w:tcW w:w="2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SG&amp;A</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r>
      <w:tr>
        <w:trPr/>
        <w:tc>
          <w:tcPr>
            <w:tcW w:w="2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r>
      <w:tr>
        <w:trPr/>
        <w:tc>
          <w:tcPr>
            <w:tcW w:w="2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r>
      <w:tr>
        <w:trPr/>
        <w:tc>
          <w:tcPr>
            <w:tcW w:w="2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r>
      <w:tr>
        <w:trPr/>
        <w:tc>
          <w:tcPr>
            <w:tcW w:w="2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0"/>
              <w:ind w:left="0" w:right="0" w:hanging="0"/>
              <w:jc w:val="left"/>
              <w:rPr/>
            </w:pPr>
            <w:r>
              <w:rPr/>
              <w:t>​</w:t>
            </w:r>
          </w:p>
        </w:tc>
        <w:tc>
          <w:tcPr>
            <w:tcW w:w="1037"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0"/>
              <w:ind w:left="0" w:right="0" w:hanging="0"/>
              <w:jc w:val="left"/>
              <w:rPr/>
            </w:pPr>
            <w:r>
              <w:rPr/>
              <w:t>​</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0"/>
              <w:ind w:left="0" w:right="0" w:hanging="0"/>
              <w:jc w:val="left"/>
              <w:rPr/>
            </w:pPr>
            <w:r>
              <w:rPr/>
              <w:t>​</w:t>
            </w:r>
          </w:p>
        </w:tc>
        <w:tc>
          <w:tcPr>
            <w:tcW w:w="1037"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0"/>
              <w:ind w:left="0" w:right="0" w:hanging="0"/>
              <w:jc w:val="left"/>
              <w:rPr/>
            </w:pPr>
            <w:r>
              <w:rPr/>
              <w:t>​</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0"/>
              <w:ind w:left="0" w:right="0" w:hanging="0"/>
              <w:jc w:val="left"/>
              <w:rPr/>
            </w:pPr>
            <w:r>
              <w:rPr/>
              <w:t>​</w:t>
            </w:r>
          </w:p>
        </w:tc>
        <w:tc>
          <w:tcPr>
            <w:tcW w:w="1087"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r>
      <w:tr>
        <w:trPr/>
        <w:tc>
          <w:tcPr>
            <w:tcW w:w="21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center"/>
              <w:rPr/>
            </w:pPr>
            <w:r>
              <w:rPr/>
              <w:t>​</w:t>
            </w:r>
          </w:p>
        </w:tc>
        <w:tc>
          <w:tcPr>
            <w:tcW w:w="103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26" w:type="dxa"/>
            <w:tcBorders/>
            <w:vAlign w:val="center"/>
          </w:tcPr>
          <w:p>
            <w:pPr>
              <w:pStyle w:val="TableContents"/>
              <w:bidi w:val="0"/>
              <w:spacing w:before="0" w:after="0"/>
              <w:ind w:left="0" w:right="0" w:hanging="0"/>
              <w:jc w:val="center"/>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center"/>
              <w:rPr/>
            </w:pPr>
            <w:r>
              <w:rPr/>
              <w:t>​</w:t>
            </w:r>
          </w:p>
        </w:tc>
        <w:tc>
          <w:tcPr>
            <w:tcW w:w="103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26" w:type="dxa"/>
            <w:tcBorders/>
            <w:vAlign w:val="center"/>
          </w:tcPr>
          <w:p>
            <w:pPr>
              <w:pStyle w:val="TableContents"/>
              <w:bidi w:val="0"/>
              <w:spacing w:before="0" w:after="0"/>
              <w:ind w:left="0" w:right="0" w:hanging="0"/>
              <w:jc w:val="center"/>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center"/>
              <w:rPr/>
            </w:pPr>
            <w:r>
              <w:rPr/>
              <w:t>​</w:t>
            </w:r>
          </w:p>
        </w:tc>
        <w:tc>
          <w:tcPr>
            <w:tcW w:w="108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r>
      <w:tr>
        <w:trPr/>
        <w:tc>
          <w:tcPr>
            <w:tcW w:w="2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r>
      <w:tr>
        <w:trPr/>
        <w:tc>
          <w:tcPr>
            <w:tcW w:w="2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r>
      <w:tr>
        <w:trPr/>
        <w:tc>
          <w:tcPr>
            <w:tcW w:w="2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r>
      <w:tr>
        <w:trPr/>
        <w:tc>
          <w:tcPr>
            <w:tcW w:w="2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r>
      <w:tr>
        <w:trPr/>
        <w:tc>
          <w:tcPr>
            <w:tcW w:w="2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26" w:type="dxa"/>
            <w:tcBorders/>
            <w:vAlign w:val="center"/>
          </w:tcPr>
          <w:p>
            <w:pPr>
              <w:pStyle w:val="TableContents"/>
              <w:bidi w:val="0"/>
              <w:spacing w:before="0" w:after="0"/>
              <w:ind w:left="0" w:right="0" w:hanging="0"/>
              <w:jc w:val="left"/>
              <w:rPr/>
            </w:pPr>
            <w:r>
              <w:rPr/>
              <w:t>​</w:t>
            </w:r>
          </w:p>
        </w:tc>
        <w:tc>
          <w:tcPr>
            <w:tcW w:w="1037"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26" w:type="dxa"/>
            <w:tcBorders/>
            <w:vAlign w:val="center"/>
          </w:tcPr>
          <w:p>
            <w:pPr>
              <w:pStyle w:val="TableContents"/>
              <w:bidi w:val="0"/>
              <w:spacing w:before="0" w:after="0"/>
              <w:ind w:left="0" w:right="0" w:hanging="0"/>
              <w:jc w:val="left"/>
              <w:rPr/>
            </w:pPr>
            <w:r>
              <w:rPr/>
              <w:t>​</w:t>
            </w:r>
          </w:p>
        </w:tc>
        <w:tc>
          <w:tcPr>
            <w:tcW w:w="1037"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26" w:type="dxa"/>
            <w:tcBorders/>
            <w:vAlign w:val="center"/>
          </w:tcPr>
          <w:p>
            <w:pPr>
              <w:pStyle w:val="TableContents"/>
              <w:bidi w:val="0"/>
              <w:spacing w:before="0" w:after="0"/>
              <w:ind w:left="0" w:right="0" w:hanging="0"/>
              <w:jc w:val="left"/>
              <w:rPr/>
            </w:pPr>
            <w:r>
              <w:rPr/>
              <w:t>​</w:t>
            </w:r>
          </w:p>
        </w:tc>
        <w:tc>
          <w:tcPr>
            <w:tcW w:w="1087"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r>
      <w:tr>
        <w:trPr/>
        <w:tc>
          <w:tcPr>
            <w:tcW w:w="21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center"/>
              <w:rPr/>
            </w:pPr>
            <w:r>
              <w:rPr/>
              <w:t>​</w:t>
            </w:r>
          </w:p>
        </w:tc>
        <w:tc>
          <w:tcPr>
            <w:tcW w:w="103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vAlign w:val="center"/>
          </w:tcPr>
          <w:p>
            <w:pPr>
              <w:pStyle w:val="TableContents"/>
              <w:bidi w:val="0"/>
              <w:spacing w:before="0" w:after="0"/>
              <w:ind w:left="0" w:right="0" w:hanging="0"/>
              <w:jc w:val="center"/>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center"/>
              <w:rPr/>
            </w:pPr>
            <w:r>
              <w:rPr/>
              <w:t>​</w:t>
            </w:r>
          </w:p>
        </w:tc>
        <w:tc>
          <w:tcPr>
            <w:tcW w:w="103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vAlign w:val="center"/>
          </w:tcPr>
          <w:p>
            <w:pPr>
              <w:pStyle w:val="TableContents"/>
              <w:bidi w:val="0"/>
              <w:spacing w:before="0" w:after="0"/>
              <w:ind w:left="0" w:right="0" w:hanging="0"/>
              <w:jc w:val="center"/>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center"/>
              <w:rPr/>
            </w:pPr>
            <w:r>
              <w:rPr/>
              <w:t>​</w:t>
            </w:r>
          </w:p>
        </w:tc>
        <w:tc>
          <w:tcPr>
            <w:tcW w:w="108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2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(0.03)</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(0.12)</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(0.05)</w:t>
            </w:r>
          </w:p>
        </w:tc>
      </w:tr>
      <w:tr>
        <w:trPr/>
        <w:tc>
          <w:tcPr>
            <w:tcW w:w="2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0.06</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0.09</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0.07</w:t>
            </w:r>
          </w:p>
        </w:tc>
      </w:tr>
      <w:tr>
        <w:trPr/>
        <w:tc>
          <w:tcPr>
            <w:tcW w:w="2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gridSpan w:val="2"/>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0.03</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gridSpan w:val="2"/>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(0.03)</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gridSpan w:val="2"/>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0.02</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2989</Words>
  <Characters>16102</Characters>
  <CharactersWithSpaces>19789</CharactersWithSpaces>
  <Paragraphs>2266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