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7,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Everspin Technologies, Inc.</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tbl>
      <w:tblPr>
        <w:tblLayout w:type="fixed"/>
        <w:tblInd w:w="960" w:type="dxa"/>
        <w:tblCellMar>
          <w:top w:w="0" w:type="dxa"/>
          <w:left w:w="0" w:type="dxa"/>
          <w:bottom w:w="0" w:type="dxa"/>
          <w:right w:w="0" w:type="dxa"/>
        </w:tblCellMar>
      </w:tblPr>
      <w:tr>
        <w:trPr>
          <w:trHeight w:val="216"/>
        </w:trPr>
        <w:tc>
          <w:tcPr>
            <w:tcW w:w="3140" w:type="dxa"/>
            <w:vAlign w:val="bottom"/>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001-37900</w:t>
            </w:r>
          </w:p>
        </w:tc>
        <w:tc>
          <w:tcPr>
            <w:tcW w:w="266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8"/>
              </w:rPr>
              <w:t>26-2640654</w:t>
            </w:r>
          </w:p>
        </w:tc>
      </w:tr>
      <w:tr>
        <w:trPr>
          <w:trHeight w:val="216"/>
        </w:trPr>
        <w:tc>
          <w:tcPr>
            <w:tcW w:w="3140" w:type="dxa"/>
            <w:vAlign w:val="bottom"/>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33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266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140" w:type="dxa"/>
            <w:vAlign w:val="bottom"/>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33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66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bl>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5670 W. Chandler Blvd.</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Suite 100</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Chandler, Arizona 85226</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(Address of principal executive offices, including zip code)</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(480) 347-1111</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(Registrant’s telephone number, including area code)</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 Applicable</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ind w:right="220"/>
        <w:spacing w:after="0" w:line="258" w:lineRule="auto"/>
        <w:rPr>
          <w:sz w:val="20"/>
          <w:szCs w:val="20"/>
          <w:color w:val="auto"/>
        </w:rPr>
      </w:pPr>
      <w:r>
        <w:rPr>
          <w:rFonts w:ascii="Times New Roman" w:cs="Times New Roman" w:eastAsia="Times New Roman" w:hAnsi="Times New Roman"/>
          <w:sz w:val="22"/>
          <w:szCs w:val="22"/>
          <w:color w:val="auto"/>
        </w:rPr>
        <w:t>Check the appropriate box below if the Form 8-K filing is intended to simultaneously satisfy the filing obligation of the registrant under any of the following provisions:</w:t>
      </w:r>
    </w:p>
    <w:p>
      <w:pPr>
        <w:spacing w:after="0" w:line="194"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Securities registered pursuant to Section 12(b) of the Act:</w:t>
      </w:r>
    </w:p>
    <w:p>
      <w:pPr>
        <w:spacing w:after="0" w:line="241"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6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Title of each class</w:t>
            </w:r>
          </w:p>
        </w:tc>
        <w:tc>
          <w:tcPr>
            <w:tcW w:w="22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Trading Symbol(s)</w:t>
            </w:r>
          </w:p>
        </w:tc>
        <w:tc>
          <w:tcPr>
            <w:tcW w:w="45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46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Common Stock, par value $0.0001</w:t>
            </w:r>
          </w:p>
        </w:tc>
        <w:tc>
          <w:tcPr>
            <w:tcW w:w="2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MRAM</w:t>
            </w:r>
          </w:p>
        </w:tc>
        <w:tc>
          <w:tcPr>
            <w:tcW w:w="4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The Nasdaq Stock Market</w:t>
            </w:r>
          </w:p>
        </w:tc>
      </w:tr>
    </w:tbl>
    <w:p>
      <w:pPr>
        <w:spacing w:after="0" w:line="216" w:lineRule="exact"/>
        <w:rPr>
          <w:sz w:val="24"/>
          <w:szCs w:val="24"/>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is an emerging growth company as defined in Rule 405 of the Securities Act of 1933(§230.405 of this chapter) or Rule 12b-2 of the Securities Exchange Act of 1934 (§240.12b-2 of this chapter).</w:t>
      </w:r>
    </w:p>
    <w:p>
      <w:pPr>
        <w:spacing w:after="0" w:line="165"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 xml:space="preserve">Emerging growth company </w:t>
      </w:r>
      <w:r>
        <w:rPr>
          <w:rFonts w:ascii="MS PGothic" w:cs="MS PGothic" w:eastAsia="MS PGothic" w:hAnsi="MS PGothic"/>
          <w:sz w:val="22"/>
          <w:szCs w:val="22"/>
          <w:color w:val="auto"/>
        </w:rPr>
        <w:t>☑</w:t>
      </w:r>
    </w:p>
    <w:p>
      <w:pPr>
        <w:spacing w:after="0" w:line="267" w:lineRule="exact"/>
        <w:rPr>
          <w:sz w:val="24"/>
          <w:szCs w:val="24"/>
          <w:color w:val="auto"/>
        </w:rPr>
      </w:pPr>
    </w:p>
    <w:p>
      <w:pPr>
        <w:ind w:right="320"/>
        <w:spacing w:after="0" w:line="280" w:lineRule="exact"/>
        <w:rPr>
          <w:sz w:val="20"/>
          <w:szCs w:val="20"/>
          <w:color w:val="auto"/>
        </w:rPr>
      </w:pPr>
      <w:r>
        <w:rPr>
          <w:rFonts w:ascii="Times New Roman" w:cs="Times New Roman" w:eastAsia="Times New Roman" w:hAnsi="Times New Roman"/>
          <w:sz w:val="21"/>
          <w:szCs w:val="2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5" w:right="239" w:bottom="544"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Item 2.02. Results of Operations and Financial Condition.</w:t>
      </w:r>
    </w:p>
    <w:p>
      <w:pPr>
        <w:spacing w:after="0" w:line="238" w:lineRule="exact"/>
        <w:rPr>
          <w:sz w:val="20"/>
          <w:szCs w:val="20"/>
          <w:color w:val="auto"/>
        </w:rPr>
      </w:pPr>
    </w:p>
    <w:p>
      <w:pPr>
        <w:ind w:right="940" w:firstLine="405"/>
        <w:spacing w:after="0" w:line="258" w:lineRule="auto"/>
        <w:rPr>
          <w:sz w:val="20"/>
          <w:szCs w:val="20"/>
          <w:color w:val="auto"/>
        </w:rPr>
      </w:pPr>
      <w:r>
        <w:rPr>
          <w:rFonts w:ascii="Times New Roman" w:cs="Times New Roman" w:eastAsia="Times New Roman" w:hAnsi="Times New Roman"/>
          <w:sz w:val="22"/>
          <w:szCs w:val="22"/>
          <w:color w:val="auto"/>
        </w:rPr>
        <w:t>On November 7, 2019, the Company issued a press release, a copy of which is attached hereto as Exhibit 99.1 and is incorporated herein by reference.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9.01. Financial Statements and Exhibits.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3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800" w:type="dxa"/>
            <w:vAlign w:val="bottom"/>
          </w:tcPr>
          <w:p>
            <w:pPr>
              <w:spacing w:after="0"/>
              <w:rPr>
                <w:sz w:val="21"/>
                <w:szCs w:val="21"/>
                <w:color w:val="auto"/>
              </w:rPr>
            </w:pPr>
          </w:p>
        </w:tc>
        <w:tc>
          <w:tcPr>
            <w:tcW w:w="7240" w:type="dxa"/>
            <w:vAlign w:val="bottom"/>
          </w:tcPr>
          <w:p>
            <w:pPr>
              <w:ind w:left="17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320" w:type="dxa"/>
            <w:vAlign w:val="bottom"/>
            <w:tcBorders>
              <w:top w:val="single" w:sz="8" w:color="auto"/>
            </w:tcBorders>
          </w:tcPr>
          <w:p>
            <w:pPr>
              <w:spacing w:after="0"/>
              <w:rPr>
                <w:sz w:val="24"/>
                <w:szCs w:val="24"/>
                <w:color w:val="auto"/>
              </w:rPr>
            </w:pPr>
          </w:p>
        </w:tc>
        <w:tc>
          <w:tcPr>
            <w:tcW w:w="320" w:type="dxa"/>
            <w:vAlign w:val="bottom"/>
            <w:tcBorders>
              <w:top w:val="single" w:sz="8" w:color="auto"/>
              <w:bottom w:val="single" w:sz="8" w:color="0000EE"/>
            </w:tcBorders>
          </w:tcPr>
          <w:p>
            <w:pPr>
              <w:jc w:val="right"/>
              <w:spacing w:after="0"/>
              <w:rPr>
                <w:rFonts w:ascii="Times New Roman" w:cs="Times New Roman" w:eastAsia="Times New Roman" w:hAnsi="Times New Roman"/>
                <w:sz w:val="18"/>
                <w:szCs w:val="18"/>
                <w:color w:val="0000EE"/>
                <w:w w:val="95"/>
              </w:rPr>
            </w:pPr>
            <w:hyperlink w:anchor="page3">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hyperlink>
          </w:p>
        </w:tc>
        <w:tc>
          <w:tcPr>
            <w:tcW w:w="5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800" w:type="dxa"/>
            <w:vAlign w:val="bottom"/>
            <w:tcBorders>
              <w:top w:val="single" w:sz="8" w:color="auto"/>
              <w:bottom w:val="single" w:sz="8" w:color="0000EE"/>
            </w:tcBorders>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Press release dated November 7, 2019.</w:t>
              </w:r>
            </w:hyperlink>
          </w:p>
        </w:tc>
        <w:tc>
          <w:tcPr>
            <w:tcW w:w="7240" w:type="dxa"/>
            <w:vAlign w:val="bottom"/>
            <w:tcBorders>
              <w:top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37"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190"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7, 2019</w:t>
      </w:r>
    </w:p>
    <w:p>
      <w:pPr>
        <w:spacing w:after="0" w:line="207" w:lineRule="exact"/>
        <w:rPr>
          <w:sz w:val="20"/>
          <w:szCs w:val="20"/>
          <w:color w:val="auto"/>
        </w:rPr>
      </w:pPr>
    </w:p>
    <w:p>
      <w:pPr>
        <w:ind w:left="5700"/>
        <w:spacing w:after="0"/>
        <w:tabs>
          <w:tab w:leader="none" w:pos="6180" w:val="left"/>
        </w:tabs>
        <w:rPr>
          <w:sz w:val="20"/>
          <w:szCs w:val="20"/>
          <w:color w:val="auto"/>
        </w:rPr>
      </w:pPr>
      <w:r>
        <w:rPr>
          <w:rFonts w:ascii="Times New Roman" w:cs="Times New Roman" w:eastAsia="Times New Roman" w:hAnsi="Times New Roman"/>
          <w:sz w:val="18"/>
          <w:szCs w:val="18"/>
          <w:color w:val="auto"/>
        </w:rPr>
        <w:t>By:</w:t>
        <w:tab/>
        <w:t>/s/ Jeffrey Winzeler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17145</wp:posOffset>
            </wp:positionV>
            <wp:extent cx="34131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13125" cy="1714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Jeffrey Winzeler</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108" w:right="23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Everspin Reports Third Quarter 2019 Financial Results</w:t>
      </w:r>
    </w:p>
    <w:p>
      <w:pPr>
        <w:spacing w:after="0" w:line="22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2"/>
          <w:szCs w:val="22"/>
          <w:color w:val="auto"/>
        </w:rPr>
        <w:t>CHANDLER, Ariz.--(BUSINESS WIRE)--November 7, 2019--Everspin Technologies, Inc. (Nasdaq: MRAM), the market leader in MRAM, today announced financial results for the third quarter ended September 30, 2019.</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Third Quarter and Recent Highlights</w:t>
      </w:r>
    </w:p>
    <w:p>
      <w:pPr>
        <w:spacing w:after="0" w:line="210" w:lineRule="exact"/>
        <w:rPr>
          <w:sz w:val="20"/>
          <w:szCs w:val="20"/>
          <w:color w:val="auto"/>
        </w:rPr>
      </w:pPr>
    </w:p>
    <w:p>
      <w:pPr>
        <w:ind w:left="540" w:right="3280"/>
        <w:spacing w:after="0" w:line="253" w:lineRule="auto"/>
        <w:rPr>
          <w:sz w:val="20"/>
          <w:szCs w:val="20"/>
          <w:color w:val="auto"/>
        </w:rPr>
      </w:pPr>
      <w:r>
        <w:rPr>
          <w:rFonts w:ascii="Times New Roman" w:cs="Times New Roman" w:eastAsia="Times New Roman" w:hAnsi="Times New Roman"/>
          <w:sz w:val="21"/>
          <w:szCs w:val="21"/>
          <w:color w:val="auto"/>
        </w:rPr>
        <w:t>Total revenue was $9.2 million, up 6% sequentially and above the high-end of guidance Achieved record STT-MRAM revenue, which included both 256Mb and 1Gb 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460"/>
        <w:spacing w:after="0" w:line="230" w:lineRule="auto"/>
        <w:rPr>
          <w:sz w:val="20"/>
          <w:szCs w:val="20"/>
          <w:color w:val="auto"/>
        </w:rPr>
      </w:pPr>
      <w:r>
        <w:rPr>
          <w:rFonts w:ascii="Times New Roman" w:cs="Times New Roman" w:eastAsia="Times New Roman" w:hAnsi="Times New Roman"/>
          <w:sz w:val="22"/>
          <w:szCs w:val="22"/>
          <w:color w:val="auto"/>
        </w:rPr>
        <w:t>Signed IP assignment and cross-licensing agreement with Seagate Technology, demonstrating the strength of its MRAM intellectual property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680"/>
        <w:spacing w:after="0" w:line="258" w:lineRule="auto"/>
        <w:rPr>
          <w:sz w:val="20"/>
          <w:szCs w:val="20"/>
          <w:color w:val="auto"/>
        </w:rPr>
      </w:pPr>
      <w:r>
        <w:rPr>
          <w:rFonts w:ascii="Times New Roman" w:cs="Times New Roman" w:eastAsia="Times New Roman" w:hAnsi="Times New Roman"/>
          <w:sz w:val="21"/>
          <w:szCs w:val="21"/>
          <w:color w:val="auto"/>
        </w:rPr>
        <w:t>Expanded Toggle product portfolio with additional densities targeting new market applications Reduced cash used for operations to $770,000 from $1.8 million in the prior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-279400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-125095</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9"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“Revenue in the quarter was above the high-end of our guidance range, driven by record revenue from our STT-MRAM products combined with a return to growth for our Toggle products,” stated Kevin Conley, Everspin’s President and CEO. “Furthermore, our ongoing focus on closely managing expenses and cash utilization have contributed to continued improvements in our operating results and positions us to benefit from increased leverage as revenue grows.</w:t>
      </w:r>
    </w:p>
    <w:p>
      <w:pPr>
        <w:spacing w:after="0" w:line="18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“Also during the quarter, we made further progress on customer qualifications for our 1Gb STT-MRAM device, while continuing to gain traction on our efforts toward advancing the MRAM ecosystem with enterprise storage controller companies. Looking forward, our priority remains on growing our design win pipeline and targeting new opportunities in secular growth markets with an expanded product portfolio based on both Toggle and STT-MRAM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b w:val="1"/>
          <w:bCs w:val="1"/>
          <w:color w:val="auto"/>
        </w:rPr>
        <w:t>Third Quarter 2019 Results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Total revenue for the third quarter of 2019 was $9.2 million, compared to $11.5 million in the third quarter of 2018 and $8.6 million in the previous quarter.</w:t>
      </w:r>
    </w:p>
    <w:p>
      <w:pPr>
        <w:spacing w:after="0" w:line="158" w:lineRule="exact"/>
        <w:rPr>
          <w:sz w:val="20"/>
          <w:szCs w:val="20"/>
          <w:color w:val="auto"/>
        </w:rPr>
      </w:pPr>
    </w:p>
    <w:p>
      <w:pPr>
        <w:ind w:right="720"/>
        <w:spacing w:after="0" w:line="258" w:lineRule="auto"/>
        <w:rPr>
          <w:sz w:val="20"/>
          <w:szCs w:val="20"/>
          <w:color w:val="auto"/>
        </w:rPr>
      </w:pPr>
      <w:r>
        <w:rPr>
          <w:rFonts w:ascii="Times New Roman" w:cs="Times New Roman" w:eastAsia="Times New Roman" w:hAnsi="Times New Roman"/>
          <w:sz w:val="22"/>
          <w:szCs w:val="22"/>
          <w:color w:val="auto"/>
        </w:rPr>
        <w:t>Gross margin for the third quarter of 2019 was 47.4%, and compares to 47.0% in the third quarter of 2018 and 46.5% in the previous quarter.</w:t>
      </w:r>
    </w:p>
    <w:p>
      <w:pPr>
        <w:spacing w:after="0" w:line="15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Operating expenses for the third quarter of 2019 were $7.9 million, compared to the $10.9 million in the year-ago quarter and $7.6 million in the previous quarter.</w:t>
      </w:r>
    </w:p>
    <w:p>
      <w:pPr>
        <w:spacing w:after="0" w:line="158"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Net loss for the third quarter of 2019 was $3.7 million, or ($0.21) per share, based on 17.3 million weighted-average shares outstanding, compared to a net loss of $5.6 million, or ($0.33) per share, in the third quarter of 2018, and a net loss of $3.7 million, or ($0.21) per share, in the second quarter of 2019.</w:t>
      </w:r>
    </w:p>
    <w:p>
      <w:pPr>
        <w:spacing w:after="0" w:line="174"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Cash and cash equivalents as of September 30, 2019 were $14.8 million, compared to $15.3 million at the end of the second quarter of 2019. During the quarter, the Company issued new shares through its at-the-market equity facility, resulting in net proceeds $2.2 million.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Business Outlook</w:t>
      </w:r>
    </w:p>
    <w:p>
      <w:pPr>
        <w:spacing w:after="0" w:line="210"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For the fourth quarter of 2019, Everspin expects total revenue in the range of $9.3 million and $9.7 million. Net loss per share is expected to be between ($0.18) and ($0.14) based on a weighted-average share count of 17.4 million shares outstanding.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Conference Call</w:t>
      </w:r>
    </w:p>
    <w:p>
      <w:pPr>
        <w:spacing w:after="0" w:line="210"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22"/>
          <w:szCs w:val="22"/>
          <w:color w:val="auto"/>
        </w:rPr>
        <w:t xml:space="preserve">Everspin will host a conference call for analysts and investors today at 5:00 p.m. Eastern Time. Interested participants can access the call by dialing </w:t>
      </w:r>
      <w:r>
        <w:rPr>
          <w:rFonts w:ascii="Times New Roman" w:cs="Times New Roman" w:eastAsia="Times New Roman" w:hAnsi="Times New Roman"/>
          <w:sz w:val="22"/>
          <w:szCs w:val="22"/>
          <w:b w:val="1"/>
          <w:bCs w:val="1"/>
          <w:color w:val="auto"/>
        </w:rPr>
        <w:t>1-844-889-7788</w:t>
      </w:r>
      <w:r>
        <w:rPr>
          <w:rFonts w:ascii="Times New Roman" w:cs="Times New Roman" w:eastAsia="Times New Roman" w:hAnsi="Times New Roman"/>
          <w:sz w:val="22"/>
          <w:szCs w:val="22"/>
          <w:color w:val="auto"/>
        </w:rPr>
        <w:t xml:space="preserve"> and providing passcode </w:t>
      </w:r>
      <w:r>
        <w:rPr>
          <w:rFonts w:ascii="Times New Roman" w:cs="Times New Roman" w:eastAsia="Times New Roman" w:hAnsi="Times New Roman"/>
          <w:sz w:val="22"/>
          <w:szCs w:val="22"/>
          <w:b w:val="1"/>
          <w:bCs w:val="1"/>
          <w:color w:val="auto"/>
        </w:rPr>
        <w:t>3075878</w:t>
      </w:r>
      <w:r>
        <w:rPr>
          <w:rFonts w:ascii="Times New Roman" w:cs="Times New Roman" w:eastAsia="Times New Roman" w:hAnsi="Times New Roman"/>
          <w:sz w:val="22"/>
          <w:szCs w:val="22"/>
          <w:color w:val="auto"/>
        </w:rPr>
        <w:t>. International callers may join the call by dialing +1-661-378-9932, using the same code. The call will also be available as a live and archived webcast in the Investor Relations section of the company’s website at investor.everspin.com.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4" w:name="page5"/>
    <w:bookmarkEnd w:id="4"/>
    <w:p>
      <w:pPr>
        <w:ind w:right="40"/>
        <w:spacing w:after="0" w:line="244" w:lineRule="auto"/>
        <w:rPr>
          <w:sz w:val="20"/>
          <w:szCs w:val="20"/>
          <w:color w:val="auto"/>
        </w:rPr>
      </w:pPr>
      <w:r>
        <w:rPr>
          <w:rFonts w:ascii="Times New Roman" w:cs="Times New Roman" w:eastAsia="Times New Roman" w:hAnsi="Times New Roman"/>
          <w:sz w:val="22"/>
          <w:szCs w:val="22"/>
          <w:color w:val="auto"/>
        </w:rPr>
        <w:t>A telephone replay of the conference call will be available approximately two hours after the call through November 14, 2019. The replay can be accessed by dialing 1-855-859-2056 and using the passcode 3075878. International callers should dial +1-404-537-3406 and enter the same passcode at the prompt.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Everspin Technologies</w:t>
      </w:r>
    </w:p>
    <w:p>
      <w:pPr>
        <w:spacing w:after="0" w:line="210"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Headquartered in Chandler, Arizona, Everspin Technologies, Inc. is the worldwide leader in the design, volume production and distribution of Magnetoresistive RAM (MRAM) into markets and applications where data persistence, performance, and endurance are paramount. Serving applications across the data center, industrial, and transportation markets, Everspin has built the strongest and fastest-growing foundation of MRAM users in the world. For more information, visit www.everspin.com.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Cautionary Statement Regarding Forward-Looking Statements</w:t>
      </w:r>
    </w:p>
    <w:p>
      <w:pPr>
        <w:spacing w:after="0" w:line="210"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22"/>
          <w:szCs w:val="22"/>
          <w:color w:val="auto"/>
        </w:rPr>
        <w:t>This press release contains forward-looking statements regarding future events that involve risks and uncertainties that could cause actual results or events to differ materially from the expectations disclosed in the forward-looking statements, including, but not limited to the statements made under the caption “Business Outlook.” Actual results could differ materially from these forward-looking statements as a result of certain factors, including, without limitation, the risks set forth in Everspin’s Form 10-Q filed with the Securities and Exchange Commission on August 7, 2019, under the caption “Risk Factors.” Subsequent events may cause these expectations to change, and Everspin disclaims any obligations to update or alter these forward-looking statements in the future,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28" w:right="2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020" w:type="dxa"/>
            <w:vAlign w:val="bottom"/>
          </w:tcPr>
          <w:p>
            <w:pPr>
              <w:jc w:val="center"/>
              <w:ind w:left="2270"/>
              <w:spacing w:after="0"/>
              <w:rPr>
                <w:sz w:val="20"/>
                <w:szCs w:val="20"/>
                <w:color w:val="auto"/>
              </w:rPr>
            </w:pPr>
            <w:r>
              <w:rPr>
                <w:rFonts w:ascii="Times New Roman" w:cs="Times New Roman" w:eastAsia="Times New Roman" w:hAnsi="Times New Roman"/>
                <w:sz w:val="18"/>
                <w:szCs w:val="18"/>
                <w:b w:val="1"/>
                <w:bCs w:val="1"/>
                <w:color w:val="auto"/>
              </w:rPr>
              <w:t>EVERSPIN TECHNOLOGIES, INC.</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jc w:val="center"/>
              <w:ind w:left="2250"/>
              <w:spacing w:after="0"/>
              <w:rPr>
                <w:sz w:val="20"/>
                <w:szCs w:val="20"/>
                <w:color w:val="auto"/>
              </w:rPr>
            </w:pPr>
            <w:r>
              <w:rPr>
                <w:rFonts w:ascii="Times New Roman" w:cs="Times New Roman" w:eastAsia="Times New Roman" w:hAnsi="Times New Roman"/>
                <w:sz w:val="18"/>
                <w:szCs w:val="18"/>
                <w:b w:val="1"/>
                <w:bCs w:val="1"/>
                <w:color w:val="auto"/>
                <w:w w:val="99"/>
              </w:rPr>
              <w:t>Condensed Balance Sheets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jc w:val="center"/>
              <w:ind w:left="225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amounts)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9020" w:type="dxa"/>
            <w:vAlign w:val="bottom"/>
          </w:tcPr>
          <w:p>
            <w:pPr>
              <w:jc w:val="center"/>
              <w:ind w:left="227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020" w:type="dxa"/>
            <w:vAlign w:val="bottom"/>
          </w:tcPr>
          <w:p>
            <w:pPr>
              <w:spacing w:after="0"/>
              <w:rPr>
                <w:sz w:val="21"/>
                <w:szCs w:val="21"/>
                <w:color w:val="auto"/>
              </w:rPr>
            </w:pPr>
          </w:p>
        </w:tc>
        <w:tc>
          <w:tcPr>
            <w:tcW w:w="11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1"/>
                <w:szCs w:val="21"/>
                <w:color w:val="auto"/>
              </w:rPr>
            </w:pPr>
          </w:p>
        </w:tc>
        <w:tc>
          <w:tcPr>
            <w:tcW w:w="1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90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9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14,780</w:t>
            </w: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23,379</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9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5,568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7,522</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9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8,318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9,097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28,888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40,686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3,558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4,286</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2,595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90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35,114</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45,045</w:t>
            </w: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9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9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3,178</w:t>
            </w: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2,637</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9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26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3,167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5,001</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9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5,977</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9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1,606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90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13,615</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7,676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6,509</w:t>
            </w:r>
          </w:p>
        </w:tc>
        <w:tc>
          <w:tcPr>
            <w:tcW w:w="0" w:type="dxa"/>
            <w:vAlign w:val="bottom"/>
          </w:tcPr>
          <w:p>
            <w:pPr>
              <w:spacing w:after="0"/>
              <w:rPr>
                <w:sz w:val="1"/>
                <w:szCs w:val="1"/>
                <w:color w:val="auto"/>
              </w:rPr>
            </w:pPr>
          </w:p>
        </w:tc>
      </w:tr>
      <w:tr>
        <w:trPr>
          <w:trHeight w:val="243"/>
        </w:trPr>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1,307</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17,054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20,124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 $0.0001 par value per share; 5,000,000 shares authorized; no shares issued and outstanding as of</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9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September 30, 2019 and December 31, 2018</w:t>
            </w:r>
          </w:p>
        </w:tc>
        <w:tc>
          <w:tcPr>
            <w:tcW w:w="26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Common stock, $0.0001 par value per share; 100,000,000 shares authorized; 17,535,746 and 17,095,456 shares issued</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9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and outstanding as of September 30, 2019 and December 31, 2018</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9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163,640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158,912</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90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(133,993)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18,060</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24,921</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90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35,114</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45,045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90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 w:right="2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20" w:type="dxa"/>
            <w:vAlign w:val="bottom"/>
            <w:gridSpan w:val="4"/>
          </w:tcPr>
          <w:p>
            <w:pPr>
              <w:jc w:val="center"/>
              <w:ind w:left="3210"/>
              <w:spacing w:after="0"/>
              <w:rPr>
                <w:sz w:val="20"/>
                <w:szCs w:val="20"/>
                <w:color w:val="auto"/>
              </w:rPr>
            </w:pPr>
            <w:r>
              <w:rPr>
                <w:rFonts w:ascii="Times New Roman" w:cs="Times New Roman" w:eastAsia="Times New Roman" w:hAnsi="Times New Roman"/>
                <w:sz w:val="18"/>
                <w:szCs w:val="18"/>
                <w:b w:val="1"/>
                <w:bCs w:val="1"/>
                <w:color w:val="auto"/>
              </w:rPr>
              <w:t>EVERSPIN TECHNOLOGIES, INC.</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8120" w:type="dxa"/>
            <w:vAlign w:val="bottom"/>
            <w:gridSpan w:val="4"/>
          </w:tcPr>
          <w:p>
            <w:pPr>
              <w:jc w:val="center"/>
              <w:ind w:left="3210"/>
              <w:spacing w:after="0"/>
              <w:rPr>
                <w:sz w:val="20"/>
                <w:szCs w:val="20"/>
                <w:color w:val="auto"/>
              </w:rPr>
            </w:pPr>
            <w:r>
              <w:rPr>
                <w:rFonts w:ascii="Times New Roman" w:cs="Times New Roman" w:eastAsia="Times New Roman" w:hAnsi="Times New Roman"/>
                <w:sz w:val="18"/>
                <w:szCs w:val="18"/>
                <w:b w:val="1"/>
                <w:bCs w:val="1"/>
                <w:color w:val="auto"/>
                <w:w w:val="99"/>
              </w:rPr>
              <w:t>Condensed Statements of Operations and Comprehensive Loss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8120" w:type="dxa"/>
            <w:vAlign w:val="bottom"/>
            <w:gridSpan w:val="4"/>
          </w:tcPr>
          <w:p>
            <w:pPr>
              <w:jc w:val="center"/>
              <w:ind w:left="319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amounts)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8"/>
        </w:trPr>
        <w:tc>
          <w:tcPr>
            <w:tcW w:w="6740" w:type="dxa"/>
            <w:vAlign w:val="bottom"/>
          </w:tcPr>
          <w:p>
            <w:pPr>
              <w:jc w:val="center"/>
              <w:ind w:left="459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3"/>
        </w:trPr>
        <w:tc>
          <w:tcPr>
            <w:tcW w:w="6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12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50"/>
        </w:trPr>
        <w:tc>
          <w:tcPr>
            <w:tcW w:w="67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41"/>
        </w:trPr>
        <w:tc>
          <w:tcPr>
            <w:tcW w:w="67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39"/>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8,370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10,469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25,396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29,283</w:t>
            </w: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Licensing, royalty, and other revenue</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1,049</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2,454</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7,853</w:t>
            </w:r>
          </w:p>
        </w:tc>
      </w:tr>
      <w:tr>
        <w:trPr>
          <w:trHeight w:val="237"/>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9,178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11,518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27,850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37,136</w:t>
            </w: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4,824</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6,109</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14,692</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17,235</w:t>
            </w:r>
          </w:p>
        </w:tc>
      </w:tr>
      <w:tr>
        <w:trPr>
          <w:trHeight w:val="237"/>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4,354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5,409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13,158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19,901</w:t>
            </w:r>
          </w:p>
        </w:tc>
      </w:tr>
      <w:tr>
        <w:trPr>
          <w:trHeight w:val="239"/>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7"/>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3,395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6,453</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10,912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19,706</w:t>
            </w:r>
          </w:p>
        </w:tc>
      </w:tr>
      <w:tr>
        <w:trPr>
          <w:trHeight w:val="239"/>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3,050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2,913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9,501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9,461</w:t>
            </w:r>
          </w:p>
        </w:tc>
      </w:tr>
      <w:tr>
        <w:trPr>
          <w:trHeight w:val="247"/>
        </w:trPr>
        <w:tc>
          <w:tcPr>
            <w:tcW w:w="6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1,582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4,094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4,661</w:t>
            </w:r>
          </w:p>
        </w:tc>
      </w:tr>
      <w:tr>
        <w:trPr>
          <w:trHeight w:val="237"/>
        </w:trPr>
        <w:tc>
          <w:tcPr>
            <w:tcW w:w="6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7,936</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10,948</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24,507</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33,828</w:t>
            </w:r>
          </w:p>
        </w:tc>
      </w:tr>
      <w:tr>
        <w:trPr>
          <w:trHeight w:val="237"/>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(13,927)</w:t>
            </w:r>
          </w:p>
        </w:tc>
      </w:tr>
      <w:tr>
        <w:trPr>
          <w:trHeight w:val="239"/>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r>
      <w:tr>
        <w:trPr>
          <w:trHeight w:val="247"/>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315</w:t>
            </w:r>
          </w:p>
        </w:tc>
      </w:tr>
      <w:tr>
        <w:trPr>
          <w:trHeight w:val="237"/>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(3,663)</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(5,629)</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(11,589)</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(14,274)</w:t>
            </w:r>
          </w:p>
        </w:tc>
      </w:tr>
      <w:tr>
        <w:trPr>
          <w:trHeight w:val="20"/>
        </w:trPr>
        <w:tc>
          <w:tcPr>
            <w:tcW w:w="6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64"/>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(0.88)</w:t>
            </w:r>
          </w:p>
        </w:tc>
      </w:tr>
      <w:tr>
        <w:trPr>
          <w:trHeight w:val="224"/>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used to compute net loss per common share, basic and diluted</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17,312,226</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6"/>
              </w:rPr>
              <w:t>16,944,660</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8"/>
              </w:rPr>
              <w:t>17,183,306</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8"/>
              </w:rPr>
              <w:t>16,130,882</w:t>
            </w: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63"/>
        </w:trPr>
        <w:tc>
          <w:tcPr>
            <w:tcW w:w="67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bl>
    <w:p>
      <w:pPr>
        <w:sectPr>
          <w:pgSz w:w="11900" w:h="16838" w:orient="portrait"/>
          <w:cols w:equalWidth="0" w:num="1">
            <w:col w:w="11420"/>
          </w:cols>
          <w:pgMar w:left="240" w:top="131" w:right="2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80" w:type="dxa"/>
            <w:vAlign w:val="bottom"/>
          </w:tcPr>
          <w:p>
            <w:pPr>
              <w:jc w:val="center"/>
              <w:ind w:left="2610"/>
              <w:spacing w:after="0"/>
              <w:rPr>
                <w:sz w:val="20"/>
                <w:szCs w:val="20"/>
                <w:color w:val="auto"/>
              </w:rPr>
            </w:pPr>
            <w:r>
              <w:rPr>
                <w:rFonts w:ascii="Times New Roman" w:cs="Times New Roman" w:eastAsia="Times New Roman" w:hAnsi="Times New Roman"/>
                <w:sz w:val="18"/>
                <w:szCs w:val="18"/>
                <w:b w:val="1"/>
                <w:bCs w:val="1"/>
                <w:color w:val="auto"/>
              </w:rPr>
              <w:t>EVERSPIN TECHNOLOGIES, INC.</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jc w:val="center"/>
              <w:ind w:left="2590"/>
              <w:spacing w:after="0"/>
              <w:rPr>
                <w:sz w:val="20"/>
                <w:szCs w:val="20"/>
                <w:color w:val="auto"/>
              </w:rPr>
            </w:pPr>
            <w:r>
              <w:rPr>
                <w:rFonts w:ascii="Times New Roman" w:cs="Times New Roman" w:eastAsia="Times New Roman" w:hAnsi="Times New Roman"/>
                <w:sz w:val="18"/>
                <w:szCs w:val="18"/>
                <w:b w:val="1"/>
                <w:bCs w:val="1"/>
                <w:color w:val="auto"/>
                <w:w w:val="99"/>
              </w:rPr>
              <w:t>Condensed Statement of Cash Flows</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jc w:val="center"/>
              <w:ind w:left="25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8680" w:type="dxa"/>
            <w:vAlign w:val="bottom"/>
          </w:tcPr>
          <w:p>
            <w:pPr>
              <w:jc w:val="center"/>
              <w:ind w:left="261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8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86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Pr>
          <w:p>
            <w:pPr>
              <w:spacing w:after="0"/>
              <w:rPr>
                <w:sz w:val="21"/>
                <w:szCs w:val="21"/>
                <w:color w:val="auto"/>
              </w:rPr>
            </w:pPr>
          </w:p>
        </w:tc>
      </w:tr>
      <w:tr>
        <w:trPr>
          <w:trHeight w:val="241"/>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20" w:type="dxa"/>
            <w:vAlign w:val="bottom"/>
          </w:tcPr>
          <w:p>
            <w:pPr>
              <w:spacing w:after="0"/>
              <w:rPr>
                <w:sz w:val="20"/>
                <w:szCs w:val="20"/>
                <w:color w:val="auto"/>
              </w:rPr>
            </w:pPr>
          </w:p>
        </w:tc>
      </w:tr>
      <w:tr>
        <w:trPr>
          <w:trHeight w:val="239"/>
        </w:trPr>
        <w:tc>
          <w:tcPr>
            <w:tcW w:w="20" w:type="dxa"/>
            <w:vAlign w:val="bottom"/>
          </w:tcPr>
          <w:p>
            <w:pPr>
              <w:spacing w:after="0"/>
              <w:rPr>
                <w:sz w:val="20"/>
                <w:szCs w:val="20"/>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r>
      <w:tr>
        <w:trPr>
          <w:trHeight w:val="234"/>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(11,589)</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(14,274)</w:t>
            </w:r>
          </w:p>
        </w:tc>
        <w:tc>
          <w:tcPr>
            <w:tcW w:w="220" w:type="dxa"/>
            <w:vAlign w:val="bottom"/>
          </w:tcPr>
          <w:p>
            <w:pPr>
              <w:spacing w:after="0"/>
              <w:rPr>
                <w:sz w:val="20"/>
                <w:szCs w:val="20"/>
                <w:color w:val="auto"/>
              </w:rPr>
            </w:pPr>
          </w:p>
        </w:tc>
      </w:tr>
      <w:tr>
        <w:trPr>
          <w:trHeight w:val="252"/>
        </w:trPr>
        <w:tc>
          <w:tcPr>
            <w:tcW w:w="20" w:type="dxa"/>
            <w:vAlign w:val="bottom"/>
          </w:tcPr>
          <w:p>
            <w:pPr>
              <w:spacing w:after="0"/>
              <w:rPr>
                <w:sz w:val="21"/>
                <w:szCs w:val="21"/>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r>
      <w:tr>
        <w:trPr>
          <w:trHeight w:val="239"/>
        </w:trPr>
        <w:tc>
          <w:tcPr>
            <w:tcW w:w="20" w:type="dxa"/>
            <w:vAlign w:val="bottom"/>
          </w:tcPr>
          <w:p>
            <w:pPr>
              <w:spacing w:after="0"/>
              <w:rPr>
                <w:sz w:val="20"/>
                <w:szCs w:val="20"/>
                <w:color w:val="auto"/>
              </w:rPr>
            </w:pPr>
          </w:p>
        </w:tc>
        <w:tc>
          <w:tcPr>
            <w:tcW w:w="8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20"/>
                <w:szCs w:val="20"/>
                <w:color w:val="auto"/>
              </w:rPr>
            </w:pP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1,297</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1,069</w:t>
            </w:r>
          </w:p>
        </w:tc>
        <w:tc>
          <w:tcPr>
            <w:tcW w:w="220" w:type="dxa"/>
            <w:vAlign w:val="bottom"/>
          </w:tcPr>
          <w:p>
            <w:pPr>
              <w:spacing w:after="0"/>
              <w:rPr>
                <w:sz w:val="20"/>
                <w:szCs w:val="20"/>
                <w:color w:val="auto"/>
              </w:rPr>
            </w:pPr>
          </w:p>
        </w:tc>
      </w:tr>
      <w:tr>
        <w:trPr>
          <w:trHeight w:val="247"/>
        </w:trPr>
        <w:tc>
          <w:tcPr>
            <w:tcW w:w="20" w:type="dxa"/>
            <w:vAlign w:val="bottom"/>
          </w:tcPr>
          <w:p>
            <w:pPr>
              <w:spacing w:after="0"/>
              <w:rPr>
                <w:sz w:val="21"/>
                <w:szCs w:val="21"/>
                <w:color w:val="auto"/>
              </w:rPr>
            </w:pPr>
          </w:p>
        </w:tc>
        <w:tc>
          <w:tcPr>
            <w:tcW w:w="8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shd w:val="clear" w:color="auto" w:fill="CCEEFF"/>
          </w:tcPr>
          <w:p>
            <w:pPr>
              <w:spacing w:after="0"/>
              <w:rPr>
                <w:sz w:val="21"/>
                <w:szCs w:val="21"/>
                <w:color w:val="auto"/>
              </w:rPr>
            </w:pPr>
          </w:p>
        </w:tc>
      </w:tr>
      <w:tr>
        <w:trPr>
          <w:trHeight w:val="239"/>
        </w:trPr>
        <w:tc>
          <w:tcPr>
            <w:tcW w:w="20" w:type="dxa"/>
            <w:vAlign w:val="bottom"/>
          </w:tcPr>
          <w:p>
            <w:pPr>
              <w:spacing w:after="0"/>
              <w:rPr>
                <w:sz w:val="20"/>
                <w:szCs w:val="20"/>
                <w:color w:val="auto"/>
              </w:rPr>
            </w:pPr>
          </w:p>
        </w:tc>
        <w:tc>
          <w:tcPr>
            <w:tcW w:w="8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tcPr>
          <w:p>
            <w:pPr>
              <w:spacing w:after="0"/>
              <w:rPr>
                <w:sz w:val="20"/>
                <w:szCs w:val="20"/>
                <w:color w:val="auto"/>
              </w:rPr>
            </w:pP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2,397</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2,064</w:t>
            </w:r>
          </w:p>
        </w:tc>
        <w:tc>
          <w:tcPr>
            <w:tcW w:w="220" w:type="dxa"/>
            <w:vAlign w:val="bottom"/>
          </w:tcPr>
          <w:p>
            <w:pPr>
              <w:spacing w:after="0"/>
              <w:rPr>
                <w:sz w:val="20"/>
                <w:szCs w:val="20"/>
                <w:color w:val="auto"/>
              </w:rPr>
            </w:pPr>
          </w:p>
        </w:tc>
      </w:tr>
      <w:tr>
        <w:trPr>
          <w:trHeight w:val="247"/>
        </w:trPr>
        <w:tc>
          <w:tcPr>
            <w:tcW w:w="20" w:type="dxa"/>
            <w:vAlign w:val="bottom"/>
          </w:tcPr>
          <w:p>
            <w:pPr>
              <w:spacing w:after="0"/>
              <w:rPr>
                <w:sz w:val="21"/>
                <w:szCs w:val="21"/>
                <w:color w:val="auto"/>
              </w:rPr>
            </w:pPr>
          </w:p>
        </w:tc>
        <w:tc>
          <w:tcPr>
            <w:tcW w:w="8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Non-cash interest expense</w:t>
            </w: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219</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286</w:t>
            </w:r>
          </w:p>
        </w:tc>
        <w:tc>
          <w:tcPr>
            <w:tcW w:w="220" w:type="dxa"/>
            <w:vAlign w:val="bottom"/>
            <w:shd w:val="clear" w:color="auto" w:fill="CCEEFF"/>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8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Compensation expense related to vesting of common stock to GLOBALFOUNDRIES</w:t>
            </w:r>
          </w:p>
        </w:tc>
        <w:tc>
          <w:tcPr>
            <w:tcW w:w="300" w:type="dxa"/>
            <w:vAlign w:val="bottom"/>
          </w:tcPr>
          <w:p>
            <w:pPr>
              <w:spacing w:after="0"/>
              <w:rPr>
                <w:sz w:val="20"/>
                <w:szCs w:val="20"/>
                <w:color w:val="auto"/>
              </w:rPr>
            </w:pP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709</w:t>
            </w:r>
          </w:p>
        </w:tc>
        <w:tc>
          <w:tcPr>
            <w:tcW w:w="220" w:type="dxa"/>
            <w:vAlign w:val="bottom"/>
          </w:tcPr>
          <w:p>
            <w:pPr>
              <w:spacing w:after="0"/>
              <w:rPr>
                <w:sz w:val="20"/>
                <w:szCs w:val="20"/>
                <w:color w:val="auto"/>
              </w:rPr>
            </w:pPr>
          </w:p>
        </w:tc>
      </w:tr>
      <w:tr>
        <w:trPr>
          <w:trHeight w:val="252"/>
        </w:trPr>
        <w:tc>
          <w:tcPr>
            <w:tcW w:w="20" w:type="dxa"/>
            <w:vAlign w:val="bottom"/>
          </w:tcPr>
          <w:p>
            <w:pPr>
              <w:spacing w:after="0"/>
              <w:rPr>
                <w:sz w:val="21"/>
                <w:szCs w:val="21"/>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r>
      <w:tr>
        <w:trPr>
          <w:trHeight w:val="239"/>
        </w:trPr>
        <w:tc>
          <w:tcPr>
            <w:tcW w:w="20" w:type="dxa"/>
            <w:vAlign w:val="bottom"/>
          </w:tcPr>
          <w:p>
            <w:pPr>
              <w:spacing w:after="0"/>
              <w:rPr>
                <w:sz w:val="20"/>
                <w:szCs w:val="20"/>
                <w:color w:val="auto"/>
              </w:rPr>
            </w:pPr>
          </w:p>
        </w:tc>
        <w:tc>
          <w:tcPr>
            <w:tcW w:w="8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spacing w:after="0"/>
              <w:rPr>
                <w:sz w:val="20"/>
                <w:szCs w:val="20"/>
                <w:color w:val="auto"/>
              </w:rPr>
            </w:pP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1,954</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(1,876)</w:t>
            </w:r>
          </w:p>
        </w:tc>
        <w:tc>
          <w:tcPr>
            <w:tcW w:w="220" w:type="dxa"/>
            <w:vAlign w:val="bottom"/>
          </w:tcPr>
          <w:p>
            <w:pPr>
              <w:spacing w:after="0"/>
              <w:rPr>
                <w:sz w:val="20"/>
                <w:szCs w:val="20"/>
                <w:color w:val="auto"/>
              </w:rPr>
            </w:pPr>
          </w:p>
        </w:tc>
      </w:tr>
      <w:tr>
        <w:trPr>
          <w:trHeight w:val="247"/>
        </w:trPr>
        <w:tc>
          <w:tcPr>
            <w:tcW w:w="20" w:type="dxa"/>
            <w:vAlign w:val="bottom"/>
          </w:tcPr>
          <w:p>
            <w:pPr>
              <w:spacing w:after="0"/>
              <w:rPr>
                <w:sz w:val="21"/>
                <w:szCs w:val="21"/>
                <w:color w:val="auto"/>
              </w:rPr>
            </w:pPr>
          </w:p>
        </w:tc>
        <w:tc>
          <w:tcPr>
            <w:tcW w:w="8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Inventory</w:t>
            </w: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779</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309</w:t>
            </w:r>
          </w:p>
        </w:tc>
        <w:tc>
          <w:tcPr>
            <w:tcW w:w="220" w:type="dxa"/>
            <w:vAlign w:val="bottom"/>
            <w:shd w:val="clear" w:color="auto" w:fill="CCEEFF"/>
          </w:tcPr>
          <w:p>
            <w:pPr>
              <w:spacing w:after="0"/>
              <w:rPr>
                <w:sz w:val="21"/>
                <w:szCs w:val="21"/>
                <w:color w:val="auto"/>
              </w:rPr>
            </w:pPr>
          </w:p>
        </w:tc>
      </w:tr>
      <w:tr>
        <w:trPr>
          <w:trHeight w:val="239"/>
        </w:trPr>
        <w:tc>
          <w:tcPr>
            <w:tcW w:w="20" w:type="dxa"/>
            <w:vAlign w:val="bottom"/>
          </w:tcPr>
          <w:p>
            <w:pPr>
              <w:spacing w:after="0"/>
              <w:rPr>
                <w:sz w:val="20"/>
                <w:szCs w:val="20"/>
                <w:color w:val="auto"/>
              </w:rPr>
            </w:pPr>
          </w:p>
        </w:tc>
        <w:tc>
          <w:tcPr>
            <w:tcW w:w="8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Pr>
          <w:p>
            <w:pPr>
              <w:spacing w:after="0"/>
              <w:rPr>
                <w:sz w:val="20"/>
                <w:szCs w:val="20"/>
                <w:color w:val="auto"/>
              </w:rPr>
            </w:pP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466</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154</w:t>
            </w:r>
          </w:p>
        </w:tc>
        <w:tc>
          <w:tcPr>
            <w:tcW w:w="220" w:type="dxa"/>
            <w:vAlign w:val="bottom"/>
          </w:tcPr>
          <w:p>
            <w:pPr>
              <w:spacing w:after="0"/>
              <w:rPr>
                <w:sz w:val="20"/>
                <w:szCs w:val="20"/>
                <w:color w:val="auto"/>
              </w:rPr>
            </w:pPr>
          </w:p>
        </w:tc>
      </w:tr>
      <w:tr>
        <w:trPr>
          <w:trHeight w:val="247"/>
        </w:trPr>
        <w:tc>
          <w:tcPr>
            <w:tcW w:w="20" w:type="dxa"/>
            <w:vAlign w:val="bottom"/>
          </w:tcPr>
          <w:p>
            <w:pPr>
              <w:spacing w:after="0"/>
              <w:rPr>
                <w:sz w:val="21"/>
                <w:szCs w:val="21"/>
                <w:color w:val="auto"/>
              </w:rPr>
            </w:pPr>
          </w:p>
        </w:tc>
        <w:tc>
          <w:tcPr>
            <w:tcW w:w="8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518</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(140)</w:t>
            </w:r>
          </w:p>
        </w:tc>
        <w:tc>
          <w:tcPr>
            <w:tcW w:w="220" w:type="dxa"/>
            <w:vAlign w:val="bottom"/>
            <w:shd w:val="clear" w:color="auto" w:fill="CCEEFF"/>
          </w:tcPr>
          <w:p>
            <w:pPr>
              <w:spacing w:after="0"/>
              <w:rPr>
                <w:sz w:val="21"/>
                <w:szCs w:val="21"/>
                <w:color w:val="auto"/>
              </w:rPr>
            </w:pPr>
          </w:p>
        </w:tc>
      </w:tr>
      <w:tr>
        <w:trPr>
          <w:trHeight w:val="239"/>
        </w:trPr>
        <w:tc>
          <w:tcPr>
            <w:tcW w:w="20" w:type="dxa"/>
            <w:vAlign w:val="bottom"/>
          </w:tcPr>
          <w:p>
            <w:pPr>
              <w:spacing w:after="0"/>
              <w:rPr>
                <w:sz w:val="20"/>
                <w:szCs w:val="20"/>
                <w:color w:val="auto"/>
              </w:rPr>
            </w:pPr>
          </w:p>
        </w:tc>
        <w:tc>
          <w:tcPr>
            <w:tcW w:w="8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300" w:type="dxa"/>
            <w:vAlign w:val="bottom"/>
          </w:tcPr>
          <w:p>
            <w:pPr>
              <w:spacing w:after="0"/>
              <w:rPr>
                <w:sz w:val="20"/>
                <w:szCs w:val="20"/>
                <w:color w:val="auto"/>
              </w:rPr>
            </w:pP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(1,444)</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4,840</w:t>
            </w:r>
          </w:p>
        </w:tc>
        <w:tc>
          <w:tcPr>
            <w:tcW w:w="220" w:type="dxa"/>
            <w:vAlign w:val="bottom"/>
          </w:tcPr>
          <w:p>
            <w:pPr>
              <w:spacing w:after="0"/>
              <w:rPr>
                <w:sz w:val="20"/>
                <w:szCs w:val="20"/>
                <w:color w:val="auto"/>
              </w:rPr>
            </w:pPr>
          </w:p>
        </w:tc>
      </w:tr>
      <w:tr>
        <w:trPr>
          <w:trHeight w:val="247"/>
        </w:trPr>
        <w:tc>
          <w:tcPr>
            <w:tcW w:w="20" w:type="dxa"/>
            <w:vAlign w:val="bottom"/>
          </w:tcPr>
          <w:p>
            <w:pPr>
              <w:spacing w:after="0"/>
              <w:rPr>
                <w:sz w:val="21"/>
                <w:szCs w:val="21"/>
                <w:color w:val="auto"/>
              </w:rPr>
            </w:pPr>
          </w:p>
        </w:tc>
        <w:tc>
          <w:tcPr>
            <w:tcW w:w="8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Shipping term reversal</w:t>
            </w: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86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(5,455)</w:t>
            </w: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(6,879)</w:t>
            </w:r>
          </w:p>
        </w:tc>
        <w:tc>
          <w:tcPr>
            <w:tcW w:w="220" w:type="dxa"/>
            <w:vAlign w:val="bottom"/>
            <w:tcBorders>
              <w:bottom w:val="single" w:sz="8" w:color="CCEEFF"/>
            </w:tcBorders>
            <w:shd w:val="clear" w:color="auto" w:fill="CCEEFF"/>
          </w:tcPr>
          <w:p>
            <w:pPr>
              <w:spacing w:after="0"/>
              <w:rPr>
                <w:sz w:val="20"/>
                <w:szCs w:val="20"/>
                <w:color w:val="auto"/>
              </w:rPr>
            </w:pPr>
          </w:p>
        </w:tc>
      </w:tr>
      <w:tr>
        <w:trPr>
          <w:trHeight w:val="234"/>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45"/>
        </w:trPr>
        <w:tc>
          <w:tcPr>
            <w:tcW w:w="20" w:type="dxa"/>
            <w:vAlign w:val="bottom"/>
          </w:tcPr>
          <w:p>
            <w:pPr>
              <w:spacing w:after="0"/>
              <w:rPr>
                <w:sz w:val="21"/>
                <w:szCs w:val="21"/>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(566)</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(1,513)</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8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(566)</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(1,513)</w:t>
            </w:r>
          </w:p>
        </w:tc>
        <w:tc>
          <w:tcPr>
            <w:tcW w:w="22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r>
      <w:tr>
        <w:trPr>
          <w:trHeight w:val="234"/>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issuance of common stock, net of offering costs</w:t>
            </w:r>
          </w:p>
        </w:tc>
        <w:tc>
          <w:tcPr>
            <w:tcW w:w="300" w:type="dxa"/>
            <w:vAlign w:val="bottom"/>
          </w:tcPr>
          <w:p>
            <w:pPr>
              <w:spacing w:after="0"/>
              <w:rPr>
                <w:sz w:val="20"/>
                <w:szCs w:val="20"/>
                <w:color w:val="auto"/>
              </w:rPr>
            </w:pP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24,524</w:t>
            </w:r>
          </w:p>
        </w:tc>
        <w:tc>
          <w:tcPr>
            <w:tcW w:w="220" w:type="dxa"/>
            <w:vAlign w:val="bottom"/>
          </w:tcPr>
          <w:p>
            <w:pPr>
              <w:spacing w:after="0"/>
              <w:rPr>
                <w:sz w:val="20"/>
                <w:szCs w:val="20"/>
                <w:color w:val="auto"/>
              </w:rPr>
            </w:pPr>
          </w:p>
        </w:tc>
      </w:tr>
      <w:tr>
        <w:trPr>
          <w:trHeight w:val="252"/>
        </w:trPr>
        <w:tc>
          <w:tcPr>
            <w:tcW w:w="20" w:type="dxa"/>
            <w:vAlign w:val="bottom"/>
          </w:tcPr>
          <w:p>
            <w:pPr>
              <w:spacing w:after="0"/>
              <w:rPr>
                <w:sz w:val="21"/>
                <w:szCs w:val="21"/>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debt</w:t>
            </w: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shd w:val="clear" w:color="auto" w:fill="CCEEFF"/>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Payments on debt</w:t>
            </w:r>
          </w:p>
        </w:tc>
        <w:tc>
          <w:tcPr>
            <w:tcW w:w="300" w:type="dxa"/>
            <w:vAlign w:val="bottom"/>
          </w:tcPr>
          <w:p>
            <w:pPr>
              <w:spacing w:after="0"/>
              <w:rPr>
                <w:sz w:val="20"/>
                <w:szCs w:val="20"/>
                <w:color w:val="auto"/>
              </w:rPr>
            </w:pP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(4,840)</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spacing w:after="0"/>
              <w:rPr>
                <w:sz w:val="20"/>
                <w:szCs w:val="20"/>
                <w:color w:val="auto"/>
              </w:rPr>
            </w:pPr>
          </w:p>
        </w:tc>
      </w:tr>
      <w:tr>
        <w:trPr>
          <w:trHeight w:val="252"/>
        </w:trPr>
        <w:tc>
          <w:tcPr>
            <w:tcW w:w="20" w:type="dxa"/>
            <w:vAlign w:val="bottom"/>
          </w:tcPr>
          <w:p>
            <w:pPr>
              <w:spacing w:after="0"/>
              <w:rPr>
                <w:sz w:val="21"/>
                <w:szCs w:val="21"/>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Payments on finance lease obligation</w:t>
            </w:r>
          </w:p>
        </w:tc>
        <w:tc>
          <w:tcPr>
            <w:tcW w:w="300" w:type="dxa"/>
            <w:vAlign w:val="bottom"/>
          </w:tcPr>
          <w:p>
            <w:pPr>
              <w:spacing w:after="0"/>
              <w:rPr>
                <w:sz w:val="20"/>
                <w:szCs w:val="20"/>
                <w:color w:val="auto"/>
              </w:rPr>
            </w:pP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20"/>
                <w:szCs w:val="20"/>
                <w:color w:val="auto"/>
              </w:rPr>
            </w:pPr>
          </w:p>
        </w:tc>
      </w:tr>
      <w:tr>
        <w:trPr>
          <w:trHeight w:val="252"/>
        </w:trPr>
        <w:tc>
          <w:tcPr>
            <w:tcW w:w="20" w:type="dxa"/>
            <w:vAlign w:val="bottom"/>
          </w:tcPr>
          <w:p>
            <w:pPr>
              <w:spacing w:after="0"/>
              <w:rPr>
                <w:sz w:val="21"/>
                <w:szCs w:val="21"/>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 of stock options and purchase of shares in employee stock purchase plan</w:t>
            </w: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178</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2,364</w:t>
            </w:r>
          </w:p>
        </w:tc>
        <w:tc>
          <w:tcPr>
            <w:tcW w:w="220" w:type="dxa"/>
            <w:vAlign w:val="bottom"/>
            <w:shd w:val="clear" w:color="auto" w:fill="CCEEFF"/>
          </w:tcPr>
          <w:p>
            <w:pPr>
              <w:spacing w:after="0"/>
              <w:rPr>
                <w:sz w:val="21"/>
                <w:szCs w:val="21"/>
                <w:color w:val="auto"/>
              </w:rPr>
            </w:pPr>
          </w:p>
        </w:tc>
      </w:tr>
      <w:tr>
        <w:trPr>
          <w:trHeight w:val="243"/>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issuance of common stock in at-the-market offering, net of issuance costs</w:t>
            </w: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2,172</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86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(2,578)</w:t>
            </w: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26,880</w:t>
            </w:r>
          </w:p>
        </w:tc>
        <w:tc>
          <w:tcPr>
            <w:tcW w:w="220" w:type="dxa"/>
            <w:vAlign w:val="bottom"/>
            <w:tcBorders>
              <w:bottom w:val="single" w:sz="8" w:color="CCEEFF"/>
            </w:tcBorders>
            <w:shd w:val="clear" w:color="auto" w:fill="CCEEFF"/>
          </w:tcPr>
          <w:p>
            <w:pPr>
              <w:spacing w:after="0"/>
              <w:rPr>
                <w:sz w:val="20"/>
                <w:szCs w:val="20"/>
                <w:color w:val="auto"/>
              </w:rPr>
            </w:pPr>
          </w:p>
        </w:tc>
      </w:tr>
      <w:tr>
        <w:trPr>
          <w:trHeight w:val="232"/>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00" w:type="dxa"/>
            <w:vAlign w:val="bottom"/>
          </w:tcPr>
          <w:p>
            <w:pPr>
              <w:spacing w:after="0"/>
              <w:rPr>
                <w:sz w:val="20"/>
                <w:szCs w:val="20"/>
                <w:color w:val="auto"/>
              </w:rPr>
            </w:pP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(8,599)</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18,488</w:t>
            </w:r>
          </w:p>
        </w:tc>
        <w:tc>
          <w:tcPr>
            <w:tcW w:w="220" w:type="dxa"/>
            <w:vAlign w:val="bottom"/>
          </w:tcPr>
          <w:p>
            <w:pPr>
              <w:spacing w:after="0"/>
              <w:rPr>
                <w:sz w:val="20"/>
                <w:szCs w:val="20"/>
                <w:color w:val="auto"/>
              </w:rPr>
            </w:pPr>
          </w:p>
        </w:tc>
      </w:tr>
      <w:tr>
        <w:trPr>
          <w:trHeight w:val="247"/>
        </w:trPr>
        <w:tc>
          <w:tcPr>
            <w:tcW w:w="20" w:type="dxa"/>
            <w:vAlign w:val="bottom"/>
          </w:tcPr>
          <w:p>
            <w:pPr>
              <w:spacing w:after="0"/>
              <w:rPr>
                <w:sz w:val="21"/>
                <w:szCs w:val="21"/>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23,379</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12,950</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37"/>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14,780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31,438</w:t>
            </w:r>
          </w:p>
        </w:tc>
        <w:tc>
          <w:tcPr>
            <w:tcW w:w="220" w:type="dxa"/>
            <w:vAlign w:val="bottom"/>
          </w:tcPr>
          <w:p>
            <w:pPr>
              <w:spacing w:after="0"/>
              <w:rPr>
                <w:sz w:val="20"/>
                <w:szCs w:val="20"/>
                <w:color w:val="auto"/>
              </w:rPr>
            </w:pPr>
          </w:p>
        </w:tc>
      </w:tr>
      <w:tr>
        <w:trPr>
          <w:trHeight w:val="20"/>
        </w:trPr>
        <w:tc>
          <w:tcPr>
            <w:tcW w:w="8700" w:type="dxa"/>
            <w:vAlign w:val="bottom"/>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Supplementary cash flow information:</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43"/>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373</w:t>
            </w:r>
          </w:p>
        </w:tc>
        <w:tc>
          <w:tcPr>
            <w:tcW w:w="220" w:type="dxa"/>
            <w:vAlign w:val="bottom"/>
          </w:tcPr>
          <w:p>
            <w:pPr>
              <w:spacing w:after="0"/>
              <w:rPr>
                <w:sz w:val="21"/>
                <w:szCs w:val="21"/>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370</w:t>
            </w:r>
          </w:p>
        </w:tc>
        <w:tc>
          <w:tcPr>
            <w:tcW w:w="220" w:type="dxa"/>
            <w:vAlign w:val="bottom"/>
          </w:tcPr>
          <w:p>
            <w:pPr>
              <w:spacing w:after="0"/>
              <w:rPr>
                <w:sz w:val="21"/>
                <w:szCs w:val="21"/>
                <w:color w:val="auto"/>
              </w:rPr>
            </w:pPr>
          </w:p>
        </w:tc>
      </w:tr>
      <w:tr>
        <w:trPr>
          <w:trHeight w:val="20"/>
        </w:trPr>
        <w:tc>
          <w:tcPr>
            <w:tcW w:w="87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flows paid for operating leases</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1,264</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r>
      <w:tr>
        <w:trPr>
          <w:trHeight w:val="224"/>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cash flows paid for finance leases</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r>
      <w:tr>
        <w:trPr>
          <w:trHeight w:val="20"/>
        </w:trPr>
        <w:tc>
          <w:tcPr>
            <w:tcW w:w="87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leases</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r>
      <w:tr>
        <w:trPr>
          <w:trHeight w:val="221"/>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85"/>
        </w:trPr>
        <w:tc>
          <w:tcPr>
            <w:tcW w:w="20" w:type="dxa"/>
            <w:vAlign w:val="bottom"/>
          </w:tcPr>
          <w:p>
            <w:pPr>
              <w:spacing w:after="0"/>
              <w:rPr>
                <w:sz w:val="24"/>
                <w:szCs w:val="24"/>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 in accounts payable</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183</w:t>
            </w:r>
          </w:p>
        </w:tc>
        <w:tc>
          <w:tcPr>
            <w:tcW w:w="220" w:type="dxa"/>
            <w:vAlign w:val="bottom"/>
            <w:tcBorders>
              <w:bottom w:val="single" w:sz="8" w:color="CCEEFF"/>
            </w:tcBorders>
            <w:shd w:val="clear" w:color="auto" w:fill="CCEEFF"/>
          </w:tcPr>
          <w:p>
            <w:pPr>
              <w:spacing w:after="0"/>
              <w:rPr>
                <w:sz w:val="24"/>
                <w:szCs w:val="24"/>
                <w:color w:val="auto"/>
              </w:rPr>
            </w:pPr>
          </w:p>
        </w:tc>
      </w:tr>
      <w:tr>
        <w:trPr>
          <w:trHeight w:val="224"/>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Modification of warrant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r>
      <w:tr>
        <w:trPr>
          <w:trHeight w:val="20"/>
        </w:trPr>
        <w:tc>
          <w:tcPr>
            <w:tcW w:w="87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warrant with debt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Contacts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Everspin Investor Relations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Leanne K. Sievers, President</w:t>
      </w:r>
    </w:p>
    <w:p>
      <w:pPr>
        <w:spacing w:after="0" w:line="230" w:lineRule="auto"/>
        <w:rPr>
          <w:sz w:val="20"/>
          <w:szCs w:val="20"/>
          <w:color w:val="auto"/>
        </w:rPr>
      </w:pPr>
      <w:r>
        <w:rPr>
          <w:rFonts w:ascii="Times New Roman" w:cs="Times New Roman" w:eastAsia="Times New Roman" w:hAnsi="Times New Roman"/>
          <w:sz w:val="22"/>
          <w:szCs w:val="22"/>
          <w:color w:val="auto"/>
        </w:rPr>
        <w:t>Shelton Group Investor Relations</w:t>
      </w:r>
    </w:p>
    <w:p>
      <w:pPr>
        <w:spacing w:after="0" w:line="231" w:lineRule="auto"/>
        <w:rPr>
          <w:sz w:val="20"/>
          <w:szCs w:val="20"/>
          <w:color w:val="auto"/>
        </w:rPr>
      </w:pPr>
      <w:r>
        <w:rPr>
          <w:rFonts w:ascii="Times New Roman" w:cs="Times New Roman" w:eastAsia="Times New Roman" w:hAnsi="Times New Roman"/>
          <w:sz w:val="22"/>
          <w:szCs w:val="22"/>
          <w:color w:val="auto"/>
        </w:rPr>
        <w:t>T: 949-224-3874</w:t>
      </w:r>
    </w:p>
    <w:p>
      <w:pPr>
        <w:spacing w:after="0"/>
        <w:rPr>
          <w:sz w:val="20"/>
          <w:szCs w:val="20"/>
          <w:color w:val="auto"/>
        </w:rPr>
      </w:pPr>
      <w:r>
        <w:rPr>
          <w:rFonts w:ascii="Times New Roman" w:cs="Times New Roman" w:eastAsia="Times New Roman" w:hAnsi="Times New Roman"/>
          <w:sz w:val="22"/>
          <w:szCs w:val="22"/>
          <w:color w:val="auto"/>
        </w:rPr>
        <w:t>E: sheltonir@sheltongroup.com</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2019-12-28T02:07:15Z</dcterms:created>
  <dcterms:modified xsi:type="dcterms:W3CDTF">2019-12-28T02:07:15Z</dcterms:modified>
</cp:coreProperties>
</file>