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CURRENT REPORT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Pursuant to Section 13 or 15(d)</w:t>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of the Securities Exchange Act of 1934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 of Report (Date of earliest event reported): September 30,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Everspin Technologies,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19" w:type="dxa"/>
        <w:jc w:val="left"/>
        <w:tblInd w:w="0" w:type="dxa"/>
        <w:tblLayout w:type="fixed"/>
        <w:tblCellMar>
          <w:top w:w="28" w:type="dxa"/>
          <w:left w:w="28" w:type="dxa"/>
          <w:bottom w:w="28" w:type="dxa"/>
          <w:right w:w="28" w:type="dxa"/>
        </w:tblCellMar>
      </w:tblPr>
      <w:tblGrid>
        <w:gridCol w:w="750"/>
        <w:gridCol w:w="658"/>
        <w:gridCol w:w="662"/>
        <w:gridCol w:w="354"/>
        <w:gridCol w:w="354"/>
        <w:gridCol w:w="356"/>
        <w:gridCol w:w="434"/>
        <w:gridCol w:w="434"/>
        <w:gridCol w:w="61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001-37900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26-2640654</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5670 W. Chandler Blvd.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Suite 130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Chandler, Arizona85226</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(480) 347-1111</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Not Applicable </w:t>
      </w:r>
    </w:p>
    <w:p>
      <w:pPr>
        <w:pStyle w:val="TextBody"/>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6702" w:type="dxa"/>
        <w:jc w:val="left"/>
        <w:tblInd w:w="0" w:type="dxa"/>
        <w:tblLayout w:type="fixed"/>
        <w:tblCellMar>
          <w:top w:w="28" w:type="dxa"/>
          <w:left w:w="28" w:type="dxa"/>
          <w:bottom w:w="28" w:type="dxa"/>
          <w:right w:w="28" w:type="dxa"/>
        </w:tblCellMar>
      </w:tblPr>
      <w:tblGrid>
        <w:gridCol w:w="124"/>
        <w:gridCol w:w="109"/>
        <w:gridCol w:w="109"/>
        <w:gridCol w:w="1862"/>
        <w:gridCol w:w="1862"/>
        <w:gridCol w:w="2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bl>
    <w:tbl>
      <w:tblPr>
        <w:tblW w:w="6746" w:type="dxa"/>
        <w:jc w:val="left"/>
        <w:tblInd w:w="0" w:type="dxa"/>
        <w:tblLayout w:type="fixed"/>
        <w:tblCellMar>
          <w:top w:w="28" w:type="dxa"/>
          <w:left w:w="28" w:type="dxa"/>
          <w:bottom w:w="28" w:type="dxa"/>
          <w:right w:w="28" w:type="dxa"/>
        </w:tblCellMar>
      </w:tblPr>
      <w:tblGrid>
        <w:gridCol w:w="124"/>
        <w:gridCol w:w="109"/>
        <w:gridCol w:w="109"/>
        <w:gridCol w:w="1873"/>
        <w:gridCol w:w="1873"/>
        <w:gridCol w:w="2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bl>
    <w:tbl>
      <w:tblPr>
        <w:tblW w:w="8322" w:type="dxa"/>
        <w:jc w:val="left"/>
        <w:tblInd w:w="0" w:type="dxa"/>
        <w:tblLayout w:type="fixed"/>
        <w:tblCellMar>
          <w:top w:w="28" w:type="dxa"/>
          <w:left w:w="28" w:type="dxa"/>
          <w:bottom w:w="28" w:type="dxa"/>
          <w:right w:w="28" w:type="dxa"/>
        </w:tblCellMar>
      </w:tblPr>
      <w:tblGrid>
        <w:gridCol w:w="124"/>
        <w:gridCol w:w="109"/>
        <w:gridCol w:w="109"/>
        <w:gridCol w:w="2335"/>
        <w:gridCol w:w="2335"/>
        <w:gridCol w:w="3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bl>
    <w:tbl>
      <w:tblPr>
        <w:tblW w:w="8261" w:type="dxa"/>
        <w:jc w:val="left"/>
        <w:tblInd w:w="0" w:type="dxa"/>
        <w:tblLayout w:type="fixed"/>
        <w:tblCellMar>
          <w:top w:w="28" w:type="dxa"/>
          <w:left w:w="28" w:type="dxa"/>
          <w:bottom w:w="28" w:type="dxa"/>
          <w:right w:w="28" w:type="dxa"/>
        </w:tblCellMar>
      </w:tblPr>
      <w:tblGrid>
        <w:gridCol w:w="124"/>
        <w:gridCol w:w="109"/>
        <w:gridCol w:w="109"/>
        <w:gridCol w:w="2317"/>
        <w:gridCol w:w="2317"/>
        <w:gridCol w:w="32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296" w:type="dxa"/>
        <w:jc w:val="left"/>
        <w:tblInd w:w="0" w:type="dxa"/>
        <w:tblLayout w:type="fixed"/>
        <w:tblCellMar>
          <w:top w:w="28" w:type="dxa"/>
          <w:left w:w="28" w:type="dxa"/>
          <w:bottom w:w="28" w:type="dxa"/>
          <w:right w:w="28" w:type="dxa"/>
        </w:tblCellMar>
      </w:tblPr>
      <w:tblGrid>
        <w:gridCol w:w="954"/>
        <w:gridCol w:w="837"/>
        <w:gridCol w:w="848"/>
        <w:gridCol w:w="109"/>
        <w:gridCol w:w="109"/>
        <w:gridCol w:w="109"/>
        <w:gridCol w:w="484"/>
        <w:gridCol w:w="484"/>
        <w:gridCol w:w="486"/>
        <w:gridCol w:w="109"/>
        <w:gridCol w:w="109"/>
        <w:gridCol w:w="109"/>
        <w:gridCol w:w="746"/>
        <w:gridCol w:w="746"/>
        <w:gridCol w:w="1057"/>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w:t>
              <w:br/>
              <w:t>registered</w:t>
            </w:r>
          </w:p>
        </w:tc>
      </w:tr>
      <w:tr>
        <w:trPr/>
        <w:tc>
          <w:tcPr>
            <w:tcW w:w="26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lineRule="auto" w:line="288" w:before="0" w:after="120"/>
        <w:jc w:val="both"/>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220"/>
        <w:jc w:val="both"/>
        <w:rPr>
          <w:rFonts w:ascii="Times New Roman;serif" w:hAnsi="Times New Roman;serif"/>
          <w:b/>
          <w:color w:val="000000"/>
          <w:sz w:val="18"/>
        </w:rPr>
      </w:pPr>
      <w:r>
        <w:rPr>
          <w:rFonts w:ascii="Times New Roman;serif" w:hAnsi="Times New Roman;serif"/>
          <w:b/>
          <w:color w:val="000000"/>
          <w:sz w:val="18"/>
        </w:rPr>
        <w:t>Item 2.02. Results of Operations and Financial Condition.</w:t>
      </w:r>
    </w:p>
    <w:p>
      <w:pPr>
        <w:pStyle w:val="TextBody"/>
        <w:bidi w:val="0"/>
        <w:spacing w:lineRule="auto" w:line="288" w:before="0" w:after="2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November 5, 2025, Everspin Technologies, Inc. issued a press release announcing its financial results for the quarter and quarter ended September 30, 2025,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0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tbl>
      <w:tblPr>
        <w:tblW w:w="5786"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1303"/>
        <w:gridCol w:w="1303"/>
        <w:gridCol w:w="1849"/>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mram-20250930xexx991.htm">
              <w:r>
                <w:rPr>
                  <w:rStyle w:val="InternetLink"/>
                  <w:rFonts w:ascii="Times New Roman;serif" w:hAnsi="Times New Roman;serif"/>
                  <w:b w:val="false"/>
                  <w:color w:val="0000FF"/>
                  <w:sz w:val="18"/>
                  <w:u w:val="single"/>
                </w:rPr>
                <w:t>Press release dated November 5, 2025.</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0" w:after="20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4803" w:type="dxa"/>
        <w:jc w:val="left"/>
        <w:tblInd w:w="0" w:type="dxa"/>
        <w:tblLayout w:type="fixed"/>
        <w:tblCellMar>
          <w:top w:w="28" w:type="dxa"/>
          <w:left w:w="28" w:type="dxa"/>
          <w:bottom w:w="28" w:type="dxa"/>
          <w:right w:w="28" w:type="dxa"/>
        </w:tblCellMar>
      </w:tblPr>
      <w:tblGrid>
        <w:gridCol w:w="711"/>
        <w:gridCol w:w="624"/>
        <w:gridCol w:w="630"/>
        <w:gridCol w:w="351"/>
        <w:gridCol w:w="351"/>
        <w:gridCol w:w="351"/>
        <w:gridCol w:w="518"/>
        <w:gridCol w:w="518"/>
        <w:gridCol w:w="74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Everspin Technologies,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Dated: November 5, 2025</w:t>
            </w:r>
          </w:p>
        </w:tc>
        <w:tc>
          <w:tcPr>
            <w:tcW w:w="28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William Cooper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Cooper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p>
    <w:p>
      <w:pPr>
        <w:pStyle w:val="TextBody"/>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Everspin Reports Unaudited Third Quarter 2025 Financial Results</w:t>
      </w:r>
    </w:p>
    <w:p>
      <w:pPr>
        <w:pStyle w:val="TextBody"/>
        <w:bidi w:val="0"/>
        <w:spacing w:lineRule="auto" w:line="288" w:before="0" w:after="180"/>
        <w:jc w:val="both"/>
        <w:rPr/>
      </w:pPr>
      <w:r>
        <w:rPr>
          <w:rFonts w:ascii="Times New Roman;serif" w:hAnsi="Times New Roman;serif"/>
          <w:b/>
          <w:color w:val="000000"/>
          <w:sz w:val="20"/>
          <w:shd w:fill="FFFFFF" w:val="clear"/>
        </w:rPr>
        <w:t>Chandler, AZ, November 5, 2025</w:t>
      </w:r>
      <w:r>
        <w:rPr>
          <w:color w:val="000000"/>
          <w:shd w:fill="FFFFFF" w:val="clear"/>
        </w:rPr>
        <w:t>—</w:t>
      </w:r>
      <w:r>
        <w:rPr>
          <w:rFonts w:ascii="Times New Roman;serif" w:hAnsi="Times New Roman;serif"/>
          <w:b w:val="false"/>
          <w:color w:val="000000"/>
          <w:sz w:val="20"/>
          <w:shd w:fill="FFFFFF" w:val="clear"/>
        </w:rPr>
        <w:t>Everspin Technologies, Inc. (NASDAQ: MRAM), the world’s leading developer and manufacturer of magnetoresistive random access memory (MRAM) persistent memory solutions, today announced preliminary unaudited financial results for the third quarter ended September 30, 2025.</w:t>
      </w:r>
    </w:p>
    <w:p>
      <w:pPr>
        <w:pStyle w:val="TextBody"/>
        <w:bidi w:val="0"/>
        <w:spacing w:lineRule="auto" w:line="288" w:before="0" w:after="180"/>
        <w:jc w:val="both"/>
        <w:rPr>
          <w:color w:val="000000"/>
          <w:shd w:fill="FFFFFF" w:val="clear"/>
        </w:rPr>
      </w:pPr>
      <w:r>
        <w:rPr>
          <w:color w:val="000000"/>
          <w:shd w:fill="FFFFFF" w:val="clear"/>
        </w:rPr>
        <w:t>“</w:t>
      </w:r>
      <w:r>
        <w:rPr>
          <w:rFonts w:ascii="Times New Roman;serif" w:hAnsi="Times New Roman;serif"/>
          <w:b w:val="false"/>
          <w:color w:val="000000"/>
          <w:sz w:val="20"/>
          <w:shd w:fill="FFFFFF" w:val="clear"/>
        </w:rPr>
        <w:t>Our third quarter results were driven by continued strength in Low Earth Orbital Satellite, Casino Gaming and Energy Managementent applications,” said Sanjeev Aggarwal, President and Chief Executive Officer. “We are further strengthening our position in these and other markets through internal development and expanding our partnerships. ”</w:t>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Third Quarter 2025 Results</w:t>
      </w:r>
    </w:p>
    <w:p>
      <w:pPr>
        <w:pStyle w:val="TextBody"/>
        <w:bidi w:val="0"/>
        <w:spacing w:lineRule="auto" w:line="288" w:before="0" w:after="180"/>
        <w:ind w:left="0" w:right="0" w:hanging="270"/>
        <w:jc w:val="both"/>
        <w:rPr/>
      </w:pPr>
      <w:r>
        <w:rPr>
          <w:color w:val="000000"/>
          <w:shd w:fill="FFFFFF" w:val="clear"/>
        </w:rPr>
        <w:t>•</w:t>
      </w:r>
      <w:r>
        <w:rPr>
          <w:rFonts w:ascii="Times New Roman;serif" w:hAnsi="Times New Roman;serif"/>
          <w:b w:val="false"/>
          <w:color w:val="000000"/>
          <w:sz w:val="20"/>
          <w:shd w:fill="FFFFFF" w:val="clear"/>
        </w:rPr>
        <w:t xml:space="preserve">Total revenue of $14.1 million, compared to $12.1 million in the third quarter of 2024. </w:t>
      </w:r>
    </w:p>
    <w:p>
      <w:pPr>
        <w:pStyle w:val="TextBody"/>
        <w:bidi w:val="0"/>
        <w:spacing w:lineRule="auto" w:line="288" w:before="0" w:after="180"/>
        <w:ind w:left="0" w:right="0" w:hanging="270"/>
        <w:jc w:val="both"/>
        <w:rPr/>
      </w:pPr>
      <w:r>
        <w:rPr>
          <w:color w:val="000000"/>
          <w:shd w:fill="FFFFFF" w:val="clear"/>
        </w:rPr>
        <w:t>•</w:t>
      </w:r>
      <w:r>
        <w:rPr>
          <w:rFonts w:ascii="Times New Roman;serif" w:hAnsi="Times New Roman;serif"/>
          <w:b w:val="false"/>
          <w:color w:val="000000"/>
          <w:sz w:val="20"/>
          <w:shd w:fill="FFFFFF" w:val="clear"/>
        </w:rPr>
        <w:t xml:space="preserve">MRAM product sales, which include both Toggle and STT-MRAM revenue, of $12.7 million, compared to $10.4 million in the third quarter of 2024. </w:t>
      </w:r>
    </w:p>
    <w:p>
      <w:pPr>
        <w:pStyle w:val="TextBody"/>
        <w:bidi w:val="0"/>
        <w:spacing w:lineRule="auto" w:line="288" w:before="0" w:after="180"/>
        <w:ind w:left="0" w:right="0" w:hanging="270"/>
        <w:jc w:val="both"/>
        <w:rPr/>
      </w:pPr>
      <w:r>
        <w:rPr>
          <w:color w:val="000000"/>
          <w:shd w:fill="FFFFFF" w:val="clear"/>
        </w:rPr>
        <w:t>•</w:t>
      </w:r>
      <w:r>
        <w:rPr>
          <w:rFonts w:ascii="Times New Roman;serif" w:hAnsi="Times New Roman;serif"/>
          <w:b w:val="false"/>
          <w:color w:val="000000"/>
          <w:sz w:val="20"/>
          <w:shd w:fill="FFFFFF" w:val="clear"/>
        </w:rPr>
        <w:t xml:space="preserve">Licensing, royalty, patent, and other revenue of $1.4 million, compared to $1.7 million in the third quarter of 2024. </w:t>
      </w:r>
    </w:p>
    <w:p>
      <w:pPr>
        <w:pStyle w:val="TextBody"/>
        <w:bidi w:val="0"/>
        <w:spacing w:lineRule="auto" w:line="288" w:before="0" w:after="180"/>
        <w:ind w:left="0" w:right="0" w:hanging="270"/>
        <w:jc w:val="both"/>
        <w:rPr/>
      </w:pPr>
      <w:r>
        <w:rPr>
          <w:color w:val="000000"/>
          <w:shd w:fill="FFFFFF" w:val="clear"/>
        </w:rPr>
        <w:t>•</w:t>
      </w:r>
      <w:r>
        <w:rPr>
          <w:rFonts w:ascii="Times New Roman;serif" w:hAnsi="Times New Roman;serif"/>
          <w:b w:val="false"/>
          <w:color w:val="000000"/>
          <w:sz w:val="20"/>
          <w:shd w:fill="FFFFFF" w:val="clear"/>
        </w:rPr>
        <w:t xml:space="preserve">Gross margin of 51.3%, compared to 49.2% in the third quarter of 2024. </w:t>
      </w:r>
    </w:p>
    <w:p>
      <w:pPr>
        <w:pStyle w:val="TextBody"/>
        <w:bidi w:val="0"/>
        <w:spacing w:lineRule="auto" w:line="288" w:before="0" w:after="180"/>
        <w:ind w:left="0" w:right="0" w:hanging="270"/>
        <w:jc w:val="both"/>
        <w:rPr/>
      </w:pPr>
      <w:r>
        <w:rPr>
          <w:color w:val="000000"/>
          <w:shd w:fill="FFFFFF" w:val="clear"/>
        </w:rPr>
        <w:t>•</w:t>
      </w:r>
      <w:r>
        <w:rPr>
          <w:rFonts w:ascii="Times New Roman;serif" w:hAnsi="Times New Roman;serif"/>
          <w:b w:val="false"/>
          <w:color w:val="000000"/>
          <w:sz w:val="20"/>
          <w:shd w:fill="FFFFFF" w:val="clear"/>
        </w:rPr>
        <w:t>GAAP operating expenses of $8.8 million, compared to $8.1 million in the third quarter of 2024.</w:t>
      </w:r>
    </w:p>
    <w:p>
      <w:pPr>
        <w:pStyle w:val="TextBody"/>
        <w:bidi w:val="0"/>
        <w:spacing w:lineRule="auto" w:line="288" w:before="0" w:after="180"/>
        <w:ind w:left="0" w:right="0" w:hanging="270"/>
        <w:jc w:val="both"/>
        <w:rPr/>
      </w:pPr>
      <w:r>
        <w:rPr>
          <w:color w:val="000000"/>
          <w:shd w:fill="FFFFFF" w:val="clear"/>
        </w:rPr>
        <w:t>•</w:t>
      </w:r>
      <w:r>
        <w:rPr>
          <w:rFonts w:ascii="Times New Roman;serif" w:hAnsi="Times New Roman;serif"/>
          <w:b w:val="false"/>
          <w:color w:val="000000"/>
          <w:sz w:val="20"/>
          <w:shd w:fill="FFFFFF" w:val="clear"/>
        </w:rPr>
        <w:t xml:space="preserve">Interest and Other income, net of $1.6 million, compared to $4.4 million in the third quarter of 2024. </w:t>
      </w:r>
    </w:p>
    <w:p>
      <w:pPr>
        <w:pStyle w:val="TextBody"/>
        <w:bidi w:val="0"/>
        <w:spacing w:lineRule="auto" w:line="288" w:before="0" w:after="180"/>
        <w:ind w:left="0" w:right="0" w:hanging="270"/>
        <w:jc w:val="both"/>
        <w:rPr/>
      </w:pPr>
      <w:r>
        <w:rPr>
          <w:color w:val="000000"/>
          <w:shd w:fill="FFFFFF" w:val="clear"/>
        </w:rPr>
        <w:t>•</w:t>
      </w:r>
      <w:r>
        <w:rPr>
          <w:rFonts w:ascii="Times New Roman;serif" w:hAnsi="Times New Roman;serif"/>
          <w:b w:val="false"/>
          <w:color w:val="000000"/>
          <w:sz w:val="20"/>
          <w:shd w:fill="FFFFFF" w:val="clear"/>
        </w:rPr>
        <w:t xml:space="preserve">GAAP net income of $54,000, or $0.00 per diluted share, compared to net income of $2.3 million, or $0.10 per diluted share, in the third quarter of 2024. </w:t>
      </w:r>
    </w:p>
    <w:p>
      <w:pPr>
        <w:pStyle w:val="TextBody"/>
        <w:bidi w:val="0"/>
        <w:spacing w:lineRule="auto" w:line="288" w:before="0" w:after="180"/>
        <w:ind w:left="0" w:right="0" w:hanging="270"/>
        <w:jc w:val="both"/>
        <w:rPr/>
      </w:pPr>
      <w:r>
        <w:rPr>
          <w:color w:val="000000"/>
          <w:shd w:fill="FFFFFF" w:val="clear"/>
        </w:rPr>
        <w:t>•</w:t>
      </w:r>
      <w:r>
        <w:rPr>
          <w:rFonts w:ascii="Times New Roman;serif" w:hAnsi="Times New Roman;serif"/>
          <w:b w:val="false"/>
          <w:color w:val="000000"/>
          <w:sz w:val="20"/>
          <w:shd w:fill="FFFFFF" w:val="clear"/>
        </w:rPr>
        <w:t xml:space="preserve">Non-GAAP net income of $1.5 million, or $0.06 per diluted share, compared to non-GAAP net income of $3.8 million, or $0.17 per diluted share, in the third quarter of 2024. </w:t>
      </w:r>
    </w:p>
    <w:p>
      <w:pPr>
        <w:pStyle w:val="TextBody"/>
        <w:bidi w:val="0"/>
        <w:spacing w:lineRule="auto" w:line="288" w:before="0" w:after="180"/>
        <w:ind w:left="0" w:right="0" w:hanging="270"/>
        <w:jc w:val="both"/>
        <w:rPr/>
      </w:pPr>
      <w:r>
        <w:rPr>
          <w:color w:val="000000"/>
          <w:shd w:fill="FFFFFF" w:val="clear"/>
        </w:rPr>
        <w:t>•</w:t>
      </w:r>
      <w:r>
        <w:rPr>
          <w:rFonts w:ascii="Times New Roman;serif" w:hAnsi="Times New Roman;serif"/>
          <w:b w:val="false"/>
          <w:color w:val="000000"/>
          <w:sz w:val="20"/>
          <w:shd w:fill="FFFFFF" w:val="clear"/>
        </w:rPr>
        <w:t xml:space="preserve">Cash and cash equivalents as of September 30, 2025, increased by $3.2 million to $45.3 million since December 31, 2024. </w:t>
      </w:r>
    </w:p>
    <w:p>
      <w:pPr>
        <w:pStyle w:val="TextBody"/>
        <w:bidi w:val="0"/>
        <w:spacing w:lineRule="auto" w:line="288" w:before="0" w:after="180"/>
        <w:jc w:val="both"/>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We are pleased with our third quarter results, which were in line with our expectations, driven by increasing product revenue. Our balance sheet remains strong and gives us the flexibility to invest in opportunities that will drive future growth, while delivering consistent execution combined with prudent expense management,” said Bill Cooper, Everspin’s Chief Financial Officer.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Business Outlook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fourth quarter 2025, Everspin expects total revenue in a range of $14.0 million to $15.0 million and GAAP net income per diluted share to be between $0.02 and $0.07. Non-GAAP net income per diluted share is anticipated to be between $0.08 and $0.13.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non-GAAP guidance measures to corresponding GAAP guidance measures is not available on a forward-looking basis without unreasonable effort due to the uncertainty regarding, and the potential variability of, expenses that may be incurred in the future. Stock-based compensation-related charges are impacted by the timing of employee stock transactions, the future fair market value of Everspin’s common stock, and Everspin’s future hiring and retention needs, all of which are difficult to predict and subject to constant change. These factors could be material to Everspin’s results computed in accordance with GAAP. This outlook is dependent on Everspin's current expectations, which may be impacted by, among other things, evolving external conditions, such as public health-related events or outbreaks, local safety guidelines, worsening impacts due to supply chain constraints or interruptions, including recent market volatility, semiconductor downturn and the other risk factors described in Everspin's filings with the Securities and Exchange Commission (the "SEC"), including its Annual Report on Form 10-K for the fiscal year ended December 31, 2024, its Quarterly Reports on Form 10-Q filed with the SEC during 2025, as well as in its subsequent filings with the SEC.</w:t>
      </w: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Everspin supplements the reporting of its financial information determined under generally accepted accounting principles in the United States of America (GAAP) with Non-GAAP financial measures including gross profit, gross margin, operating expenses, operating income (loss), operating margin, net income (loss), and EPS which are defined as the GAAP financial measures excluding the effect of stock-based compensation charges. Everspin’s GAAP tax rate is effectively zero due to NOL carryforwards, thus a Non-GAAP tax rate is not included as a Non-GAAP financial measure.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Everspin’s management and board of directors use these non-GAAP measures to understand and evaluate its operating performance and trends, to prepare and approve its annual budget and to develop short-term and long-term operating and financing plans. Accordingly, Everspin believes that these non-GAAP measures provide useful information for investors in understanding and evaluating its operating results in the same manner as its management and board of directors. These non-GAAP financial measures should be considered in addition to, not as superior to, or as a substitute for, financial measures reported in accordance with GAAP. Moreover, other companies may define these non-GAAP measures differently, which limits the usefulness of this measure for comparisons with such other companies. Everspin encourages investors to review its financial statements and publicly filed reports in their entirety and not to rely on any single financial measure. Please see the tables included at the end of this release for the reconciliation of GAAP to non-GAAP results.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Everspin will host a conference call to discuss its </w:t>
      </w:r>
      <w:r>
        <w:rPr>
          <w:rFonts w:ascii="Times New Roman;serif" w:hAnsi="Times New Roman;serif"/>
          <w:b w:val="false"/>
          <w:color w:val="000000"/>
          <w:sz w:val="20"/>
        </w:rPr>
        <w:t>third</w:t>
      </w:r>
      <w:r>
        <w:rPr>
          <w:color w:val="000000"/>
          <w:shd w:fill="FFFFFF" w:val="clear"/>
        </w:rPr>
        <w:t xml:space="preserve"> </w:t>
      </w:r>
      <w:r>
        <w:rPr>
          <w:rFonts w:ascii="Times New Roman;serif" w:hAnsi="Times New Roman;serif"/>
          <w:b w:val="false"/>
          <w:color w:val="000000"/>
          <w:sz w:val="20"/>
          <w:shd w:fill="FFFFFF" w:val="clear"/>
        </w:rPr>
        <w:t xml:space="preserve">quarter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results on Wednesday, </w:t>
      </w:r>
      <w:r>
        <w:rPr>
          <w:rFonts w:ascii="Times New Roman;serif" w:hAnsi="Times New Roman;serif"/>
          <w:b w:val="false"/>
          <w:color w:val="000000"/>
          <w:sz w:val="20"/>
        </w:rPr>
        <w:t>November 5, 2025</w:t>
      </w:r>
      <w:r>
        <w:rPr>
          <w:rFonts w:ascii="Times New Roman;serif" w:hAnsi="Times New Roman;serif"/>
          <w:b w:val="false"/>
          <w:color w:val="000000"/>
          <w:sz w:val="20"/>
          <w:shd w:fill="FFFFFF" w:val="clear"/>
        </w:rPr>
        <w:t>, at 5:00 p.m. Eastern Time.</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Dial-in details: To access the call by phone, please go to this link and you will be provided with dial-in details. To avoid delays, we encourage participants to dial into the conference call fifteen minutes ahead of the scheduled start time.</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live webcast of the call will be accessible on Everspin’s website at investor.everspin.com. Approximately two hours after the conclusion of the live event, an archived webcast of the conference call will be accessible from the Investor Relations section of Everspin’s website for twelve months.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About Everspin Technologies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Everspin Technologies, Inc. is the world’s leading provider of magnetoresistive RAM (MRAM). Everspin MRAM delivers the industry’s most robust, highest-performance non-volatile memory for industrial IoT, data centers and other mission-critical applications where data persistence is paramount. Headquartered in Chandler, Arizona, Everspin provides commercially available MRAM solutions to a large and diverse customer base. For more information, visit www.everspin.com. NASDAQ: MRAM.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or similar expressions. These include, but are not limited to, Everspin’s future financial performance, including the outlook for fourth quarter 2025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2024 filed with the SEC on February 27, 2025, and its Quarterly Reports on Form 10-Q filed with the SEC during 2025,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Monica Gould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Blueshirt Group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 212-871-3927</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ir@everspin.com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95"/>
        <w:gridCol w:w="2416"/>
        <w:gridCol w:w="2373"/>
        <w:gridCol w:w="219"/>
        <w:gridCol w:w="750"/>
        <w:gridCol w:w="113"/>
        <w:gridCol w:w="109"/>
        <w:gridCol w:w="109"/>
        <w:gridCol w:w="109"/>
        <w:gridCol w:w="215"/>
        <w:gridCol w:w="736"/>
        <w:gridCol w:w="161"/>
      </w:tblGrid>
      <w:tr>
        <w:trPr/>
        <w:tc>
          <w:tcPr>
            <w:tcW w:w="2895"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6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66,638 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64,201 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80,272 </w:t>
            </w:r>
          </w:p>
        </w:tc>
        <w:tc>
          <w:tcPr>
            <w:tcW w:w="11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77,789 </w:t>
            </w:r>
          </w:p>
        </w:tc>
        <w:tc>
          <w:tcPr>
            <w:tcW w:w="16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 portion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obligations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liabilities, current portion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6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11,406 </w:t>
            </w:r>
          </w:p>
        </w:tc>
        <w:tc>
          <w:tcPr>
            <w:tcW w:w="11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6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liabilities, net of current portion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income tax liability</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1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15,196 </w:t>
            </w:r>
          </w:p>
        </w:tc>
        <w:tc>
          <w:tcPr>
            <w:tcW w:w="16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108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per share; 5,000,000 shares authorized; no shares issued and outstanding as of September 30, 2025 and December 31, 2024</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100,000,000 shares authorized; 22,756,779 and 22,059,697 shares issued and outstanding as of September 30, 2025 and December 31, 2024, respectively</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(138,651)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6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65,821 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62,593 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80,272 </w:t>
            </w:r>
          </w:p>
        </w:tc>
        <w:tc>
          <w:tcPr>
            <w:tcW w:w="11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77,789 </w:t>
            </w:r>
          </w:p>
        </w:tc>
        <w:tc>
          <w:tcPr>
            <w:tcW w:w="1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51"/>
        <w:gridCol w:w="1438"/>
        <w:gridCol w:w="1442"/>
        <w:gridCol w:w="234"/>
        <w:gridCol w:w="800"/>
        <w:gridCol w:w="120"/>
        <w:gridCol w:w="120"/>
        <w:gridCol w:w="120"/>
        <w:gridCol w:w="120"/>
        <w:gridCol w:w="234"/>
        <w:gridCol w:w="800"/>
        <w:gridCol w:w="120"/>
        <w:gridCol w:w="109"/>
        <w:gridCol w:w="109"/>
        <w:gridCol w:w="109"/>
        <w:gridCol w:w="229"/>
        <w:gridCol w:w="786"/>
        <w:gridCol w:w="118"/>
        <w:gridCol w:w="118"/>
        <w:gridCol w:w="118"/>
        <w:gridCol w:w="118"/>
        <w:gridCol w:w="229"/>
        <w:gridCol w:w="786"/>
        <w:gridCol w:w="177"/>
      </w:tblGrid>
      <w:tr>
        <w:trPr/>
        <w:tc>
          <w:tcPr>
            <w:tcW w:w="165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September 30, </w:t>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12,690 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10,443 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34,807 </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31,190 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royalty, patent, and other revenue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40,399 </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37,159 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licensing, royalty, patent, and other revenue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103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19,672 </w:t>
            </w:r>
          </w:p>
        </w:tc>
        <w:tc>
          <w:tcPr>
            <w:tcW w:w="11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17,831 </w:t>
            </w:r>
          </w:p>
        </w:tc>
        <w:tc>
          <w:tcPr>
            <w:tcW w:w="17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20,727 </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19,328 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8,751 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26,165 </w:t>
            </w:r>
          </w:p>
        </w:tc>
        <w:tc>
          <w:tcPr>
            <w:tcW w:w="11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24,862 </w:t>
            </w:r>
          </w:p>
        </w:tc>
        <w:tc>
          <w:tcPr>
            <w:tcW w:w="17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(5,534)</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income taxes</w:t>
            </w:r>
          </w:p>
        </w:tc>
        <w:tc>
          <w:tcPr>
            <w:tcW w:w="103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w:t>
            </w:r>
          </w:p>
        </w:tc>
        <w:tc>
          <w:tcPr>
            <w:tcW w:w="11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7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and comprehensive income (loss)</w:t>
            </w:r>
          </w:p>
        </w:tc>
        <w:tc>
          <w:tcPr>
            <w:tcW w:w="23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1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7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w:t>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22,669,872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21,767,380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22,456,079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21,529,738</w:t>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5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23,147,119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21,985,175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22,456,079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21,529,738</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53"/>
        <w:gridCol w:w="2403"/>
        <w:gridCol w:w="2419"/>
        <w:gridCol w:w="226"/>
        <w:gridCol w:w="772"/>
        <w:gridCol w:w="116"/>
        <w:gridCol w:w="116"/>
        <w:gridCol w:w="116"/>
        <w:gridCol w:w="116"/>
        <w:gridCol w:w="226"/>
        <w:gridCol w:w="772"/>
        <w:gridCol w:w="170"/>
      </w:tblGrid>
      <w:tr>
        <w:trPr/>
        <w:tc>
          <w:tcPr>
            <w:tcW w:w="275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obligations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income tax liability</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7,336 </w:t>
            </w:r>
          </w:p>
        </w:tc>
        <w:tc>
          <w:tcPr>
            <w:tcW w:w="1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7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intangible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(4,733)</w:t>
            </w:r>
          </w:p>
        </w:tc>
        <w:tc>
          <w:tcPr>
            <w:tcW w:w="1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c>
          <w:tcPr>
            <w:tcW w:w="17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and purchase of shares in employee stock purchase plan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7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99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7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45,257 </w:t>
            </w:r>
          </w:p>
        </w:tc>
        <w:tc>
          <w:tcPr>
            <w:tcW w:w="1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39,588 </w:t>
            </w:r>
          </w:p>
        </w:tc>
        <w:tc>
          <w:tcPr>
            <w:tcW w:w="17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Supplementary cash flow information:</w:t>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paid for operating leases</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paid for finance leases</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finance lease liabilities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 accounts payable and accrued liabilities</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Quarterly Financial Results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178" w:type="dxa"/>
        <w:jc w:val="center"/>
        <w:tblInd w:w="0" w:type="dxa"/>
        <w:tblLayout w:type="fixed"/>
        <w:tblCellMar>
          <w:top w:w="28" w:type="dxa"/>
          <w:left w:w="28" w:type="dxa"/>
          <w:bottom w:w="28" w:type="dxa"/>
          <w:right w:w="28" w:type="dxa"/>
        </w:tblCellMar>
      </w:tblPr>
      <w:tblGrid>
        <w:gridCol w:w="994"/>
        <w:gridCol w:w="875"/>
        <w:gridCol w:w="876"/>
        <w:gridCol w:w="211"/>
        <w:gridCol w:w="721"/>
        <w:gridCol w:w="271"/>
        <w:gridCol w:w="109"/>
        <w:gridCol w:w="109"/>
        <w:gridCol w:w="109"/>
        <w:gridCol w:w="211"/>
        <w:gridCol w:w="721"/>
        <w:gridCol w:w="271"/>
        <w:gridCol w:w="109"/>
        <w:gridCol w:w="109"/>
        <w:gridCol w:w="109"/>
        <w:gridCol w:w="252"/>
        <w:gridCol w:w="252"/>
        <w:gridCol w:w="531"/>
        <w:gridCol w:w="109"/>
        <w:gridCol w:w="109"/>
        <w:gridCol w:w="109"/>
        <w:gridCol w:w="281"/>
        <w:gridCol w:w="962"/>
        <w:gridCol w:w="361"/>
        <w:gridCol w:w="109"/>
        <w:gridCol w:w="109"/>
        <w:gridCol w:w="109"/>
        <w:gridCol w:w="220"/>
        <w:gridCol w:w="220"/>
        <w:gridCol w:w="640"/>
      </w:tblGrid>
      <w:tr>
        <w:trPr/>
        <w:tc>
          <w:tcPr>
            <w:tcW w:w="99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GAAP Financial Results</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June 30,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Q/Q</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Up 2.1 ppts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No Change</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Up 6.5 ppts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Up 3.9 ppts</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5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952"/>
        <w:gridCol w:w="833"/>
        <w:gridCol w:w="834"/>
        <w:gridCol w:w="211"/>
        <w:gridCol w:w="721"/>
        <w:gridCol w:w="271"/>
        <w:gridCol w:w="109"/>
        <w:gridCol w:w="109"/>
        <w:gridCol w:w="109"/>
        <w:gridCol w:w="211"/>
        <w:gridCol w:w="721"/>
        <w:gridCol w:w="271"/>
        <w:gridCol w:w="109"/>
        <w:gridCol w:w="109"/>
        <w:gridCol w:w="109"/>
        <w:gridCol w:w="273"/>
        <w:gridCol w:w="269"/>
        <w:gridCol w:w="463"/>
        <w:gridCol w:w="109"/>
        <w:gridCol w:w="109"/>
        <w:gridCol w:w="109"/>
        <w:gridCol w:w="276"/>
        <w:gridCol w:w="945"/>
        <w:gridCol w:w="354"/>
        <w:gridCol w:w="109"/>
        <w:gridCol w:w="109"/>
        <w:gridCol w:w="109"/>
        <w:gridCol w:w="255"/>
        <w:gridCol w:w="248"/>
        <w:gridCol w:w="789"/>
      </w:tblGrid>
      <w:tr>
        <w:trPr/>
        <w:tc>
          <w:tcPr>
            <w:tcW w:w="95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Non-GAAP Financial Results</w:t>
            </w:r>
          </w:p>
        </w:tc>
      </w:tr>
      <w:tr>
        <w:trPr/>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June 30,</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Q/Q</w:t>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Up 1.4 ppts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Down 0.1 ppts</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Up 3.8 ppts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Up 3.1 ppts</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EVERSPIN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Reconciliations of GAAP Results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075" w:type="dxa"/>
        <w:jc w:val="left"/>
        <w:tblInd w:w="0" w:type="dxa"/>
        <w:tblLayout w:type="fixed"/>
        <w:tblCellMar>
          <w:top w:w="28" w:type="dxa"/>
          <w:left w:w="28" w:type="dxa"/>
          <w:bottom w:w="28" w:type="dxa"/>
          <w:right w:w="28" w:type="dxa"/>
        </w:tblCellMar>
      </w:tblPr>
      <w:tblGrid>
        <w:gridCol w:w="1073"/>
        <w:gridCol w:w="945"/>
        <w:gridCol w:w="952"/>
        <w:gridCol w:w="211"/>
        <w:gridCol w:w="616"/>
        <w:gridCol w:w="109"/>
        <w:gridCol w:w="109"/>
        <w:gridCol w:w="109"/>
        <w:gridCol w:w="109"/>
        <w:gridCol w:w="255"/>
        <w:gridCol w:w="256"/>
        <w:gridCol w:w="360"/>
        <w:gridCol w:w="109"/>
        <w:gridCol w:w="109"/>
        <w:gridCol w:w="109"/>
        <w:gridCol w:w="211"/>
        <w:gridCol w:w="616"/>
        <w:gridCol w:w="109"/>
        <w:gridCol w:w="109"/>
        <w:gridCol w:w="109"/>
        <w:gridCol w:w="109"/>
        <w:gridCol w:w="255"/>
        <w:gridCol w:w="256"/>
        <w:gridCol w:w="360"/>
        <w:gridCol w:w="109"/>
        <w:gridCol w:w="109"/>
        <w:gridCol w:w="109"/>
        <w:gridCol w:w="211"/>
        <w:gridCol w:w="616"/>
        <w:gridCol w:w="109"/>
        <w:gridCol w:w="109"/>
        <w:gridCol w:w="109"/>
        <w:gridCol w:w="109"/>
        <w:gridCol w:w="255"/>
        <w:gridCol w:w="256"/>
        <w:gridCol w:w="409"/>
      </w:tblGrid>
      <w:tr>
        <w:trPr/>
        <w:tc>
          <w:tcPr>
            <w:tcW w:w="107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Margin</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COGS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015"/>
        <w:gridCol w:w="894"/>
        <w:gridCol w:w="901"/>
        <w:gridCol w:w="211"/>
        <w:gridCol w:w="616"/>
        <w:gridCol w:w="109"/>
        <w:gridCol w:w="109"/>
        <w:gridCol w:w="109"/>
        <w:gridCol w:w="109"/>
        <w:gridCol w:w="233"/>
        <w:gridCol w:w="233"/>
        <w:gridCol w:w="497"/>
        <w:gridCol w:w="109"/>
        <w:gridCol w:w="109"/>
        <w:gridCol w:w="109"/>
        <w:gridCol w:w="211"/>
        <w:gridCol w:w="616"/>
        <w:gridCol w:w="109"/>
        <w:gridCol w:w="109"/>
        <w:gridCol w:w="109"/>
        <w:gridCol w:w="109"/>
        <w:gridCol w:w="233"/>
        <w:gridCol w:w="233"/>
        <w:gridCol w:w="497"/>
        <w:gridCol w:w="109"/>
        <w:gridCol w:w="109"/>
        <w:gridCol w:w="109"/>
        <w:gridCol w:w="211"/>
        <w:gridCol w:w="616"/>
        <w:gridCol w:w="109"/>
        <w:gridCol w:w="109"/>
        <w:gridCol w:w="109"/>
        <w:gridCol w:w="109"/>
        <w:gridCol w:w="233"/>
        <w:gridCol w:w="233"/>
        <w:gridCol w:w="560"/>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w:t>
              <w:br/>
              <w:t>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w:t>
              <w:br/>
              <w:t>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a %</w:t>
              <w:br/>
              <w:t>of Revenue</w:t>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R&amp;D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SG&amp;A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771"/>
        <w:gridCol w:w="681"/>
        <w:gridCol w:w="686"/>
        <w:gridCol w:w="226"/>
        <w:gridCol w:w="731"/>
        <w:gridCol w:w="116"/>
        <w:gridCol w:w="109"/>
        <w:gridCol w:w="109"/>
        <w:gridCol w:w="109"/>
        <w:gridCol w:w="286"/>
        <w:gridCol w:w="286"/>
        <w:gridCol w:w="476"/>
        <w:gridCol w:w="109"/>
        <w:gridCol w:w="109"/>
        <w:gridCol w:w="109"/>
        <w:gridCol w:w="226"/>
        <w:gridCol w:w="731"/>
        <w:gridCol w:w="116"/>
        <w:gridCol w:w="109"/>
        <w:gridCol w:w="109"/>
        <w:gridCol w:w="109"/>
        <w:gridCol w:w="286"/>
        <w:gridCol w:w="286"/>
        <w:gridCol w:w="476"/>
        <w:gridCol w:w="109"/>
        <w:gridCol w:w="109"/>
        <w:gridCol w:w="109"/>
        <w:gridCol w:w="226"/>
        <w:gridCol w:w="731"/>
        <w:gridCol w:w="116"/>
        <w:gridCol w:w="109"/>
        <w:gridCol w:w="109"/>
        <w:gridCol w:w="109"/>
        <w:gridCol w:w="286"/>
        <w:gridCol w:w="286"/>
        <w:gridCol w:w="545"/>
      </w:tblGrid>
      <w:tr>
        <w:trPr/>
        <w:tc>
          <w:tcPr>
            <w:tcW w:w="7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Margin</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948" w:type="dxa"/>
        <w:jc w:val="left"/>
        <w:tblInd w:w="0" w:type="dxa"/>
        <w:tblLayout w:type="fixed"/>
        <w:tblCellMar>
          <w:top w:w="28" w:type="dxa"/>
          <w:left w:w="28" w:type="dxa"/>
          <w:bottom w:w="28" w:type="dxa"/>
          <w:right w:w="28" w:type="dxa"/>
        </w:tblCellMar>
      </w:tblPr>
      <w:tblGrid>
        <w:gridCol w:w="855"/>
        <w:gridCol w:w="755"/>
        <w:gridCol w:w="760"/>
        <w:gridCol w:w="250"/>
        <w:gridCol w:w="731"/>
        <w:gridCol w:w="129"/>
        <w:gridCol w:w="109"/>
        <w:gridCol w:w="109"/>
        <w:gridCol w:w="109"/>
        <w:gridCol w:w="211"/>
        <w:gridCol w:w="511"/>
        <w:gridCol w:w="109"/>
        <w:gridCol w:w="109"/>
        <w:gridCol w:w="109"/>
        <w:gridCol w:w="109"/>
        <w:gridCol w:w="250"/>
        <w:gridCol w:w="731"/>
        <w:gridCol w:w="129"/>
        <w:gridCol w:w="109"/>
        <w:gridCol w:w="109"/>
        <w:gridCol w:w="109"/>
        <w:gridCol w:w="211"/>
        <w:gridCol w:w="511"/>
        <w:gridCol w:w="109"/>
        <w:gridCol w:w="109"/>
        <w:gridCol w:w="109"/>
        <w:gridCol w:w="109"/>
        <w:gridCol w:w="272"/>
        <w:gridCol w:w="698"/>
        <w:gridCol w:w="140"/>
        <w:gridCol w:w="109"/>
        <w:gridCol w:w="109"/>
        <w:gridCol w:w="109"/>
        <w:gridCol w:w="211"/>
        <w:gridCol w:w="586"/>
        <w:gridCol w:w="154"/>
      </w:tblGrid>
      <w:tr>
        <w:trPr/>
        <w:tc>
          <w:tcPr>
            <w:tcW w:w="8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Earnings</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Earnings</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Earnings</w:t>
              <w:br/>
              <w:t>Per Share</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2939</Words>
  <Characters>15928</Characters>
  <CharactersWithSpaces>18301</CharactersWithSpaces>
  <Paragraphs>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