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421005</wp:posOffset>
            </wp:positionV>
            <wp:extent cx="565785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302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487680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jc w:val="center"/>
        <w:ind w:right="19"/>
        <w:spacing w:after="0" w:line="214" w:lineRule="auto"/>
        <w:rPr>
          <w:sz w:val="20"/>
          <w:szCs w:val="20"/>
          <w:color w:val="auto"/>
        </w:rPr>
      </w:pPr>
      <w:r>
        <w:rPr>
          <w:rFonts w:ascii="Arial" w:cs="Arial" w:eastAsia="Arial" w:hAnsi="Arial"/>
          <w:sz w:val="14"/>
          <w:szCs w:val="14"/>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153035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jc w:val="center"/>
        <w:ind w:right="19"/>
        <w:spacing w:after="0" w:line="214" w:lineRule="auto"/>
        <w:rPr>
          <w:sz w:val="20"/>
          <w:szCs w:val="20"/>
          <w:color w:val="auto"/>
        </w:rPr>
      </w:pPr>
      <w:r>
        <w:rPr>
          <w:rFonts w:ascii="Arial" w:cs="Arial" w:eastAsia="Arial" w:hAnsi="Arial"/>
          <w:sz w:val="14"/>
          <w:szCs w:val="14"/>
          <w:b w:val="1"/>
          <w:bCs w:val="1"/>
          <w:color w:val="auto"/>
        </w:rPr>
        <w:t>Pursuant to Section 13 or 15(d)</w:t>
      </w: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November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153035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Everspin Technologies, Inc.</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680" w:type="dxa"/>
        <w:tblCellMar>
          <w:top w:w="0" w:type="dxa"/>
          <w:left w:w="0" w:type="dxa"/>
          <w:bottom w:w="0" w:type="dxa"/>
          <w:right w:w="0" w:type="dxa"/>
        </w:tblCellMar>
      </w:tblPr>
      <w:tr>
        <w:trPr>
          <w:trHeight w:val="161"/>
        </w:trPr>
        <w:tc>
          <w:tcPr>
            <w:tcW w:w="1780" w:type="dxa"/>
            <w:vAlign w:val="bottom"/>
          </w:tcPr>
          <w:p>
            <w:pPr>
              <w:jc w:val="center"/>
              <w:ind w:right="110"/>
              <w:spacing w:after="0"/>
              <w:rPr>
                <w:sz w:val="20"/>
                <w:szCs w:val="20"/>
                <w:color w:val="auto"/>
              </w:rPr>
            </w:pPr>
            <w:r>
              <w:rPr>
                <w:rFonts w:ascii="Arial" w:cs="Arial" w:eastAsia="Arial" w:hAnsi="Arial"/>
                <w:sz w:val="14"/>
                <w:szCs w:val="14"/>
                <w:b w:val="1"/>
                <w:bCs w:val="1"/>
                <w:color w:val="auto"/>
                <w:w w:val="91"/>
              </w:rPr>
              <w:t>Delaware</w:t>
            </w:r>
          </w:p>
        </w:tc>
        <w:tc>
          <w:tcPr>
            <w:tcW w:w="4220" w:type="dxa"/>
            <w:vAlign w:val="bottom"/>
          </w:tcPr>
          <w:p>
            <w:pPr>
              <w:jc w:val="center"/>
              <w:ind w:right="90"/>
              <w:spacing w:after="0"/>
              <w:rPr>
                <w:sz w:val="20"/>
                <w:szCs w:val="20"/>
                <w:color w:val="auto"/>
              </w:rPr>
            </w:pPr>
            <w:r>
              <w:rPr>
                <w:rFonts w:ascii="Arial" w:cs="Arial" w:eastAsia="Arial" w:hAnsi="Arial"/>
                <w:sz w:val="14"/>
                <w:szCs w:val="14"/>
                <w:b w:val="1"/>
                <w:bCs w:val="1"/>
                <w:color w:val="auto"/>
                <w:w w:val="92"/>
              </w:rPr>
              <w:t>001-37900</w:t>
            </w:r>
          </w:p>
        </w:tc>
        <w:tc>
          <w:tcPr>
            <w:tcW w:w="1400" w:type="dxa"/>
            <w:vAlign w:val="bottom"/>
          </w:tcPr>
          <w:p>
            <w:pPr>
              <w:jc w:val="center"/>
              <w:ind w:left="210"/>
              <w:spacing w:after="0"/>
              <w:rPr>
                <w:sz w:val="20"/>
                <w:szCs w:val="20"/>
                <w:color w:val="auto"/>
              </w:rPr>
            </w:pPr>
            <w:r>
              <w:rPr>
                <w:rFonts w:ascii="Arial" w:cs="Arial" w:eastAsia="Arial" w:hAnsi="Arial"/>
                <w:sz w:val="14"/>
                <w:szCs w:val="14"/>
                <w:b w:val="1"/>
                <w:bCs w:val="1"/>
                <w:color w:val="auto"/>
                <w:w w:val="90"/>
              </w:rPr>
              <w:t>26-2640654</w:t>
            </w:r>
          </w:p>
        </w:tc>
      </w:tr>
      <w:tr>
        <w:trPr>
          <w:trHeight w:val="144"/>
        </w:trPr>
        <w:tc>
          <w:tcPr>
            <w:tcW w:w="1780" w:type="dxa"/>
            <w:vAlign w:val="bottom"/>
          </w:tcPr>
          <w:p>
            <w:pPr>
              <w:jc w:val="center"/>
              <w:ind w:right="110"/>
              <w:spacing w:after="0" w:line="144" w:lineRule="exact"/>
              <w:rPr>
                <w:sz w:val="20"/>
                <w:szCs w:val="20"/>
                <w:color w:val="auto"/>
              </w:rPr>
            </w:pPr>
            <w:r>
              <w:rPr>
                <w:rFonts w:ascii="Arial" w:cs="Arial" w:eastAsia="Arial" w:hAnsi="Arial"/>
                <w:sz w:val="14"/>
                <w:szCs w:val="14"/>
                <w:b w:val="1"/>
                <w:bCs w:val="1"/>
                <w:color w:val="auto"/>
                <w:w w:val="91"/>
              </w:rPr>
              <w:t>(State or other jurisdiction</w:t>
            </w:r>
          </w:p>
        </w:tc>
        <w:tc>
          <w:tcPr>
            <w:tcW w:w="4220" w:type="dxa"/>
            <w:vAlign w:val="bottom"/>
          </w:tcPr>
          <w:p>
            <w:pPr>
              <w:jc w:val="center"/>
              <w:ind w:right="90"/>
              <w:spacing w:after="0" w:line="144" w:lineRule="exact"/>
              <w:rPr>
                <w:sz w:val="20"/>
                <w:szCs w:val="20"/>
                <w:color w:val="auto"/>
              </w:rPr>
            </w:pPr>
            <w:r>
              <w:rPr>
                <w:rFonts w:ascii="Arial" w:cs="Arial" w:eastAsia="Arial" w:hAnsi="Arial"/>
                <w:sz w:val="14"/>
                <w:szCs w:val="14"/>
                <w:b w:val="1"/>
                <w:bCs w:val="1"/>
                <w:color w:val="auto"/>
                <w:w w:val="87"/>
              </w:rPr>
              <w:t>(Commission</w:t>
            </w:r>
          </w:p>
        </w:tc>
        <w:tc>
          <w:tcPr>
            <w:tcW w:w="1400" w:type="dxa"/>
            <w:vAlign w:val="bottom"/>
          </w:tcPr>
          <w:p>
            <w:pPr>
              <w:jc w:val="center"/>
              <w:ind w:left="230"/>
              <w:spacing w:after="0" w:line="144" w:lineRule="exact"/>
              <w:rPr>
                <w:sz w:val="20"/>
                <w:szCs w:val="20"/>
                <w:color w:val="auto"/>
              </w:rPr>
            </w:pPr>
            <w:r>
              <w:rPr>
                <w:rFonts w:ascii="Arial" w:cs="Arial" w:eastAsia="Arial" w:hAnsi="Arial"/>
                <w:sz w:val="14"/>
                <w:szCs w:val="14"/>
                <w:b w:val="1"/>
                <w:bCs w:val="1"/>
                <w:color w:val="auto"/>
                <w:w w:val="94"/>
              </w:rPr>
              <w:t>(IRS Employer</w:t>
            </w:r>
          </w:p>
        </w:tc>
      </w:tr>
      <w:tr>
        <w:trPr>
          <w:trHeight w:val="182"/>
        </w:trPr>
        <w:tc>
          <w:tcPr>
            <w:tcW w:w="1780" w:type="dxa"/>
            <w:vAlign w:val="bottom"/>
          </w:tcPr>
          <w:p>
            <w:pPr>
              <w:jc w:val="center"/>
              <w:ind w:right="130"/>
              <w:spacing w:after="0"/>
              <w:rPr>
                <w:sz w:val="20"/>
                <w:szCs w:val="20"/>
                <w:color w:val="auto"/>
              </w:rPr>
            </w:pPr>
            <w:r>
              <w:rPr>
                <w:rFonts w:ascii="Arial" w:cs="Arial" w:eastAsia="Arial" w:hAnsi="Arial"/>
                <w:sz w:val="14"/>
                <w:szCs w:val="14"/>
                <w:b w:val="1"/>
                <w:bCs w:val="1"/>
                <w:color w:val="auto"/>
                <w:w w:val="91"/>
              </w:rPr>
              <w:t>of incorporation)</w:t>
            </w:r>
          </w:p>
        </w:tc>
        <w:tc>
          <w:tcPr>
            <w:tcW w:w="4220" w:type="dxa"/>
            <w:vAlign w:val="bottom"/>
          </w:tcPr>
          <w:p>
            <w:pPr>
              <w:jc w:val="center"/>
              <w:ind w:right="70"/>
              <w:spacing w:after="0"/>
              <w:rPr>
                <w:sz w:val="20"/>
                <w:szCs w:val="20"/>
                <w:color w:val="auto"/>
              </w:rPr>
            </w:pPr>
            <w:r>
              <w:rPr>
                <w:rFonts w:ascii="Arial" w:cs="Arial" w:eastAsia="Arial" w:hAnsi="Arial"/>
                <w:sz w:val="14"/>
                <w:szCs w:val="14"/>
                <w:b w:val="1"/>
                <w:bCs w:val="1"/>
                <w:color w:val="auto"/>
                <w:w w:val="93"/>
              </w:rPr>
              <w:t>File Number)</w:t>
            </w:r>
          </w:p>
        </w:tc>
        <w:tc>
          <w:tcPr>
            <w:tcW w:w="1400" w:type="dxa"/>
            <w:vAlign w:val="bottom"/>
          </w:tcPr>
          <w:p>
            <w:pPr>
              <w:jc w:val="center"/>
              <w:ind w:left="230"/>
              <w:spacing w:after="0"/>
              <w:rPr>
                <w:sz w:val="20"/>
                <w:szCs w:val="20"/>
                <w:color w:val="auto"/>
              </w:rPr>
            </w:pPr>
            <w:r>
              <w:rPr>
                <w:rFonts w:ascii="Arial" w:cs="Arial" w:eastAsia="Arial" w:hAnsi="Arial"/>
                <w:sz w:val="14"/>
                <w:szCs w:val="14"/>
                <w:b w:val="1"/>
                <w:bCs w:val="1"/>
                <w:color w:val="auto"/>
                <w:w w:val="92"/>
              </w:rPr>
              <w:t>Identification No.)</w:t>
            </w:r>
          </w:p>
        </w:tc>
      </w:tr>
      <w:tr>
        <w:trPr>
          <w:trHeight w:val="302"/>
        </w:trPr>
        <w:tc>
          <w:tcPr>
            <w:tcW w:w="1780" w:type="dxa"/>
            <w:vAlign w:val="bottom"/>
          </w:tcPr>
          <w:p>
            <w:pPr>
              <w:spacing w:after="0"/>
              <w:rPr>
                <w:sz w:val="24"/>
                <w:szCs w:val="24"/>
                <w:color w:val="auto"/>
              </w:rPr>
            </w:pPr>
          </w:p>
        </w:tc>
        <w:tc>
          <w:tcPr>
            <w:tcW w:w="4220" w:type="dxa"/>
            <w:vAlign w:val="bottom"/>
          </w:tcPr>
          <w:p>
            <w:pPr>
              <w:jc w:val="center"/>
              <w:ind w:right="50"/>
              <w:spacing w:after="0"/>
              <w:rPr>
                <w:sz w:val="20"/>
                <w:szCs w:val="20"/>
                <w:color w:val="auto"/>
              </w:rPr>
            </w:pPr>
            <w:r>
              <w:rPr>
                <w:rFonts w:ascii="Arial" w:cs="Arial" w:eastAsia="Arial" w:hAnsi="Arial"/>
                <w:sz w:val="14"/>
                <w:szCs w:val="14"/>
                <w:b w:val="1"/>
                <w:bCs w:val="1"/>
                <w:color w:val="auto"/>
                <w:w w:val="91"/>
              </w:rPr>
              <w:t>5670 W. Chandler Blvd.</w:t>
            </w:r>
          </w:p>
        </w:tc>
        <w:tc>
          <w:tcPr>
            <w:tcW w:w="1400" w:type="dxa"/>
            <w:vAlign w:val="bottom"/>
          </w:tcPr>
          <w:p>
            <w:pPr>
              <w:spacing w:after="0"/>
              <w:rPr>
                <w:sz w:val="24"/>
                <w:szCs w:val="24"/>
                <w:color w:val="auto"/>
              </w:rPr>
            </w:pPr>
          </w:p>
        </w:tc>
      </w:tr>
      <w:tr>
        <w:trPr>
          <w:trHeight w:val="144"/>
        </w:trPr>
        <w:tc>
          <w:tcPr>
            <w:tcW w:w="1780" w:type="dxa"/>
            <w:vAlign w:val="bottom"/>
          </w:tcPr>
          <w:p>
            <w:pPr>
              <w:spacing w:after="0"/>
              <w:rPr>
                <w:sz w:val="12"/>
                <w:szCs w:val="12"/>
                <w:color w:val="auto"/>
              </w:rPr>
            </w:pPr>
          </w:p>
        </w:tc>
        <w:tc>
          <w:tcPr>
            <w:tcW w:w="4220" w:type="dxa"/>
            <w:vAlign w:val="bottom"/>
          </w:tcPr>
          <w:p>
            <w:pPr>
              <w:jc w:val="center"/>
              <w:ind w:right="50"/>
              <w:spacing w:after="0" w:line="144" w:lineRule="exact"/>
              <w:rPr>
                <w:sz w:val="20"/>
                <w:szCs w:val="20"/>
                <w:color w:val="auto"/>
              </w:rPr>
            </w:pPr>
            <w:r>
              <w:rPr>
                <w:rFonts w:ascii="Arial" w:cs="Arial" w:eastAsia="Arial" w:hAnsi="Arial"/>
                <w:sz w:val="14"/>
                <w:szCs w:val="14"/>
                <w:b w:val="1"/>
                <w:bCs w:val="1"/>
                <w:color w:val="auto"/>
                <w:w w:val="87"/>
              </w:rPr>
              <w:t>Suite 100</w:t>
            </w:r>
          </w:p>
        </w:tc>
        <w:tc>
          <w:tcPr>
            <w:tcW w:w="1400" w:type="dxa"/>
            <w:vAlign w:val="bottom"/>
          </w:tcPr>
          <w:p>
            <w:pPr>
              <w:spacing w:after="0"/>
              <w:rPr>
                <w:sz w:val="12"/>
                <w:szCs w:val="12"/>
                <w:color w:val="auto"/>
              </w:rPr>
            </w:pPr>
          </w:p>
        </w:tc>
      </w:tr>
      <w:tr>
        <w:trPr>
          <w:trHeight w:val="144"/>
        </w:trPr>
        <w:tc>
          <w:tcPr>
            <w:tcW w:w="1780" w:type="dxa"/>
            <w:vAlign w:val="bottom"/>
          </w:tcPr>
          <w:p>
            <w:pPr>
              <w:spacing w:after="0"/>
              <w:rPr>
                <w:sz w:val="12"/>
                <w:szCs w:val="12"/>
                <w:color w:val="auto"/>
              </w:rPr>
            </w:pPr>
          </w:p>
        </w:tc>
        <w:tc>
          <w:tcPr>
            <w:tcW w:w="4220" w:type="dxa"/>
            <w:vAlign w:val="bottom"/>
          </w:tcPr>
          <w:p>
            <w:pPr>
              <w:jc w:val="center"/>
              <w:ind w:right="50"/>
              <w:spacing w:after="0" w:line="144" w:lineRule="exact"/>
              <w:rPr>
                <w:sz w:val="20"/>
                <w:szCs w:val="20"/>
                <w:color w:val="auto"/>
              </w:rPr>
            </w:pPr>
            <w:r>
              <w:rPr>
                <w:rFonts w:ascii="Arial" w:cs="Arial" w:eastAsia="Arial" w:hAnsi="Arial"/>
                <w:sz w:val="14"/>
                <w:szCs w:val="14"/>
                <w:b w:val="1"/>
                <w:bCs w:val="1"/>
                <w:color w:val="auto"/>
                <w:w w:val="92"/>
              </w:rPr>
              <w:t>Chandler, Arizona 85226</w:t>
            </w:r>
          </w:p>
        </w:tc>
        <w:tc>
          <w:tcPr>
            <w:tcW w:w="1400" w:type="dxa"/>
            <w:vAlign w:val="bottom"/>
          </w:tcPr>
          <w:p>
            <w:pPr>
              <w:spacing w:after="0"/>
              <w:rPr>
                <w:sz w:val="12"/>
                <w:szCs w:val="12"/>
                <w:color w:val="auto"/>
              </w:rPr>
            </w:pPr>
          </w:p>
        </w:tc>
      </w:tr>
      <w:tr>
        <w:trPr>
          <w:trHeight w:val="182"/>
        </w:trPr>
        <w:tc>
          <w:tcPr>
            <w:tcW w:w="1780" w:type="dxa"/>
            <w:vAlign w:val="bottom"/>
          </w:tcPr>
          <w:p>
            <w:pPr>
              <w:spacing w:after="0"/>
              <w:rPr>
                <w:sz w:val="15"/>
                <w:szCs w:val="15"/>
                <w:color w:val="auto"/>
              </w:rPr>
            </w:pPr>
          </w:p>
        </w:tc>
        <w:tc>
          <w:tcPr>
            <w:tcW w:w="4220" w:type="dxa"/>
            <w:vAlign w:val="bottom"/>
          </w:tcPr>
          <w:p>
            <w:pPr>
              <w:jc w:val="center"/>
              <w:ind w:right="50"/>
              <w:spacing w:after="0"/>
              <w:rPr>
                <w:sz w:val="20"/>
                <w:szCs w:val="20"/>
                <w:color w:val="auto"/>
              </w:rPr>
            </w:pPr>
            <w:r>
              <w:rPr>
                <w:rFonts w:ascii="Arial" w:cs="Arial" w:eastAsia="Arial" w:hAnsi="Arial"/>
                <w:sz w:val="14"/>
                <w:szCs w:val="14"/>
                <w:b w:val="1"/>
                <w:bCs w:val="1"/>
                <w:color w:val="auto"/>
                <w:w w:val="88"/>
              </w:rPr>
              <w:t>(Address of principal executive offices, including zip code)</w:t>
            </w:r>
          </w:p>
        </w:tc>
        <w:tc>
          <w:tcPr>
            <w:tcW w:w="1400" w:type="dxa"/>
            <w:vAlign w:val="bottom"/>
          </w:tcPr>
          <w:p>
            <w:pPr>
              <w:spacing w:after="0"/>
              <w:rPr>
                <w:sz w:val="15"/>
                <w:szCs w:val="15"/>
                <w:color w:val="auto"/>
              </w:rPr>
            </w:pPr>
          </w:p>
        </w:tc>
      </w:tr>
      <w:tr>
        <w:trPr>
          <w:trHeight w:val="249"/>
        </w:trPr>
        <w:tc>
          <w:tcPr>
            <w:tcW w:w="1780" w:type="dxa"/>
            <w:vAlign w:val="bottom"/>
          </w:tcPr>
          <w:p>
            <w:pPr>
              <w:spacing w:after="0"/>
              <w:rPr>
                <w:sz w:val="21"/>
                <w:szCs w:val="21"/>
                <w:color w:val="auto"/>
              </w:rPr>
            </w:pPr>
          </w:p>
        </w:tc>
        <w:tc>
          <w:tcPr>
            <w:tcW w:w="4220" w:type="dxa"/>
            <w:vAlign w:val="bottom"/>
          </w:tcPr>
          <w:p>
            <w:pPr>
              <w:jc w:val="center"/>
              <w:ind w:right="70"/>
              <w:spacing w:after="0"/>
              <w:rPr>
                <w:sz w:val="20"/>
                <w:szCs w:val="20"/>
                <w:color w:val="auto"/>
              </w:rPr>
            </w:pPr>
            <w:r>
              <w:rPr>
                <w:rFonts w:ascii="Arial" w:cs="Arial" w:eastAsia="Arial" w:hAnsi="Arial"/>
                <w:sz w:val="14"/>
                <w:szCs w:val="14"/>
                <w:b w:val="1"/>
                <w:bCs w:val="1"/>
                <w:color w:val="auto"/>
                <w:w w:val="87"/>
              </w:rPr>
              <w:t>(480) 347-1111</w:t>
            </w:r>
          </w:p>
        </w:tc>
        <w:tc>
          <w:tcPr>
            <w:tcW w:w="1400" w:type="dxa"/>
            <w:vAlign w:val="bottom"/>
          </w:tcPr>
          <w:p>
            <w:pPr>
              <w:spacing w:after="0"/>
              <w:rPr>
                <w:sz w:val="21"/>
                <w:szCs w:val="21"/>
                <w:color w:val="auto"/>
              </w:rPr>
            </w:pPr>
          </w:p>
        </w:tc>
      </w:tr>
      <w:tr>
        <w:trPr>
          <w:trHeight w:val="182"/>
        </w:trPr>
        <w:tc>
          <w:tcPr>
            <w:tcW w:w="1780" w:type="dxa"/>
            <w:vAlign w:val="bottom"/>
          </w:tcPr>
          <w:p>
            <w:pPr>
              <w:spacing w:after="0"/>
              <w:rPr>
                <w:sz w:val="15"/>
                <w:szCs w:val="15"/>
                <w:color w:val="auto"/>
              </w:rPr>
            </w:pPr>
          </w:p>
        </w:tc>
        <w:tc>
          <w:tcPr>
            <w:tcW w:w="4220" w:type="dxa"/>
            <w:vAlign w:val="bottom"/>
          </w:tcPr>
          <w:p>
            <w:pPr>
              <w:jc w:val="center"/>
              <w:ind w:right="5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400" w:type="dxa"/>
            <w:vAlign w:val="bottom"/>
          </w:tcPr>
          <w:p>
            <w:pPr>
              <w:spacing w:after="0"/>
              <w:rPr>
                <w:sz w:val="15"/>
                <w:szCs w:val="15"/>
                <w:color w:val="auto"/>
              </w:rPr>
            </w:pPr>
          </w:p>
        </w:tc>
      </w:tr>
      <w:tr>
        <w:trPr>
          <w:trHeight w:val="249"/>
        </w:trPr>
        <w:tc>
          <w:tcPr>
            <w:tcW w:w="1780" w:type="dxa"/>
            <w:vAlign w:val="bottom"/>
          </w:tcPr>
          <w:p>
            <w:pPr>
              <w:spacing w:after="0"/>
              <w:rPr>
                <w:sz w:val="21"/>
                <w:szCs w:val="21"/>
                <w:color w:val="auto"/>
              </w:rPr>
            </w:pPr>
          </w:p>
        </w:tc>
        <w:tc>
          <w:tcPr>
            <w:tcW w:w="4220" w:type="dxa"/>
            <w:vAlign w:val="bottom"/>
          </w:tcPr>
          <w:p>
            <w:pPr>
              <w:jc w:val="center"/>
              <w:ind w:right="50"/>
              <w:spacing w:after="0"/>
              <w:rPr>
                <w:sz w:val="20"/>
                <w:szCs w:val="20"/>
                <w:color w:val="auto"/>
              </w:rPr>
            </w:pPr>
            <w:r>
              <w:rPr>
                <w:rFonts w:ascii="Arial" w:cs="Arial" w:eastAsia="Arial" w:hAnsi="Arial"/>
                <w:sz w:val="14"/>
                <w:szCs w:val="14"/>
                <w:b w:val="1"/>
                <w:bCs w:val="1"/>
                <w:color w:val="auto"/>
                <w:w w:val="91"/>
              </w:rPr>
              <w:t>Not Applicable</w:t>
            </w:r>
          </w:p>
        </w:tc>
        <w:tc>
          <w:tcPr>
            <w:tcW w:w="1400" w:type="dxa"/>
            <w:vAlign w:val="bottom"/>
          </w:tcPr>
          <w:p>
            <w:pPr>
              <w:spacing w:after="0"/>
              <w:rPr>
                <w:sz w:val="21"/>
                <w:szCs w:val="21"/>
                <w:color w:val="auto"/>
              </w:rPr>
            </w:pPr>
          </w:p>
        </w:tc>
      </w:tr>
      <w:tr>
        <w:trPr>
          <w:trHeight w:val="182"/>
        </w:trPr>
        <w:tc>
          <w:tcPr>
            <w:tcW w:w="1780" w:type="dxa"/>
            <w:vAlign w:val="bottom"/>
          </w:tcPr>
          <w:p>
            <w:pPr>
              <w:spacing w:after="0"/>
              <w:rPr>
                <w:sz w:val="15"/>
                <w:szCs w:val="15"/>
                <w:color w:val="auto"/>
              </w:rPr>
            </w:pPr>
          </w:p>
        </w:tc>
        <w:tc>
          <w:tcPr>
            <w:tcW w:w="422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4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40" w:right="21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440" w:hanging="392"/>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53" w:lineRule="exact"/>
        <w:rPr>
          <w:rFonts w:ascii="MS PGothic" w:cs="MS PGothic" w:eastAsia="MS PGothic" w:hAnsi="MS PGothic"/>
          <w:sz w:val="14"/>
          <w:szCs w:val="14"/>
          <w:color w:val="auto"/>
        </w:rPr>
      </w:pPr>
    </w:p>
    <w:p>
      <w:pPr>
        <w:ind w:left="440" w:hanging="392"/>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53" w:lineRule="exact"/>
        <w:rPr>
          <w:rFonts w:ascii="MS PGothic" w:cs="MS PGothic" w:eastAsia="MS PGothic" w:hAnsi="MS PGothic"/>
          <w:sz w:val="14"/>
          <w:szCs w:val="14"/>
          <w:color w:val="auto"/>
        </w:rPr>
      </w:pPr>
    </w:p>
    <w:p>
      <w:pPr>
        <w:ind w:left="440" w:hanging="392"/>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53" w:lineRule="exact"/>
        <w:rPr>
          <w:rFonts w:ascii="MS PGothic" w:cs="MS PGothic" w:eastAsia="MS PGothic" w:hAnsi="MS PGothic"/>
          <w:sz w:val="14"/>
          <w:szCs w:val="14"/>
          <w:color w:val="auto"/>
        </w:rPr>
      </w:pPr>
    </w:p>
    <w:p>
      <w:pPr>
        <w:ind w:left="60" w:right="2359" w:hanging="5"/>
        <w:spacing w:after="0" w:line="445" w:lineRule="auto"/>
        <w:tabs>
          <w:tab w:leader="none" w:pos="441"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40" w:type="dxa"/>
        <w:tblCellMar>
          <w:top w:w="0" w:type="dxa"/>
          <w:left w:w="0" w:type="dxa"/>
          <w:bottom w:w="0" w:type="dxa"/>
          <w:right w:w="0" w:type="dxa"/>
        </w:tblCellMar>
      </w:tblPr>
      <w:tr>
        <w:trPr>
          <w:trHeight w:val="145"/>
        </w:trPr>
        <w:tc>
          <w:tcPr>
            <w:tcW w:w="3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Title of each class</w:t>
            </w:r>
          </w:p>
        </w:tc>
        <w:tc>
          <w:tcPr>
            <w:tcW w:w="2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Trading Symbol(s)</w:t>
            </w:r>
          </w:p>
        </w:tc>
        <w:tc>
          <w:tcPr>
            <w:tcW w:w="2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Name of each exchange on which</w:t>
            </w:r>
          </w:p>
        </w:tc>
        <w:tc>
          <w:tcPr>
            <w:tcW w:w="0" w:type="dxa"/>
            <w:vAlign w:val="bottom"/>
          </w:tcPr>
          <w:p>
            <w:pPr>
              <w:spacing w:after="0"/>
              <w:rPr>
                <w:sz w:val="1"/>
                <w:szCs w:val="1"/>
                <w:color w:val="auto"/>
              </w:rPr>
            </w:pPr>
          </w:p>
        </w:tc>
      </w:tr>
      <w:tr>
        <w:trPr>
          <w:trHeight w:val="166"/>
        </w:trPr>
        <w:tc>
          <w:tcPr>
            <w:tcW w:w="3140" w:type="dxa"/>
            <w:vAlign w:val="bottom"/>
            <w:gridSpan w:val="2"/>
            <w:vMerge w:val="continue"/>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0" w:type="dxa"/>
            <w:vAlign w:val="bottom"/>
          </w:tcPr>
          <w:p>
            <w:pPr>
              <w:spacing w:after="0"/>
              <w:rPr>
                <w:sz w:val="1"/>
                <w:szCs w:val="1"/>
                <w:color w:val="auto"/>
              </w:rPr>
            </w:pPr>
          </w:p>
        </w:tc>
      </w:tr>
      <w:tr>
        <w:trPr>
          <w:trHeight w:val="175"/>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Common Stock, par value $0.0001</w:t>
            </w:r>
          </w:p>
        </w:tc>
        <w:tc>
          <w:tcPr>
            <w:tcW w:w="140" w:type="dxa"/>
            <w:vAlign w:val="bottom"/>
          </w:tcPr>
          <w:p>
            <w:pPr>
              <w:spacing w:after="0"/>
              <w:rPr>
                <w:sz w:val="15"/>
                <w:szCs w:val="15"/>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MRAM</w:t>
            </w:r>
          </w:p>
        </w:tc>
        <w:tc>
          <w:tcPr>
            <w:tcW w:w="160" w:type="dxa"/>
            <w:vAlign w:val="bottom"/>
          </w:tcPr>
          <w:p>
            <w:pPr>
              <w:spacing w:after="0"/>
              <w:rPr>
                <w:sz w:val="15"/>
                <w:szCs w:val="15"/>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Nasdaq Stock Market LLC</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right="199"/>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98"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65" w:lineRule="exact"/>
        <w:rPr>
          <w:sz w:val="24"/>
          <w:szCs w:val="24"/>
          <w:color w:val="auto"/>
        </w:rPr>
      </w:pPr>
    </w:p>
    <w:p>
      <w:pPr>
        <w:ind w:left="40" w:right="239"/>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579755</wp:posOffset>
            </wp:positionV>
            <wp:extent cx="565785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651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81280</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122555</wp:posOffset>
            </wp:positionV>
            <wp:extent cx="565785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302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 w:name="page2"/>
    <w:bookmarkEnd w:id="1"/>
    <w:p>
      <w:pPr>
        <w:ind w:left="40"/>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229" w:lineRule="exact"/>
        <w:rPr>
          <w:sz w:val="20"/>
          <w:szCs w:val="20"/>
          <w:color w:val="auto"/>
        </w:rPr>
      </w:pPr>
    </w:p>
    <w:p>
      <w:pPr>
        <w:ind w:left="40" w:right="219" w:firstLine="314"/>
        <w:spacing w:after="0" w:line="267" w:lineRule="auto"/>
        <w:rPr>
          <w:sz w:val="20"/>
          <w:szCs w:val="20"/>
          <w:color w:val="auto"/>
        </w:rPr>
      </w:pPr>
      <w:r>
        <w:rPr>
          <w:rFonts w:ascii="Arial" w:cs="Arial" w:eastAsia="Arial" w:hAnsi="Arial"/>
          <w:sz w:val="17"/>
          <w:szCs w:val="17"/>
          <w:color w:val="auto"/>
        </w:rPr>
        <w:t>On November 11, 2021, Everspin Technologies, Inc. (the “Company”) issued a press release announcing its results of operations for its third quarter ended September 30, 2021 and hosted a conference call to discuss such results. A copy of the press release is attached hereto as Exhibit 99.1 and a copy of the transcript of the conference call is attached hereto as Exhibit 99.2, each of which is incorporated herein by reference in its entirety.</w:t>
      </w:r>
    </w:p>
    <w:p>
      <w:pPr>
        <w:spacing w:after="0" w:line="177" w:lineRule="exact"/>
        <w:rPr>
          <w:sz w:val="20"/>
          <w:szCs w:val="20"/>
          <w:color w:val="auto"/>
        </w:rPr>
      </w:pPr>
    </w:p>
    <w:p>
      <w:pPr>
        <w:ind w:left="40" w:right="59" w:firstLine="314"/>
        <w:spacing w:after="0" w:line="267" w:lineRule="auto"/>
        <w:rPr>
          <w:sz w:val="20"/>
          <w:szCs w:val="20"/>
          <w:color w:val="auto"/>
        </w:rPr>
      </w:pPr>
      <w:r>
        <w:rPr>
          <w:rFonts w:ascii="Arial" w:cs="Arial" w:eastAsia="Arial" w:hAnsi="Arial"/>
          <w:sz w:val="17"/>
          <w:szCs w:val="17"/>
          <w:color w:val="auto"/>
        </w:rPr>
        <w:t>The information disclosed under this Item 2.02, including Exhibits 99.1 and 99.2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set forth in Item 5.02 of this Current Report on Form 8-K is incorporated by reference into this Item 3.01.</w:t>
      </w:r>
    </w:p>
    <w:p>
      <w:pPr>
        <w:spacing w:after="0" w:line="229" w:lineRule="exact"/>
        <w:rPr>
          <w:sz w:val="20"/>
          <w:szCs w:val="20"/>
          <w:color w:val="auto"/>
        </w:rPr>
      </w:pPr>
    </w:p>
    <w:p>
      <w:pPr>
        <w:ind w:left="40" w:right="779"/>
        <w:spacing w:after="0" w:line="296" w:lineRule="auto"/>
        <w:rPr>
          <w:sz w:val="20"/>
          <w:szCs w:val="20"/>
          <w:color w:val="auto"/>
        </w:rPr>
      </w:pPr>
      <w:r>
        <w:rPr>
          <w:rFonts w:ascii="Arial" w:cs="Arial" w:eastAsia="Arial" w:hAnsi="Arial"/>
          <w:sz w:val="17"/>
          <w:szCs w:val="17"/>
          <w:b w:val="1"/>
          <w:bCs w:val="1"/>
          <w:color w:val="auto"/>
        </w:rPr>
        <w:t>Item 5.02. Departure of Directors or Certain Officers; Election of Directors; Appointment of Certain Officers; Compensatory Arrangements of Certain Officers.</w:t>
      </w:r>
    </w:p>
    <w:p>
      <w:pPr>
        <w:spacing w:after="0" w:line="152" w:lineRule="exact"/>
        <w:rPr>
          <w:sz w:val="20"/>
          <w:szCs w:val="20"/>
          <w:color w:val="auto"/>
        </w:rPr>
      </w:pPr>
    </w:p>
    <w:p>
      <w:pPr>
        <w:ind w:left="40" w:right="59" w:firstLine="314"/>
        <w:spacing w:after="0" w:line="267" w:lineRule="auto"/>
        <w:rPr>
          <w:sz w:val="20"/>
          <w:szCs w:val="20"/>
          <w:color w:val="auto"/>
        </w:rPr>
      </w:pPr>
      <w:r>
        <w:rPr>
          <w:rFonts w:ascii="Arial" w:cs="Arial" w:eastAsia="Arial" w:hAnsi="Arial"/>
          <w:sz w:val="17"/>
          <w:szCs w:val="17"/>
          <w:color w:val="auto"/>
        </w:rPr>
        <w:t>On November 7, 2021, Geoffrey R. Tate informed the Company of his resignation from the Company’s board of directors (the “Board”), effective November 8, 2021, due to the time demands of Flex Logix Technologies, Inc., where he serves as its Chief Executive Officer. In connection with Mr. Tate’s resignation from the Board, Mr. Tate has also resigned from the Board’s audit committee and the Board’s nominating and corporate governance committee.</w:t>
      </w:r>
    </w:p>
    <w:p>
      <w:pPr>
        <w:spacing w:after="0" w:line="177" w:lineRule="exact"/>
        <w:rPr>
          <w:sz w:val="20"/>
          <w:szCs w:val="20"/>
          <w:color w:val="auto"/>
        </w:rPr>
      </w:pPr>
    </w:p>
    <w:p>
      <w:pPr>
        <w:ind w:left="40" w:right="179" w:firstLine="314"/>
        <w:spacing w:after="0" w:line="267" w:lineRule="auto"/>
        <w:rPr>
          <w:sz w:val="20"/>
          <w:szCs w:val="20"/>
          <w:color w:val="auto"/>
        </w:rPr>
      </w:pPr>
      <w:r>
        <w:rPr>
          <w:rFonts w:ascii="Arial" w:cs="Arial" w:eastAsia="Arial" w:hAnsi="Arial"/>
          <w:sz w:val="17"/>
          <w:szCs w:val="17"/>
          <w:color w:val="auto"/>
        </w:rPr>
        <w:t>As a result of Mr. Tate’s resignation, the Company was no longer in compliance with Nasdaq Listing Rule 5605(c)(2)(A), which requires the audit committee be comprised of at least three independent directors. Pursuant to Nasdaq Listing Rule 5605(c)(4)(B), the Company was entitled to a cure period to regain compliance with Nasdaq Listing Rule 5605(c)(2)(A). The Company notified Nasdaq of the noncompliance on November 10, 2021.</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November 10, 2021, the Board appointed Michael B. Gustafson to the Board’s audit committee, effective immediately.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Following Mr. Gustafson’s appointment, the Company has regained compliance with Nasdaq Listing Rule 5605(c)(2)(A).</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6" w:lineRule="exact"/>
        <w:rPr>
          <w:sz w:val="20"/>
          <w:szCs w:val="20"/>
          <w:color w:val="auto"/>
        </w:rPr>
      </w:pPr>
    </w:p>
    <w:p>
      <w:pPr>
        <w:ind w:left="80"/>
        <w:spacing w:after="0"/>
        <w:tabs>
          <w:tab w:leader="none" w:pos="4600" w:val="left"/>
        </w:tabs>
        <w:rPr>
          <w:sz w:val="20"/>
          <w:szCs w:val="20"/>
          <w:color w:val="auto"/>
        </w:rPr>
      </w:pPr>
      <w:r>
        <w:rPr>
          <w:rFonts w:ascii="Arial" w:cs="Arial" w:eastAsia="Arial" w:hAnsi="Arial"/>
          <w:sz w:val="17"/>
          <w:szCs w:val="17"/>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20320</wp:posOffset>
            </wp:positionV>
            <wp:extent cx="4951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51730" cy="8255"/>
                    </a:xfrm>
                    <a:prstGeom prst="rect">
                      <a:avLst/>
                    </a:prstGeom>
                    <a:noFill/>
                  </pic:spPr>
                </pic:pic>
              </a:graphicData>
            </a:graphic>
          </wp:anchor>
        </w:drawing>
      </w:r>
    </w:p>
    <w:p>
      <w:pPr>
        <w:spacing w:after="0" w:line="222" w:lineRule="exact"/>
        <w:rPr>
          <w:sz w:val="20"/>
          <w:szCs w:val="20"/>
          <w:color w:val="auto"/>
        </w:rPr>
      </w:pPr>
    </w:p>
    <w:p>
      <w:pPr>
        <w:ind w:left="360"/>
        <w:spacing w:after="0"/>
        <w:tabs>
          <w:tab w:leader="none" w:pos="1140" w:val="left"/>
        </w:tabs>
        <w:rPr>
          <w:rFonts w:ascii="Arial" w:cs="Arial" w:eastAsia="Arial" w:hAnsi="Arial"/>
          <w:sz w:val="15"/>
          <w:szCs w:val="15"/>
          <w:u w:val="single" w:color="auto"/>
          <w:color w:val="0000EE"/>
        </w:rPr>
      </w:pPr>
      <w:r>
        <w:rPr>
          <w:rFonts w:ascii="Arial" w:cs="Arial" w:eastAsia="Arial" w:hAnsi="Arial"/>
          <w:sz w:val="17"/>
          <w:szCs w:val="17"/>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11, 2021</w:t>
        </w:r>
      </w:hyperlink>
    </w:p>
    <w:p>
      <w:pPr>
        <w:spacing w:after="0" w:line="223" w:lineRule="exact"/>
        <w:rPr>
          <w:sz w:val="20"/>
          <w:szCs w:val="20"/>
          <w:color w:val="auto"/>
        </w:rPr>
      </w:pPr>
    </w:p>
    <w:p>
      <w:pPr>
        <w:ind w:left="360"/>
        <w:spacing w:after="0"/>
        <w:tabs>
          <w:tab w:leader="none" w:pos="1140" w:val="left"/>
        </w:tabs>
        <w:rPr>
          <w:rFonts w:ascii="Arial" w:cs="Arial" w:eastAsia="Arial" w:hAnsi="Arial"/>
          <w:sz w:val="15"/>
          <w:szCs w:val="15"/>
          <w:u w:val="single" w:color="auto"/>
          <w:color w:val="0000EE"/>
        </w:rPr>
      </w:pPr>
      <w:r>
        <w:rPr>
          <w:rFonts w:ascii="Arial" w:cs="Arial" w:eastAsia="Arial" w:hAnsi="Arial"/>
          <w:sz w:val="17"/>
          <w:szCs w:val="17"/>
          <w:color w:val="auto"/>
        </w:rPr>
        <w:t>99.2</w:t>
      </w:r>
      <w:r>
        <w:rPr>
          <w:sz w:val="20"/>
          <w:szCs w:val="20"/>
          <w:color w:val="auto"/>
        </w:rPr>
        <w:tab/>
      </w:r>
      <w:hyperlink w:anchor="page12">
        <w:r>
          <w:rPr>
            <w:rFonts w:ascii="Arial" w:cs="Arial" w:eastAsia="Arial" w:hAnsi="Arial"/>
            <w:sz w:val="15"/>
            <w:szCs w:val="15"/>
            <w:u w:val="single" w:color="auto"/>
            <w:color w:val="0000EE"/>
          </w:rPr>
          <w:t>Earnings call transcript, dated November 11, 2021</w:t>
        </w:r>
      </w:hyperlink>
    </w:p>
    <w:p>
      <w:pPr>
        <w:spacing w:after="0" w:line="223"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left="40" w:right="259" w:firstLine="628"/>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Everspin Technologies, Inc.</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Dated: November 12, 2021</w:t>
      </w:r>
    </w:p>
    <w:p>
      <w:pPr>
        <w:spacing w:after="0" w:line="223"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16510</wp:posOffset>
            </wp:positionV>
            <wp:extent cx="2642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223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Anuj Aggarwal</w:t>
      </w:r>
    </w:p>
    <w:p>
      <w:pPr>
        <w:spacing w:after="0" w:line="2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482600</wp:posOffset>
            </wp:positionV>
            <wp:extent cx="565785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ind w:left="8560"/>
        <w:spacing w:after="0"/>
        <w:rPr>
          <w:sz w:val="20"/>
          <w:szCs w:val="20"/>
          <w:color w:val="auto"/>
        </w:rPr>
      </w:pPr>
      <w:r>
        <w:rPr>
          <w:rFonts w:ascii="Arial" w:cs="Arial" w:eastAsia="Arial" w:hAnsi="Arial"/>
          <w:sz w:val="16"/>
          <w:szCs w:val="16"/>
          <w:b w:val="1"/>
          <w:bCs w:val="1"/>
          <w:color w:val="auto"/>
        </w:rPr>
        <w:t>Exhibit 99.1</w:t>
      </w:r>
    </w:p>
    <w:p>
      <w:pPr>
        <w:spacing w:after="0" w:line="207" w:lineRule="exact"/>
        <w:rPr>
          <w:sz w:val="20"/>
          <w:szCs w:val="20"/>
          <w:color w:val="auto"/>
        </w:rPr>
      </w:pPr>
    </w:p>
    <w:p>
      <w:pPr>
        <w:ind w:left="2060"/>
        <w:spacing w:after="0"/>
        <w:rPr>
          <w:sz w:val="20"/>
          <w:szCs w:val="20"/>
          <w:color w:val="auto"/>
        </w:rPr>
      </w:pPr>
      <w:r>
        <w:rPr>
          <w:rFonts w:ascii="Arial" w:cs="Arial" w:eastAsia="Arial" w:hAnsi="Arial"/>
          <w:sz w:val="38"/>
          <w:szCs w:val="38"/>
          <w:b w:val="1"/>
          <w:bCs w:val="1"/>
          <w:color w:val="auto"/>
        </w:rPr>
        <w:t>Q3’21 Earnings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1</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353060</wp:posOffset>
            </wp:positionV>
            <wp:extent cx="628904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89040" cy="2476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Everspin Reports Unaudited Third Quarter 2021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Company Reports its Best Quarter in Company History</w:t>
      </w:r>
    </w:p>
    <w:p>
      <w:pPr>
        <w:spacing w:after="0" w:line="217"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 xml:space="preserve">Chandler, AZ, November 11, 2021 </w:t>
      </w:r>
      <w:r>
        <w:rPr>
          <w:rFonts w:ascii="Arial" w:cs="Arial" w:eastAsia="Arial" w:hAnsi="Arial"/>
          <w:sz w:val="17"/>
          <w:szCs w:val="17"/>
          <w:color w:val="auto"/>
        </w:rPr>
        <w:t>— Everspin Technologies, Inc. (NASDAQ: MRAM), the market leader in MRAM, today announced</w:t>
      </w:r>
      <w:r>
        <w:rPr>
          <w:rFonts w:ascii="Arial" w:cs="Arial" w:eastAsia="Arial" w:hAnsi="Arial"/>
          <w:sz w:val="17"/>
          <w:szCs w:val="17"/>
          <w:b w:val="1"/>
          <w:bCs w:val="1"/>
          <w:color w:val="auto"/>
        </w:rPr>
        <w:t xml:space="preserve"> </w:t>
      </w:r>
      <w:r>
        <w:rPr>
          <w:rFonts w:ascii="Arial" w:cs="Arial" w:eastAsia="Arial" w:hAnsi="Arial"/>
          <w:sz w:val="17"/>
          <w:szCs w:val="17"/>
          <w:color w:val="auto"/>
        </w:rPr>
        <w:t>preliminary unaudited financial results for the third fiscal quarter of 2021.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2021 Highlights</w:t>
      </w:r>
    </w:p>
    <w:p>
      <w:pPr>
        <w:spacing w:after="0" w:line="229" w:lineRule="exact"/>
        <w:rPr>
          <w:sz w:val="20"/>
          <w:szCs w:val="20"/>
          <w:color w:val="auto"/>
        </w:rPr>
      </w:pPr>
    </w:p>
    <w:p>
      <w:pPr>
        <w:ind w:left="320" w:hanging="315"/>
        <w:spacing w:after="0" w:line="264" w:lineRule="auto"/>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Q3’21 revenue increased 25% and $2.9 million from $11.9 million in the prior quarter to $14.8 million. This is an increase of 46.5% compared to $10.1 million of revenue in Q3’20.</w:t>
      </w:r>
    </w:p>
    <w:p>
      <w:pPr>
        <w:jc w:val="both"/>
        <w:ind w:left="320" w:hanging="315"/>
        <w:spacing w:after="0" w:line="257" w:lineRule="auto"/>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reported record net income of $880k for Q3’21, resulting in year-to-date net income for FY2021 of $676k. This is compared to a net loss reported of $3.9 million for Q3’20, with a prior year-to-date net loss of $6.9 million for the nine months ended September 30, 2020.</w:t>
      </w:r>
    </w:p>
    <w:p>
      <w:pPr>
        <w:ind w:left="320" w:hanging="315"/>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Ended Q3’21 with cash and equivalents of $14.6 million; which is an increase from $14.2 million reported in the prior quarter.</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“Everspin’s Q3 results are a reflection of our team’s ability to deliver on growing product revenue and monetizing our IP,” stated Darin Billerbeck, Everspin’s Executive Chairman and Interim CEO.</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2021 Results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Total revenue for the third quarter of 2021 was $14.8 million, an increase of 25% from the $11.85 million reported last quarter. This is an increase of 46.5% compared to $10.1 million of revenue in Q3’20.</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MRAM product sales in the third quarter, which includes both Toggle and STT-MRAM revenue, was $12 million vs $10.2 million in the prior quarter and $9.6 million in Q3’20. In Q3’21, the company entered into an intellectual property (“IP”) monetization deal worth $5.25 million. $1.3 million in revenue was recognized in Q3’21 and the remaining $3.95 million of revenue is expected to be recognized in Q4’21. Licensing, Royalties and Other revenue in the quarter was $2.8 million compared to $1.7 million in the previous quarter and $0.5 million in the prior year period. The increase in total revenue is due to strong Toggle sales, revenue recognition from a U.S. Government RAD-Hard program entered into earlier this year and the IP monetization deal note above.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Gross margin for the third quarter of 2021 was 57.1%, compared to 60.8% in the prior quarter and 23.0% in the third quarter of 2020.</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GAAP operating expenses for the third quarter of 2021 increased to $7.4 million, compared to $6.7 million in the second quarter of 2021 primarily due to increases in research and development, sales and marketing and administrative costs. This is compared to operating expenses of $6.0 million in the third quarter of 2020. GAAP operating expenses in the third quarter of 2021 included $1.03 million of stock-based compensation, compared to $704k in the prior quarter and $910k in the third quarter of 2020.</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GAAP net income for the third quarter of 2021 was $880k, or $0.05 per share, based on 19.5 million weighted-average basic common shares outstanding. This compares to a net income of $256k, or $0.01 per basic share, in the second quarter of 2021 and a net loss of $3.9 million, or ($0.21) per basic share, in the third quarter of 2020.</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Adjusted EBITDA for the third quarter of 2021 improved to $2.5 million, compared to $1.5 million in the prior quarter and a negative ($2.0) million in the third quarter of 2020.</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Cash and cash equivalents as of September 30, 2021, were $14.6 million, compared to $14.2 million in the prior quarter, and an increase from $13.9 million at the end of the third quarter of 2020.</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the fourth quarter 2021, Everspin expects total revenue in a range of $16.25 million to $17.25 million which, at the mid-point of $16.75 million, represents a 13.2% increase over $14.8 million third quarter 2021 actuals. The revenue range reflects expected product revenue growth as well as the remaining $3.95 million of revenue expected to be recognized for the IP monetization deal discussed above. Everspin expects a GAAP net income per basic share of between $0.02 and $0.08, primarily driven by expenses related to next generation 28nm STT MRAM product and price increases from our suppliers.</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2</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28904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89040" cy="24765"/>
                    </a:xfrm>
                    <a:prstGeom prst="rect">
                      <a:avLst/>
                    </a:prstGeom>
                    <a:noFill/>
                  </pic:spPr>
                </pic:pic>
              </a:graphicData>
            </a:graphic>
          </wp:anchor>
        </w:drawing>
      </w:r>
    </w:p>
    <w:p>
      <w:pPr>
        <w:sectPr>
          <w:pgSz w:w="11900" w:h="16838" w:orient="portrait"/>
          <w:cols w:equalWidth="0" w:num="1">
            <w:col w:w="9920"/>
          </w:cols>
          <w:pgMar w:left="980" w:top="854" w:right="999" w:bottom="1440" w:gutter="0" w:footer="0" w:header="0"/>
        </w:sectPr>
      </w:pPr>
    </w:p>
    <w:bookmarkStart w:id="5" w:name="page6"/>
    <w:bookmarkEnd w:id="5"/>
    <w:p>
      <w:pPr>
        <w:ind w:right="100"/>
        <w:spacing w:after="0" w:line="264" w:lineRule="auto"/>
        <w:rPr>
          <w:sz w:val="20"/>
          <w:szCs w:val="20"/>
          <w:color w:val="auto"/>
        </w:rPr>
      </w:pPr>
      <w:r>
        <w:rPr>
          <w:rFonts w:ascii="Arial" w:cs="Arial" w:eastAsia="Arial" w:hAnsi="Arial"/>
          <w:sz w:val="17"/>
          <w:szCs w:val="17"/>
          <w:color w:val="auto"/>
        </w:rPr>
        <w:t>This outlook is dependent on Everspin's current expectations, which may be impacted by, among other things, evolving external conditions, such as the resurgence of COVID-19 and its variants, local safety guidelines, worsening impacts due to supply chain constraints or interruptions, and the other risk factors described in Everspin's filings with the SEC, including its Annual Report on Form 10-K for the fiscal year ended December 31, 2020, its Quarterly Reports on Form 10-Q filed with the Securities and Exchange Commission (the “SEC”) during 2021, as well as in its subsequent filings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MRAM Solution Designed into Lucid Air Luxury Electric Vehicles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June 2021, Everspin announced MRAM Solutions will be designed into Lucid Air Luxury Electric Vehicles. Everspin believes the adoption of its MRAM technology in the Lucid Air – which delivers new benchmarks in range, efficiency, and power for electric vehicles – is a strong endorsement of the value of persistent, non-volatile memory that does not have the traditional wear-out problems associated with alternative memory technologies.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Non-GAAP Financial Measures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supplement the reporting of our financial information determined under generally accepted accounting principles in the United States of America (GAAP) with Adjusted EBIDTA, which is a non-GAAP financial measure. We define Adjusted EBITDA as net income (loss) adjusted for interest expense, taxes, depreciation and amortization, stock- based compensation expense, and restructuring costs if any.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management and board of directors use Adjusted EBIDTA to understand and evaluate our operating performance and trends, to prepare and approve our annual budget and to develop short-term and long-term operating and financing plans. Accordingly, our management believes that this non-GAAP measure provide useful information for investors in understanding and evaluating our operating results in the same manner as our management and our board of directors, as well as facilitating comparisons of our operating performance on a period-to-period basis.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Non-GAAP financial measures, including Adjusted EBIDTA, should not be considered as a substitute for, or superior to, measures of financial performance prepared in accordance with GAAP. Moreover, other companies may define non-GAAP measures differently, which limits the usefulness of these measures for comparisons with such other companies. We encourage investors to review our financial statements and publicly- filed reports in their entirety and not to rely on any single financial measure.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Everspin will host a conference call for analysts and investors on Thursday, November 11 at 5:00 p.m. Eastern Time. Interested participants can access the call by dialing </w:t>
      </w:r>
      <w:r>
        <w:rPr>
          <w:rFonts w:ascii="Arial" w:cs="Arial" w:eastAsia="Arial" w:hAnsi="Arial"/>
          <w:sz w:val="17"/>
          <w:szCs w:val="17"/>
          <w:b w:val="1"/>
          <w:bCs w:val="1"/>
          <w:color w:val="auto"/>
        </w:rPr>
        <w:t>1-844-889-7788</w:t>
      </w:r>
      <w:r>
        <w:rPr>
          <w:rFonts w:ascii="Arial" w:cs="Arial" w:eastAsia="Arial" w:hAnsi="Arial"/>
          <w:sz w:val="17"/>
          <w:szCs w:val="17"/>
          <w:color w:val="auto"/>
        </w:rPr>
        <w:t xml:space="preserve"> and providing passcode 2075705. International callers may join the call by dialing </w:t>
      </w:r>
      <w:r>
        <w:rPr>
          <w:rFonts w:ascii="Arial" w:cs="Arial" w:eastAsia="Arial" w:hAnsi="Arial"/>
          <w:sz w:val="17"/>
          <w:szCs w:val="17"/>
          <w:b w:val="1"/>
          <w:bCs w:val="1"/>
          <w:color w:val="auto"/>
        </w:rPr>
        <w:t>+1-404-537-3406</w:t>
      </w:r>
      <w:r>
        <w:rPr>
          <w:rFonts w:ascii="Arial" w:cs="Arial" w:eastAsia="Arial" w:hAnsi="Arial"/>
          <w:sz w:val="17"/>
          <w:szCs w:val="17"/>
          <w:color w:val="auto"/>
        </w:rPr>
        <w:t>, using the same code. The call will also be available as a live and archived webcast in the Investor Relations section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website at </w:t>
      </w:r>
      <w:r>
        <w:rPr>
          <w:rFonts w:ascii="Arial" w:cs="Arial" w:eastAsia="Arial" w:hAnsi="Arial"/>
          <w:sz w:val="17"/>
          <w:szCs w:val="17"/>
          <w:u w:val="single" w:color="auto"/>
          <w:color w:val="auto"/>
        </w:rPr>
        <w:t>investor.everspin.com</w:t>
      </w:r>
      <w:r>
        <w:rPr>
          <w:rFonts w:ascii="Arial" w:cs="Arial" w:eastAsia="Arial" w:hAnsi="Arial"/>
          <w:sz w:val="17"/>
          <w:szCs w:val="17"/>
          <w:color w:val="auto"/>
        </w:rPr>
        <w:t>.</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telephone replay of the conference call will be available approximately two hours after the call through November 19, 2021. The replay can be accessed by dialing 1-855-859-2056 and using the passcode 2075705. International callers should dial +1-404-537-3406 and enter the same passcode at the prompt.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Everspin Technologies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t>
      </w:r>
      <w:r>
        <w:rPr>
          <w:rFonts w:ascii="Arial" w:cs="Arial" w:eastAsia="Arial" w:hAnsi="Arial"/>
          <w:sz w:val="17"/>
          <w:szCs w:val="17"/>
          <w:u w:val="single" w:color="auto"/>
          <w:color w:val="auto"/>
        </w:rPr>
        <w:t>www.everspin.com</w:t>
      </w:r>
      <w:r>
        <w:rPr>
          <w:rFonts w:ascii="Arial" w:cs="Arial" w:eastAsia="Arial" w:hAnsi="Arial"/>
          <w:sz w:val="17"/>
          <w:szCs w:val="17"/>
          <w:color w:val="auto"/>
        </w:rPr>
        <w:t>. NASDAQ: MRAM.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3</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28904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89040" cy="24765"/>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“believe”, “will”, “may”, “estimate”, “continue”, “anticipate”, “intend”, “should”, “plan”, “expect”, “predict”, “could”, “potentially" or the negative of these terms or similar expressions. These include, but are not limited to, our future plans, strategies, objectives, expectations, intentions and financial performance, including the outlook and guidance for fourth quarter 2021 results, and the assumptions that underlie these statements. Actual results could differ materially from these forward-looking statements as a result of certain risks and uncertainties, including, without limitation, the risks set forth under the caption “Risk Factors” in Everspin’s Annual Report on Form 10-K for the year ended December 31, 2020 filed with the SEC on March 4, 2021, its Quarterly Reports on Form 10-Q filed with the SEC during 2021, as well as in its subsequent filings with the SEC. Any forward- 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Contact: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Anuj Aggarwal, CFO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 480-347-1082</w:t>
      </w:r>
    </w:p>
    <w:p>
      <w:pPr>
        <w:spacing w:after="0" w:line="14" w:lineRule="exact"/>
        <w:rPr>
          <w:sz w:val="20"/>
          <w:szCs w:val="20"/>
          <w:color w:val="auto"/>
        </w:rPr>
      </w:pPr>
    </w:p>
    <w:p>
      <w:pPr>
        <w:ind w:left="200" w:hanging="195"/>
        <w:spacing w:after="0"/>
        <w:tabs>
          <w:tab w:leader="none" w:pos="2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anuj.aggarwal@everspin.com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4</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28904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89040"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EVERSPIN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Arial" w:cs="Arial" w:eastAsia="Arial" w:hAnsi="Arial"/>
                <w:sz w:val="17"/>
                <w:szCs w:val="17"/>
                <w:color w:val="auto"/>
              </w:rPr>
              <w:t>Accounts receivable,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Inventory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34,901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32,529</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Accounts payable</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Arial" w:cs="Arial" w:eastAsia="Arial" w:hAnsi="Arial"/>
                <w:sz w:val="17"/>
                <w:szCs w:val="17"/>
                <w:color w:val="auto"/>
              </w:rPr>
              <w:t>Current portion of long-term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Operating lease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Long-term debt, net of 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liabilities, net of current portion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Long-term income tax liability</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13,576</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0" w:type="dxa"/>
            <w:vAlign w:val="bottom"/>
            <w:gridSpan w:val="2"/>
          </w:tcPr>
          <w:p>
            <w:pPr>
              <w:spacing w:after="0"/>
              <w:rPr>
                <w:sz w:val="20"/>
                <w:szCs w:val="20"/>
                <w:color w:val="auto"/>
              </w:rPr>
            </w:pPr>
            <w:r>
              <w:rPr>
                <w:rFonts w:ascii="Arial" w:cs="Arial" w:eastAsia="Arial" w:hAnsi="Arial"/>
                <w:sz w:val="17"/>
                <w:szCs w:val="17"/>
                <w:color w:val="auto"/>
              </w:rPr>
              <w:t>Commitments and contingencies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tcPr>
          <w:p>
            <w:pPr>
              <w:ind w:left="100"/>
              <w:spacing w:after="0"/>
              <w:rPr>
                <w:sz w:val="20"/>
                <w:szCs w:val="20"/>
                <w:color w:val="auto"/>
              </w:rPr>
            </w:pPr>
            <w:r>
              <w:rPr>
                <w:rFonts w:ascii="Arial" w:cs="Arial" w:eastAsia="Arial" w:hAnsi="Arial"/>
                <w:sz w:val="17"/>
                <w:szCs w:val="17"/>
                <w:color w:val="auto"/>
              </w:rPr>
              <w:t>Preferred stock, $0.0001 par value per share; 5,000,000 shares authorized; no shares issued and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220"/>
              <w:spacing w:after="0"/>
              <w:rPr>
                <w:sz w:val="20"/>
                <w:szCs w:val="20"/>
                <w:color w:val="auto"/>
              </w:rPr>
            </w:pPr>
            <w:r>
              <w:rPr>
                <w:rFonts w:ascii="Arial" w:cs="Arial" w:eastAsia="Arial" w:hAnsi="Arial"/>
                <w:sz w:val="17"/>
                <w:szCs w:val="17"/>
                <w:color w:val="auto"/>
              </w:rPr>
              <w:t>outstanding as of September 30, 2021 and December 31, 2020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3"/>
              </w:rPr>
              <w:t>Common stock, $0.0001 par value per share; 100,000,000 shares authorized; 19,552,125 and 19,031,556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shares issued and outstanding as of September 30, 2021 and December 31, 2020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177,821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174,584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(156,498)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21,325</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17,412</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34,901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32,529</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b w:val="1"/>
          <w:bCs w:val="1"/>
          <w:color w:val="auto"/>
        </w:rPr>
        <w:t>5</w:t>
      </w:r>
      <w:r>
        <w:rPr>
          <w:rFonts w:ascii="Arial" w:cs="Arial" w:eastAsia="Arial" w:hAnsi="Arial"/>
          <w:sz w:val="15"/>
          <w:szCs w:val="15"/>
          <w:color w:val="auto"/>
        </w:rPr>
        <w:t xml:space="preserve"> of </w:t>
      </w:r>
      <w:r>
        <w:rPr>
          <w:rFonts w:ascii="Arial" w:cs="Arial" w:eastAsia="Arial" w:hAnsi="Arial"/>
          <w:sz w:val="15"/>
          <w:szCs w:val="15"/>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367665</wp:posOffset>
            </wp:positionV>
            <wp:extent cx="628904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9040" cy="24765"/>
                    </a:xfrm>
                    <a:prstGeom prst="rect">
                      <a:avLst/>
                    </a:prstGeom>
                    <a:noFill/>
                  </pic:spPr>
                </pic:pic>
              </a:graphicData>
            </a:graphic>
          </wp:anchor>
        </w:drawing>
      </w:r>
    </w:p>
    <w:p>
      <w:pPr>
        <w:sectPr>
          <w:pgSz w:w="11900" w:h="16838" w:orient="portrait"/>
          <w:cols w:equalWidth="0" w:num="1">
            <w:col w:w="9920"/>
          </w:cols>
          <w:pgMar w:left="980" w:top="854" w:right="999" w:bottom="1440" w:gutter="0" w:footer="0" w:header="0"/>
        </w:sectPr>
      </w:pPr>
    </w:p>
    <w:bookmarkStart w:id="8" w:name="page9"/>
    <w:bookmarkEnd w:id="8"/>
    <w:p>
      <w:pPr>
        <w:jc w:val="center"/>
        <w:ind w:left="1000" w:right="2260"/>
        <w:spacing w:after="0" w:line="273" w:lineRule="auto"/>
        <w:rPr>
          <w:sz w:val="20"/>
          <w:szCs w:val="20"/>
          <w:color w:val="auto"/>
        </w:rPr>
      </w:pPr>
      <w:r>
        <w:rPr>
          <w:rFonts w:ascii="Arial" w:cs="Arial" w:eastAsia="Arial" w:hAnsi="Arial"/>
          <w:sz w:val="17"/>
          <w:szCs w:val="17"/>
          <w:b w:val="1"/>
          <w:bCs w:val="1"/>
          <w:color w:val="auto"/>
        </w:rPr>
        <w:t>EVERSPIN TECHNOLOGIES, INC. Condensed Statements of Operations and Comprehensive Income (Loss) (In thousands, except share and per share amounts) (Unaudited)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2"/>
              </w:rPr>
              <w:t>Three Months Ended 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74"/>
              <w:spacing w:after="0" w:line="137"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73"/>
              <w:spacing w:after="0" w:line="137"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14"/>
              <w:spacing w:after="0" w:line="137"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13"/>
              <w:spacing w:after="0" w:line="137"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Product sales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Licensing, royalty, patent, and other revenue</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revenue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36,923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Cost of product sales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14,629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Cost of licensing, royalty, patent, and other revenue</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cost of sales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7,791</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19,183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Gross profit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21,629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line="210" w:lineRule="exact"/>
              <w:rPr>
                <w:sz w:val="20"/>
                <w:szCs w:val="20"/>
                <w:color w:val="auto"/>
              </w:rPr>
            </w:pPr>
            <w:r>
              <w:rPr>
                <w:rFonts w:ascii="Arial" w:cs="Arial" w:eastAsia="Arial" w:hAnsi="Arial"/>
                <w:sz w:val="16"/>
                <w:szCs w:val="16"/>
                <w:color w:val="auto"/>
              </w:rPr>
              <w:t>Operating expenses:</w:t>
            </w:r>
            <w:r>
              <w:rPr>
                <w:rFonts w:ascii="Arial" w:cs="Arial" w:eastAsia="Arial" w:hAnsi="Arial"/>
                <w:sz w:val="24"/>
                <w:szCs w:val="24"/>
                <w:color w:val="auto"/>
                <w:vertAlign w:val="superscript"/>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Research and development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7"/>
                <w:szCs w:val="17"/>
                <w:color w:val="auto"/>
              </w:rPr>
              <w:t>General and administrative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Sales and marketing</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Total operating expenses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20,382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19,251</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Interest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gridSpan w:val="2"/>
          </w:tcPr>
          <w:p>
            <w:pPr>
              <w:spacing w:after="0"/>
              <w:rPr>
                <w:sz w:val="20"/>
                <w:szCs w:val="20"/>
                <w:color w:val="auto"/>
              </w:rPr>
            </w:pPr>
            <w:r>
              <w:rPr>
                <w:rFonts w:ascii="Arial" w:cs="Arial" w:eastAsia="Arial" w:hAnsi="Arial"/>
                <w:sz w:val="17"/>
                <w:szCs w:val="17"/>
                <w:color w:val="auto"/>
              </w:rPr>
              <w:t>Net income (loss) before income taxes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902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(3,871)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700" w:type="dxa"/>
            <w:vAlign w:val="bottom"/>
            <w:gridSpan w:val="2"/>
          </w:tcPr>
          <w:p>
            <w:pPr>
              <w:spacing w:after="0"/>
              <w:rPr>
                <w:sz w:val="20"/>
                <w:szCs w:val="20"/>
                <w:color w:val="auto"/>
              </w:rPr>
            </w:pPr>
            <w:r>
              <w:rPr>
                <w:rFonts w:ascii="Arial" w:cs="Arial" w:eastAsia="Arial" w:hAnsi="Arial"/>
                <w:sz w:val="17"/>
                <w:szCs w:val="17"/>
                <w:color w:val="auto"/>
              </w:rPr>
              <w:t>Net income (loss) and comprehensive income (loss)</w:t>
            </w:r>
          </w:p>
        </w:tc>
        <w:tc>
          <w:tcPr>
            <w:tcW w:w="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(3,895)</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8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7"/>
                <w:szCs w:val="17"/>
                <w:color w:val="auto"/>
              </w:rPr>
              <w:t>Net income (loss) per share attributable to common</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stockholders: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Arial" w:cs="Arial" w:eastAsia="Arial" w:hAnsi="Arial"/>
                <w:sz w:val="17"/>
                <w:szCs w:val="17"/>
                <w:color w:val="auto"/>
              </w:rPr>
              <w:t>Basic</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0.05</w:t>
            </w:r>
          </w:p>
        </w:tc>
        <w:tc>
          <w:tcPr>
            <w:tcW w:w="44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(0.21)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0.03</w:t>
            </w:r>
          </w:p>
        </w:tc>
        <w:tc>
          <w:tcPr>
            <w:tcW w:w="200" w:type="dxa"/>
            <w:vAlign w:val="bottom"/>
          </w:tcPr>
          <w:p>
            <w:pPr>
              <w:spacing w:after="0"/>
              <w:rPr>
                <w:sz w:val="21"/>
                <w:szCs w:val="21"/>
                <w:color w:val="auto"/>
              </w:rPr>
            </w:pP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tcBorders>
              <w:top w:val="single" w:sz="8" w:color="CCEEFF"/>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Diluted</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(0.21)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(0.37)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spacing w:after="0" w:line="190" w:lineRule="exact"/>
              <w:rPr>
                <w:sz w:val="20"/>
                <w:szCs w:val="20"/>
                <w:color w:val="auto"/>
              </w:rPr>
            </w:pPr>
            <w:r>
              <w:rPr>
                <w:rFonts w:ascii="Arial" w:cs="Arial" w:eastAsia="Arial" w:hAnsi="Arial"/>
                <w:sz w:val="17"/>
                <w:szCs w:val="17"/>
                <w:color w:val="auto"/>
                <w:w w:val="96"/>
              </w:rPr>
              <w:t>Weighted average common shares used to compute net income</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7"/>
                <w:szCs w:val="17"/>
                <w:color w:val="auto"/>
                <w:w w:val="96"/>
              </w:rPr>
              <w:t>(loss) per common share attributable to common stockholders: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Basic</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19,511,132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18,942,163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19,296,241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18,705,149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0"/>
              <w:spacing w:after="0"/>
              <w:rPr>
                <w:sz w:val="20"/>
                <w:szCs w:val="20"/>
                <w:color w:val="auto"/>
              </w:rPr>
            </w:pPr>
            <w:r>
              <w:rPr>
                <w:rFonts w:ascii="Arial" w:cs="Arial" w:eastAsia="Arial" w:hAnsi="Arial"/>
                <w:sz w:val="17"/>
                <w:szCs w:val="17"/>
                <w:color w:val="auto"/>
              </w:rPr>
              <w:t>Diluted</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19,912,918</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18,942,163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19,787,889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8"/>
              </w:rPr>
              <w:t>18,705,149</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tcPr>
          <w:p>
            <w:pPr>
              <w:spacing w:after="0" w:line="210" w:lineRule="exact"/>
              <w:rPr>
                <w:sz w:val="20"/>
                <w:szCs w:val="20"/>
                <w:color w:val="auto"/>
              </w:rPr>
            </w:pPr>
            <w:r>
              <w:rPr>
                <w:rFonts w:ascii="Arial" w:cs="Arial" w:eastAsia="Arial" w:hAnsi="Arial"/>
                <w:sz w:val="24"/>
                <w:szCs w:val="24"/>
                <w:color w:val="auto"/>
                <w:w w:val="96"/>
                <w:vertAlign w:val="superscript"/>
              </w:rPr>
              <w:t>1</w:t>
            </w:r>
            <w:r>
              <w:rPr>
                <w:rFonts w:ascii="Arial" w:cs="Arial" w:eastAsia="Arial" w:hAnsi="Arial"/>
                <w:sz w:val="16"/>
                <w:szCs w:val="16"/>
                <w:color w:val="auto"/>
                <w:w w:val="96"/>
              </w:rPr>
              <w:t>Operating expenses include stock-based compensation as follows: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Research and development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44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7"/>
                <w:szCs w:val="17"/>
                <w:color w:val="auto"/>
              </w:rPr>
              <w:t>General and administrative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Sales and marketing</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200"/>
              <w:spacing w:after="0"/>
              <w:rPr>
                <w:sz w:val="20"/>
                <w:szCs w:val="20"/>
                <w:color w:val="auto"/>
              </w:rPr>
            </w:pPr>
            <w:r>
              <w:rPr>
                <w:rFonts w:ascii="Arial" w:cs="Arial" w:eastAsia="Arial" w:hAnsi="Arial"/>
                <w:sz w:val="17"/>
                <w:szCs w:val="17"/>
                <w:color w:val="auto"/>
              </w:rPr>
              <w:t>Total stock-based compensation</w:t>
            </w: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b w:val="1"/>
          <w:bCs w:val="1"/>
          <w:color w:val="auto"/>
        </w:rPr>
        <w:t>6</w:t>
      </w:r>
      <w:r>
        <w:rPr>
          <w:rFonts w:ascii="Arial" w:cs="Arial" w:eastAsia="Arial" w:hAnsi="Arial"/>
          <w:sz w:val="15"/>
          <w:szCs w:val="15"/>
          <w:color w:val="auto"/>
        </w:rPr>
        <w:t xml:space="preserve"> of </w:t>
      </w:r>
      <w:r>
        <w:rPr>
          <w:rFonts w:ascii="Arial" w:cs="Arial" w:eastAsia="Arial" w:hAnsi="Arial"/>
          <w:sz w:val="15"/>
          <w:szCs w:val="15"/>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367665</wp:posOffset>
            </wp:positionV>
            <wp:extent cx="628904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89040" cy="24765"/>
                    </a:xfrm>
                    <a:prstGeom prst="rect">
                      <a:avLst/>
                    </a:prstGeom>
                    <a:noFill/>
                  </pic:spPr>
                </pic:pic>
              </a:graphicData>
            </a:graphic>
          </wp:anchor>
        </w:drawing>
      </w:r>
    </w:p>
    <w:p>
      <w:pPr>
        <w:sectPr>
          <w:pgSz w:w="11900" w:h="16838" w:orient="portrait"/>
          <w:cols w:equalWidth="0" w:num="1">
            <w:col w:w="9920"/>
          </w:cols>
          <w:pgMar w:left="980" w:top="854" w:right="99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EVERSPIN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Adjusted EBITDA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gridSpan w:val="2"/>
          </w:tcPr>
          <w:p>
            <w:pPr>
              <w:jc w:val="right"/>
              <w:ind w:right="15"/>
              <w:spacing w:after="0" w:line="114"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right"/>
              <w:ind w:right="219"/>
              <w:spacing w:after="0" w:line="114"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right"/>
              <w:ind w:right="138"/>
              <w:spacing w:after="0" w:line="114"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right"/>
              <w:ind w:right="18"/>
              <w:spacing w:after="0" w:line="114" w:lineRule="exact"/>
              <w:rPr>
                <w:sz w:val="20"/>
                <w:szCs w:val="20"/>
                <w:color w:val="auto"/>
              </w:rPr>
            </w:pPr>
            <w:r>
              <w:rPr>
                <w:rFonts w:ascii="Arial" w:cs="Arial" w:eastAsia="Arial" w:hAnsi="Arial"/>
                <w:sz w:val="13"/>
                <w:szCs w:val="13"/>
                <w:b w:val="1"/>
                <w:bCs w:val="1"/>
                <w:color w:val="auto"/>
                <w:w w:val="94"/>
              </w:rPr>
              <w:t>September 30,</w:t>
            </w:r>
          </w:p>
        </w:tc>
        <w:tc>
          <w:tcPr>
            <w:tcW w:w="40" w:type="dxa"/>
            <w:vAlign w:val="bottom"/>
          </w:tcPr>
          <w:p>
            <w:pPr>
              <w:spacing w:after="0"/>
              <w:rPr>
                <w:sz w:val="9"/>
                <w:szCs w:val="9"/>
                <w:color w:val="auto"/>
              </w:rPr>
            </w:pPr>
          </w:p>
        </w:tc>
      </w:tr>
      <w:tr>
        <w:trPr>
          <w:trHeight w:val="166"/>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reconciliation:</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Net income (loss)</w:t>
            </w:r>
          </w:p>
        </w:tc>
        <w:tc>
          <w:tcPr>
            <w:tcW w:w="1600" w:type="dxa"/>
            <w:vAlign w:val="bottom"/>
            <w:gridSpan w:val="2"/>
          </w:tcPr>
          <w:p>
            <w:pPr>
              <w:jc w:val="right"/>
              <w:ind w:right="7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880</w:t>
            </w:r>
          </w:p>
        </w:tc>
        <w:tc>
          <w:tcPr>
            <w:tcW w:w="34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256</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(3,895)</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910</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Income tax expense</w:t>
            </w:r>
          </w:p>
        </w:tc>
        <w:tc>
          <w:tcPr>
            <w:tcW w:w="1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40" w:type="dxa"/>
            <w:vAlign w:val="bottom"/>
            <w:tcBorders>
              <w:bottom w:val="single" w:sz="8" w:color="CCEEFF"/>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2,455</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(2,005)</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b w:val="1"/>
          <w:bCs w:val="1"/>
          <w:color w:val="auto"/>
        </w:rPr>
        <w:t>7</w:t>
      </w:r>
      <w:r>
        <w:rPr>
          <w:rFonts w:ascii="Arial" w:cs="Arial" w:eastAsia="Arial" w:hAnsi="Arial"/>
          <w:sz w:val="15"/>
          <w:szCs w:val="15"/>
          <w:color w:val="auto"/>
        </w:rPr>
        <w:t xml:space="preserve"> of </w:t>
      </w:r>
      <w:r>
        <w:rPr>
          <w:rFonts w:ascii="Arial" w:cs="Arial" w:eastAsia="Arial" w:hAnsi="Arial"/>
          <w:sz w:val="15"/>
          <w:szCs w:val="15"/>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367665</wp:posOffset>
            </wp:positionV>
            <wp:extent cx="628904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89040" cy="24765"/>
                    </a:xfrm>
                    <a:prstGeom prst="rect">
                      <a:avLst/>
                    </a:prstGeom>
                    <a:noFill/>
                  </pic:spPr>
                </pic:pic>
              </a:graphicData>
            </a:graphic>
          </wp:anchor>
        </w:drawing>
      </w:r>
    </w:p>
    <w:p>
      <w:pPr>
        <w:sectPr>
          <w:pgSz w:w="11900" w:h="16838" w:orient="portrait"/>
          <w:cols w:equalWidth="0" w:num="1">
            <w:col w:w="9920"/>
          </w:cols>
          <w:pgMar w:left="980" w:top="1063" w:right="99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EVERSPIN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22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3"/>
              <w:spacing w:after="0" w:line="137"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3"/>
              <w:spacing w:after="0" w:line="137"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Net income (loss)</w:t>
            </w:r>
          </w:p>
        </w:tc>
        <w:tc>
          <w:tcPr>
            <w:tcW w:w="72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676</w:t>
            </w:r>
          </w:p>
        </w:tc>
        <w:tc>
          <w:tcPr>
            <w:tcW w:w="160" w:type="dxa"/>
            <w:vAlign w:val="bottom"/>
          </w:tcPr>
          <w:p>
            <w:pPr>
              <w:spacing w:after="0"/>
              <w:rPr>
                <w:sz w:val="18"/>
                <w:szCs w:val="18"/>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(6,921)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(used in) operating activities: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Stock-based compensation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2,474</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Arial" w:cs="Arial" w:eastAsia="Arial" w:hAnsi="Arial"/>
                <w:sz w:val="17"/>
                <w:szCs w:val="17"/>
                <w:color w:val="auto"/>
              </w:rPr>
              <w:t>Non-cash warrant revaluation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Non-cash interest expense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Accounts receivable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Arial" w:cs="Arial" w:eastAsia="Arial" w:hAnsi="Arial"/>
                <w:sz w:val="17"/>
                <w:szCs w:val="17"/>
                <w:color w:val="auto"/>
              </w:rPr>
              <w:t>Inventory</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Arial" w:cs="Arial" w:eastAsia="Arial" w:hAnsi="Arial"/>
                <w:sz w:val="17"/>
                <w:szCs w:val="17"/>
                <w:color w:val="auto"/>
              </w:rPr>
              <w:t>Other assets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Accounts payable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Arial" w:cs="Arial" w:eastAsia="Arial" w:hAnsi="Arial"/>
                <w:sz w:val="17"/>
                <w:szCs w:val="17"/>
                <w:color w:val="auto"/>
              </w:rPr>
              <w:t>Accrued liabilities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revenue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Lease liabilities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cash provided by (used in) operating activities</w:t>
            </w:r>
          </w:p>
        </w:tc>
        <w:tc>
          <w:tcPr>
            <w:tcW w:w="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2,938</w:t>
            </w: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Net cash used in investing activities</w:t>
            </w:r>
          </w:p>
        </w:tc>
        <w:tc>
          <w:tcPr>
            <w:tcW w:w="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Payments on long-term debt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Payments on finance lease obligation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w w:val="97"/>
              </w:rPr>
              <w:t>Proceeds from exercise of stock options and purchase of shares in employee stock purchase plan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common stock in at-the-market offering, net of issuance costs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Net cash (used in) provided by financing activities</w:t>
            </w:r>
          </w:p>
        </w:tc>
        <w:tc>
          <w:tcPr>
            <w:tcW w:w="5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(2,401)</w:t>
            </w:r>
          </w:p>
        </w:tc>
        <w:tc>
          <w:tcPr>
            <w:tcW w:w="1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14,599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14,558</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13,927</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Supplementary cash flow information:</w:t>
            </w: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2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72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7"/>
                <w:szCs w:val="17"/>
                <w:color w:val="auto"/>
              </w:rPr>
              <w:t>Operating cash flows paid for operating leases</w:t>
            </w:r>
          </w:p>
        </w:tc>
        <w:tc>
          <w:tcPr>
            <w:tcW w:w="7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1,212</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Financing cash flows paid for finance leases</w:t>
            </w: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2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Increase of right-of-use asset and lease liability due to lease modification</w:t>
            </w:r>
          </w:p>
        </w:tc>
        <w:tc>
          <w:tcPr>
            <w:tcW w:w="72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7"/>
                <w:szCs w:val="17"/>
                <w:color w:val="auto"/>
              </w:rPr>
              <w:t>Purchases of property and equipment in accounts payable and accrued liabilities</w:t>
            </w:r>
          </w:p>
        </w:tc>
        <w:tc>
          <w:tcPr>
            <w:tcW w:w="7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Bonus settled in shares of common stock</w:t>
            </w: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364</w:t>
            </w:r>
          </w:p>
        </w:tc>
        <w:tc>
          <w:tcPr>
            <w:tcW w:w="1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7"/>
                <w:szCs w:val="17"/>
                <w:color w:val="auto"/>
              </w:rPr>
              <w:t>Issuance of warrant with debt</w:t>
            </w:r>
          </w:p>
        </w:tc>
        <w:tc>
          <w:tcPr>
            <w:tcW w:w="7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b w:val="1"/>
          <w:bCs w:val="1"/>
          <w:color w:val="auto"/>
        </w:rPr>
        <w:t>8</w:t>
      </w:r>
      <w:r>
        <w:rPr>
          <w:rFonts w:ascii="Arial" w:cs="Arial" w:eastAsia="Arial" w:hAnsi="Arial"/>
          <w:sz w:val="15"/>
          <w:szCs w:val="15"/>
          <w:color w:val="auto"/>
        </w:rPr>
        <w:t xml:space="preserve"> of </w:t>
      </w:r>
      <w:r>
        <w:rPr>
          <w:rFonts w:ascii="Arial" w:cs="Arial" w:eastAsia="Arial" w:hAnsi="Arial"/>
          <w:sz w:val="15"/>
          <w:szCs w:val="15"/>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367665</wp:posOffset>
            </wp:positionV>
            <wp:extent cx="628904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89040" cy="24765"/>
                    </a:xfrm>
                    <a:prstGeom prst="rect">
                      <a:avLst/>
                    </a:prstGeom>
                    <a:noFill/>
                  </pic:spPr>
                </pic:pic>
              </a:graphicData>
            </a:graphic>
          </wp:anchor>
        </w:drawing>
      </w:r>
    </w:p>
    <w:p>
      <w:pPr>
        <w:sectPr>
          <w:pgSz w:w="11900" w:h="16838" w:orient="portrait"/>
          <w:cols w:equalWidth="0" w:num="1">
            <w:col w:w="9920"/>
          </w:cols>
          <w:pgMar w:left="980" w:top="1063" w:right="999" w:bottom="1440" w:gutter="0" w:footer="0" w:header="0"/>
        </w:sectPr>
      </w:pPr>
    </w:p>
    <w:bookmarkStart w:id="11" w:name="page12"/>
    <w:bookmarkEnd w:id="11"/>
    <w:p>
      <w:pPr>
        <w:ind w:left="922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10064115</wp:posOffset>
            </wp:positionV>
            <wp:extent cx="675449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54495" cy="2476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wp:posOffset>
            </wp:positionH>
            <wp:positionV relativeFrom="page">
              <wp:posOffset>88900</wp:posOffset>
            </wp:positionV>
            <wp:extent cx="6878955" cy="10060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78955" cy="1006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wp:posOffset>
            </wp:positionH>
            <wp:positionV relativeFrom="page">
              <wp:posOffset>88900</wp:posOffset>
            </wp:positionV>
            <wp:extent cx="6878955" cy="10060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8955" cy="1006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wp:posOffset>
            </wp:positionH>
            <wp:positionV relativeFrom="page">
              <wp:posOffset>88900</wp:posOffset>
            </wp:positionV>
            <wp:extent cx="6878955" cy="10060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8955" cy="1006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wp:posOffset>
            </wp:positionH>
            <wp:positionV relativeFrom="page">
              <wp:posOffset>88900</wp:posOffset>
            </wp:positionV>
            <wp:extent cx="6878955" cy="10060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8955" cy="1006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wp:posOffset>
            </wp:positionH>
            <wp:positionV relativeFrom="page">
              <wp:posOffset>88900</wp:posOffset>
            </wp:positionV>
            <wp:extent cx="6878955" cy="10060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78955" cy="1006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wp:posOffset>
            </wp:positionH>
            <wp:positionV relativeFrom="page">
              <wp:posOffset>88900</wp:posOffset>
            </wp:positionV>
            <wp:extent cx="6878955" cy="10060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8955" cy="1006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wp:posOffset>
            </wp:positionH>
            <wp:positionV relativeFrom="page">
              <wp:posOffset>88900</wp:posOffset>
            </wp:positionV>
            <wp:extent cx="6878955" cy="10060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8955" cy="1006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wp:posOffset>
            </wp:positionH>
            <wp:positionV relativeFrom="page">
              <wp:posOffset>88900</wp:posOffset>
            </wp:positionV>
            <wp:extent cx="6878955" cy="10060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8955" cy="10060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2021-11-12T22:51:37Z</dcterms:created>
  <dcterms:modified xsi:type="dcterms:W3CDTF">2021-11-12T22:51:37Z</dcterms:modified>
</cp:coreProperties>
</file>