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mram-20231101x8k.htm"/>
      <w:bookmarkStart w:id="1" w:name="ksmram20231101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bookmarkStart w:id="2" w:name="_5d9c5431_a5cd_4497_a1b0_2dc31e1ac2f3"/>
      <w:bookmarkEnd w:id="2"/>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 REPORT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Pursuant to Section 13 or 15(d)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Report (Date of earliest event reported): November 1, 2023</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Everspin Technologies,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e9V1ezEcREqdPHPtjDPnNw_3_2"/>
      <w:bookmarkStart w:id="4" w:name="Tc__HHv04wv9kSjxJK1yu2osQ_3_1"/>
      <w:bookmarkStart w:id="5" w:name="Tc_Xojosbd8FkaLrnpdZLbQSw_3_0"/>
      <w:bookmarkStart w:id="6" w:name="Tc_2aXQcklrb0y0pJ9mKteLoQ_2_2"/>
      <w:bookmarkStart w:id="7" w:name="Tc_n8dwa5y1F0OfeUW1GDq2DQ_2_1"/>
      <w:bookmarkStart w:id="8" w:name="Tc_kEaUGzxGrEuV0r-Vr4YKoQ_2_0"/>
      <w:bookmarkStart w:id="9" w:name="_95aca28f_023d_4dd8_adf6_29a413db3fd7"/>
      <w:bookmarkStart w:id="10" w:name="Tc_e9V1ezEcREqdPHPtjDPnNw_3_2"/>
      <w:bookmarkStart w:id="11" w:name="Tc__HHv04wv9kSjxJK1yu2osQ_3_1"/>
      <w:bookmarkStart w:id="12" w:name="Tc_Xojosbd8FkaLrnpdZLbQSw_3_0"/>
      <w:bookmarkStart w:id="13" w:name="Tc_2aXQcklrb0y0pJ9mKteLoQ_2_2"/>
      <w:bookmarkStart w:id="14" w:name="Tc_n8dwa5y1F0OfeUW1GDq2DQ_2_1"/>
      <w:bookmarkStart w:id="15" w:name="Tc_kEaUGzxGrEuV0r-Vr4YKoQ_2_0"/>
      <w:bookmarkStart w:id="16" w:name="_95aca28f_023d_4dd8_adf6_29a413db3fd7"/>
      <w:bookmarkEnd w:id="10"/>
      <w:bookmarkEnd w:id="11"/>
      <w:bookmarkEnd w:id="12"/>
      <w:bookmarkEnd w:id="13"/>
      <w:bookmarkEnd w:id="14"/>
      <w:bookmarkEnd w:id="15"/>
      <w:bookmarkEnd w:id="16"/>
    </w:p>
    <w:tbl>
      <w:tblPr>
        <w:tblW w:w="4623" w:type="dxa"/>
        <w:jc w:val="left"/>
        <w:tblInd w:w="0" w:type="dxa"/>
        <w:tblLayout w:type="fixed"/>
        <w:tblCellMar>
          <w:top w:w="0" w:type="dxa"/>
          <w:left w:w="0" w:type="dxa"/>
          <w:bottom w:w="0" w:type="dxa"/>
          <w:right w:w="0" w:type="dxa"/>
        </w:tblCellMar>
      </w:tblPr>
      <w:tblGrid>
        <w:gridCol w:w="2071"/>
        <w:gridCol w:w="1066"/>
        <w:gridCol w:w="148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15085" cy="175260"/>
                      <wp:effectExtent l="0" t="0" r="0" b="0"/>
                      <wp:wrapNone/>
                      <wp:docPr id="1" name="Frame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43610" cy="175260"/>
                      <wp:effectExtent l="0" t="0" r="0" b="0"/>
                      <wp:wrapNone/>
                      <wp:docPr id="3" name="Frame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001-37900</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26-2640654</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5670 W. Chandler Blvd.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130</w:t>
      </w:r>
    </w:p>
    <w:p>
      <w:pPr>
        <w:pStyle w:val="TextBody"/>
        <w:bidi w:val="0"/>
        <w:spacing w:before="0" w:after="0"/>
        <w:ind w:left="0" w:right="0" w:hanging="0"/>
        <w:jc w:val="center"/>
        <w:rPr>
          <w:rFonts w:ascii="Arial;Helvetica;sans-serif" w:hAnsi="Arial;Helvetica;sans-serif"/>
          <w:sz w:val="20"/>
        </w:rPr>
      </w:pPr>
      <w:r>
        <w:rPr>
          <w:rFonts w:ascii="Times New Roman;Times;serif" w:hAnsi="Times New Roman;Times;serif"/>
          <w:b/>
          <w:sz w:val="16"/>
        </w:rPr>
        <w:t>Chandler, Arizona</w:t>
      </w:r>
      <w:r>
        <w:rPr>
          <w:rFonts w:ascii="Arial;Helvetica;sans-serif" w:hAnsi="Arial;Helvetica;sans-serif"/>
          <w:sz w:val="20"/>
        </w:rPr>
        <w:t xml:space="preserve"> </w:t>
      </w:r>
      <w:r>
        <w:rPr>
          <w:rFonts w:ascii="Times New Roman;Times;serif" w:hAnsi="Times New Roman;Times;serif"/>
          <w:b/>
          <w:sz w:val="16"/>
        </w:rPr>
        <w:t>85226</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(480) 347-1111</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Not Applicable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p>
      <w:pPr>
        <w:pStyle w:val="TextBody"/>
        <w:bidi w:val="0"/>
        <w:spacing w:before="0" w:after="0"/>
        <w:ind w:left="0" w:right="0" w:hanging="0"/>
        <w:jc w:val="left"/>
        <w:rPr/>
      </w:pPr>
      <w:r>
        <w:rPr/>
        <w:t>​</w:t>
      </w:r>
    </w:p>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p>
      <w:pPr>
        <w:pStyle w:val="TextBody"/>
        <w:bidi w:val="0"/>
        <w:spacing w:before="0" w:after="0"/>
        <w:ind w:left="0" w:right="0" w:hanging="0"/>
        <w:jc w:val="left"/>
        <w:rPr/>
      </w:pPr>
      <w:r>
        <w:rPr/>
        <w:t>​</w:t>
      </w:r>
    </w:p>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6"/>
        </w:rPr>
        <w:t>Pre-commencement communications pursuant to Rule 13e-4(c) under the Exchange Act (17 CFR 240.13e-4(c))</w:t>
      </w:r>
    </w:p>
    <w:p>
      <w:pPr>
        <w:pStyle w:val="TextBody"/>
        <w:bidi w:val="0"/>
        <w:spacing w:before="0" w:after="0"/>
        <w:ind w:left="0" w:right="0" w:firstLine="8"/>
        <w:jc w:val="left"/>
        <w:rPr/>
      </w:pPr>
      <w:r>
        <w:rPr/>
        <w:t>​</w:t>
      </w:r>
    </w:p>
    <w:p>
      <w:pPr>
        <w:pStyle w:val="TextBody"/>
        <w:bidi w:val="0"/>
        <w:spacing w:before="0" w:after="0"/>
        <w:ind w:left="0" w:right="0" w:firstLine="8"/>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gYFOdfFyAkS47p5hBbK-kg_2_4"/>
      <w:bookmarkStart w:id="18" w:name="Tc_QGOwjurmYEmQgzmQFteqkg_2_2"/>
      <w:bookmarkStart w:id="19" w:name="Tc_AcsxbiJQqEOR4qVzR2HeSA_2_0"/>
      <w:bookmarkStart w:id="20" w:name="Tc_idBKqjiGGkuF3q5mIpHVvw_1_4"/>
      <w:bookmarkStart w:id="21" w:name="_f2746404_9f51_4d9f_a11d_2495f3f23645"/>
      <w:bookmarkStart w:id="22" w:name="Tc_gYFOdfFyAkS47p5hBbK-kg_2_4"/>
      <w:bookmarkStart w:id="23" w:name="Tc_QGOwjurmYEmQgzmQFteqkg_2_2"/>
      <w:bookmarkStart w:id="24" w:name="Tc_AcsxbiJQqEOR4qVzR2HeSA_2_0"/>
      <w:bookmarkStart w:id="25" w:name="Tc_idBKqjiGGkuF3q5mIpHVvw_1_4"/>
      <w:bookmarkStart w:id="26" w:name="_f2746404_9f51_4d9f_a11d_2495f3f23645"/>
      <w:bookmarkEnd w:id="22"/>
      <w:bookmarkEnd w:id="23"/>
      <w:bookmarkEnd w:id="24"/>
      <w:bookmarkEnd w:id="25"/>
      <w:bookmarkEnd w:id="26"/>
    </w:p>
    <w:tbl>
      <w:tblPr>
        <w:tblW w:w="7300" w:type="dxa"/>
        <w:jc w:val="left"/>
        <w:tblInd w:w="0" w:type="dxa"/>
        <w:tblLayout w:type="fixed"/>
        <w:tblCellMar>
          <w:top w:w="0" w:type="dxa"/>
          <w:left w:w="0" w:type="dxa"/>
          <w:bottom w:w="0" w:type="dxa"/>
          <w:right w:w="0" w:type="dxa"/>
        </w:tblCellMar>
      </w:tblPr>
      <w:tblGrid>
        <w:gridCol w:w="2641"/>
        <w:gridCol w:w="326"/>
        <w:gridCol w:w="1456"/>
        <w:gridCol w:w="326"/>
        <w:gridCol w:w="255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77035" cy="175260"/>
                      <wp:effectExtent l="0" t="0" r="0" b="0"/>
                      <wp:wrapNone/>
                      <wp:docPr id="4" name="Frame4"/>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24560" cy="175260"/>
                      <wp:effectExtent l="0" t="0" r="0" b="0"/>
                      <wp:wrapNone/>
                      <wp:docPr id="6" name="Frame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619885" cy="175260"/>
                      <wp:effectExtent l="0" t="0" r="0" b="0"/>
                      <wp:wrapNone/>
                      <wp:docPr id="8" name="Frame8"/>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registered</w:t>
            </w:r>
          </w:p>
        </w:tc>
      </w:tr>
      <w:tr>
        <w:trPr/>
        <w:tc>
          <w:tcPr>
            <w:tcW w:w="26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w:t>
            </w:r>
          </w:p>
        </w:tc>
        <w:tc>
          <w:tcPr>
            <w:tcW w:w="32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MRAM</w:t>
            </w:r>
          </w:p>
        </w:tc>
        <w:tc>
          <w:tcPr>
            <w:tcW w:w="32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Times New Roman;Times;serif" w:hAnsi="Times New Roman;Times;serif"/>
          <w:sz w:val="16"/>
        </w:rPr>
        <w:t xml:space="preserve">Emerging growth company </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6"/>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16"/>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27" w:name="_434aa6ad_14d0_4a0e_b779_cc84350621a7"/>
      <w:bookmarkEnd w:id="27"/>
      <w:r>
        <w:rPr>
          <w:rFonts w:ascii="Times New Roman;Times;serif" w:hAnsi="Times New Roman;Times;serif"/>
          <w:b/>
          <w:sz w:val="18"/>
        </w:rPr>
        <w:t>Item 2.02.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On November 1, 2023, Everspin Technologies, Inc. issued a press release announcing its financial results for the quarter ended September 30, 2023,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28" w:name="_f7e4f924_b15c_4936_90c9_e9ac05124a65"/>
      <w:bookmarkEnd w:id="28"/>
      <w:r>
        <w:rPr>
          <w:rFonts w:ascii="Times New Roman;Times;serif" w:hAnsi="Times New Roman;Times;serif"/>
          <w:b/>
          <w:sz w:val="18"/>
        </w:rPr>
        <w:t>Item 9.01. Financial Statements and Exhibits.</w:t>
      </w:r>
    </w:p>
    <w:p>
      <w:pPr>
        <w:pStyle w:val="TextBody"/>
        <w:bidi w:val="0"/>
        <w:spacing w:before="0" w:after="0"/>
        <w:ind w:left="0" w:right="0" w:hanging="0"/>
        <w:jc w:val="left"/>
        <w:rPr/>
      </w:pPr>
      <w:r>
        <w:rPr/>
        <w:t>​</w:t>
      </w:r>
    </w:p>
    <w:tbl>
      <w:tblPr>
        <w:tblW w:w="5788" w:type="dxa"/>
        <w:jc w:val="left"/>
        <w:tblInd w:w="0" w:type="dxa"/>
        <w:tblLayout w:type="fixed"/>
        <w:tblCellMar>
          <w:top w:w="0" w:type="dxa"/>
          <w:left w:w="0" w:type="dxa"/>
          <w:bottom w:w="28" w:type="dxa"/>
          <w:right w:w="0" w:type="dxa"/>
        </w:tblCellMar>
      </w:tblPr>
      <w:tblGrid>
        <w:gridCol w:w="1006"/>
        <w:gridCol w:w="326"/>
        <w:gridCol w:w="4456"/>
      </w:tblGrid>
      <w:tr>
        <w:trPr/>
        <w:tc>
          <w:tcPr>
            <w:tcW w:w="10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 No.</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45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r>
      <w:tr>
        <w:trPr/>
        <w:tc>
          <w:tcPr>
            <w:tcW w:w="10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99.1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w:anchor="mram-20231101xex99d1.htm">
              <w:r>
                <w:rPr>
                  <w:rStyle w:val="InternetLink"/>
                  <w:rFonts w:ascii="Times New Roman;Times;serif" w:hAnsi="Times New Roman;Times;serif"/>
                  <w:b w:val="false"/>
                  <w:i w:val="false"/>
                  <w:caps w:val="false"/>
                  <w:smallCaps w:val="false"/>
                  <w:sz w:val="20"/>
                </w:rPr>
                <w:t>Press release dated November 1, 2023.</w:t>
              </w:r>
            </w:hyperlink>
          </w:p>
        </w:tc>
      </w:tr>
      <w:tr>
        <w:trPr/>
        <w:tc>
          <w:tcPr>
            <w:tcW w:w="100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bookmarkStart w:id="29" w:name="_45478537_6341_4640_991c_b98448da416e"/>
      <w:bookmarkEnd w:id="29"/>
      <w:r>
        <w:rPr>
          <w:rFonts w:ascii="Times New Roman;Times;serif" w:hAnsi="Times New Roman;Times;serif"/>
          <w:b/>
          <w:sz w:val="18"/>
        </w:rPr>
        <w:t>SIGNATURES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4231" w:type="dxa"/>
        <w:jc w:val="left"/>
        <w:tblInd w:w="0" w:type="dxa"/>
        <w:tblLayout w:type="fixed"/>
        <w:tblCellMar>
          <w:top w:w="0" w:type="dxa"/>
          <w:left w:w="0" w:type="dxa"/>
          <w:bottom w:w="0" w:type="dxa"/>
          <w:right w:w="0" w:type="dxa"/>
        </w:tblCellMar>
      </w:tblPr>
      <w:tblGrid>
        <w:gridCol w:w="1966"/>
        <w:gridCol w:w="419"/>
        <w:gridCol w:w="184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8410" cy="175260"/>
                      <wp:effectExtent l="0" t="0" r="0" b="0"/>
                      <wp:wrapNone/>
                      <wp:docPr id="9" name="Frame9"/>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66065" cy="175260"/>
                      <wp:effectExtent l="0" t="0" r="0" b="0"/>
                      <wp:wrapNone/>
                      <wp:docPr id="10" name="Frame10"/>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172210" cy="175260"/>
                      <wp:effectExtent l="0" t="0" r="0" b="0"/>
                      <wp:wrapNone/>
                      <wp:docPr id="11" name="Frame1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Everspin Technologies, Inc.</w:t>
            </w:r>
          </w:p>
        </w:tc>
      </w:tr>
      <w:tr>
        <w:trPr/>
        <w:tc>
          <w:tcPr>
            <w:tcW w:w="1966"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Dated: November 1, 2023</w:t>
            </w:r>
          </w:p>
        </w:tc>
        <w:tc>
          <w:tcPr>
            <w:tcW w:w="2265" w:type="dxa"/>
            <w:gridSpan w:val="2"/>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Anuj Aggarwal</w:t>
            </w:r>
          </w:p>
        </w:tc>
      </w:tr>
      <w:tr>
        <w:trPr/>
        <w:tc>
          <w:tcPr>
            <w:tcW w:w="196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8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Anuj Aggarwal</w:t>
            </w:r>
          </w:p>
        </w:tc>
      </w:tr>
      <w:tr>
        <w:trPr/>
        <w:tc>
          <w:tcPr>
            <w:tcW w:w="196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
        <w:ind w:left="0" w:right="0" w:hanging="0"/>
        <w:jc w:val="right"/>
        <w:rPr>
          <w:rFonts w:ascii="Times New Roman;Times;serif" w:hAnsi="Times New Roman;Times;serif"/>
          <w:b/>
          <w:sz w:val="22"/>
        </w:rPr>
      </w:pPr>
      <w:bookmarkStart w:id="30" w:name="mram-20231101xex99d1.htm"/>
      <w:bookmarkStart w:id="31" w:name="ksmram20231101xex99d1"/>
      <w:bookmarkEnd w:id="30"/>
      <w:bookmarkEnd w:id="31"/>
      <w:r>
        <w:rPr>
          <w:rFonts w:ascii="Times New Roman;Times;serif" w:hAnsi="Times New Roman;Times;serif"/>
          <w:b/>
          <w:sz w:val="22"/>
        </w:rPr>
        <w:t>Exhibit 99.1</w:t>
      </w:r>
      <w:r>
        <w:br w:type="page"/>
      </w:r>
    </w:p>
    <w:p>
      <w:pPr>
        <w:pStyle w:val="TextBody"/>
        <w:bidi w:val="0"/>
        <w:spacing w:before="0" w:after="1"/>
        <w:ind w:left="0" w:right="0" w:hanging="0"/>
        <w:jc w:val="right"/>
        <w:rPr/>
      </w:pPr>
      <w:r>
        <w:rPr/>
        <w:t>​</w:t>
      </w:r>
    </w:p>
    <w:p>
      <w:pPr>
        <w:pStyle w:val="TextBody"/>
        <w:bidi w:val="0"/>
        <w:spacing w:before="0" w:after="1"/>
        <w:ind w:left="0" w:right="0" w:hanging="0"/>
        <w:jc w:val="center"/>
        <w:rPr/>
      </w:pPr>
      <w:r>
        <w:rPr/>
        <w:drawing>
          <wp:inline distT="0" distB="0" distL="0" distR="0">
            <wp:extent cx="2542540" cy="523875"/>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2542540" cy="523875"/>
                    </a:xfrm>
                    <a:prstGeom prst="rect">
                      <a:avLst/>
                    </a:prstGeom>
                  </pic:spPr>
                </pic:pic>
              </a:graphicData>
            </a:graphic>
          </wp:inline>
        </w:drawing>
      </w:r>
    </w:p>
    <w:p>
      <w:pPr>
        <w:pStyle w:val="TextBody"/>
        <w:bidi w:val="0"/>
        <w:spacing w:before="0" w:after="1"/>
        <w:ind w:left="0" w:right="0" w:hanging="0"/>
        <w:jc w:val="center"/>
        <w:rPr/>
      </w:pPr>
      <w:r>
        <w:rPr/>
        <w:t>​</w:t>
      </w:r>
    </w:p>
    <w:p>
      <w:pPr>
        <w:pStyle w:val="TextBody"/>
        <w:bidi w:val="0"/>
        <w:spacing w:before="0" w:after="200"/>
        <w:ind w:left="0" w:right="0" w:hanging="0"/>
        <w:jc w:val="center"/>
        <w:rPr>
          <w:rFonts w:ascii="Times New Roman;Times;serif" w:hAnsi="Times New Roman;Times;serif"/>
          <w:b/>
          <w:sz w:val="22"/>
        </w:rPr>
      </w:pPr>
      <w:r>
        <w:rPr>
          <w:rFonts w:ascii="Times New Roman;Times;serif" w:hAnsi="Times New Roman;Times;serif"/>
          <w:b/>
          <w:sz w:val="22"/>
        </w:rPr>
        <w:t xml:space="preserve">Everspin Reports Unaudited Third Quarter 2023 </w:t>
        <w:br/>
        <w:t>Financial Results</w:t>
      </w:r>
    </w:p>
    <w:p>
      <w:pPr>
        <w:pStyle w:val="TextBody"/>
        <w:bidi w:val="0"/>
        <w:spacing w:before="0" w:after="1"/>
        <w:ind w:left="0" w:right="0" w:hanging="0"/>
        <w:jc w:val="center"/>
        <w:rPr>
          <w:rFonts w:ascii="Times New Roman;Times;serif" w:hAnsi="Times New Roman;Times;serif"/>
          <w:sz w:val="22"/>
          <w:u w:val="single"/>
        </w:rPr>
      </w:pPr>
      <w:r>
        <w:rPr>
          <w:rFonts w:ascii="Times New Roman;Times;serif" w:hAnsi="Times New Roman;Times;serif"/>
          <w:sz w:val="22"/>
          <w:u w:val="single"/>
        </w:rPr>
        <w:t>Revenue rose 8% year over year to $16.5 million, exceeding guidance.</w:t>
      </w:r>
    </w:p>
    <w:p>
      <w:pPr>
        <w:pStyle w:val="TextBody"/>
        <w:bidi w:val="0"/>
        <w:spacing w:before="0" w:after="1"/>
        <w:ind w:left="0" w:right="0" w:hanging="0"/>
        <w:jc w:val="center"/>
        <w:rPr>
          <w:rFonts w:ascii="Times New Roman;Times;serif" w:hAnsi="Times New Roman;Times;serif"/>
          <w:sz w:val="22"/>
          <w:u w:val="single"/>
        </w:rPr>
      </w:pPr>
      <w:r>
        <w:rPr>
          <w:rFonts w:ascii="Times New Roman;Times;serif" w:hAnsi="Times New Roman;Times;serif"/>
          <w:sz w:val="22"/>
          <w:u w:val="single"/>
        </w:rPr>
        <w:t>Net income increased 27.8% year over year to $2.4 million.</w:t>
      </w:r>
    </w:p>
    <w:p>
      <w:pPr>
        <w:pStyle w:val="TextBody"/>
        <w:bidi w:val="0"/>
        <w:spacing w:before="0" w:after="0"/>
        <w:ind w:left="0" w:right="0" w:hanging="0"/>
        <w:jc w:val="center"/>
        <w:rPr/>
      </w:pPr>
      <w:r>
        <w:rPr/>
        <w:t>​</w:t>
      </w:r>
    </w:p>
    <w:p>
      <w:pPr>
        <w:pStyle w:val="TextBody"/>
        <w:bidi w:val="0"/>
        <w:spacing w:before="0" w:after="2"/>
        <w:ind w:left="0" w:right="0" w:hanging="0"/>
        <w:jc w:val="both"/>
        <w:rPr>
          <w:rFonts w:ascii="Times New Roman;Times;serif" w:hAnsi="Times New Roman;Times;serif"/>
          <w:sz w:val="20"/>
        </w:rPr>
      </w:pPr>
      <w:r>
        <w:rPr>
          <w:rFonts w:ascii="Times New Roman;Times;serif" w:hAnsi="Times New Roman;Times;serif"/>
          <w:b/>
          <w:sz w:val="22"/>
        </w:rPr>
        <w:t xml:space="preserve">Chandler, AZ, November 1, 2023 </w:t>
      </w:r>
      <w:r>
        <w:rPr>
          <w:rFonts w:ascii="Times New Roman;Times;serif" w:hAnsi="Times New Roman;Times;serif"/>
          <w:sz w:val="20"/>
        </w:rPr>
        <w:t xml:space="preserve">— </w:t>
      </w:r>
      <w:r>
        <w:rPr>
          <w:rFonts w:ascii="Times New Roman;Times;serif" w:hAnsi="Times New Roman;Times;serif"/>
          <w:sz w:val="22"/>
        </w:rPr>
        <w:t>Everspin Technologies, Inc. (NASDAQ: MRAM), the market leader in MRAM, today announced preliminary unaudited financial results for the third quarter ended September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Third Quarter 2023 Highlights</w:t>
      </w:r>
    </w:p>
    <w:p>
      <w:pPr>
        <w:pStyle w:val="TextBody"/>
        <w:bidi w:val="0"/>
        <w:spacing w:before="0" w:after="0"/>
        <w:ind w:left="0" w:right="0" w:hanging="0"/>
        <w:jc w:val="left"/>
        <w:rPr/>
      </w:pPr>
      <w:r>
        <w:rPr/>
        <w:t>​</w:t>
      </w:r>
    </w:p>
    <w:tbl>
      <w:tblPr>
        <w:tblW w:w="6625" w:type="dxa"/>
        <w:jc w:val="left"/>
        <w:tblInd w:w="0" w:type="dxa"/>
        <w:tblLayout w:type="fixed"/>
        <w:tblCellMar>
          <w:top w:w="0" w:type="dxa"/>
          <w:left w:w="0" w:type="dxa"/>
          <w:bottom w:w="0" w:type="dxa"/>
          <w:right w:w="0" w:type="dxa"/>
        </w:tblCellMar>
      </w:tblPr>
      <w:tblGrid>
        <w:gridCol w:w="170"/>
        <w:gridCol w:w="6455"/>
      </w:tblGrid>
      <w:tr>
        <w:trPr/>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Revenue of $16.5 million increased 8% from $15.2 million in Q3’22</w:t>
            </w:r>
          </w:p>
        </w:tc>
      </w:tr>
    </w:tbl>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Net income of $2.4 million increased 27.8% from $1.9 million in Q3’22</w:t>
            </w:r>
          </w:p>
        </w:tc>
      </w:tr>
    </w:tbl>
    <w:tbl>
      <w:tblPr>
        <w:tblW w:w="7585" w:type="dxa"/>
        <w:jc w:val="left"/>
        <w:tblInd w:w="0" w:type="dxa"/>
        <w:tblLayout w:type="fixed"/>
        <w:tblCellMar>
          <w:top w:w="0" w:type="dxa"/>
          <w:left w:w="0" w:type="dxa"/>
          <w:bottom w:w="0" w:type="dxa"/>
          <w:right w:w="0" w:type="dxa"/>
        </w:tblCellMar>
      </w:tblPr>
      <w:tblGrid>
        <w:gridCol w:w="170"/>
        <w:gridCol w:w="7415"/>
      </w:tblGrid>
      <w:tr>
        <w:trPr/>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Adjusted EBITDA of $4.0 million increased 18.7% from $3.4 million in Q3’22</w:t>
            </w:r>
          </w:p>
        </w:tc>
      </w:tr>
    </w:tbl>
    <w:tbl>
      <w:tblPr>
        <w:tblW w:w="5620" w:type="dxa"/>
        <w:jc w:val="left"/>
        <w:tblInd w:w="0" w:type="dxa"/>
        <w:tblLayout w:type="fixed"/>
        <w:tblCellMar>
          <w:top w:w="0" w:type="dxa"/>
          <w:left w:w="0" w:type="dxa"/>
          <w:bottom w:w="0" w:type="dxa"/>
          <w:right w:w="0" w:type="dxa"/>
        </w:tblCellMar>
      </w:tblPr>
      <w:tblGrid>
        <w:gridCol w:w="170"/>
        <w:gridCol w:w="5450"/>
      </w:tblGrid>
      <w:tr>
        <w:trPr/>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Fully diluted EPS of $0.11 increased from $0.09 in Q3’22</w:t>
            </w:r>
          </w:p>
        </w:tc>
      </w:tr>
    </w:tbl>
    <w:tbl>
      <w:tblPr>
        <w:tblW w:w="8050" w:type="dxa"/>
        <w:jc w:val="left"/>
        <w:tblInd w:w="0" w:type="dxa"/>
        <w:tblLayout w:type="fixed"/>
        <w:tblCellMar>
          <w:top w:w="0" w:type="dxa"/>
          <w:left w:w="0" w:type="dxa"/>
          <w:bottom w:w="0" w:type="dxa"/>
          <w:right w:w="0" w:type="dxa"/>
        </w:tblCellMar>
      </w:tblPr>
      <w:tblGrid>
        <w:gridCol w:w="170"/>
        <w:gridCol w:w="7880"/>
      </w:tblGrid>
      <w:tr>
        <w:trPr/>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Cash flow from operating activities of $3.6 million, rose from $0.9 million in Q3’22</w:t>
            </w:r>
          </w:p>
        </w:tc>
      </w:tr>
    </w:tbl>
    <w:tbl>
      <w:tblPr>
        <w:tblW w:w="6925" w:type="dxa"/>
        <w:jc w:val="left"/>
        <w:tblInd w:w="0" w:type="dxa"/>
        <w:tblLayout w:type="fixed"/>
        <w:tblCellMar>
          <w:top w:w="0" w:type="dxa"/>
          <w:left w:w="0" w:type="dxa"/>
          <w:bottom w:w="0" w:type="dxa"/>
          <w:right w:w="0" w:type="dxa"/>
        </w:tblCellMar>
      </w:tblPr>
      <w:tblGrid>
        <w:gridCol w:w="170"/>
        <w:gridCol w:w="6755"/>
      </w:tblGrid>
      <w:tr>
        <w:trPr/>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Cash and cash equivalents totaled $34.9 million on September 30,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2"/>
        </w:rPr>
        <w:t xml:space="preserve">We are pleased to report third quarter revenue above the high end of our guidance range, bolstered by the increased NRE and licensing revenue from a new Radiation Hard program on Toggle MRAM and the continuation of our existing Radiation Hard programs on STT-MRAM technologies,” said Sanjeev Aggarwal, President and Chief Executive Officer.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2"/>
        </w:rPr>
        <w:t>"Our R&amp;D and design teams delivered on the milestones to further the development of STT-MRAM-based solutions for a high density memory array and a distributed memory for configuration in FPGAs. Our dedication to supply chain management, quality and reliability continues to be recognized across the board, earning us several design wins with our new STT-MRAM family of xSPI products from customers in the fast-growing Industrial IoT and embedded system markets. This new STT-MRAM family of xSPI products, now available over an extended temperature range of -40</w:t>
      </w:r>
      <w:r>
        <w:rPr>
          <w:rFonts w:ascii="Times New Roman;Times;serif" w:hAnsi="Times New Roman;Times;serif"/>
          <w:sz w:val="20"/>
        </w:rPr>
        <w:t>⁰</w:t>
      </w:r>
      <w:r>
        <w:rPr>
          <w:rFonts w:ascii="Times New Roman;Times;serif" w:hAnsi="Times New Roman;Times;serif"/>
          <w:sz w:val="22"/>
        </w:rPr>
        <w:t>C to 105</w:t>
      </w:r>
      <w:r>
        <w:rPr>
          <w:rFonts w:ascii="Times New Roman;Times;serif" w:hAnsi="Times New Roman;Times;serif"/>
          <w:sz w:val="20"/>
        </w:rPr>
        <w:t>⁰</w:t>
      </w:r>
      <w:r>
        <w:rPr>
          <w:rFonts w:ascii="Times New Roman;Times;serif" w:hAnsi="Times New Roman;Times;serif"/>
          <w:sz w:val="22"/>
        </w:rPr>
        <w:t>C and from 4 to 128Mb densities, is well positioned as an alternative solution to SRAM, BBSRAM, FRAM, NVSRAM, and NOR flash devices.” said Sanjeev Aggarwal.</w:t>
      </w:r>
    </w:p>
    <w:p>
      <w:pPr>
        <w:pStyle w:val="TextBody"/>
        <w:bidi w:val="0"/>
        <w:spacing w:before="0" w:after="0"/>
        <w:ind w:left="720" w:right="0" w:hanging="0"/>
        <w:jc w:val="left"/>
        <w:rPr/>
      </w:pPr>
      <w:r>
        <w:rPr/>
        <w:t>​</w:t>
      </w:r>
    </w:p>
    <w:p>
      <w:pPr>
        <w:pStyle w:val="TextBody"/>
        <w:bidi w:val="0"/>
        <w:spacing w:before="0" w:after="200"/>
        <w:ind w:left="0" w:right="0" w:hanging="0"/>
        <w:jc w:val="left"/>
        <w:rPr/>
      </w:pPr>
      <w:r>
        <w:rPr/>
        <w:t>“</w:t>
      </w:r>
      <w:r>
        <w:rPr>
          <w:rFonts w:ascii="Times New Roman;Times;serif" w:hAnsi="Times New Roman;Times;serif"/>
          <w:sz w:val="22"/>
        </w:rPr>
        <w:t>Everspin continues to generate profits, reporting positive GAAP net income for the 10</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consecutive quarter while continuing to generate strong operational cash flow,” said Anuj Aggarwal, Everspin’s Chief Financial Officer.</w:t>
      </w:r>
    </w:p>
    <w:p>
      <w:pPr>
        <w:pStyle w:val="TextBody"/>
        <w:bidi w:val="0"/>
        <w:spacing w:before="0" w:after="200"/>
        <w:ind w:left="0" w:right="0" w:hanging="0"/>
        <w:jc w:val="left"/>
        <w:rPr>
          <w:rFonts w:ascii="Times New Roman;Times;serif" w:hAnsi="Times New Roman;Times;serif"/>
          <w:b/>
          <w:sz w:val="22"/>
        </w:rPr>
      </w:pPr>
      <w:r>
        <w:rPr>
          <w:rFonts w:ascii="Times New Roman;Times;serif" w:hAnsi="Times New Roman;Times;serif"/>
          <w:b/>
          <w:sz w:val="22"/>
        </w:rPr>
        <w:t>Third Quarter 2023 Results</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Total revenue was $16.5 million, an increase of 5% from $15.7 million in the second quarter of 2023 and an increase of 8% compared to $15.2 million in the third quarter of 2022. The increase in revenue from the prior quarter was driven by licensing revenue related to Everspin’s RAD-Hard projects.</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MRAM product sales, which includes both Toggle and STT-MRAM revenue, was $13.5 million, compared to $13.4 million in the second quarter of 2023 and $14.6 million in the third quarter of 2022.</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Licensing, royalties, patents and other revenue was $2.9 million, a 25% increase from $2.3 million in the second quarter of 2023 and an increase of $2.2 million from $0.7 million in the third quarter of 2022.</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Gross margin was 60.2%, compared to 58.4% in the second quarter of 2023 and 58.8% in the third quarter of 2022. The increase in gross margin is primarily attributable to increased licensing revenue.</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GAAP operating expenses were $7.9 million 2023, compared to $7.6 million in the second quarter of 2023 and $7.1 million in the third quarter of 2022. GAAP operating expenses increased in the third quarter of 2023 compared to the third quarter of 2022 as a result of increased professional service costs.</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GAAP net income was $2.4 million, or $0.11 per diluted share, based on 21.8 million weighted-average fully diluted common shares outstanding. This compares to net income of $3.9 million, or $0.18 per diluted share, in the second quarter of 2023 and net income of $1.9 million, or $0.09 per diluted share, in the third quarter of 2022.</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Adjusted EBITDA was $4.0 million, compared to $5.4 million in the second quarter of 2023 and $3.4 million in the third quarter of 2022.</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Cash and cash equivalents as of September 30, 2023 were $34.9 million, compared to $30.8 million as of June 30, 2023, and $23.4 million as of September 30, 2022.</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Cash flows from operating activities were $3.6 million, compared to $6.3 million in the second quarter of 2023, and $0.9 million in the third quarter of 2022.</w:t>
      </w:r>
    </w:p>
    <w:p>
      <w:pPr>
        <w:pStyle w:val="TextBody"/>
        <w:bidi w:val="0"/>
        <w:spacing w:before="0" w:after="200"/>
        <w:ind w:left="0" w:right="0" w:hanging="0"/>
        <w:jc w:val="left"/>
        <w:rPr>
          <w:rFonts w:ascii="Times New Roman;Times;serif" w:hAnsi="Times New Roman;Times;serif"/>
          <w:b/>
          <w:sz w:val="22"/>
        </w:rPr>
      </w:pPr>
      <w:r>
        <w:rPr>
          <w:rFonts w:ascii="Times New Roman;Times;serif" w:hAnsi="Times New Roman;Times;serif"/>
          <w:b/>
          <w:sz w:val="22"/>
        </w:rPr>
        <w:t>Business Outlook</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For the fourth quarter 2023, Everspin expects total revenue in a range of $15.4 million to $16.4 million and GAAP net income per diluted share to be between $0.01 and $0.06.</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This outlook is dependent on Everspin's current expectations, which may be impacted by, among other things, evolving external conditions, such as COVID-19 and its variants, local safety guidelines, worsening impacts due to supply chain constraints or interruptions, including due to the military conflict in Ukraine, instability in the Middle East, recent market volatility, semiconductor downturn and the other risk factors described in Everspin's filings with the Securities and Exchange Commission (the "SEC"), including its Annual Report on Form 10-K for the fiscal year ended December 31, 2022, its Quarterly Reports on Form 10-Q filed with the SEC during 2023, as well as in its subsequent filings with the SEC.</w:t>
      </w:r>
    </w:p>
    <w:p>
      <w:pPr>
        <w:pStyle w:val="TextBody"/>
        <w:bidi w:val="0"/>
        <w:spacing w:before="0" w:after="200"/>
        <w:ind w:left="0" w:right="0" w:hanging="0"/>
        <w:jc w:val="left"/>
        <w:rPr>
          <w:rFonts w:ascii="Times New Roman;Times;serif" w:hAnsi="Times New Roman;Times;serif"/>
          <w:b/>
          <w:sz w:val="22"/>
        </w:rPr>
      </w:pPr>
      <w:r>
        <w:rPr>
          <w:rFonts w:ascii="Times New Roman;Times;serif" w:hAnsi="Times New Roman;Times;serif"/>
          <w:b/>
          <w:sz w:val="22"/>
        </w:rPr>
        <w:t>Use of Non-GAAP Financial Measures</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Everspin supplements the reporting of its financial information determined under generally accepted accounting principles in the United States of America (GAAP) with Adjusted EBITDA, which is a non-GAAP financial measure. Everspin defines Adjusted EBITDA as net income adjusted for interest expense, taxes, depreciation and amortization, stock-based compensation expense, and restructuring costs (if any).</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Everspin’s management and board of directors use Adjusted EBITDA to understand and evaluate its operating performance and trends, to prepare and approve its annual budget and to develop short-term and long-term operating and financing plans. Accordingly, Everspin believes that Adjusted EBITDA provides useful information for investors in understanding and evaluating its operating results in the same manner as its management and board of directors. Adjusted EBITDA is a non-GAAP financial measure and should be considered in addition to, not as superior to, or as a substitute for, net income reported in accordance with GAAP. Moreover, other companies may define Adjusted EBITDA differently, which limits the usefulness of this measure for comparisons with such other companies. Everspin encourages investors to review its financial statements and publicly-filed reports in their entirety and not to rely on any single financial measure.</w:t>
      </w:r>
    </w:p>
    <w:p>
      <w:pPr>
        <w:pStyle w:val="TextBody"/>
        <w:bidi w:val="0"/>
        <w:spacing w:before="0" w:after="200"/>
        <w:ind w:left="0" w:right="0" w:hanging="0"/>
        <w:jc w:val="left"/>
        <w:rPr>
          <w:rFonts w:ascii="Times New Roman;Times;serif" w:hAnsi="Times New Roman;Times;serif"/>
          <w:b/>
          <w:sz w:val="22"/>
        </w:rPr>
      </w:pPr>
      <w:r>
        <w:rPr>
          <w:rFonts w:ascii="Times New Roman;Times;serif" w:hAnsi="Times New Roman;Times;serif"/>
          <w:b/>
          <w:sz w:val="22"/>
        </w:rPr>
        <w:t>Conference Call</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Everspin will host a conference call for analysts and investors on Wednesday, November 1, 2023, at 5:00 p.m. Eastern Time.</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Dial-in details: To access the call by phone, please go to this link (registration link) and you will be provided with dial-in details. To avoid delays, we encourage participants to dial into the conference call fifteen minutes ahead of the scheduled start time.</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The live webcast of the call will be accessible on the Company’s website at investor.everspin.com. Approximately two hours after conclusion of the live event, an archived webcast of the conference call will be accessible from the Investor Relations section of the Company’s website for twelve months.</w:t>
      </w:r>
    </w:p>
    <w:p>
      <w:pPr>
        <w:pStyle w:val="TextBody"/>
        <w:bidi w:val="0"/>
        <w:spacing w:before="0" w:after="200"/>
        <w:ind w:left="0" w:right="0" w:hanging="0"/>
        <w:jc w:val="left"/>
        <w:rPr>
          <w:rFonts w:ascii="Times New Roman;Times;serif" w:hAnsi="Times New Roman;Times;serif"/>
          <w:b/>
          <w:sz w:val="22"/>
        </w:rPr>
      </w:pPr>
      <w:r>
        <w:rPr>
          <w:rFonts w:ascii="Times New Roman;Times;serif" w:hAnsi="Times New Roman;Times;serif"/>
          <w:b/>
          <w:sz w:val="22"/>
        </w:rPr>
        <w:t>About Everspin Technologies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Everspin Technologies, Inc. is the world’s leading provider of Magnetoresistive RAM (MRAM). Everspin MRAM delivers the industry’s most robust, highest performance non-volatile memory for Industrial IoT, Data Center, and other </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mission-critical applications where data persistence is paramount. Headquartered in Chandler, Arizona, Everspin provides commercially available MRAM solutions to a large and diverse customer base. For more information, visit www.everspin.com.</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NASDAQ: MRAM.</w:t>
      </w:r>
    </w:p>
    <w:p>
      <w:pPr>
        <w:pStyle w:val="TextBody"/>
        <w:bidi w:val="0"/>
        <w:spacing w:before="0" w:after="200"/>
        <w:ind w:left="0" w:right="0" w:hanging="0"/>
        <w:jc w:val="left"/>
        <w:rPr>
          <w:rFonts w:ascii="Times New Roman;Times;serif" w:hAnsi="Times New Roman;Times;serif"/>
          <w:b/>
          <w:sz w:val="22"/>
        </w:rPr>
      </w:pPr>
      <w:r>
        <w:rPr>
          <w:rFonts w:ascii="Times New Roman;Times;serif" w:hAnsi="Times New Roman;Times;serif"/>
          <w:b/>
          <w:sz w:val="22"/>
        </w:rPr>
        <w:t>Cautionary Statement Regarding Forward-Looking Statements</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fourth quarter 2023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2022 filed with the SEC on March 2, 2023, and its Quarterly Reports on Form 10-Q filed with the SEC during 2023,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pStyle w:val="TextBody"/>
        <w:bidi w:val="0"/>
        <w:spacing w:before="0" w:after="0"/>
        <w:ind w:left="144" w:right="0" w:hanging="0"/>
        <w:jc w:val="left"/>
        <w:rPr>
          <w:rFonts w:ascii="Times New Roman;Times;serif" w:hAnsi="Times New Roman;Times;serif"/>
          <w:b/>
          <w:sz w:val="22"/>
        </w:rPr>
      </w:pPr>
      <w:r>
        <w:rPr>
          <w:rFonts w:ascii="Times New Roman;Times;serif" w:hAnsi="Times New Roman;Times;serif"/>
          <w:b/>
          <w:sz w:val="22"/>
        </w:rPr>
        <w:t>Investor Relations:</w:t>
      </w:r>
    </w:p>
    <w:p>
      <w:pPr>
        <w:pStyle w:val="TextBody"/>
        <w:bidi w:val="0"/>
        <w:spacing w:before="0" w:after="2"/>
        <w:ind w:left="144" w:right="0" w:hanging="0"/>
        <w:jc w:val="left"/>
        <w:rPr>
          <w:rFonts w:ascii="Times New Roman;Times;serif" w:hAnsi="Times New Roman;Times;serif"/>
          <w:sz w:val="22"/>
        </w:rPr>
      </w:pPr>
      <w:r>
        <w:rPr>
          <w:rFonts w:ascii="Times New Roman;Times;serif" w:hAnsi="Times New Roman;Times;serif"/>
          <w:sz w:val="22"/>
        </w:rPr>
        <w:t>Monica Gould</w:t>
      </w:r>
    </w:p>
    <w:p>
      <w:pPr>
        <w:pStyle w:val="TextBody"/>
        <w:bidi w:val="0"/>
        <w:spacing w:before="0" w:after="2"/>
        <w:ind w:left="144" w:right="0" w:hanging="0"/>
        <w:jc w:val="left"/>
        <w:rPr>
          <w:rFonts w:ascii="Times New Roman;Times;serif" w:hAnsi="Times New Roman;Times;serif"/>
          <w:sz w:val="22"/>
        </w:rPr>
      </w:pPr>
      <w:r>
        <w:rPr>
          <w:rFonts w:ascii="Times New Roman;Times;serif" w:hAnsi="Times New Roman;Times;serif"/>
          <w:sz w:val="22"/>
        </w:rPr>
        <w:t>The Blueshirt Group</w:t>
      </w:r>
    </w:p>
    <w:p>
      <w:pPr>
        <w:pStyle w:val="TextBody"/>
        <w:bidi w:val="0"/>
        <w:spacing w:before="0" w:after="0"/>
        <w:ind w:left="144" w:right="0" w:hanging="0"/>
        <w:jc w:val="left"/>
        <w:rPr>
          <w:rFonts w:ascii="Times New Roman;Times;serif" w:hAnsi="Times New Roman;Times;serif"/>
          <w:sz w:val="22"/>
        </w:rPr>
      </w:pPr>
      <w:r>
        <w:rPr>
          <w:rFonts w:ascii="Times New Roman;Times;serif" w:hAnsi="Times New Roman;Times;serif"/>
          <w:sz w:val="22"/>
        </w:rPr>
        <w:t>T: 212-871-3927</w:t>
      </w:r>
    </w:p>
    <w:p>
      <w:pPr>
        <w:pStyle w:val="TextBody"/>
        <w:bidi w:val="0"/>
        <w:spacing w:before="0" w:after="0"/>
        <w:ind w:left="144" w:right="0" w:hanging="0"/>
        <w:jc w:val="left"/>
        <w:rPr>
          <w:rFonts w:ascii="Times New Roman;Times;serif" w:hAnsi="Times New Roman;Times;serif"/>
          <w:sz w:val="22"/>
        </w:rPr>
      </w:pPr>
      <w:r>
        <w:rPr>
          <w:rFonts w:ascii="Times New Roman;Times;serif" w:hAnsi="Times New Roman;Times;serif"/>
          <w:sz w:val="22"/>
        </w:rPr>
        <w:t>E: monica@blueshirtgroup.com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EVERSPIN TECHNOLOGIES,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Balance Sheets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except share and per share amounts)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659"/>
        <w:gridCol w:w="146"/>
        <w:gridCol w:w="216"/>
        <w:gridCol w:w="915"/>
        <w:gridCol w:w="146"/>
        <w:gridCol w:w="211"/>
        <w:gridCol w:w="912"/>
      </w:tblGrid>
      <w:tr>
        <w:trPr/>
        <w:tc>
          <w:tcPr>
            <w:tcW w:w="7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863465" cy="175260"/>
                      <wp:effectExtent l="0" t="0" r="0" b="0"/>
                      <wp:wrapNone/>
                      <wp:docPr id="13" name="Frame12"/>
                      <a:graphic xmlns:a="http://schemas.openxmlformats.org/drawingml/2006/main">
                        <a:graphicData uri="http://schemas.microsoft.com/office/word/2010/wordprocessingShape">
                          <wps:wsp>
                            <wps:cNvSpPr txBox="1"/>
                            <wps:spPr>
                              <a:xfrm>
                                <a:off x="0" y="0"/>
                                <a:ext cx="4863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2710" cy="175260"/>
                      <wp:effectExtent l="0" t="0" r="0" b="0"/>
                      <wp:wrapNone/>
                      <wp:docPr id="14" name="Frame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7160" cy="175260"/>
                      <wp:effectExtent l="0" t="0" r="0" b="0"/>
                      <wp:wrapNone/>
                      <wp:docPr id="15" name="Frame1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81025" cy="175260"/>
                      <wp:effectExtent l="0" t="0" r="0" b="0"/>
                      <wp:wrapNone/>
                      <wp:docPr id="16" name="Frame15"/>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2710" cy="175260"/>
                      <wp:effectExtent l="0" t="0" r="0" b="0"/>
                      <wp:wrapNone/>
                      <wp:docPr id="17" name="Frame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79120" cy="175260"/>
                      <wp:effectExtent l="0" t="0" r="0" b="0"/>
                      <wp:wrapNone/>
                      <wp:docPr id="19" name="Frame18"/>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5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46" w:type="dxa"/>
            <w:tcBorders/>
            <w:vAlign w:val="center"/>
          </w:tcPr>
          <w:p>
            <w:pPr>
              <w:pStyle w:val="TableContents"/>
              <w:bidi w:val="0"/>
              <w:spacing w:before="0" w:after="0"/>
              <w:ind w:left="0" w:right="0" w:hanging="0"/>
              <w:jc w:val="left"/>
              <w:rPr/>
            </w:pPr>
            <w:r>
              <w:rPr/>
              <w:t>​</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65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  </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  </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26,795</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10,665</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6,683</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44,747</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3,883</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6,641</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62,996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55,333</w:t>
            </w:r>
          </w:p>
        </w:tc>
      </w:tr>
      <w:tr>
        <w:trPr/>
        <w:tc>
          <w:tcPr>
            <w:tcW w:w="765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pPr>
            <w:r>
              <w:rPr/>
              <w:t>  </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pPr>
            <w:r>
              <w:rPr/>
              <w:t>  </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1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10,875</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current portion</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pPr>
            <w:r>
              <w:rPr/>
              <w:t>—</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net of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5,580</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income tax liability</w:t>
            </w:r>
          </w:p>
        </w:tc>
        <w:tc>
          <w:tcPr>
            <w:tcW w:w="1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16,669</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5)</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pPr>
            <w:r>
              <w:rPr/>
              <w:t>  </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pPr>
            <w:r>
              <w:rPr/>
              <w:t>  </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per share; 5,000,000 shares authorized; no shares issued and outstanding as of September 30, 2023 and December 31, 2022, respectively</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per share; 100,000,000 shares authorized; 20,934,919 and 20,374,288 shares issued and outstanding as of September 30, 2023 and December 31, 2022,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189,974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185,364</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(139,618)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(146,702)</w:t>
            </w:r>
          </w:p>
        </w:tc>
      </w:tr>
      <w:tr>
        <w:trPr/>
        <w:tc>
          <w:tcPr>
            <w:tcW w:w="7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50,358</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38,664</w:t>
            </w:r>
          </w:p>
        </w:tc>
      </w:tr>
      <w:tr>
        <w:trPr/>
        <w:tc>
          <w:tcPr>
            <w:tcW w:w="7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62,996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55,333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EVERSPIN TECHNOLOGIES,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Statements of Income and Comprehensive Income</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except share and per share amounts)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868"/>
        <w:gridCol w:w="326"/>
        <w:gridCol w:w="211"/>
        <w:gridCol w:w="1036"/>
        <w:gridCol w:w="326"/>
        <w:gridCol w:w="211"/>
        <w:gridCol w:w="1036"/>
        <w:gridCol w:w="326"/>
        <w:gridCol w:w="211"/>
        <w:gridCol w:w="1036"/>
        <w:gridCol w:w="326"/>
        <w:gridCol w:w="211"/>
        <w:gridCol w:w="1081"/>
      </w:tblGrid>
      <w:tr>
        <w:trPr/>
        <w:tc>
          <w:tcPr>
            <w:tcW w:w="3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456180" cy="175260"/>
                      <wp:effectExtent l="0" t="0" r="0" b="0"/>
                      <wp:wrapNone/>
                      <wp:docPr id="20" name="Frame19"/>
                      <a:graphic xmlns:a="http://schemas.openxmlformats.org/drawingml/2006/main">
                        <a:graphicData uri="http://schemas.microsoft.com/office/word/2010/wordprocessingShape">
                          <wps:wsp>
                            <wps:cNvSpPr txBox="1"/>
                            <wps:spPr>
                              <a:xfrm>
                                <a:off x="0" y="0"/>
                                <a:ext cx="2456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3" name="Frame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57860" cy="175260"/>
                      <wp:effectExtent l="0" t="0" r="0" b="0"/>
                      <wp:wrapNone/>
                      <wp:docPr id="26" name="Frame2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57860" cy="175260"/>
                      <wp:effectExtent l="0" t="0" r="0" b="0"/>
                      <wp:wrapNone/>
                      <wp:docPr id="29" name="Frame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86435" cy="175260"/>
                      <wp:effectExtent l="0" t="0" r="0" b="0"/>
                      <wp:wrapNone/>
                      <wp:docPr id="32" name="Frame3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8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40,465</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royalty, patent,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3,830</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44,295</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17,667</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licensing, royalty, patent,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18,417</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25,878</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8,560</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3,629</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20,203</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5,675</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5,513</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and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5,513</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20,848,558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20,206,728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20,653,775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20,058,744</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21,828,789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20,539,064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21,276,904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20,698,814</w:t>
            </w:r>
          </w:p>
        </w:tc>
      </w:tr>
      <w:tr>
        <w:trPr/>
        <w:tc>
          <w:tcPr>
            <w:tcW w:w="38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10205" w:type="dxa"/>
            <w:gridSpan w:val="1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Operating expenses include stock-based compensation as follows:</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3,287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EVERSPIN TECHNOLOGIES,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Statements of Cash Flows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205"/>
        <w:gridCol w:w="326"/>
        <w:gridCol w:w="262"/>
        <w:gridCol w:w="843"/>
        <w:gridCol w:w="405"/>
        <w:gridCol w:w="262"/>
        <w:gridCol w:w="902"/>
      </w:tblGrid>
      <w:tr>
        <w:trPr/>
        <w:tc>
          <w:tcPr>
            <w:tcW w:w="7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575175" cy="175260"/>
                      <wp:effectExtent l="0" t="0" r="0" b="0"/>
                      <wp:wrapNone/>
                      <wp:docPr id="33" name="Frame32"/>
                      <a:graphic xmlns:a="http://schemas.openxmlformats.org/drawingml/2006/main">
                        <a:graphicData uri="http://schemas.microsoft.com/office/word/2010/wordprocessingShape">
                          <wps:wsp>
                            <wps:cNvSpPr txBox="1"/>
                            <wps:spPr>
                              <a:xfrm>
                                <a:off x="0" y="0"/>
                                <a:ext cx="457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6370" cy="175260"/>
                      <wp:effectExtent l="0" t="0" r="0" b="0"/>
                      <wp:wrapNone/>
                      <wp:docPr id="35" name="Frame34"/>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35305" cy="175260"/>
                      <wp:effectExtent l="0" t="0" r="0" b="0"/>
                      <wp:wrapNone/>
                      <wp:docPr id="36" name="Frame35"/>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57175" cy="175260"/>
                      <wp:effectExtent l="0" t="0" r="0" b="0"/>
                      <wp:wrapNone/>
                      <wp:docPr id="37" name="Frame36"/>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6370" cy="175260"/>
                      <wp:effectExtent l="0" t="0" r="0" b="0"/>
                      <wp:wrapNone/>
                      <wp:docPr id="38" name="Frame37"/>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72770" cy="175260"/>
                      <wp:effectExtent l="0" t="0" r="0" b="0"/>
                      <wp:wrapNone/>
                      <wp:docPr id="39" name="Frame38"/>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Nine Months Ended September 30,</w:t>
            </w:r>
            <w:r>
              <w:rPr>
                <w:rFonts w:ascii="Times New Roman;Times;serif" w:hAnsi="Times New Roman;Times;serif"/>
                <w:sz w:val="16"/>
              </w:rPr>
              <w:t> </w:t>
            </w:r>
          </w:p>
        </w:tc>
      </w:tr>
      <w:tr>
        <w:trPr/>
        <w:tc>
          <w:tcPr>
            <w:tcW w:w="72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6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105" w:type="dxa"/>
            <w:gridSpan w:val="2"/>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1164" w:type="dxa"/>
            <w:gridSpan w:val="2"/>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7,084</w:t>
            </w:r>
          </w:p>
        </w:tc>
        <w:tc>
          <w:tcPr>
            <w:tcW w:w="405"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5,513</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left"/>
              <w:rPr/>
            </w:pPr>
            <w:r>
              <w:rPr/>
              <w:t>​</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405"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c>
          <w:tcPr>
            <w:tcW w:w="405"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prepayment and termination of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pPr>
            <w:r>
              <w:rPr/>
              <w:t>—</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warrant revaluation</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05"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left"/>
              <w:rPr/>
            </w:pPr>
            <w:r>
              <w:rPr/>
              <w:t>​</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(4,357)</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w:t>
            </w:r>
          </w:p>
        </w:tc>
        <w:tc>
          <w:tcPr>
            <w:tcW w:w="405"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405"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84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w:t>
            </w:r>
          </w:p>
        </w:tc>
        <w:tc>
          <w:tcPr>
            <w:tcW w:w="4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0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4,258</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6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4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26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0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received from sale of property and equipment</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84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c>
          <w:tcPr>
            <w:tcW w:w="4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0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6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4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26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0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of debt issuance costs</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2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 and purchase of shares in employee stock purchase plan</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4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26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4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0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4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8,139</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02"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26,795</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21,409</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34,934</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23,442</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Supplementary cash flow information:</w:t>
            </w:r>
          </w:p>
        </w:tc>
        <w:tc>
          <w:tcPr>
            <w:tcW w:w="326" w:type="dxa"/>
            <w:tcBorders/>
            <w:vAlign w:val="center"/>
          </w:tcPr>
          <w:p>
            <w:pPr>
              <w:pStyle w:val="TableContents"/>
              <w:bidi w:val="0"/>
              <w:spacing w:before="0" w:after="0"/>
              <w:ind w:left="0" w:right="0" w:hanging="0"/>
              <w:jc w:val="left"/>
              <w:rPr/>
            </w:pPr>
            <w:r>
              <w:rPr/>
              <w:t>​</w:t>
            </w:r>
          </w:p>
        </w:tc>
        <w:tc>
          <w:tcPr>
            <w:tcW w:w="26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43"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26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90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paid for operating leases</w:t>
            </w:r>
          </w:p>
        </w:tc>
        <w:tc>
          <w:tcPr>
            <w:tcW w:w="326" w:type="dxa"/>
            <w:tcBorders/>
            <w:vAlign w:val="center"/>
          </w:tcPr>
          <w:p>
            <w:pPr>
              <w:pStyle w:val="TableContents"/>
              <w:bidi w:val="0"/>
              <w:spacing w:before="0" w:after="0"/>
              <w:ind w:left="0" w:right="0" w:hanging="0"/>
              <w:jc w:val="left"/>
              <w:rPr/>
            </w:pPr>
            <w:r>
              <w:rPr/>
              <w:t>​</w:t>
            </w:r>
          </w:p>
        </w:tc>
        <w:tc>
          <w:tcPr>
            <w:tcW w:w="262"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c>
          <w:tcPr>
            <w:tcW w:w="40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62"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flows paid for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2"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6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43"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26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90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6,837</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finance lease liabilities</w:t>
            </w:r>
          </w:p>
        </w:tc>
        <w:tc>
          <w:tcPr>
            <w:tcW w:w="326" w:type="dxa"/>
            <w:tcBorders/>
            <w:vAlign w:val="center"/>
          </w:tcPr>
          <w:p>
            <w:pPr>
              <w:pStyle w:val="TableContents"/>
              <w:bidi w:val="0"/>
              <w:spacing w:before="0" w:after="0"/>
              <w:ind w:left="0" w:right="0" w:hanging="0"/>
              <w:jc w:val="left"/>
              <w:rPr/>
            </w:pPr>
            <w:r>
              <w:rPr/>
              <w:t>​</w:t>
            </w:r>
          </w:p>
        </w:tc>
        <w:tc>
          <w:tcPr>
            <w:tcW w:w="262"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pPr>
            <w:r>
              <w:rPr/>
              <w:t>—</w:t>
            </w:r>
          </w:p>
        </w:tc>
        <w:tc>
          <w:tcPr>
            <w:tcW w:w="40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62"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2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in 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2"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r>
      <w:tr>
        <w:trPr/>
        <w:tc>
          <w:tcPr>
            <w:tcW w:w="72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Cashless exercise of warrants</w:t>
            </w:r>
          </w:p>
        </w:tc>
        <w:tc>
          <w:tcPr>
            <w:tcW w:w="326" w:type="dxa"/>
            <w:tcBorders/>
            <w:vAlign w:val="center"/>
          </w:tcPr>
          <w:p>
            <w:pPr>
              <w:pStyle w:val="TableContents"/>
              <w:bidi w:val="0"/>
              <w:spacing w:before="0" w:after="0"/>
              <w:ind w:left="0" w:right="0" w:hanging="0"/>
              <w:jc w:val="left"/>
              <w:rPr/>
            </w:pPr>
            <w:r>
              <w:rPr/>
              <w:t>​</w:t>
            </w:r>
          </w:p>
        </w:tc>
        <w:tc>
          <w:tcPr>
            <w:tcW w:w="262"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0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62"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EVERSPIN TECHNOLOGIES,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Adjusted EBITDA Reconciliation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tbl>
      <w:tblPr>
        <w:tblW w:w="7805" w:type="dxa"/>
        <w:jc w:val="center"/>
        <w:tblInd w:w="0" w:type="dxa"/>
        <w:tblLayout w:type="fixed"/>
        <w:tblCellMar>
          <w:top w:w="0" w:type="dxa"/>
          <w:left w:w="0" w:type="dxa"/>
          <w:bottom w:w="0" w:type="dxa"/>
          <w:right w:w="0" w:type="dxa"/>
        </w:tblCellMar>
      </w:tblPr>
      <w:tblGrid>
        <w:gridCol w:w="3001"/>
        <w:gridCol w:w="326"/>
        <w:gridCol w:w="417"/>
        <w:gridCol w:w="1128"/>
        <w:gridCol w:w="109"/>
        <w:gridCol w:w="303"/>
        <w:gridCol w:w="822"/>
        <w:gridCol w:w="109"/>
        <w:gridCol w:w="376"/>
        <w:gridCol w:w="1214"/>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905635" cy="29210"/>
                      <wp:effectExtent l="0" t="0" r="0" b="0"/>
                      <wp:wrapNone/>
                      <wp:docPr id="40" name="Frame39"/>
                      <a:graphic xmlns:a="http://schemas.openxmlformats.org/drawingml/2006/main">
                        <a:graphicData uri="http://schemas.microsoft.com/office/word/2010/wordprocessingShape">
                          <wps:wsp>
                            <wps:cNvSpPr txBox="1"/>
                            <wps:spPr>
                              <a:xfrm>
                                <a:off x="0" y="0"/>
                                <a:ext cx="1905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64795" cy="175260"/>
                      <wp:effectExtent l="0" t="0" r="0" b="0"/>
                      <wp:wrapNone/>
                      <wp:docPr id="42" name="Frame41"/>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16280" cy="175260"/>
                      <wp:effectExtent l="0" t="0" r="0" b="0"/>
                      <wp:wrapNone/>
                      <wp:docPr id="43" name="Frame42"/>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92405" cy="175260"/>
                      <wp:effectExtent l="0" t="0" r="0" b="0"/>
                      <wp:wrapNone/>
                      <wp:docPr id="45" name="Frame4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21970" cy="175260"/>
                      <wp:effectExtent l="0" t="0" r="0" b="0"/>
                      <wp:wrapNone/>
                      <wp:docPr id="46" name="Frame45"/>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38760" cy="175260"/>
                      <wp:effectExtent l="0" t="0" r="0" b="0"/>
                      <wp:wrapNone/>
                      <wp:docPr id="48" name="Frame4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70890" cy="175260"/>
                      <wp:effectExtent l="0" t="0" r="0" b="0"/>
                      <wp:wrapNone/>
                      <wp:docPr id="49" name="Frame48"/>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4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2022</w:t>
            </w:r>
          </w:p>
        </w:tc>
      </w:tr>
      <w:tr>
        <w:trPr/>
        <w:tc>
          <w:tcPr>
            <w:tcW w:w="30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reconciliation:</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12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3,885</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30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3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r>
      <w:tr>
        <w:trPr/>
        <w:tc>
          <w:tcPr>
            <w:tcW w:w="30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3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0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5,429</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3,374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2751</Words>
  <Characters>15254</Characters>
  <CharactersWithSpaces>18244</CharactersWithSpaces>
  <Paragraphs>1265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