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10"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4"/>
        </w:trPr>
        <w:tc>
          <w:tcPr>
            <w:tcW w:w="1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84"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May 1, 2023, was 20,616,102.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40" w:type="dxa"/>
            <w:vAlign w:val="bottom"/>
            <w:gridSpan w:val="14"/>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Condensed Balance Sheets as of March 31, 2023 (unaudited) and December 31, 2022</w:t>
            </w:r>
          </w:p>
        </w:tc>
        <w:tc>
          <w:tcPr>
            <w:tcW w:w="102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Condensed Statements of Income and Comprehensive Income for the three months ended March</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31, 2023 and 2022 (unaudited)</w:t>
            </w:r>
          </w:p>
        </w:tc>
        <w:tc>
          <w:tcPr>
            <w:tcW w:w="472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Condensed Statements of Stockholders’ Equity for the three months ended March 31, 2023 and</w:t>
            </w:r>
          </w:p>
        </w:tc>
        <w:tc>
          <w:tcPr>
            <w:tcW w:w="3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2022 (unaudited)</w:t>
            </w:r>
          </w:p>
        </w:tc>
        <w:tc>
          <w:tcPr>
            <w:tcW w:w="57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Statements of Cash Flows for the three months ended March 31, 2023 and 2022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5520" w:type="dxa"/>
            <w:vAlign w:val="bottom"/>
            <w:tcBorders>
              <w:top w:val="single" w:sz="8" w:color="0000EE"/>
            </w:tcBorders>
            <w:gridSpan w:val="15"/>
          </w:tcPr>
          <w:p>
            <w:pPr>
              <w:spacing w:after="0"/>
              <w:rPr>
                <w:sz w:val="17"/>
                <w:szCs w:val="17"/>
                <w:color w:val="auto"/>
              </w:rPr>
            </w:pPr>
          </w:p>
        </w:tc>
        <w:tc>
          <w:tcPr>
            <w:tcW w:w="60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10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26,795</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March 31, 2023 and December 31, 2022, respectively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20,534,744 and 20,374,288 shares issued and outstanding as of March 31, 2023 and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(145,941)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(146,702)</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38,664</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2080"/>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Income and Comprehensive Income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22"/>
                <w:szCs w:val="22"/>
                <w:color w:val="auto"/>
              </w:rPr>
            </w:pP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19,896,654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20,832,074</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20,726,193</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4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20,374,288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38,664</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20,534,744</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186,537</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(145,941)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40,598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40" w:type="dxa"/>
            <w:vAlign w:val="bottom"/>
            <w:gridSpan w:val="4"/>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09"/>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19,858,460</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180,067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(152,831)</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27,238</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2022</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19,970,786</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180,960</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(150,896)</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30,066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840" w:type="dxa"/>
            <w:vAlign w:val="bottom"/>
            <w:tcBorders>
              <w:bottom w:val="single" w:sz="8" w:color="auto"/>
            </w:tcBorders>
            <w:gridSpan w:val="6"/>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tcPr>
          <w:p>
            <w:pPr>
              <w:jc w:val="right"/>
              <w:ind w:right="6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761</w:t>
            </w:r>
          </w:p>
        </w:tc>
        <w:tc>
          <w:tcPr>
            <w:tcW w:w="240" w:type="dxa"/>
            <w:vAlign w:val="bottom"/>
          </w:tcPr>
          <w:p>
            <w:pPr>
              <w:spacing w:after="0"/>
              <w:rPr>
                <w:sz w:val="14"/>
                <w:szCs w:val="14"/>
                <w:color w:val="auto"/>
              </w:rPr>
            </w:pPr>
          </w:p>
        </w:tc>
        <w:tc>
          <w:tcPr>
            <w:tcW w:w="300" w:type="dxa"/>
            <w:vAlign w:val="bottom"/>
            <w:gridSpan w:val="2"/>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1,935</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1,160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824</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prepayment and termination of credit facility</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warrant revaluation</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(2,047)</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404</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(1,457)</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(2,014)</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(502)</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w:t>
            </w: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1,204</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(971)</w:t>
            </w: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800" w:type="dxa"/>
            <w:vAlign w:val="bottom"/>
          </w:tcPr>
          <w:p>
            <w:pPr>
              <w:spacing w:after="0"/>
              <w:rPr>
                <w:sz w:val="14"/>
                <w:szCs w:val="14"/>
                <w:color w:val="auto"/>
              </w:rPr>
            </w:pP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55"/>
        </w:trPr>
        <w:tc>
          <w:tcPr>
            <w:tcW w:w="608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8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(1,011)</w:t>
            </w: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56"/>
        </w:trPr>
        <w:tc>
          <w:tcPr>
            <w:tcW w:w="608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Payments on long-term debt</w:t>
            </w:r>
          </w:p>
        </w:tc>
        <w:tc>
          <w:tcPr>
            <w:tcW w:w="8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(2,777)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(531)</w:t>
            </w:r>
          </w:p>
        </w:tc>
        <w:tc>
          <w:tcPr>
            <w:tcW w:w="0" w:type="dxa"/>
            <w:vAlign w:val="bottom"/>
          </w:tcPr>
          <w:p>
            <w:pPr>
              <w:spacing w:after="0"/>
              <w:rPr>
                <w:sz w:val="1"/>
                <w:szCs w:val="1"/>
                <w:color w:val="auto"/>
              </w:rPr>
            </w:pPr>
          </w:p>
        </w:tc>
      </w:tr>
      <w:tr>
        <w:trPr>
          <w:trHeight w:val="156"/>
        </w:trPr>
        <w:tc>
          <w:tcPr>
            <w:tcW w:w="60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8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(2,584)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(1,524)</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21,409</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800" w:type="dxa"/>
            <w:vAlign w:val="bottom"/>
            <w:tcBorders>
              <w:bottom w:val="single" w:sz="8" w:color="auto"/>
            </w:tcBorders>
          </w:tcPr>
          <w:p>
            <w:pPr>
              <w:jc w:val="right"/>
              <w:ind w:right="6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24,211</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19,885</w:t>
            </w:r>
          </w:p>
        </w:tc>
        <w:tc>
          <w:tcPr>
            <w:tcW w:w="0" w:type="dxa"/>
            <w:vAlign w:val="bottom"/>
          </w:tcPr>
          <w:p>
            <w:pPr>
              <w:spacing w:after="0"/>
              <w:rPr>
                <w:sz w:val="1"/>
                <w:szCs w:val="1"/>
                <w:color w:val="auto"/>
              </w:rPr>
            </w:pPr>
          </w:p>
        </w:tc>
      </w:tr>
      <w:tr>
        <w:trPr>
          <w:trHeight w:val="143"/>
        </w:trPr>
        <w:tc>
          <w:tcPr>
            <w:tcW w:w="6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800" w:type="dxa"/>
            <w:vAlign w:val="bottom"/>
          </w:tcPr>
          <w:p>
            <w:pPr>
              <w:jc w:val="right"/>
              <w:ind w:right="6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240" w:type="dxa"/>
            <w:vAlign w:val="bottom"/>
          </w:tcPr>
          <w:p>
            <w:pPr>
              <w:spacing w:after="0"/>
              <w:rPr>
                <w:sz w:val="17"/>
                <w:szCs w:val="17"/>
                <w:color w:val="auto"/>
              </w:rPr>
            </w:pPr>
          </w:p>
        </w:tc>
        <w:tc>
          <w:tcPr>
            <w:tcW w:w="300" w:type="dxa"/>
            <w:vAlign w:val="bottom"/>
            <w:gridSpan w:val="2"/>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43"/>
        </w:trPr>
        <w:tc>
          <w:tcPr>
            <w:tcW w:w="60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800" w:type="dxa"/>
            <w:vAlign w:val="bottom"/>
            <w:tcBorders>
              <w:top w:val="single" w:sz="8" w:color="auto"/>
              <w:bottom w:val="single" w:sz="8" w:color="auto"/>
            </w:tcBorders>
            <w:shd w:val="clear" w:color="auto" w:fill="CCEEFF"/>
          </w:tcPr>
          <w:p>
            <w:pPr>
              <w:jc w:val="right"/>
              <w:ind w:right="6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375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6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43"/>
        </w:trPr>
        <w:tc>
          <w:tcPr>
            <w:tcW w:w="6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operating lease liabilities</w:t>
            </w:r>
          </w:p>
        </w:tc>
        <w:tc>
          <w:tcPr>
            <w:tcW w:w="800" w:type="dxa"/>
            <w:vAlign w:val="bottom"/>
          </w:tcPr>
          <w:p>
            <w:pPr>
              <w:jc w:val="right"/>
              <w:ind w:right="6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16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3,350</w:t>
            </w:r>
          </w:p>
        </w:tc>
        <w:tc>
          <w:tcPr>
            <w:tcW w:w="0" w:type="dxa"/>
            <w:vAlign w:val="bottom"/>
          </w:tcPr>
          <w:p>
            <w:pPr>
              <w:spacing w:after="0"/>
              <w:rPr>
                <w:sz w:val="1"/>
                <w:szCs w:val="1"/>
                <w:color w:val="auto"/>
              </w:rPr>
            </w:pPr>
          </w:p>
        </w:tc>
      </w:tr>
      <w:tr>
        <w:trPr>
          <w:trHeight w:val="143"/>
        </w:trPr>
        <w:tc>
          <w:tcPr>
            <w:tcW w:w="60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800" w:type="dxa"/>
            <w:vAlign w:val="bottom"/>
            <w:tcBorders>
              <w:top w:val="single" w:sz="8" w:color="auto"/>
              <w:bottom w:val="single" w:sz="8" w:color="auto"/>
            </w:tcBorders>
            <w:shd w:val="clear" w:color="auto" w:fill="CCEEFF"/>
          </w:tcPr>
          <w:p>
            <w:pPr>
              <w:jc w:val="right"/>
              <w:ind w:right="6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6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257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1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2022,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2023, are not necessarily indicative of the results to be expected for the year ending December 31, 2023 or for any other interim period or for any other future year.</w:t>
      </w:r>
    </w:p>
    <w:p>
      <w:pPr>
        <w:spacing w:after="0" w:line="192"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2022, included in the Company’s Annual Report on Form 10-K filed with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return reserves,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3"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142"/>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4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28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8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09"/>
        </w:trPr>
        <w:tc>
          <w:tcPr>
            <w:tcW w:w="9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9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9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6"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162"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17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2023,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2019 Credit Facility. The warrants expire on July 6,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26,812</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9"/>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Times New Roman" w:cs="Times New Roman" w:eastAsia="Times New Roman" w:hAnsi="Times New Roman"/>
          <w:sz w:val="18"/>
          <w:szCs w:val="18"/>
          <w:i w:val="1"/>
          <w:iCs w:val="1"/>
          <w:color w:val="auto"/>
        </w:rPr>
        <w:t>Codification Improvements Financial Instruments-Credit Losses (Topic 326)</w:t>
      </w:r>
      <w:r>
        <w:rPr>
          <w:rFonts w:ascii="Times New Roman" w:cs="Times New Roman" w:eastAsia="Times New Roman" w:hAnsi="Times New Roman"/>
          <w:sz w:val="18"/>
          <w:szCs w:val="18"/>
          <w:color w:val="auto"/>
        </w:rPr>
        <w:t>. ASU 2019-04 provides narrow-scope amendments to help apply ASU 2016-13, and is effective with the adoption of ASU 2016-13. The Company adopted ASU 2016-13 and ASU 2019-04 on January 1, 2023, and it did not have a material impact on its condensed financial statements.</w:t>
      </w:r>
    </w:p>
    <w:p>
      <w:pPr>
        <w:spacing w:after="0" w:line="192"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left="40" w:right="459" w:firstLine="324"/>
        <w:spacing w:after="0" w:line="282" w:lineRule="auto"/>
        <w:rPr>
          <w:sz w:val="20"/>
          <w:szCs w:val="20"/>
          <w:color w:val="auto"/>
        </w:rPr>
      </w:pPr>
      <w:r>
        <w:rPr>
          <w:rFonts w:ascii="Times New Roman" w:cs="Times New Roman" w:eastAsia="Times New Roman" w:hAnsi="Times New Roman"/>
          <w:sz w:val="18"/>
          <w:szCs w:val="18"/>
          <w:color w:val="auto"/>
        </w:rPr>
        <w:t>The Company sells products to its distributors and original equipment manufacturers (OEMs). The Company also recognizes revenue under licensing, patent, and royalty agreements with some customers.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09"/>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0"/>
        </w:trPr>
        <w:tc>
          <w:tcPr>
            <w:tcW w:w="4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3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9"/>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4,631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6,279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2,076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40" w:right="279" w:firstLine="324"/>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2021, the Company executed contractual arrangements with a customer for the development of a RAD-Hard product, consisting of a technology license, design license agreement, and development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019"/>
        <w:spacing w:after="0" w:line="282" w:lineRule="auto"/>
        <w:rPr>
          <w:sz w:val="20"/>
          <w:szCs w:val="20"/>
          <w:color w:val="auto"/>
        </w:rPr>
      </w:pPr>
      <w:r>
        <w:rPr>
          <w:rFonts w:ascii="Times New Roman" w:cs="Times New Roman" w:eastAsia="Times New Roman" w:hAnsi="Times New Roman"/>
          <w:sz w:val="18"/>
          <w:szCs w:val="18"/>
          <w:color w:val="auto"/>
        </w:rPr>
        <w:t>subcontract (RAD-Hard 1). The Company does not share in the rights to future revenues or royalties. The total arrangements are for $6.5 million in consideration.</w:t>
      </w:r>
    </w:p>
    <w:p>
      <w:pPr>
        <w:spacing w:after="0" w:line="121"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62"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pacing w:after="0" w:line="183" w:lineRule="exact"/>
        <w:rPr>
          <w:sz w:val="20"/>
          <w:szCs w:val="20"/>
          <w:color w:val="auto"/>
        </w:rPr>
      </w:pPr>
    </w:p>
    <w:p>
      <w:pPr>
        <w:ind w:left="40" w:right="17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2023, the Company has billed $6.0 million for the performance under the RAD-Hard 1 contractual agreements. Under the input method of recognition, the Company has recognized $0.2 million in revenue for the three-months ending March 31, 2023, and $5.2 million in revenue since inception of the contractual agreements. As a result, the Company has recorded $0.8 million in deferred revenue as of March 31, 2023. The Company expects to recognize the remaining $1.3 million of the transaction price as services are performed throughout the contractual period and performance is expected to be complete in the year ended December 31, 2024.</w:t>
      </w:r>
    </w:p>
    <w:p>
      <w:pPr>
        <w:spacing w:after="0" w:line="187" w:lineRule="exact"/>
        <w:rPr>
          <w:sz w:val="20"/>
          <w:szCs w:val="20"/>
          <w:color w:val="auto"/>
        </w:rPr>
      </w:pPr>
    </w:p>
    <w:p>
      <w:pPr>
        <w:ind w:left="40" w:right="139" w:firstLine="324"/>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executed a contractual arrangement with a customer for the development of a strategic radiation hardened field programmable gate array product, consisting of a technology license to provide design and development services under the contractual agreement (RAD-Hard 2). The Company does not share in the rights to future revenues or royalties. The total arrangement is for $6.5 million in consideration and services are expected to be performed through the year ended December 31, 2024, subject to certain termination and extension provisions defined in the arrangement. The accounting for this contract follows the same revenue recognition as the RAD-Hard 1 contractual agreements. As of March 31, 2023, the Company has billed $1.1 million for the performance under the RAD-Hard 2 contractual agreement. Under the input method of recognition, the Company has recognized $0.7 million in revenue for the three-months ending March 31, 2023, and $1.0 million in revenue since inception of the contractual agreement. As a result, the Company has recorded $0.1 million in deferred revenue as of March 31, 2023.</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ind w:left="40" w:right="39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expiring at various dates through 2029. Finance leases relate to a server lease expiring in January 2025. The Company’s lease agreements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r>
    </w:tbl>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2019 Credit Facility</w:t>
      </w:r>
    </w:p>
    <w:p>
      <w:pPr>
        <w:spacing w:after="0" w:line="229" w:lineRule="exact"/>
        <w:rPr>
          <w:sz w:val="20"/>
          <w:szCs w:val="20"/>
          <w:color w:val="auto"/>
        </w:rPr>
      </w:pPr>
    </w:p>
    <w:p>
      <w:pPr>
        <w:ind w:left="40" w:right="79" w:firstLine="324"/>
        <w:spacing w:after="0" w:line="261" w:lineRule="auto"/>
        <w:rPr>
          <w:sz w:val="20"/>
          <w:szCs w:val="20"/>
          <w:color w:val="auto"/>
        </w:rPr>
      </w:pPr>
      <w:r>
        <w:rPr>
          <w:rFonts w:ascii="Times New Roman" w:cs="Times New Roman" w:eastAsia="Times New Roman" w:hAnsi="Times New Roman"/>
          <w:sz w:val="18"/>
          <w:szCs w:val="18"/>
          <w:color w:val="auto"/>
        </w:rPr>
        <w:t>In March 2023, the 2019 Credit Facility, consisting of the Company’s Term Loan and Line of Credit, was paid in full, and there was no outstanding balance as of March 31, 2023. The Company paid an early termination and prepayment fee of $170,000, which was recorded within other income (expense) within the condensed statements of income and comprehensive income for the three months ended March 31, 2023.</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was in compliance with all covenants throughout the 2019 Credit Facility payoff date in March 2023.</w:t>
      </w:r>
    </w:p>
    <w:p>
      <w:pPr>
        <w:spacing w:after="0" w:line="225"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condensed statements of income and comprehensive income and included in non-cash interest expense within the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and Award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the three months ended March 31, 2023:</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689,472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1,994,726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611,228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(607,886)</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cancelled/forfeited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(2,898)</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Balance—March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691,962</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1,992,558</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151"/>
        </w:trPr>
        <w:tc>
          <w:tcPr>
            <w:tcW w:w="26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Options exercisable—</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1,130,079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$1.9 million and $1.0 million during the three months ended March 31, 2023 and 2022, respectively. The weighted-average grant date fair value of options granted was $3.20 and $5.41 per share during the three months ended March 31, 2023 and 2022, respectively.</w:t>
      </w:r>
    </w:p>
    <w:p>
      <w:pPr>
        <w:spacing w:after="0" w:line="176" w:lineRule="exact"/>
        <w:rPr>
          <w:sz w:val="20"/>
          <w:szCs w:val="20"/>
          <w:color w:val="auto"/>
        </w:rPr>
      </w:pPr>
    </w:p>
    <w:p>
      <w:pPr>
        <w:jc w:val="both"/>
        <w:ind w:left="40" w:right="5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2023, there was $3.4 million of total unrecognized stock-based compensation expense related to unvested options which is expected to be recognized over a weighted-average period of 2.2 years. Compensation cost capitalized within inventory at March 31, 2023 and 2022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left="40" w:right="179" w:firstLine="324"/>
        <w:spacing w:after="0" w:line="261" w:lineRule="auto"/>
        <w:rPr>
          <w:sz w:val="20"/>
          <w:szCs w:val="20"/>
          <w:color w:val="auto"/>
        </w:rPr>
      </w:pPr>
      <w:r>
        <w:rPr>
          <w:rFonts w:ascii="Times New Roman" w:cs="Times New Roman" w:eastAsia="Times New Roman" w:hAnsi="Times New Roman"/>
          <w:sz w:val="18"/>
          <w:szCs w:val="18"/>
          <w:color w:val="auto"/>
        </w:rPr>
        <w:t>In January 2023, there was an increase of 203,742 shares reserved for issuance under the Company’s Employee Stock Purchase Plan (ESPP) pursuant to the terms of the ESPP. The Company had 977,879 shares available for future issuance under the Company’s ESPP as of March 31, 2023. Employees purchased no shares during the three months ended March 31, 2023 and 2022, respectively.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three months ended March 31, 2023:</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607,886</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(157,436)</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2023, there was $6.4 million of unrecognized stock-based compensation expense related to RSUs to be recognized over a weighted-average period of 2.3 years. Compensation cost capitalized within inventory at March 31, 2023 and 2022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89"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Net Income Per Common Share</w:t>
      </w:r>
    </w:p>
    <w:p>
      <w:pPr>
        <w:spacing w:after="0" w:line="229" w:lineRule="exact"/>
        <w:rPr>
          <w:sz w:val="20"/>
          <w:szCs w:val="20"/>
          <w:color w:val="auto"/>
        </w:rPr>
      </w:pPr>
    </w:p>
    <w:p>
      <w:pPr>
        <w:jc w:val="both"/>
        <w:ind w:left="40" w:right="59" w:firstLine="441"/>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87" w:lineRule="exact"/>
        <w:rPr>
          <w:sz w:val="20"/>
          <w:szCs w:val="20"/>
          <w:color w:val="auto"/>
        </w:rPr>
      </w:pPr>
    </w:p>
    <w:p>
      <w:pPr>
        <w:jc w:val="both"/>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income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19,896,654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 basic</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Diluted EPS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warrant liability fair value loss (gain) recognized</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common stockholders, diluted</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19,896,654</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RSUs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381,080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829,539</w:t>
            </w:r>
          </w:p>
        </w:tc>
        <w:tc>
          <w:tcPr>
            <w:tcW w:w="0" w:type="dxa"/>
            <w:vAlign w:val="bottom"/>
          </w:tcPr>
          <w:p>
            <w:pPr>
              <w:spacing w:after="0"/>
              <w:rPr>
                <w:sz w:val="1"/>
                <w:szCs w:val="1"/>
                <w:color w:val="auto"/>
              </w:rPr>
            </w:pPr>
          </w:p>
        </w:tc>
      </w:tr>
      <w:tr>
        <w:trPr>
          <w:trHeight w:val="178"/>
        </w:trPr>
        <w:tc>
          <w:tcPr>
            <w:tcW w:w="474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20,832,074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20,726,193</w:t>
            </w:r>
          </w:p>
        </w:tc>
        <w:tc>
          <w:tcPr>
            <w:tcW w:w="0" w:type="dxa"/>
            <w:vAlign w:val="bottom"/>
          </w:tcPr>
          <w:p>
            <w:pPr>
              <w:spacing w:after="0"/>
              <w:rPr>
                <w:sz w:val="1"/>
                <w:szCs w:val="1"/>
                <w:color w:val="auto"/>
              </w:rPr>
            </w:pPr>
          </w:p>
        </w:tc>
      </w:tr>
      <w:tr>
        <w:trPr>
          <w:trHeight w:val="221"/>
        </w:trPr>
        <w:tc>
          <w:tcPr>
            <w:tcW w:w="4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 diluted</w:t>
            </w: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representing 1.6 million and 0.3 million stock options and RSUs that were outstanding during the three-months ended of March 31, 2023, and 2022,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2022.</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the COVID-19 pandemic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40" w:right="159" w:firstLine="324"/>
        <w:spacing w:after="0" w:line="282" w:lineRule="auto"/>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original design manufacturers (ODMs).</w:t>
      </w:r>
    </w:p>
    <w:p>
      <w:pPr>
        <w:spacing w:after="0" w:line="162"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266" w:lineRule="auto"/>
        <w:rPr>
          <w:sz w:val="20"/>
          <w:szCs w:val="20"/>
          <w:color w:val="auto"/>
        </w:rPr>
      </w:pPr>
      <w:r>
        <w:rPr>
          <w:rFonts w:ascii="Times New Roman" w:cs="Times New Roman" w:eastAsia="Times New Roman" w:hAnsi="Times New Roman"/>
          <w:sz w:val="18"/>
          <w:szCs w:val="18"/>
          <w:color w:val="auto"/>
        </w:rPr>
        <w:t>EBITDA, a non-GAAP financial measure, and design wins. We define Adjusted EBITDA as net income or loss adjusted for interest expense, taxes, depreciation and amortization, stock-based compensation expense, and restructuring costs, if any.</w:t>
      </w:r>
    </w:p>
    <w:p>
      <w:pPr>
        <w:spacing w:after="0" w:line="174"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Our management and board of directors use Adjusted EBITDA to understand and evaluate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8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8"/>
                <w:szCs w:val="18"/>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9"/>
        </w:trPr>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3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of the COVID-19 Pandemic on our Business</w:t>
      </w:r>
    </w:p>
    <w:p>
      <w:pPr>
        <w:spacing w:after="0" w:line="22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The COVID-19 outbreak has resulted in government authorities around the world implementing numerous measures to try to reduce the spread of COVID-19. Overall, our business remained operational in the midst of the COVID-19 pandemic. Recently, the United States Government declared that it was no longer treating COVID-19 as a pandemic. Since our business is dependent on a global supply chain, we expect to continue to navigate the impact of COVID-19, particularly in some Asian countries. 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92" w:lineRule="exact"/>
        <w:rPr>
          <w:sz w:val="20"/>
          <w:szCs w:val="20"/>
          <w:color w:val="auto"/>
        </w:rPr>
      </w:pPr>
    </w:p>
    <w:p>
      <w:pPr>
        <w:ind w:left="40" w:right="159" w:firstLine="324"/>
        <w:spacing w:after="0" w:line="289" w:lineRule="auto"/>
        <w:rPr>
          <w:sz w:val="20"/>
          <w:szCs w:val="20"/>
          <w:color w:val="auto"/>
        </w:rPr>
      </w:pPr>
      <w:r>
        <w:rPr>
          <w:rFonts w:ascii="Times New Roman" w:cs="Times New Roman" w:eastAsia="Times New Roman" w:hAnsi="Times New Roman"/>
          <w:sz w:val="17"/>
          <w:szCs w:val="17"/>
          <w:color w:val="auto"/>
        </w:rPr>
        <w:t>The ultimate extent of the impact of the COVID-19 pandemic on our business, results of operations and financial condition will depend on future developments, which are highly uncertain, continuously evolving and cannot be predicted, See “Risk Factors” in Part II, Item 1A of this report for additional risks we face due to the existence of COVID-19.</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r>
      <w:tr>
        <w:trPr>
          <w:trHeight w:val="128"/>
        </w:trPr>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4"/>
          </w:tcPr>
          <w:p>
            <w:pPr>
              <w:jc w:val="right"/>
              <w:ind w:right="21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(As a percentage</w:t>
            </w: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160" w:type="dxa"/>
            <w:vAlign w:val="bottom"/>
          </w:tcPr>
          <w:p>
            <w:pPr>
              <w:spacing w:after="0"/>
              <w:rPr>
                <w:sz w:val="11"/>
                <w:szCs w:val="1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8"/>
                <w:szCs w:val="18"/>
                <w:color w:val="auto"/>
              </w:rPr>
            </w:pPr>
          </w:p>
        </w:tc>
      </w:tr>
      <w:tr>
        <w:trPr>
          <w:trHeight w:val="209"/>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r>
      <w:tr>
        <w:trPr>
          <w:trHeight w:val="209"/>
        </w:trPr>
        <w:tc>
          <w:tcPr>
            <w:tcW w:w="3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r>
      <w:tr>
        <w:trPr>
          <w:trHeight w:val="209"/>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r>
      <w:tr>
        <w:trPr>
          <w:trHeight w:val="209"/>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tcPr>
          <w:p>
            <w:pPr>
              <w:spacing w:after="0"/>
              <w:rPr>
                <w:sz w:val="18"/>
                <w:szCs w:val="18"/>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We generated 87% and 75% of our revenue from products sold to distributors for the three months ended March 31, 2023 and 2022, respectively.</w:t>
      </w:r>
    </w:p>
    <w:p>
      <w:pPr>
        <w:spacing w:after="0" w:line="162"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6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0"/>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14,347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gridSpan w:val="4"/>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gridSpan w:val="2"/>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324"/>
        <w:spacing w:after="0" w:line="282" w:lineRule="auto"/>
        <w:rPr>
          <w:sz w:val="20"/>
          <w:szCs w:val="20"/>
          <w:color w:val="auto"/>
        </w:rPr>
      </w:pPr>
      <w:r>
        <w:rPr>
          <w:rFonts w:ascii="Times New Roman" w:cs="Times New Roman" w:eastAsia="Times New Roman" w:hAnsi="Times New Roman"/>
          <w:sz w:val="18"/>
          <w:szCs w:val="18"/>
          <w:color w:val="auto"/>
        </w:rPr>
        <w:t>Total revenue increased by $0.5 million, or 3.5%, from $14.3 million during the three months ended March 31, 2022 to $14.8 million during the three months ended March 31, 2023. The increase was primarily due to an increase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39"/>
        <w:spacing w:after="0" w:line="282" w:lineRule="auto"/>
        <w:rPr>
          <w:sz w:val="20"/>
          <w:szCs w:val="20"/>
          <w:color w:val="auto"/>
        </w:rPr>
      </w:pPr>
      <w:r>
        <w:rPr>
          <w:rFonts w:ascii="Times New Roman" w:cs="Times New Roman" w:eastAsia="Times New Roman" w:hAnsi="Times New Roman"/>
          <w:sz w:val="18"/>
          <w:szCs w:val="18"/>
          <w:color w:val="auto"/>
        </w:rPr>
        <w:t>product sales by $1.1 million, or 8.7%, from $12.7 million to $13.8 million driven by a higher volume of toggle units produced and sold, along with average sales price increases to offset supplier price increases.</w:t>
      </w:r>
    </w:p>
    <w:p>
      <w:pPr>
        <w:spacing w:after="0" w:line="162"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decreased by $0.6 million, or 36.2%, from $1.7 million during the three months ended March 31, 2022 to $1.1 million during the three months ended March 31, 2023. The decrease was driven by a decrease of $0.6 million of other revenue related to foundry services.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6"/>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$ 6,123</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$ 5,752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6.4 %</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7.7 %</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$ 6,024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6.5 %</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8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$0.4 million, or 6.4%, from $5.8 million during the three months ended March 31, 2022, to $6.1 million during the three months ended March 31, 2023. The increase was due to an increase in product sales and price increases from suppliers, partially offset by increased yields on toggle products.</w:t>
      </w:r>
    </w:p>
    <w:p>
      <w:pPr>
        <w:spacing w:after="0" w:line="176" w:lineRule="exact"/>
        <w:rPr>
          <w:sz w:val="20"/>
          <w:szCs w:val="20"/>
          <w:color w:val="auto"/>
        </w:rPr>
      </w:pPr>
    </w:p>
    <w:p>
      <w:pPr>
        <w:jc w:val="both"/>
        <w:ind w:left="40" w:right="379" w:firstLine="324"/>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and other revenue increased by $21,000, or 7.7% from $272,000 during the three months ended March 31, 2022, to $293,000 during the three months ended March 31, 2023. The increase was due to an increase in licensing costs.</w:t>
      </w:r>
    </w:p>
    <w:p>
      <w:pPr>
        <w:spacing w:after="0" w:line="176"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58.0% during the three months ended March 31, 2022, to 56.8% during the three months ended March 31, 2023. Our gross margin decreased due to price increases from suppliers and lower licensing, royalty, patent, and other revenue.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$ 3,199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763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179"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increased by $0.8 million, or 31.3%,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$2.4 million during the three months ended March 31, 2022, to $3.2 million during the three months ended March 31, 2023. The increase is primarily due to development expenses related to our new xSPI family of STT-MRAM products.</w:t>
      </w:r>
    </w:p>
    <w:p>
      <w:pPr>
        <w:spacing w:after="0" w:line="15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$ 3,220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$ 2,729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491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40" w:right="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$0.5 million, or 18.0%,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 million during the three months ended March 31, 2022 to $3.2 million during the three months ended March 31, 2023. The increase is primarily due to increases related to profit sharing and professional service costs.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$ 1,315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181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$0.2 million, or 16.0%, from $1.1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2022, to $1.3 million during the three months ended March 31, 2023. The increase was primarily due to an increase in variable compensation costs.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(12)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right="399" w:firstLine="324"/>
        <w:spacing w:after="0" w:line="289" w:lineRule="auto"/>
        <w:rPr>
          <w:sz w:val="20"/>
          <w:szCs w:val="20"/>
          <w:color w:val="auto"/>
        </w:rPr>
      </w:pPr>
      <w:r>
        <w:rPr>
          <w:rFonts w:ascii="Times New Roman" w:cs="Times New Roman" w:eastAsia="Times New Roman" w:hAnsi="Times New Roman"/>
          <w:sz w:val="17"/>
          <w:szCs w:val="17"/>
          <w:color w:val="auto"/>
        </w:rPr>
        <w:t>Interest expense decreased by $12,000, or 16.0%, from $75,000 during the three months ended March 31, 2022, to $63,000 during the three months ended March 31, 2023. The decrease was due to lower outstanding balances under the credit facility that we paid off in full during the three months ended March 31, 2023, resulting in less interest incurred.</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52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5"/>
                <w:szCs w:val="15"/>
                <w:color w:val="auto"/>
              </w:rPr>
            </w:pPr>
          </w:p>
        </w:tc>
        <w:tc>
          <w:tcPr>
            <w:tcW w:w="15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gridSpan w:val="2"/>
            <w:vMerge w:val="continue"/>
          </w:tcPr>
          <w:p>
            <w:pPr>
              <w:spacing w:after="0"/>
              <w:rPr>
                <w:sz w:val="11"/>
                <w:szCs w:val="11"/>
                <w:color w:val="auto"/>
              </w:rPr>
            </w:pPr>
          </w:p>
        </w:tc>
        <w:tc>
          <w:tcPr>
            <w:tcW w:w="52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1,014.3 %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changed from a $14,000 expense to income of $128,000 from the three months ended March 31, 2022 to the three months ended March 31, 2023. The change was primarily due to interest income earned on the money market cash account, offset by a loss on prepayment and termination of our 2019 Credit Facility.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2023, we had $24.2 million of cash and cash equivalents, compared to $26.8 million as of December 31, 2022. As of March 31, 2023,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r>
      <w:tr>
        <w:trPr>
          <w:trHeight w:val="129"/>
        </w:trPr>
        <w:tc>
          <w:tcPr>
            <w:tcW w:w="4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operating activities was $1.2 million, which consisted of net income of $0.8 million, cash provided by non-cash charges of $1.7 million and changes of net operating assets and liabilities of $1.3 million. The non-cash charges primarily consisted of stock-based compensation of $1.2 million, depreciation and amortization of $0.3 million, and a loss on prepayment and termination of our 2019 credit facility of $0.2 million. The use of cash due to the change in our net operating assets and liabilities was primarily due to an increase in accounts receivable of $0.5 million due to timing of cash receipts for outstanding balances and a decrease in accrued liabilities of $1.5 million primarily due to timing of variable compensation costs. These uses were partially offset by a decrease in inventory of $0.4 million, a decrease in prepaid and other current assets of $0.1 million, an increase in deferred revenue of $0.1 million, and an increase in accounts payable of $0.1 million.</w:t>
      </w:r>
    </w:p>
    <w:p>
      <w:pPr>
        <w:spacing w:after="0" w:line="188" w:lineRule="exact"/>
        <w:rPr>
          <w:sz w:val="20"/>
          <w:szCs w:val="20"/>
          <w:color w:val="auto"/>
        </w:rPr>
      </w:pPr>
    </w:p>
    <w:p>
      <w:pPr>
        <w:ind w:left="40" w:right="15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cash used in operating activities was $1.0 million, which consisted of net income of $1.9 million, cash provided by non-cash charges of $1.1 million and changes of net operating assets and liabilities of $4.0 million. The non-cash charges primarily consisted of stock-based compensation of $0.8 million, and depreciation and amortization of $0.3 million. The use of cash due to the change in our net operating assets and liabilities was primarily due to an increase in accounts receivable of $2.0 million due to timing of cash receipts for outstanding balances, a decrease in accrued liabilities of $2.0 million primarily due to variable compensation costs and profit sharing, and a decrease in deferred revenue of $0.5 million. These uses were partially offset by an increase in accounts payable of $0.3 million, a decrease in prepaid expenses and other current assets of $0.1 million, and a decrease of inventory of $0.2 million.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2023 was $1.0 million, reflecting purchases of manufacturing equipment.</w:t>
      </w:r>
    </w:p>
    <w:p>
      <w:pPr>
        <w:spacing w:after="0" w:line="162" w:lineRule="exact"/>
        <w:rPr>
          <w:sz w:val="20"/>
          <w:szCs w:val="20"/>
          <w:color w:val="auto"/>
        </w:rPr>
      </w:pPr>
    </w:p>
    <w:p>
      <w:pPr>
        <w:ind w:left="40" w:right="55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2022 was $22,000 for the purchase of manufacturing equipment.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2023, was $2.8 million, consisting mainly of $2.8 million of payments to pay off our 2019 Credit Facility.</w:t>
      </w:r>
    </w:p>
    <w:p>
      <w:pPr>
        <w:spacing w:after="0" w:line="162" w:lineRule="exact"/>
        <w:rPr>
          <w:sz w:val="20"/>
          <w:szCs w:val="20"/>
          <w:color w:val="auto"/>
        </w:rPr>
      </w:pPr>
    </w:p>
    <w:p>
      <w:pPr>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2022 was $0.5 million, consisting mainly of $0.6 million of payments of term loan installments offset by $0.1 million in proceeds from the exercise of employee stock options.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2022, filed with the SEC on March 2, 2023,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March 31, 2023, the end of the period covered by this Quarterly Report on Form 10-Q.</w:t>
      </w:r>
    </w:p>
    <w:p>
      <w:pPr>
        <w:spacing w:after="0" w:line="180"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March 31, 2023.</w:t>
      </w:r>
    </w:p>
    <w:p>
      <w:pPr>
        <w:spacing w:after="0" w:line="162" w:lineRule="exact"/>
        <w:rPr>
          <w:sz w:val="20"/>
          <w:szCs w:val="20"/>
          <w:color w:val="auto"/>
        </w:rPr>
      </w:pPr>
    </w:p>
    <w:p>
      <w:pPr>
        <w:ind w:left="40" w:right="41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March 31, 2023 that materially affected, or are reasonably likely to materially affect, our internal control over financial reporting.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401"/>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40" w:right="79" w:firstLine="401"/>
        <w:spacing w:after="0" w:line="258"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75" w:lineRule="exact"/>
        <w:rPr>
          <w:sz w:val="20"/>
          <w:szCs w:val="20"/>
          <w:color w:val="auto"/>
        </w:rPr>
      </w:pPr>
    </w:p>
    <w:p>
      <w:pPr>
        <w:ind w:left="780" w:right="159" w:hanging="31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and may be unable to raise capital when needed, which could force us to delay, reduce, or eliminate planned activities.</w:t>
      </w:r>
    </w:p>
    <w:p>
      <w:pPr>
        <w:spacing w:after="0" w:line="53" w:lineRule="exact"/>
        <w:rPr>
          <w:rFonts w:ascii="Times New Roman" w:cs="Times New Roman" w:eastAsia="Times New Roman" w:hAnsi="Times New Roman"/>
          <w:sz w:val="18"/>
          <w:szCs w:val="18"/>
          <w:color w:val="auto"/>
        </w:rPr>
      </w:pPr>
    </w:p>
    <w:p>
      <w:pPr>
        <w:ind w:left="780" w:hanging="318"/>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sustain profitability.</w:t>
      </w:r>
    </w:p>
    <w:p>
      <w:pPr>
        <w:spacing w:after="0" w:line="117" w:lineRule="exact"/>
        <w:rPr>
          <w:rFonts w:ascii="Times New Roman" w:cs="Times New Roman" w:eastAsia="Times New Roman" w:hAnsi="Times New Roman"/>
          <w:sz w:val="18"/>
          <w:szCs w:val="18"/>
          <w:color w:val="auto"/>
        </w:rPr>
      </w:pPr>
    </w:p>
    <w:p>
      <w:pPr>
        <w:ind w:left="780" w:right="639" w:hanging="31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history of STT-MRAM adoption makes it difficult to evaluate our current business and future prospects.</w:t>
      </w:r>
    </w:p>
    <w:p>
      <w:pPr>
        <w:spacing w:after="0" w:line="53" w:lineRule="exact"/>
        <w:rPr>
          <w:rFonts w:ascii="Times New Roman" w:cs="Times New Roman" w:eastAsia="Times New Roman" w:hAnsi="Times New Roman"/>
          <w:sz w:val="18"/>
          <w:szCs w:val="18"/>
          <w:color w:val="auto"/>
        </w:rPr>
      </w:pPr>
    </w:p>
    <w:p>
      <w:pPr>
        <w:ind w:left="780" w:right="99" w:hanging="318"/>
        <w:spacing w:after="0" w:line="261"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1" w:lineRule="exact"/>
        <w:rPr>
          <w:rFonts w:ascii="Times New Roman" w:cs="Times New Roman" w:eastAsia="Times New Roman" w:hAnsi="Times New Roman"/>
          <w:sz w:val="18"/>
          <w:szCs w:val="18"/>
          <w:color w:val="auto"/>
        </w:rPr>
      </w:pPr>
    </w:p>
    <w:p>
      <w:pPr>
        <w:ind w:left="780" w:right="219" w:hanging="31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into new potential markets, we expect to face intense competition, including from our customers and potential customers, and may not be able to compete effectively, which could harm our business.</w:t>
      </w:r>
    </w:p>
    <w:p>
      <w:pPr>
        <w:spacing w:after="0" w:line="53" w:lineRule="exact"/>
        <w:rPr>
          <w:rFonts w:ascii="Times New Roman" w:cs="Times New Roman" w:eastAsia="Times New Roman" w:hAnsi="Times New Roman"/>
          <w:sz w:val="18"/>
          <w:szCs w:val="18"/>
          <w:color w:val="auto"/>
        </w:rPr>
      </w:pPr>
    </w:p>
    <w:p>
      <w:pPr>
        <w:ind w:left="780" w:right="119" w:hanging="318"/>
        <w:spacing w:after="0" w:line="266"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67" w:lineRule="exact"/>
        <w:rPr>
          <w:rFonts w:ascii="Times New Roman" w:cs="Times New Roman" w:eastAsia="Times New Roman" w:hAnsi="Times New Roman"/>
          <w:sz w:val="18"/>
          <w:szCs w:val="18"/>
          <w:color w:val="auto"/>
        </w:rPr>
      </w:pPr>
    </w:p>
    <w:p>
      <w:pPr>
        <w:ind w:left="780" w:right="139" w:hanging="31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may adversely impact our ability to fulfill customer demand which, in turn, may adversely impact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780" w:hanging="318"/>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agreement and strategic relationships involve numerous risks.</w:t>
      </w:r>
    </w:p>
    <w:p>
      <w:pPr>
        <w:spacing w:after="0" w:line="117" w:lineRule="exact"/>
        <w:rPr>
          <w:rFonts w:ascii="Times New Roman" w:cs="Times New Roman" w:eastAsia="Times New Roman" w:hAnsi="Times New Roman"/>
          <w:sz w:val="18"/>
          <w:szCs w:val="18"/>
          <w:color w:val="auto"/>
        </w:rPr>
      </w:pPr>
    </w:p>
    <w:p>
      <w:pPr>
        <w:ind w:left="780" w:right="139" w:hanging="318"/>
        <w:spacing w:after="0" w:line="266"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67" w:lineRule="exact"/>
        <w:rPr>
          <w:rFonts w:ascii="Times New Roman" w:cs="Times New Roman" w:eastAsia="Times New Roman" w:hAnsi="Times New Roman"/>
          <w:sz w:val="18"/>
          <w:szCs w:val="18"/>
          <w:color w:val="auto"/>
        </w:rPr>
      </w:pPr>
    </w:p>
    <w:p>
      <w:pPr>
        <w:ind w:left="780" w:right="319" w:hanging="318"/>
        <w:spacing w:after="0" w:line="289" w:lineRule="auto"/>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9" w:lineRule="exact"/>
        <w:rPr>
          <w:rFonts w:ascii="Times New Roman" w:cs="Times New Roman" w:eastAsia="Times New Roman" w:hAnsi="Times New Roman"/>
          <w:sz w:val="17"/>
          <w:szCs w:val="17"/>
          <w:color w:val="auto"/>
        </w:rPr>
      </w:pPr>
    </w:p>
    <w:p>
      <w:pPr>
        <w:ind w:left="780" w:right="419" w:hanging="318"/>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several of our customers or reduced orders or pricing from existing customers may have a significant adverse effect on our operations and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80" w:right="559" w:hanging="318"/>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and expect competition to increase in the future. If we fail to compete effectively, our revenue growth and results of operations will be materially and adversely affected.</w:t>
      </w:r>
    </w:p>
    <w:p>
      <w:pPr>
        <w:spacing w:after="0" w:line="53" w:lineRule="exact"/>
        <w:rPr>
          <w:rFonts w:ascii="Times New Roman" w:cs="Times New Roman" w:eastAsia="Times New Roman" w:hAnsi="Times New Roman"/>
          <w:sz w:val="18"/>
          <w:szCs w:val="18"/>
          <w:color w:val="auto"/>
        </w:rPr>
      </w:pPr>
    </w:p>
    <w:p>
      <w:pPr>
        <w:ind w:left="780" w:right="859" w:hanging="318"/>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increase substantially if we or our third-party manufacturing contractors do not achieve satisfactory product yields or quality.</w:t>
      </w:r>
    </w:p>
    <w:p>
      <w:pPr>
        <w:spacing w:after="0" w:line="53" w:lineRule="exact"/>
        <w:rPr>
          <w:rFonts w:ascii="Times New Roman" w:cs="Times New Roman" w:eastAsia="Times New Roman" w:hAnsi="Times New Roman"/>
          <w:sz w:val="18"/>
          <w:szCs w:val="18"/>
          <w:color w:val="auto"/>
        </w:rPr>
      </w:pPr>
    </w:p>
    <w:p>
      <w:pPr>
        <w:ind w:left="780" w:right="779" w:hanging="318"/>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may lead to defects, which could negatively impact our reputation with customers and result in liability.</w:t>
      </w:r>
    </w:p>
    <w:p>
      <w:pPr>
        <w:spacing w:after="0" w:line="53" w:lineRule="exact"/>
        <w:rPr>
          <w:rFonts w:ascii="Times New Roman" w:cs="Times New Roman" w:eastAsia="Times New Roman" w:hAnsi="Times New Roman"/>
          <w:sz w:val="18"/>
          <w:szCs w:val="18"/>
          <w:color w:val="auto"/>
        </w:rPr>
      </w:pPr>
    </w:p>
    <w:p>
      <w:pPr>
        <w:ind w:left="780" w:right="379" w:hanging="318"/>
        <w:spacing w:after="0" w:line="266"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7" w:lineRule="exact"/>
        <w:rPr>
          <w:rFonts w:ascii="Times New Roman" w:cs="Times New Roman" w:eastAsia="Times New Roman" w:hAnsi="Times New Roman"/>
          <w:sz w:val="18"/>
          <w:szCs w:val="18"/>
          <w:color w:val="auto"/>
        </w:rPr>
      </w:pPr>
    </w:p>
    <w:p>
      <w:pPr>
        <w:ind w:left="780" w:right="219" w:hanging="318"/>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industry standards and technical requirements relevant to our products and markets could adversely affect our business, results of operations, and prospects.</w:t>
      </w:r>
    </w:p>
    <w:p>
      <w:pPr>
        <w:spacing w:after="0" w:line="53" w:lineRule="exact"/>
        <w:rPr>
          <w:rFonts w:ascii="Times New Roman" w:cs="Times New Roman" w:eastAsia="Times New Roman" w:hAnsi="Times New Roman"/>
          <w:sz w:val="18"/>
          <w:szCs w:val="18"/>
          <w:color w:val="auto"/>
        </w:rPr>
      </w:pPr>
    </w:p>
    <w:p>
      <w:pPr>
        <w:ind w:left="780" w:right="259" w:hanging="318"/>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attract and retain key employees, and our failure to do so could harm our ability to grow our business and execute our business strategies.</w:t>
      </w:r>
    </w:p>
    <w:p>
      <w:pPr>
        <w:spacing w:after="0" w:line="53" w:lineRule="exact"/>
        <w:rPr>
          <w:rFonts w:ascii="Times New Roman" w:cs="Times New Roman" w:eastAsia="Times New Roman" w:hAnsi="Times New Roman"/>
          <w:sz w:val="18"/>
          <w:szCs w:val="18"/>
          <w:color w:val="auto"/>
        </w:rPr>
      </w:pPr>
    </w:p>
    <w:p>
      <w:pPr>
        <w:ind w:left="780" w:right="499" w:hanging="318"/>
        <w:spacing w:after="0" w:line="28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and are seeking to expand, operations outside the United States which exposes us to significant risks.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Our Indebtedness</w:t>
      </w:r>
    </w:p>
    <w:p>
      <w:pPr>
        <w:spacing w:after="0" w:line="22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left="40" w:right="179" w:firstLine="324"/>
        <w:spacing w:after="0" w:line="253" w:lineRule="auto"/>
        <w:rPr>
          <w:sz w:val="20"/>
          <w:szCs w:val="20"/>
          <w:color w:val="auto"/>
        </w:rPr>
      </w:pPr>
      <w:r>
        <w:rPr>
          <w:rFonts w:ascii="Times New Roman" w:cs="Times New Roman" w:eastAsia="Times New Roman" w:hAnsi="Times New Roman"/>
          <w:sz w:val="18"/>
          <w:szCs w:val="18"/>
          <w:color w:val="auto"/>
        </w:rPr>
        <w:t>Our total revenue was approximately $14.8 million for the three months ended March 31, 2023, and $60.0 million for the year ended December 31, 2022. As of March 31, 2023, we had cash and cash equivalents of approximately $24.2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94"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3"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sustain profitability.</w:t>
      </w:r>
    </w:p>
    <w:p>
      <w:pPr>
        <w:spacing w:after="0" w:line="229"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81" w:lineRule="auto"/>
        <w:rPr>
          <w:sz w:val="20"/>
          <w:szCs w:val="20"/>
          <w:color w:val="auto"/>
        </w:rPr>
      </w:pPr>
      <w:r>
        <w:rPr>
          <w:rFonts w:ascii="Times New Roman" w:cs="Times New Roman" w:eastAsia="Times New Roman" w:hAnsi="Times New Roman"/>
          <w:sz w:val="17"/>
          <w:szCs w:val="17"/>
          <w:color w:val="auto"/>
        </w:rPr>
        <w:t>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maintain and grow profitability and generate consistent positive cash flows is uncertain.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limited history of STT-MRAM adoption makes it difficult to evaluate our current business and future prospects.</w:t>
      </w:r>
    </w:p>
    <w:p>
      <w:pPr>
        <w:spacing w:after="0" w:line="229" w:lineRule="exact"/>
        <w:rPr>
          <w:sz w:val="20"/>
          <w:szCs w:val="20"/>
          <w:color w:val="auto"/>
        </w:rPr>
      </w:pPr>
    </w:p>
    <w:p>
      <w:pPr>
        <w:ind w:left="40" w:right="239" w:firstLine="324"/>
        <w:spacing w:after="0" w:line="261"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80"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17"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175"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8"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3" w:lineRule="exact"/>
        <w:rPr>
          <w:sz w:val="20"/>
          <w:szCs w:val="20"/>
          <w:color w:val="auto"/>
        </w:rPr>
      </w:pPr>
    </w:p>
    <w:p>
      <w:pPr>
        <w:jc w:val="both"/>
        <w:ind w:left="4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7" w:lineRule="exact"/>
        <w:rPr>
          <w:sz w:val="20"/>
          <w:szCs w:val="20"/>
          <w:color w:val="auto"/>
        </w:rPr>
      </w:pPr>
    </w:p>
    <w:p>
      <w:pPr>
        <w:ind w:left="40" w:right="599"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75" w:lineRule="exact"/>
        <w:rPr>
          <w:sz w:val="20"/>
          <w:szCs w:val="20"/>
          <w:color w:val="auto"/>
        </w:rPr>
      </w:pPr>
    </w:p>
    <w:p>
      <w:pPr>
        <w:ind w:left="620" w:right="219" w:hanging="252"/>
        <w:spacing w:after="0" w:line="266" w:lineRule="auto"/>
        <w:tabs>
          <w:tab w:leader="none" w:pos="6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9" w:lineRule="exact"/>
        <w:rPr>
          <w:sz w:val="20"/>
          <w:szCs w:val="20"/>
          <w:color w:val="auto"/>
        </w:rPr>
      </w:pPr>
    </w:p>
    <w:p>
      <w:pPr>
        <w:ind w:left="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the COVID-19 pandemic or the military conflict in Ukraine, at any of our main suppliers.</w:t>
      </w:r>
    </w:p>
    <w:p>
      <w:pPr>
        <w:spacing w:after="0" w:line="62" w:lineRule="exact"/>
        <w:rPr>
          <w:sz w:val="20"/>
          <w:szCs w:val="20"/>
          <w:color w:val="auto"/>
        </w:rPr>
      </w:pPr>
    </w:p>
    <w:p>
      <w:pPr>
        <w:ind w:left="40" w:right="99" w:firstLine="324"/>
        <w:spacing w:after="0" w:line="253"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5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396" w:lineRule="exact"/>
        <w:rPr>
          <w:sz w:val="20"/>
          <w:szCs w:val="20"/>
          <w:color w:val="auto"/>
        </w:rPr>
      </w:pPr>
    </w:p>
    <w:p>
      <w:pPr>
        <w:ind w:left="620" w:right="219" w:hanging="252"/>
        <w:spacing w:after="0" w:line="266"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29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161" w:lineRule="exact"/>
        <w:rPr>
          <w:rFonts w:ascii="Times New Roman" w:cs="Times New Roman" w:eastAsia="Times New Roman" w:hAnsi="Times New Roman"/>
          <w:sz w:val="18"/>
          <w:szCs w:val="18"/>
          <w:color w:val="auto"/>
        </w:rPr>
      </w:pPr>
    </w:p>
    <w:p>
      <w:pPr>
        <w:ind w:left="620" w:right="63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225" w:lineRule="exact"/>
        <w:rPr>
          <w:rFonts w:ascii="Times New Roman" w:cs="Times New Roman" w:eastAsia="Times New Roman" w:hAnsi="Times New Roman"/>
          <w:sz w:val="18"/>
          <w:szCs w:val="18"/>
          <w:color w:val="auto"/>
        </w:rPr>
      </w:pPr>
    </w:p>
    <w:p>
      <w:pPr>
        <w:ind w:left="620" w:right="7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The term of the joint development agreement, as amended, is the completion, termination, or expiration of the last statement of work entered into pursuant to the joint development agreement.</w:t>
      </w:r>
    </w:p>
    <w:p>
      <w:pPr>
        <w:spacing w:after="0" w:line="162"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8"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2" w:lineRule="exact"/>
        <w:rPr>
          <w:sz w:val="20"/>
          <w:szCs w:val="20"/>
          <w:color w:val="auto"/>
        </w:rPr>
      </w:pPr>
    </w:p>
    <w:p>
      <w:pPr>
        <w:ind w:left="40" w:right="8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7"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product may not be successful. We may not generate any revenue from design wins after incurring the associated costs, which would cause our business and operating results to suffer.</w:t>
      </w:r>
    </w:p>
    <w:p>
      <w:pPr>
        <w:spacing w:after="0" w:line="162"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8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29% of our total revenue for the three months ended March 31, 2023, and one of these customers accounted for more than 10% of our revenue during that period. Our four largest end customers together accounted for 24% of our total revenue for the year ended December 31, 2022,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4"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539" w:hanging="252"/>
        <w:spacing w:after="0" w:line="282" w:lineRule="auto"/>
        <w:tabs>
          <w:tab w:leader="none" w:pos="6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6"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left="40" w:right="239" w:firstLine="324"/>
        <w:spacing w:after="0" w:line="272" w:lineRule="auto"/>
        <w:rPr>
          <w:sz w:val="20"/>
          <w:szCs w:val="20"/>
          <w:color w:val="auto"/>
        </w:rPr>
      </w:pPr>
      <w:r>
        <w:rPr>
          <w:rFonts w:ascii="Times New Roman" w:cs="Times New Roman" w:eastAsia="Times New Roman" w:hAnsi="Times New Roman"/>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72" w:lineRule="exact"/>
        <w:rPr>
          <w:sz w:val="20"/>
          <w:szCs w:val="20"/>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75" w:lineRule="exact"/>
        <w:rPr>
          <w:sz w:val="20"/>
          <w:szCs w:val="20"/>
          <w:color w:val="auto"/>
        </w:rPr>
      </w:pPr>
    </w:p>
    <w:p>
      <w:pPr>
        <w:ind w:left="40" w:right="59" w:firstLine="324"/>
        <w:spacing w:after="0" w:line="281" w:lineRule="auto"/>
        <w:rPr>
          <w:sz w:val="20"/>
          <w:szCs w:val="20"/>
          <w:color w:val="auto"/>
        </w:rPr>
      </w:pPr>
      <w:r>
        <w:rPr>
          <w:rFonts w:ascii="Times New Roman" w:cs="Times New Roman" w:eastAsia="Times New Roman" w:hAnsi="Times New Roman"/>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6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5"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4"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8"/>
          <w:szCs w:val="18"/>
          <w:color w:val="auto"/>
        </w:rPr>
        <w:t>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72" w:lineRule="exact"/>
        <w:rPr>
          <w:sz w:val="20"/>
          <w:szCs w:val="20"/>
          <w:color w:val="auto"/>
        </w:rPr>
      </w:pPr>
    </w:p>
    <w:p>
      <w:pPr>
        <w:ind w:left="4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2" w:lineRule="exact"/>
        <w:rPr>
          <w:sz w:val="20"/>
          <w:szCs w:val="20"/>
          <w:color w:val="auto"/>
        </w:rPr>
      </w:pPr>
    </w:p>
    <w:p>
      <w:pPr>
        <w:jc w:val="both"/>
        <w:ind w:left="620" w:right="599" w:hanging="252"/>
        <w:spacing w:after="0" w:line="266"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rFonts w:ascii="Times New Roman" w:cs="Times New Roman" w:eastAsia="Times New Roman" w:hAnsi="Times New Roman"/>
          <w:sz w:val="18"/>
          <w:szCs w:val="18"/>
          <w:color w:val="auto"/>
        </w:rPr>
      </w:pPr>
    </w:p>
    <w:p>
      <w:pPr>
        <w:ind w:left="620" w:right="51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1" w:lineRule="exact"/>
        <w:rPr>
          <w:rFonts w:ascii="Times New Roman" w:cs="Times New Roman" w:eastAsia="Times New Roman" w:hAnsi="Times New Roman"/>
          <w:sz w:val="18"/>
          <w:szCs w:val="18"/>
          <w:color w:val="auto"/>
        </w:rPr>
      </w:pPr>
    </w:p>
    <w:p>
      <w:pPr>
        <w:ind w:left="620" w:right="13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1" w:lineRule="exact"/>
        <w:rPr>
          <w:rFonts w:ascii="Times New Roman" w:cs="Times New Roman" w:eastAsia="Times New Roman" w:hAnsi="Times New Roman"/>
          <w:sz w:val="18"/>
          <w:szCs w:val="18"/>
          <w:color w:val="auto"/>
        </w:rPr>
      </w:pPr>
    </w:p>
    <w:p>
      <w:pPr>
        <w:ind w:left="620" w:right="119" w:hanging="252"/>
        <w:spacing w:after="0" w:line="261" w:lineRule="auto"/>
        <w:tabs>
          <w:tab w:leader="none" w:pos="6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7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379" w:hanging="252"/>
        <w:spacing w:after="0" w:line="282"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the military conflict in Ukraine, which could have a negative impact on sales throughout Europe and Asia; and</w:t>
      </w:r>
    </w:p>
    <w:p>
      <w:pPr>
        <w:spacing w:after="0" w:line="161" w:lineRule="exact"/>
        <w:rPr>
          <w:rFonts w:ascii="Times New Roman" w:cs="Times New Roman" w:eastAsia="Times New Roman" w:hAnsi="Times New Roman"/>
          <w:sz w:val="18"/>
          <w:szCs w:val="18"/>
          <w:color w:val="auto"/>
        </w:rPr>
      </w:pPr>
    </w:p>
    <w:p>
      <w:pPr>
        <w:ind w:left="620" w:right="439" w:hanging="252"/>
        <w:spacing w:after="0" w:line="282"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Commerce regulations or restrictions on exports of certain semiconductor technologies and equipment to China.</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2" w:lineRule="exact"/>
        <w:rPr>
          <w:sz w:val="20"/>
          <w:szCs w:val="20"/>
          <w:color w:val="auto"/>
        </w:rPr>
      </w:pPr>
    </w:p>
    <w:p>
      <w:pPr>
        <w:jc w:val="both"/>
        <w:ind w:left="4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3"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5"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7" w:lineRule="exact"/>
        <w:rPr>
          <w:sz w:val="20"/>
          <w:szCs w:val="20"/>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61" w:lineRule="exact"/>
        <w:rPr>
          <w:rFonts w:ascii="Times New Roman" w:cs="Times New Roman" w:eastAsia="Times New Roman" w:hAnsi="Times New Roman"/>
          <w:sz w:val="18"/>
          <w:szCs w:val="18"/>
          <w:color w:val="auto"/>
        </w:rPr>
      </w:pPr>
    </w:p>
    <w:p>
      <w:pPr>
        <w:ind w:left="620" w:right="105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20" w:right="37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3"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information technology systems could adversely affect our business.</w:t>
      </w:r>
    </w:p>
    <w:p>
      <w:pPr>
        <w:spacing w:after="0" w:line="229"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3" w:lineRule="exact"/>
        <w:rPr>
          <w:sz w:val="20"/>
          <w:szCs w:val="20"/>
          <w:color w:val="auto"/>
        </w:rPr>
      </w:pPr>
    </w:p>
    <w:p>
      <w:pPr>
        <w:ind w:left="40" w:right="299" w:firstLine="324"/>
        <w:spacing w:after="0" w:line="258"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left="40" w:right="79" w:firstLine="324"/>
        <w:spacing w:after="0" w:line="269" w:lineRule="auto"/>
        <w:rPr>
          <w:sz w:val="20"/>
          <w:szCs w:val="20"/>
          <w:color w:val="auto"/>
        </w:rPr>
      </w:pPr>
      <w:r>
        <w:rPr>
          <w:rFonts w:ascii="Times New Roman" w:cs="Times New Roman" w:eastAsia="Times New Roman" w:hAnsi="Times New Roman"/>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6" w:lineRule="exact"/>
        <w:rPr>
          <w:sz w:val="20"/>
          <w:szCs w:val="20"/>
          <w:color w:val="auto"/>
        </w:rPr>
      </w:pPr>
    </w:p>
    <w:p>
      <w:pPr>
        <w:ind w:left="40" w:right="159" w:firstLine="324"/>
        <w:spacing w:after="0" w:line="281" w:lineRule="auto"/>
        <w:rPr>
          <w:sz w:val="20"/>
          <w:szCs w:val="20"/>
          <w:color w:val="auto"/>
        </w:rPr>
      </w:pPr>
      <w:r>
        <w:rPr>
          <w:rFonts w:ascii="Times New Roman" w:cs="Times New Roman" w:eastAsia="Times New Roman" w:hAnsi="Times New Roman"/>
          <w:sz w:val="17"/>
          <w:szCs w:val="17"/>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60"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2022, we had gross federal net operating loss carryforwards of approximately $119.9 million, of which $79.1 million will expire in 2028 through 2037 if not utilized, and $40.8 million will carryover indefinitely. As of December 31, 2022, we had state net operating loss carryforwards of approximately $50.3 million, of which $47.5 million will expire in 2028 through 2042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40" w:right="519"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620" w:right="119" w:hanging="252"/>
        <w:spacing w:after="0" w:line="282"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severity of the COVID-19 pandemic and its effects on our business, financial condition, results of operations and cash flows;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620" w:right="259" w:hanging="252"/>
        <w:spacing w:after="0" w:line="282"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jc w:val="both"/>
        <w:ind w:left="620" w:right="559" w:hanging="252"/>
        <w:spacing w:after="0" w:line="266"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those due to the duration and severity of the COVID-19 pandemic and the military conflict in Ukraine.</w:t>
      </w:r>
    </w:p>
    <w:p>
      <w:pPr>
        <w:spacing w:after="0" w:line="176"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8" w:lineRule="exact"/>
        <w:rPr>
          <w:sz w:val="20"/>
          <w:szCs w:val="20"/>
          <w:color w:val="auto"/>
        </w:rPr>
      </w:pPr>
    </w:p>
    <w:p>
      <w:pPr>
        <w:ind w:left="620" w:right="139" w:hanging="252"/>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3"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3" w:lineRule="exact"/>
        <w:rPr>
          <w:rFonts w:ascii="Times New Roman" w:cs="Times New Roman" w:eastAsia="Times New Roman" w:hAnsi="Times New Roman"/>
          <w:sz w:val="18"/>
          <w:szCs w:val="18"/>
          <w:color w:val="auto"/>
        </w:rPr>
      </w:pPr>
    </w:p>
    <w:p>
      <w:pPr>
        <w:ind w:left="620" w:right="219" w:hanging="252"/>
        <w:spacing w:after="0" w:line="261"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9" w:lineRule="exact"/>
        <w:rPr>
          <w:rFonts w:ascii="Times New Roman" w:cs="Times New Roman" w:eastAsia="Times New Roman" w:hAnsi="Times New Roman"/>
          <w:sz w:val="18"/>
          <w:szCs w:val="18"/>
          <w:color w:val="auto"/>
        </w:rPr>
      </w:pPr>
    </w:p>
    <w:p>
      <w:pPr>
        <w:ind w:left="620" w:right="159" w:hanging="252"/>
        <w:spacing w:after="0" w:line="266"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left="40" w:right="99" w:firstLine="324"/>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disputes between us and our stockholders, which could limit our stockholders’ ability to obtain a favorable judicial forum for disputes with us or our directors, officers, or employees.</w:t>
      </w:r>
    </w:p>
    <w:p>
      <w:pPr>
        <w:spacing w:after="0" w:line="186"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 w:lineRule="exact"/>
        <w:rPr>
          <w:rFonts w:ascii="Times New Roman" w:cs="Times New Roman" w:eastAsia="Times New Roman" w:hAnsi="Times New Roman"/>
          <w:sz w:val="18"/>
          <w:szCs w:val="18"/>
          <w:color w:val="auto"/>
        </w:rPr>
      </w:pPr>
    </w:p>
    <w:p>
      <w:pPr>
        <w:ind w:left="620" w:right="199" w:hanging="252"/>
        <w:spacing w:after="0" w:line="250"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Times New Roman" w:cs="Times New Roman" w:eastAsia="Times New Roman" w:hAnsi="Times New Roman"/>
          <w:sz w:val="18"/>
          <w:szCs w:val="18"/>
          <w:color w:val="212529"/>
        </w:rPr>
        <w:t>that, unless we consent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ind w:left="40" w:right="139" w:firstLine="324"/>
        <w:spacing w:after="0" w:line="277" w:lineRule="auto"/>
        <w:rPr>
          <w:sz w:val="20"/>
          <w:szCs w:val="20"/>
          <w:color w:val="auto"/>
        </w:rPr>
      </w:pPr>
      <w:r>
        <w:rPr>
          <w:rFonts w:ascii="Times New Roman" w:cs="Times New Roman" w:eastAsia="Times New Roman" w:hAnsi="Times New Roman"/>
          <w:sz w:val="17"/>
          <w:szCs w:val="17"/>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 w:cs="Times New Roman" w:eastAsia="Times New Roman" w:hAnsi="Times New Roman"/>
          <w:sz w:val="17"/>
          <w:szCs w:val="17"/>
          <w:color w:val="000000"/>
        </w:rPr>
        <w:t>further significant</w:t>
      </w:r>
      <w:r>
        <w:rPr>
          <w:rFonts w:ascii="Times New Roman" w:cs="Times New Roman" w:eastAsia="Times New Roman" w:hAnsi="Times New Roman"/>
          <w:sz w:val="17"/>
          <w:szCs w:val="17"/>
          <w:color w:val="212529"/>
        </w:rPr>
        <w:t xml:space="preserve"> additional costs associated with resolving the dispute in other jurisdictions, </w:t>
      </w:r>
      <w:r>
        <w:rPr>
          <w:rFonts w:ascii="Times New Roman" w:cs="Times New Roman" w:eastAsia="Times New Roman" w:hAnsi="Times New Roman"/>
          <w:sz w:val="17"/>
          <w:szCs w:val="17"/>
          <w:color w:val="000000"/>
        </w:rPr>
        <w:t>all of</w:t>
      </w:r>
      <w:r>
        <w:rPr>
          <w:rFonts w:ascii="Times New Roman" w:cs="Times New Roman" w:eastAsia="Times New Roman" w:hAnsi="Times New Roman"/>
          <w:sz w:val="17"/>
          <w:szCs w:val="17"/>
          <w:color w:val="212529"/>
        </w:rPr>
        <w:t xml:space="preserve"> which could seriously harm our business.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225"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and the COVID-19 pandemic, domestically and internationally, may adversely affect our business, financial condition, results of operations and cash flows.</w:t>
      </w:r>
    </w:p>
    <w:p>
      <w:pPr>
        <w:spacing w:after="0" w:line="15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bank failures, tax rates and policy, unemployment trends, potential industry downturn, the impact of natural disasters such as pandemics, civil disturbances, terrorist activities and acts of war, including the military conflict in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supply chain disruptions, as well as cause us to experience extended lead times and increased prices from our suppliers.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Any of the foregoing could adversely affect our business, financial condition, results of operations and cash flows.</w:t>
      </w:r>
    </w:p>
    <w:p>
      <w:pPr>
        <w:spacing w:after="0" w:line="207" w:lineRule="exact"/>
        <w:rPr>
          <w:sz w:val="20"/>
          <w:szCs w:val="20"/>
          <w:color w:val="auto"/>
        </w:rPr>
      </w:pPr>
    </w:p>
    <w:p>
      <w:pPr>
        <w:jc w:val="both"/>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Additionally, we could be negatively impacted by the widespread outbreak of an illness, any other communicable disease or any other public health crisis that results in economic and trade disruptions, including the disruption of global supply chains. The global COVID-19 pandemic has disrupted, and may continue to disrupt, our day-to-day operations and the operations of our customers, partners and service providers. For example, we have experienced electronics supply chain and demand disruptions from extended factory shutdowns, particularly in some Asian countries, which created unusual order patterns, and subsequently slowed Toggle MRAM demand, particularly from our industrial customers. While some of restrictions implemented by many government authorities and businesses have begun to be lifted, the lingering impact of the COVID-19 pandemic continues to create significant volatility throughout the global economy, including supply chain constraints, labor supply issues, and higher inflation.</w:t>
      </w:r>
    </w:p>
    <w:p>
      <w:pPr>
        <w:spacing w:after="0" w:line="188" w:lineRule="exact"/>
        <w:rPr>
          <w:sz w:val="20"/>
          <w:szCs w:val="20"/>
          <w:color w:val="auto"/>
        </w:rPr>
      </w:pPr>
    </w:p>
    <w:p>
      <w:pPr>
        <w:jc w:val="both"/>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While some states and countries have begun to reopen, the spread of COVID-19 and the status of the global recovery remains uncertain and unpredictable. Business activity may not recover as quickly as anticipated, and widespread recovery will be impacted by future developments, including future waves of outbreak or new variant strains of the virus, government and private sector requirements, and the emergence and effectiveness of medical and other measures to address COVID-19. Any of the foregoing could adversely affect our business, financial condition, and results of operations. The ultimate impact of the COVID-19 pandemic on our business, operations, or the global economy as a whole remains highly uncertain.</w:t>
      </w:r>
    </w:p>
    <w:p>
      <w:pPr>
        <w:spacing w:after="0" w:line="189" w:lineRule="exact"/>
        <w:rPr>
          <w:sz w:val="20"/>
          <w:szCs w:val="20"/>
          <w:color w:val="auto"/>
        </w:rPr>
      </w:pPr>
    </w:p>
    <w:p>
      <w:pPr>
        <w:jc w:val="both"/>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To the extent macroeconomic uncertainties and the COVID-19 pandemic continue to adversely affect our business, financial condition, and results of operations, many of the other risks described in this “Risk Factors” section will be exacerbated, including but not limited to, those related to our ability to increase sales to existing and new customers, develop and deploy new offerings and applications and maintain effective marketing and sales capabilities.</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gridSpan w:val="2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vMerge w:val="restart"/>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74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gridSpan w:val="2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Certificate</w:t>
              </w:r>
            </w:hyperlink>
          </w:p>
        </w:tc>
        <w:tc>
          <w:tcPr>
            <w:tcW w:w="260" w:type="dxa"/>
            <w:vAlign w:val="bottom"/>
          </w:tcPr>
          <w:p>
            <w:pPr>
              <w:spacing w:after="0"/>
              <w:rPr>
                <w:sz w:val="14"/>
                <w:szCs w:val="14"/>
                <w:color w:val="auto"/>
              </w:rPr>
            </w:pPr>
          </w:p>
        </w:tc>
        <w:tc>
          <w:tcPr>
            <w:tcW w:w="660" w:type="dxa"/>
            <w:vAlign w:val="bottom"/>
            <w:tcBorders>
              <w:top w:val="single" w:sz="8" w:color="auto"/>
            </w:tcBorders>
          </w:tcPr>
          <w:p>
            <w:pPr>
              <w:jc w:val="center"/>
              <w:ind w:left="94"/>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7"/>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4"/>
                <w:szCs w:val="14"/>
                <w:color w:val="auto"/>
              </w:rPr>
            </w:pPr>
          </w:p>
        </w:tc>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of Incorporation</w:t>
              </w:r>
            </w:hyperlink>
          </w:p>
        </w:tc>
        <w:tc>
          <w:tcPr>
            <w:tcW w:w="4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Incorporation</w:t>
              </w:r>
            </w:hyperlink>
          </w:p>
        </w:tc>
        <w:tc>
          <w:tcPr>
            <w:tcW w:w="190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Amendment to Amended and</w:t>
              </w:r>
            </w:hyperlink>
          </w:p>
        </w:tc>
        <w:tc>
          <w:tcPr>
            <w:tcW w:w="760" w:type="dxa"/>
            <w:vAlign w:val="bottom"/>
            <w:gridSpan w:val="12"/>
          </w:tcPr>
          <w:p>
            <w:pPr>
              <w:spacing w:after="0"/>
              <w:rPr>
                <w:sz w:val="24"/>
                <w:szCs w:val="24"/>
                <w:color w:val="auto"/>
              </w:rPr>
            </w:pPr>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Incorporation</w:t>
              </w:r>
            </w:hyperlink>
          </w:p>
        </w:tc>
        <w:tc>
          <w:tcPr>
            <w:tcW w:w="190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3"/>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Bylaws</w:t>
              </w:r>
            </w:hyperlink>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Non-Employee Director</w:t>
            </w:r>
          </w:p>
        </w:tc>
        <w:tc>
          <w:tcPr>
            <w:tcW w:w="500" w:type="dxa"/>
            <w:vAlign w:val="bottom"/>
            <w:tcBorders>
              <w:top w:val="single" w:sz="8" w:color="0000EE"/>
            </w:tcBorders>
            <w:gridSpan w:val="9"/>
          </w:tcPr>
          <w:p>
            <w:pPr>
              <w:spacing w:after="0"/>
              <w:rPr>
                <w:sz w:val="24"/>
                <w:szCs w:val="24"/>
                <w:color w:val="auto"/>
              </w:rPr>
            </w:pPr>
          </w:p>
        </w:tc>
        <w:tc>
          <w:tcPr>
            <w:tcW w:w="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Program, as</w:t>
            </w:r>
          </w:p>
        </w:tc>
        <w:tc>
          <w:tcPr>
            <w:tcW w:w="94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Amended</w:t>
            </w:r>
          </w:p>
        </w:tc>
        <w:tc>
          <w:tcPr>
            <w:tcW w:w="218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7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6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5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72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8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appear in the Interactive Data File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because its XBRL tags are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101.CAL*</w:t>
            </w: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Extension Calculation Linkbase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Definition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Label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Presentation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74295</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3" w:right="1440" w:bottom="1440" w:gutter="0" w:footer="0" w:header="0"/>
          <w:type w:val="continuous"/>
        </w:sectPr>
      </w:pPr>
    </w:p>
    <w:p>
      <w:pPr>
        <w:spacing w:after="0" w:line="7" w:lineRule="exact"/>
        <w:rPr>
          <w:sz w:val="20"/>
          <w:szCs w:val="20"/>
          <w:color w:val="auto"/>
        </w:rPr>
      </w:pPr>
    </w:p>
    <w:p>
      <w:pPr>
        <w:ind w:left="360" w:hanging="316"/>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16"/>
        <w:spacing w:after="0" w:line="253" w:lineRule="auto"/>
        <w:tabs>
          <w:tab w:leader="none" w:pos="3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By:/s/ Anuj Aggarwal</w:t>
            </w:r>
          </w:p>
        </w:tc>
      </w:tr>
      <w:tr>
        <w:trPr>
          <w:trHeight w:val="191"/>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Anuj Aggarwal</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2860" w:type="dxa"/>
            <w:vAlign w:val="bottom"/>
          </w:tcPr>
          <w:p>
            <w:pPr>
              <w:spacing w:after="0"/>
              <w:rPr>
                <w:sz w:val="24"/>
                <w:szCs w:val="24"/>
                <w:color w:val="auto"/>
              </w:rPr>
            </w:pPr>
          </w:p>
        </w:tc>
        <w:tc>
          <w:tcPr>
            <w:tcW w:w="25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42</w:t>
            </w:r>
          </w:p>
        </w:tc>
        <w:tc>
          <w:tcPr>
            <w:tcW w:w="3520" w:type="dxa"/>
            <w:vAlign w:val="bottom"/>
          </w:tcPr>
          <w:p>
            <w:pPr>
              <w:spacing w:after="0"/>
              <w:rPr>
                <w:sz w:val="24"/>
                <w:szCs w:val="24"/>
                <w:color w:val="auto"/>
              </w:rPr>
            </w:pPr>
          </w:p>
        </w:tc>
      </w:tr>
      <w:tr>
        <w:trPr>
          <w:trHeight w:val="561"/>
        </w:trPr>
        <w:tc>
          <w:tcPr>
            <w:tcW w:w="2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 AS AMENDED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Each non-employee director receives an annual fee of $55,000 in cash for serving on the Board of Directors. The Chairman of the Audit Committee of the Board of Directors receives an additional annual cash fee of $15,000. The Chairman of the Compensation Committee of the Board of Directors receives an additional annual cash fee of $10,000. The Chairman of the Nominating and Corporate Governance Committee of the Board of Directors receives an additional annual cash fee of $7,500. All fees are payable in cash in equal quarterly installments, payable in arrears.</w:t>
      </w:r>
    </w:p>
    <w:p>
      <w:pPr>
        <w:spacing w:after="0" w:line="18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New non-employee directors will receive an initial annual cash retainer of $55,000. All fees are payable in cash in equal quarterly installments, payable in arrears.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Initial Grants</w:t>
      </w:r>
      <w:r>
        <w:rPr>
          <w:rFonts w:ascii="Times New Roman" w:cs="Times New Roman" w:eastAsia="Times New Roman" w:hAnsi="Times New Roman"/>
          <w:sz w:val="18"/>
          <w:szCs w:val="18"/>
          <w:color w:val="auto"/>
        </w:rPr>
        <w:t>. Newly-elected non-employee directors will be granted an restricted stock unit (“RSU”) award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grant value of $250,000 (the “Initial Grant”). The Initial Grant will vest 50% on each of the first and second anniversary from the date of grant. In the event of a change in control, any unvested portion of the RSU award underlying an Initial Grant will immediately vest. Upon completion of two years of service on the Board of Directors, new non-employee directors will be entitled to receive an Annual Grant (as defined below).</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Annual Grants</w:t>
      </w:r>
      <w:r>
        <w:rPr>
          <w:rFonts w:ascii="Times New Roman" w:cs="Times New Roman" w:eastAsia="Times New Roman" w:hAnsi="Times New Roman"/>
          <w:sz w:val="18"/>
          <w:szCs w:val="18"/>
          <w:color w:val="auto"/>
        </w:rPr>
        <w:t>. On the date of each annual meeting of stockholders, each then current non-employee director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additional an annual RSU award (an “Annual Grant”), in an amount to be determined by the Compensation Committee of the Board of Directors. The Annual Grant will vest monthly over one year from the date of grant. In the event of a change in control, any unvested portion of the RSU award underlying an Annual Grant will immediately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4, 2023</w:t>
      </w: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-127635</wp:posOffset>
            </wp:positionV>
            <wp:extent cx="2503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Anuj Aggarwal, certify that:</w:t>
      </w:r>
    </w:p>
    <w:p>
      <w:pPr>
        <w:spacing w:after="0" w:line="225" w:lineRule="exact"/>
        <w:rPr>
          <w:sz w:val="20"/>
          <w:szCs w:val="20"/>
          <w:color w:val="auto"/>
        </w:rPr>
      </w:pPr>
    </w:p>
    <w:p>
      <w:pPr>
        <w:ind w:left="700" w:hanging="32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4, 2023</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-127635</wp:posOffset>
            </wp:positionV>
            <wp:extent cx="2357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w:t>
      </w:r>
    </w:p>
    <w:p>
      <w:pPr>
        <w:spacing w:after="0" w:line="187" w:lineRule="exact"/>
        <w:rPr>
          <w:sz w:val="20"/>
          <w:szCs w:val="20"/>
          <w:color w:val="auto"/>
        </w:rPr>
      </w:pPr>
    </w:p>
    <w:p>
      <w:pPr>
        <w:ind w:left="60" w:right="159" w:hanging="10"/>
        <w:spacing w:after="0" w:line="266"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2023,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4, 2023</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0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648960" cy="130302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Anuj Aggarwal</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Anuj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56" Type="http://schemas.openxmlformats.org/officeDocument/2006/relationships/hyperlink" Target="http://www.sec.gov/Archives/edgar/data/1438423/000119312516737688/d271840dex31.htm" TargetMode="External"/><Relationship Id="rId57" Type="http://schemas.openxmlformats.org/officeDocument/2006/relationships/hyperlink" Target="http://www.sec.gov/Archives/edgar/data/1438423/000119312519154165/d752899dex31.htm" TargetMode="External"/><Relationship Id="rId58" Type="http://schemas.openxmlformats.org/officeDocument/2006/relationships/hyperlink" Target="https://www.sec.gov/Archives/edgar/data/1438423/000119312520153247/d936625dex31.htm" TargetMode="External"/><Relationship Id="rId59"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2023-05-04T13:51:42Z</dcterms:created>
  <dcterms:modified xsi:type="dcterms:W3CDTF">2023-05-04T13:51:42Z</dcterms:modified>
</cp:coreProperties>
</file>