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248920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-228600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2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96520</wp:posOffset>
            </wp:positionV>
            <wp:extent cx="156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1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30" w:right="180" w:hanging="430"/>
        <w:spacing w:after="0" w:line="237" w:lineRule="auto"/>
        <w:tabs>
          <w:tab w:leader="none" w:pos="43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3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30" w:right="180" w:hanging="430"/>
        <w:spacing w:after="0" w:line="262" w:lineRule="auto"/>
        <w:tabs>
          <w:tab w:leader="none" w:pos="43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270"/>
        <w:spacing w:after="0"/>
        <w:tabs>
          <w:tab w:leader="none" w:pos="621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3580765</wp:posOffset>
            </wp:positionH>
            <wp:positionV relativeFrom="paragraph">
              <wp:posOffset>-5080</wp:posOffset>
            </wp:positionV>
            <wp:extent cx="837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64770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9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43"/>
          <w:szCs w:val="43"/>
          <w:b w:val="1"/>
          <w:bCs w:val="1"/>
          <w:color w:val="auto"/>
        </w:rPr>
        <w:t>Everspin Technologies, Inc.</w:t>
      </w:r>
    </w:p>
    <w:p>
      <w:pPr>
        <w:spacing w:after="0" w:line="5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47625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2" w:lineRule="exact"/>
        <w:rPr>
          <w:sz w:val="24"/>
          <w:szCs w:val="24"/>
          <w:color w:val="auto"/>
        </w:rPr>
      </w:pPr>
    </w:p>
    <w:tbl>
      <w:tblPr>
        <w:tblLayout w:type="fixed"/>
        <w:tblInd w:w="1230" w:type="dxa"/>
        <w:tblCellMar>
          <w:top w:w="0" w:type="dxa"/>
          <w:left w:w="0" w:type="dxa"/>
          <w:bottom w:w="0" w:type="dxa"/>
          <w:right w:w="0" w:type="dxa"/>
        </w:tblCellMar>
      </w:tblPr>
      <w:tr>
        <w:trPr>
          <w:trHeight w:val="216"/>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26-2640654</w:t>
            </w:r>
          </w:p>
        </w:tc>
      </w:tr>
      <w:tr>
        <w:trPr>
          <w:trHeight w:val="216"/>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9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5670 W. Chandler Boulevard, Suite 130</w:t>
      </w:r>
    </w:p>
    <w:p>
      <w:pPr>
        <w:spacing w:after="0" w:line="3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Chandler, Arizona 85226</w:t>
      </w:r>
    </w:p>
    <w:p>
      <w:pPr>
        <w:spacing w:after="0" w:line="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08" w:lineRule="exact"/>
        <w:rPr>
          <w:sz w:val="24"/>
          <w:szCs w:val="24"/>
          <w:color w:val="auto"/>
        </w:rPr>
      </w:pPr>
    </w:p>
    <w:p>
      <w:pPr>
        <w:ind w:left="255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88265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201"/>
        </w:trPr>
        <w:tc>
          <w:tcPr>
            <w:tcW w:w="3420" w:type="dxa"/>
            <w:vAlign w:val="bottom"/>
            <w:tcBorders>
              <w:top w:val="single" w:sz="8" w:color="auto"/>
              <w:left w:val="single" w:sz="8" w:color="auto"/>
              <w:right w:val="single" w:sz="8" w:color="auto"/>
            </w:tcBorders>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3400" w:type="dxa"/>
            <w:vAlign w:val="bottom"/>
            <w:tcBorders>
              <w:top w:val="single" w:sz="8" w:color="auto"/>
              <w:right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Trading Symbol(s)</w:t>
            </w:r>
          </w:p>
        </w:tc>
        <w:tc>
          <w:tcPr>
            <w:tcW w:w="3420" w:type="dxa"/>
            <w:vAlign w:val="bottom"/>
            <w:tcBorders>
              <w:top w:val="single" w:sz="8" w:color="auto"/>
              <w:right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420" w:type="dxa"/>
            <w:vAlign w:val="bottom"/>
            <w:tcBorders>
              <w:left w:val="single" w:sz="8" w:color="auto"/>
              <w:bottom w:val="single" w:sz="8" w:color="auto"/>
              <w:right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spacing w:after="0"/>
              <w:rPr>
                <w:sz w:val="20"/>
                <w:szCs w:val="20"/>
                <w:color w:val="auto"/>
              </w:rPr>
            </w:pPr>
          </w:p>
        </w:tc>
        <w:tc>
          <w:tcPr>
            <w:tcW w:w="3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10"/>
        </w:trPr>
        <w:tc>
          <w:tcPr>
            <w:tcW w:w="34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3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MRAM</w:t>
            </w:r>
          </w:p>
        </w:tc>
        <w:tc>
          <w:tcPr>
            <w:tcW w:w="3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03" w:lineRule="exact"/>
        <w:rPr>
          <w:sz w:val="24"/>
          <w:szCs w:val="24"/>
          <w:color w:val="auto"/>
        </w:rPr>
      </w:pPr>
    </w:p>
    <w:p>
      <w:pPr>
        <w:jc w:val="both"/>
        <w:ind w:left="10"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0"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0" w:right="1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 w:type="dxa"/>
        <w:tblCellMar>
          <w:top w:w="0" w:type="dxa"/>
          <w:left w:w="0" w:type="dxa"/>
          <w:bottom w:w="0" w:type="dxa"/>
          <w:right w:w="0" w:type="dxa"/>
        </w:tblCellMar>
      </w:tblPr>
      <w:tr>
        <w:trPr>
          <w:trHeight w:val="177"/>
        </w:trPr>
        <w:tc>
          <w:tcPr>
            <w:tcW w:w="16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60"/>
              <w:spacing w:after="0" w:line="177"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line="177" w:lineRule="exact"/>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77"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9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3"/>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4"/>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complying with any new or revised financial accounting standards provided pursuant to Section 13(a) of the Exchange Act.</w:t>
            </w:r>
          </w:p>
        </w:tc>
        <w:tc>
          <w:tcPr>
            <w:tcW w:w="740" w:type="dxa"/>
            <w:vAlign w:val="bottom"/>
          </w:tcPr>
          <w:p>
            <w:pPr>
              <w:spacing w:after="0"/>
              <w:rPr>
                <w:sz w:val="20"/>
                <w:szCs w:val="20"/>
                <w:color w:val="auto"/>
              </w:rPr>
            </w:pPr>
          </w:p>
        </w:tc>
      </w:tr>
      <w:tr>
        <w:trPr>
          <w:trHeight w:val="393"/>
        </w:trPr>
        <w:tc>
          <w:tcPr>
            <w:tcW w:w="948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7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35"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August 1, 2025, was 22,625,107.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608965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94615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77470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50"/>
          </w:cols>
          <w:pgMar w:left="830" w:top="661" w:right="81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340" w:type="dxa"/>
            <w:vAlign w:val="bottom"/>
            <w:gridSpan w:val="14"/>
            <w:vMerge w:val="restart"/>
          </w:tcPr>
          <w:p>
            <w:pPr>
              <w:jc w:val="center"/>
              <w:ind w:right="2180"/>
              <w:spacing w:after="0"/>
              <w:rPr>
                <w:sz w:val="20"/>
                <w:szCs w:val="20"/>
                <w:color w:val="auto"/>
              </w:rPr>
            </w:pPr>
            <w:r>
              <w:rPr>
                <w:rFonts w:ascii="Times New Roman" w:cs="Times New Roman" w:eastAsia="Times New Roman" w:hAnsi="Times New Roman"/>
                <w:sz w:val="18"/>
                <w:szCs w:val="18"/>
                <w:b w:val="1"/>
                <w:bCs w:val="1"/>
                <w:color w:val="0000EE"/>
                <w:w w:val="99"/>
              </w:rPr>
              <w:t>PART I—FINANCIAL INFORMATION</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340" w:type="dxa"/>
            <w:vAlign w:val="bottom"/>
            <w:gridSpan w:val="14"/>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640" w:type="dxa"/>
            <w:vAlign w:val="bottom"/>
            <w:gridSpan w:val="3"/>
          </w:tcPr>
          <w:p>
            <w:pPr>
              <w:spacing w:after="0"/>
              <w:rPr>
                <w:sz w:val="18"/>
                <w:szCs w:val="18"/>
                <w:color w:val="auto"/>
              </w:rPr>
            </w:pPr>
          </w:p>
        </w:tc>
        <w:tc>
          <w:tcPr>
            <w:tcW w:w="3160" w:type="dxa"/>
            <w:vAlign w:val="bottom"/>
            <w:tcBorders>
              <w:top w:val="single" w:sz="8" w:color="0000EE"/>
            </w:tcBorders>
            <w:gridSpan w:val="8"/>
          </w:tcPr>
          <w:p>
            <w:pPr>
              <w:spacing w:after="0"/>
              <w:rPr>
                <w:sz w:val="18"/>
                <w:szCs w:val="18"/>
                <w:color w:val="auto"/>
              </w:rPr>
            </w:pPr>
          </w:p>
        </w:tc>
        <w:tc>
          <w:tcPr>
            <w:tcW w:w="2180" w:type="dxa"/>
            <w:vAlign w:val="bottom"/>
            <w:gridSpan w:val="6"/>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Balance Sheets as of June 30, 2025 (unaudited) and December 31, 2024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Statements of Operations and Comprehensive Loss for the three and six months ended</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June 30, 2025 and 2024 (unaudited)</w:t>
            </w:r>
          </w:p>
        </w:tc>
        <w:tc>
          <w:tcPr>
            <w:tcW w:w="4460" w:type="dxa"/>
            <w:vAlign w:val="bottom"/>
            <w:tcBorders>
              <w:top w:val="single" w:sz="8" w:color="0000EE"/>
            </w:tcBorders>
            <w:gridSpan w:val="10"/>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Statements of Stockholders’ Equity for the three and six months ended June 30, 2025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94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and 2024 (unaudited)</w:t>
            </w:r>
          </w:p>
        </w:tc>
        <w:tc>
          <w:tcPr>
            <w:tcW w:w="18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Statements of Cash Flows for the six months ended June 30, 2025 and 2024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3"/>
              </w:rPr>
              <w:t>(unaudited)</w:t>
            </w:r>
          </w:p>
        </w:tc>
        <w:tc>
          <w:tcPr>
            <w:tcW w:w="5460" w:type="dxa"/>
            <w:vAlign w:val="bottom"/>
            <w:tcBorders>
              <w:top w:val="single" w:sz="8" w:color="0000EE"/>
            </w:tcBorders>
            <w:gridSpan w:val="16"/>
          </w:tcPr>
          <w:p>
            <w:pPr>
              <w:spacing w:after="0"/>
              <w:rPr>
                <w:sz w:val="17"/>
                <w:szCs w:val="17"/>
                <w:color w:val="auto"/>
              </w:rPr>
            </w:pPr>
          </w:p>
        </w:tc>
        <w:tc>
          <w:tcPr>
            <w:tcW w:w="86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Notes to Condensed Financial Statements (unaudited)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4"/>
          </w:tcPr>
          <w:p>
            <w:pPr>
              <w:spacing w:after="0"/>
              <w:rPr>
                <w:sz w:val="18"/>
                <w:szCs w:val="18"/>
                <w:color w:val="auto"/>
              </w:rPr>
            </w:pPr>
          </w:p>
        </w:tc>
        <w:tc>
          <w:tcPr>
            <w:tcW w:w="1040" w:type="dxa"/>
            <w:vAlign w:val="bottom"/>
            <w:gridSpan w:val="4"/>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7660" w:type="dxa"/>
            <w:vAlign w:val="bottom"/>
            <w:gridSpan w:val="26"/>
          </w:tcPr>
          <w:p>
            <w:pPr>
              <w:ind w:left="160"/>
              <w:spacing w:after="0"/>
              <w:rPr>
                <w:sz w:val="20"/>
                <w:szCs w:val="20"/>
                <w:color w:val="auto"/>
              </w:rPr>
            </w:pPr>
            <w:r>
              <w:rPr>
                <w:rFonts w:ascii="Times New Roman" w:cs="Times New Roman" w:eastAsia="Times New Roman" w:hAnsi="Times New Roman"/>
                <w:sz w:val="18"/>
                <w:szCs w:val="18"/>
                <w:color w:val="0000EE"/>
              </w:rPr>
              <w:t>Controls and Procedures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II—OTHER INFORMATION</w:t>
            </w:r>
          </w:p>
        </w:tc>
        <w:tc>
          <w:tcPr>
            <w:tcW w:w="232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7660" w:type="dxa"/>
            <w:vAlign w:val="bottom"/>
            <w:gridSpan w:val="26"/>
          </w:tcPr>
          <w:p>
            <w:pPr>
              <w:ind w:left="160"/>
              <w:spacing w:after="0"/>
              <w:rPr>
                <w:sz w:val="20"/>
                <w:szCs w:val="20"/>
                <w:color w:val="auto"/>
              </w:rPr>
            </w:pPr>
            <w:r>
              <w:rPr>
                <w:rFonts w:ascii="Times New Roman" w:cs="Times New Roman" w:eastAsia="Times New Roman" w:hAnsi="Times New Roman"/>
                <w:sz w:val="18"/>
                <w:szCs w:val="18"/>
                <w:color w:val="0000EE"/>
              </w:rPr>
              <w:t>Risk Factors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140" w:type="dxa"/>
            <w:vAlign w:val="bottom"/>
            <w:gridSpan w:val="9"/>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Defaults Upon Senior Securities</w:t>
            </w:r>
          </w:p>
        </w:tc>
        <w:tc>
          <w:tcPr>
            <w:tcW w:w="5160" w:type="dxa"/>
            <w:vAlign w:val="bottom"/>
            <w:gridSpan w:val="12"/>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720" w:type="dxa"/>
            <w:vAlign w:val="bottom"/>
            <w:gridSpan w:val="16"/>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Exhibits</w:t>
            </w:r>
          </w:p>
        </w:tc>
        <w:tc>
          <w:tcPr>
            <w:tcW w:w="6160" w:type="dxa"/>
            <w:vAlign w:val="bottom"/>
            <w:gridSpan w:val="18"/>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900" w:type="dxa"/>
            <w:vAlign w:val="bottom"/>
            <w:gridSpan w:val="2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EXHIBIT INDEX</w:t>
            </w:r>
          </w:p>
        </w:tc>
        <w:tc>
          <w:tcPr>
            <w:tcW w:w="7120" w:type="dxa"/>
            <w:vAlign w:val="bottom"/>
            <w:gridSpan w:val="22"/>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84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8"/>
          <w:szCs w:val="18"/>
          <w:color w:val="auto"/>
        </w:rPr>
        <w:t>In this Quarterly Report on Form 10-Q, “we,” “our,” “us,” “Everspin Technologies,” “Everspin,”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42,097</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0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64,201</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r>
      <w:tr>
        <w:trPr>
          <w:trHeight w:val="249"/>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78,922</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77,789</w:t>
            </w:r>
          </w:p>
        </w:tc>
      </w:tr>
      <w:tr>
        <w:trPr>
          <w:trHeight w:val="197"/>
        </w:trPr>
        <w:tc>
          <w:tcPr>
            <w:tcW w:w="6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obligations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liabilities, current portion</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10"/>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Software liabilities, net of current portion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income tax liability</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0"/>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15,196</w:t>
            </w: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8"/>
        </w:trPr>
        <w:tc>
          <w:tcPr>
            <w:tcW w:w="6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June 30, 2025 and December 31, 2024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100,000,000 shares authorized;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22,570,591 and 22,059,697 shares issued and outstanding as of June 30, 2025 and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199,460</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(138,705)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(136,869)</w:t>
            </w:r>
          </w:p>
        </w:tc>
      </w:tr>
      <w:tr>
        <w:trPr>
          <w:trHeight w:val="210"/>
        </w:trPr>
        <w:tc>
          <w:tcPr>
            <w:tcW w:w="6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62,593</w:t>
            </w:r>
          </w:p>
        </w:tc>
      </w:tr>
      <w:tr>
        <w:trPr>
          <w:trHeight w:val="209"/>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78,922</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77,789</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1500" w:right="2040"/>
        <w:spacing w:after="0" w:line="265" w:lineRule="auto"/>
        <w:rPr>
          <w:sz w:val="20"/>
          <w:szCs w:val="20"/>
          <w:color w:val="auto"/>
        </w:rPr>
      </w:pPr>
      <w:r>
        <w:rPr>
          <w:rFonts w:ascii="Times New Roman" w:cs="Times New Roman" w:eastAsia="Times New Roman" w:hAnsi="Times New Roman"/>
          <w:sz w:val="18"/>
          <w:szCs w:val="18"/>
          <w:b w:val="1"/>
          <w:bCs w:val="1"/>
          <w:color w:val="auto"/>
        </w:rPr>
        <w:t>EVERSPIN TECHNOLOGIES, INC. Condensed Statements of Operations and Comprehensive Loss (In thousands, except share and per share amounts) (Unaudited)</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2080" w:type="dxa"/>
            <w:vAlign w:val="bottom"/>
            <w:gridSpan w:val="5"/>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20,747</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sales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196"/>
        </w:trPr>
        <w:tc>
          <w:tcPr>
            <w:tcW w:w="4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22,504,957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21,566,863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22,347,411</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21,409,611</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22,504,957</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21,566,863</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22,347,411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21,409,611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7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0"/>
                <w:szCs w:val="10"/>
                <w:color w:val="auto"/>
              </w:rPr>
            </w:pPr>
          </w:p>
        </w:tc>
        <w:tc>
          <w:tcPr>
            <w:tcW w:w="82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98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22,059,697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199,460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(136,869)</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62,593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281,828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(1,166)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2025</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22,352,145</w:t>
            </w: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201,066</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(138,035)</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6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12,733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205,713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2025</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22,570,591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202,778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(138,705)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64,075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8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76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0"/>
                <w:szCs w:val="10"/>
                <w:color w:val="auto"/>
              </w:rPr>
            </w:pPr>
          </w:p>
        </w:tc>
        <w:tc>
          <w:tcPr>
            <w:tcW w:w="820" w:type="dxa"/>
            <w:vAlign w:val="bottom"/>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98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21,080,472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191,569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(137,650)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96,116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229,923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2024</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21,406,511</w:t>
            </w: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193,636</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(137,852)</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55,786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6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9,549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240,623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(2,502)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2024</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21,656,683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195,774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(140,354)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55,422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EVERSPIN TECHNOLOGIES, INC.</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Condensed Statements of Cash Flows</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56"/>
        </w:trPr>
        <w:tc>
          <w:tcPr>
            <w:tcW w:w="61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50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(1,836)</w:t>
            </w:r>
          </w:p>
        </w:tc>
        <w:tc>
          <w:tcPr>
            <w:tcW w:w="220" w:type="dxa"/>
            <w:vAlign w:val="bottom"/>
          </w:tcPr>
          <w:p>
            <w:pPr>
              <w:spacing w:after="0"/>
              <w:rPr>
                <w:sz w:val="14"/>
                <w:szCs w:val="14"/>
                <w:color w:val="auto"/>
              </w:rPr>
            </w:pPr>
          </w:p>
        </w:tc>
        <w:tc>
          <w:tcPr>
            <w:tcW w:w="240" w:type="dxa"/>
            <w:vAlign w:val="bottom"/>
            <w:gridSpan w:val="2"/>
          </w:tcPr>
          <w:p>
            <w:pPr>
              <w:jc w:val="right"/>
              <w:ind w:right="10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(2,704)</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1,695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795</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Gain on sale of property and equipment</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6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2,996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3,576</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4,352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1,440</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Inventory</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(2,196)</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404</w:t>
            </w:r>
          </w:p>
        </w:tc>
        <w:tc>
          <w:tcPr>
            <w:tcW w:w="0" w:type="dxa"/>
            <w:vAlign w:val="bottom"/>
          </w:tcPr>
          <w:p>
            <w:pPr>
              <w:spacing w:after="0"/>
              <w:rPr>
                <w:sz w:val="1"/>
                <w:szCs w:val="1"/>
                <w:color w:val="auto"/>
              </w:rPr>
            </w:pPr>
          </w:p>
        </w:tc>
      </w:tr>
      <w:tr>
        <w:trPr>
          <w:trHeight w:val="162"/>
        </w:trPr>
        <w:tc>
          <w:tcPr>
            <w:tcW w:w="6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471</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62"/>
        </w:trPr>
        <w:tc>
          <w:tcPr>
            <w:tcW w:w="6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809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(595)</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Accrued liabilities</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(196)</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(2,628)</w:t>
            </w:r>
          </w:p>
        </w:tc>
        <w:tc>
          <w:tcPr>
            <w:tcW w:w="0" w:type="dxa"/>
            <w:vAlign w:val="bottom"/>
          </w:tcPr>
          <w:p>
            <w:pPr>
              <w:spacing w:after="0"/>
              <w:rPr>
                <w:sz w:val="1"/>
                <w:szCs w:val="1"/>
                <w:color w:val="auto"/>
              </w:rPr>
            </w:pPr>
          </w:p>
        </w:tc>
      </w:tr>
      <w:tr>
        <w:trPr>
          <w:trHeight w:val="162"/>
        </w:trPr>
        <w:tc>
          <w:tcPr>
            <w:tcW w:w="6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Deferred revenue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(336)</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Contract obligations</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699</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6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Lease liabilities, net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Long-term income tax liability</w:t>
            </w:r>
          </w:p>
        </w:tc>
        <w:tc>
          <w:tcPr>
            <w:tcW w:w="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98</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618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2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6,455</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428</w:t>
            </w:r>
          </w:p>
        </w:tc>
        <w:tc>
          <w:tcPr>
            <w:tcW w:w="0" w:type="dxa"/>
            <w:vAlign w:val="bottom"/>
          </w:tcPr>
          <w:p>
            <w:pPr>
              <w:spacing w:after="0"/>
              <w:rPr>
                <w:sz w:val="1"/>
                <w:szCs w:val="1"/>
                <w:color w:val="auto"/>
              </w:rPr>
            </w:pPr>
          </w:p>
        </w:tc>
      </w:tr>
      <w:tr>
        <w:trPr>
          <w:trHeight w:val="155"/>
        </w:trPr>
        <w:tc>
          <w:tcPr>
            <w:tcW w:w="61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(2,901)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(1,239)</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Purchases of intangible assets</w:t>
            </w:r>
          </w:p>
        </w:tc>
        <w:tc>
          <w:tcPr>
            <w:tcW w:w="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(977)</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618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2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(3,878)</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(1,239)</w:t>
            </w:r>
          </w:p>
        </w:tc>
        <w:tc>
          <w:tcPr>
            <w:tcW w:w="0" w:type="dxa"/>
            <w:vAlign w:val="bottom"/>
          </w:tcPr>
          <w:p>
            <w:pPr>
              <w:spacing w:after="0"/>
              <w:rPr>
                <w:sz w:val="1"/>
                <w:szCs w:val="1"/>
                <w:color w:val="auto"/>
              </w:rPr>
            </w:pPr>
          </w:p>
        </w:tc>
      </w:tr>
      <w:tr>
        <w:trPr>
          <w:trHeight w:val="156"/>
        </w:trPr>
        <w:tc>
          <w:tcPr>
            <w:tcW w:w="61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Payments on finance leases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exercise of stock options and purchase of shares in employee stock purchase plan</w:t>
            </w:r>
          </w:p>
        </w:tc>
        <w:tc>
          <w:tcPr>
            <w:tcW w:w="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322</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629</w:t>
            </w:r>
          </w:p>
        </w:tc>
        <w:tc>
          <w:tcPr>
            <w:tcW w:w="0" w:type="dxa"/>
            <w:vAlign w:val="bottom"/>
          </w:tcPr>
          <w:p>
            <w:pPr>
              <w:spacing w:after="0"/>
              <w:rPr>
                <w:sz w:val="1"/>
                <w:szCs w:val="1"/>
                <w:color w:val="auto"/>
              </w:rPr>
            </w:pPr>
          </w:p>
        </w:tc>
      </w:tr>
      <w:tr>
        <w:trPr>
          <w:trHeight w:val="155"/>
        </w:trPr>
        <w:tc>
          <w:tcPr>
            <w:tcW w:w="618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provided by financing activities</w:t>
            </w:r>
          </w:p>
        </w:tc>
        <w:tc>
          <w:tcPr>
            <w:tcW w:w="2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288</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629</w:t>
            </w:r>
          </w:p>
        </w:tc>
        <w:tc>
          <w:tcPr>
            <w:tcW w:w="0" w:type="dxa"/>
            <w:vAlign w:val="bottom"/>
          </w:tcPr>
          <w:p>
            <w:pPr>
              <w:spacing w:after="0"/>
              <w:rPr>
                <w:sz w:val="1"/>
                <w:szCs w:val="1"/>
                <w:color w:val="auto"/>
              </w:rPr>
            </w:pPr>
          </w:p>
        </w:tc>
      </w:tr>
      <w:tr>
        <w:trPr>
          <w:trHeight w:val="155"/>
        </w:trPr>
        <w:tc>
          <w:tcPr>
            <w:tcW w:w="61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2,865</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(182)</w:t>
            </w:r>
          </w:p>
        </w:tc>
        <w:tc>
          <w:tcPr>
            <w:tcW w:w="0" w:type="dxa"/>
            <w:vAlign w:val="bottom"/>
          </w:tcPr>
          <w:p>
            <w:pPr>
              <w:spacing w:after="0"/>
              <w:rPr>
                <w:sz w:val="1"/>
                <w:szCs w:val="1"/>
                <w:color w:val="auto"/>
              </w:rPr>
            </w:pPr>
          </w:p>
        </w:tc>
      </w:tr>
      <w:tr>
        <w:trPr>
          <w:trHeight w:val="162"/>
        </w:trPr>
        <w:tc>
          <w:tcPr>
            <w:tcW w:w="618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42,097</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36,946</w:t>
            </w:r>
          </w:p>
        </w:tc>
        <w:tc>
          <w:tcPr>
            <w:tcW w:w="0" w:type="dxa"/>
            <w:vAlign w:val="bottom"/>
          </w:tcPr>
          <w:p>
            <w:pPr>
              <w:spacing w:after="0"/>
              <w:rPr>
                <w:sz w:val="1"/>
                <w:szCs w:val="1"/>
                <w:color w:val="auto"/>
              </w:rPr>
            </w:pPr>
          </w:p>
        </w:tc>
      </w:tr>
      <w:tr>
        <w:trPr>
          <w:trHeight w:val="155"/>
        </w:trPr>
        <w:tc>
          <w:tcPr>
            <w:tcW w:w="61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and cash equivalents at end of period</w:t>
            </w:r>
          </w:p>
        </w:tc>
        <w:tc>
          <w:tcPr>
            <w:tcW w:w="2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44,962</w:t>
            </w:r>
          </w:p>
        </w:tc>
        <w:tc>
          <w:tcPr>
            <w:tcW w:w="2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36,764</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Supplementary cash flow information:</w:t>
            </w: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paid for taxes</w:t>
            </w:r>
          </w:p>
        </w:tc>
        <w:tc>
          <w:tcPr>
            <w:tcW w:w="50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36</w:t>
            </w:r>
          </w:p>
        </w:tc>
        <w:tc>
          <w:tcPr>
            <w:tcW w:w="2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0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Operating cash flows paid for operating leases</w:t>
            </w: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8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jc w:val="right"/>
              <w:ind w:right="8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707</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699</w:t>
            </w:r>
          </w:p>
        </w:tc>
        <w:tc>
          <w:tcPr>
            <w:tcW w:w="0" w:type="dxa"/>
            <w:vAlign w:val="bottom"/>
          </w:tcPr>
          <w:p>
            <w:pPr>
              <w:spacing w:after="0"/>
              <w:rPr>
                <w:sz w:val="1"/>
                <w:szCs w:val="1"/>
                <w:color w:val="auto"/>
              </w:rPr>
            </w:pPr>
          </w:p>
        </w:tc>
      </w:tr>
      <w:tr>
        <w:trPr>
          <w:trHeight w:val="143"/>
        </w:trPr>
        <w:tc>
          <w:tcPr>
            <w:tcW w:w="618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5"/>
                <w:szCs w:val="15"/>
                <w:color w:val="auto"/>
              </w:rPr>
              <w:t>Financing cash flows paid for finance leases</w:t>
            </w:r>
          </w:p>
        </w:tc>
        <w:tc>
          <w:tcPr>
            <w:tcW w:w="2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34</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Right-of-use assets obtained in exchange for finance lease liabilities</w:t>
            </w:r>
          </w:p>
        </w:tc>
        <w:tc>
          <w:tcPr>
            <w:tcW w:w="50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10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297</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Purchases of property and equipment in accounts payable and accrued liabilities</w:t>
            </w: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40" w:type="dxa"/>
            <w:vAlign w:val="bottom"/>
            <w:tcBorders>
              <w:bottom w:val="single" w:sz="8" w:color="auto"/>
            </w:tcBorders>
          </w:tcPr>
          <w:p>
            <w:pPr>
              <w:jc w:val="right"/>
              <w:ind w:right="8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26</w:t>
            </w:r>
          </w:p>
        </w:tc>
        <w:tc>
          <w:tcPr>
            <w:tcW w:w="220" w:type="dxa"/>
            <w:vAlign w:val="bottom"/>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75</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229" w:lineRule="exact"/>
        <w:rPr>
          <w:sz w:val="20"/>
          <w:szCs w:val="20"/>
          <w:color w:val="auto"/>
        </w:rPr>
      </w:pPr>
    </w:p>
    <w:p>
      <w:pPr>
        <w:ind w:left="40" w:right="179" w:firstLine="324"/>
        <w:spacing w:after="0" w:line="255" w:lineRule="auto"/>
        <w:rPr>
          <w:sz w:val="20"/>
          <w:szCs w:val="20"/>
          <w:color w:val="auto"/>
        </w:rPr>
      </w:pPr>
      <w:r>
        <w:rPr>
          <w:rFonts w:ascii="Times New Roman" w:cs="Times New Roman" w:eastAsia="Times New Roman" w:hAnsi="Times New Roman"/>
          <w:sz w:val="18"/>
          <w:szCs w:val="18"/>
          <w:color w:val="auto"/>
        </w:rPr>
        <w:t>Everspin Technologies, Inc. (“we”, “our”, “us”, “Everspin Technologies”, “Everspin”, or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key markets, such as industrial, medical, automotive/transportation, aerospace and data center markets to design high performance, power efficient and reliable systems without the need for bulky batteries or capacitors.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2024,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and six months ended June 30, 2025, are not necessarily indicative of the results to be expected for the year ending December 31, 2025 or for any other interim period or for any other future year.</w:t>
      </w:r>
    </w:p>
    <w:p>
      <w:pPr>
        <w:spacing w:after="0" w:line="192" w:lineRule="exact"/>
        <w:rPr>
          <w:sz w:val="20"/>
          <w:szCs w:val="20"/>
          <w:color w:val="auto"/>
        </w:rPr>
      </w:pPr>
    </w:p>
    <w:p>
      <w:pPr>
        <w:ind w:left="40" w:right="29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financial statements and related financial information should be read in conjunction with the audited financial statements and the related notes thereto for the year ended December 31, 2024, included in the Company’s Annual Report on Form 10-K filed with the SEC.</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left="40" w:right="99" w:firstLine="324"/>
        <w:spacing w:after="0" w:line="258" w:lineRule="auto"/>
        <w:rPr>
          <w:sz w:val="20"/>
          <w:szCs w:val="20"/>
          <w:color w:val="auto"/>
        </w:rPr>
      </w:pPr>
      <w:r>
        <w:rPr>
          <w:rFonts w:ascii="Times New Roman" w:cs="Times New Roman" w:eastAsia="Times New Roman" w:hAnsi="Times New Roman"/>
          <w:sz w:val="18"/>
          <w:szCs w:val="18"/>
          <w:color w:val="auto"/>
        </w:rPr>
        <w:t>Certain reclassifications of previously reported amounts have been made to conform to the current period presentation. Specifically, interest income was previously presented within other income (expense), net for the three and six months ended June 30, 2024 in the Quarterly Report on Form 10-Q filed with the SEC on August 2, 2024. Interest income is presented separately in the unaudited condensed statement of operations and comprehensive loss within these financial statements.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40" w:right="139"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net realizable value, deferred tax assets and related valuation allowances, and stock-based compensation. The Company believes its estimates and assumptions are reasonable; however, actual results may differ from the Company’s estimates.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left="40" w:right="139" w:firstLine="324"/>
        <w:spacing w:after="0" w:line="266" w:lineRule="auto"/>
        <w:rPr>
          <w:sz w:val="20"/>
          <w:szCs w:val="20"/>
          <w:color w:val="auto"/>
        </w:rPr>
      </w:pPr>
      <w:r>
        <w:rPr>
          <w:rFonts w:ascii="Times New Roman" w:cs="Times New Roman" w:eastAsia="Times New Roman" w:hAnsi="Times New Roman"/>
          <w:sz w:val="18"/>
          <w:szCs w:val="18"/>
          <w:color w:val="auto"/>
        </w:rPr>
        <w:t>The Company’s MRAM technology solutions are sold as products and services through MRAM-based products, licenses and royalties of MRAM and magnetic sensor technology and backend foundry and design services. The Company identifies and manages the business activities in one reportable segment. The Company’s Chief Executive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Officer is the Chief Operating Decision Maker (CODM). The CODM utilizes the Company’s long-range plan, which includes product development roadmaps and long-range financial models, as a key input to resource allocation. The CODM makes decisions on resource allocation, assesses performance of the business, and monitors budget versus actual results using net income. Significant segment expenses within net income are those separately presented on the Company’s statements of operations and comprehensive loss, which include cost of sales, research and development, general and administrative, and sales and marketing expenses.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40" w:right="239"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short-term investments with maturity dates of 90 days or less at the date of purchase to be cash equivalents. The Company’s cash equivalents consist solely of money market funds.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product returns and price adjustments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10"/>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11,722</w:t>
            </w: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w:t>
      </w:r>
    </w:p>
    <w:p>
      <w:pPr>
        <w:spacing w:after="0" w:line="176" w:lineRule="exact"/>
        <w:rPr>
          <w:sz w:val="20"/>
          <w:szCs w:val="20"/>
          <w:color w:val="auto"/>
        </w:rPr>
      </w:pPr>
    </w:p>
    <w:p>
      <w:pPr>
        <w:ind w:left="40" w:right="99" w:firstLine="324"/>
        <w:spacing w:after="0" w:line="256" w:lineRule="auto"/>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gridSpan w:val="6"/>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500" w:type="dxa"/>
            <w:vAlign w:val="bottom"/>
            <w:gridSpan w:val="4"/>
          </w:tcPr>
          <w:p>
            <w:pPr>
              <w:jc w:val="center"/>
              <w:ind w:right="134"/>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160" w:type="dxa"/>
            <w:vAlign w:val="bottom"/>
          </w:tcPr>
          <w:p>
            <w:pPr>
              <w:spacing w:after="0"/>
              <w:rPr>
                <w:sz w:val="10"/>
                <w:szCs w:val="10"/>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bottom w:val="single" w:sz="8" w:color="auto"/>
            </w:tcBorders>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Customers</w:t>
            </w:r>
          </w:p>
        </w:tc>
        <w:tc>
          <w:tcPr>
            <w:tcW w:w="780" w:type="dxa"/>
            <w:vAlign w:val="bottom"/>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0" w:type="dxa"/>
            <w:vAlign w:val="bottom"/>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98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78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Pr>
          <w:p>
            <w:pPr>
              <w:spacing w:after="0"/>
              <w:rPr>
                <w:sz w:val="18"/>
                <w:szCs w:val="18"/>
                <w:color w:val="auto"/>
              </w:rPr>
            </w:pPr>
          </w:p>
        </w:tc>
        <w:tc>
          <w:tcPr>
            <w:tcW w:w="80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7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tcPr>
          <w:p>
            <w:pPr>
              <w:spacing w:after="0"/>
              <w:rPr>
                <w:sz w:val="20"/>
                <w:szCs w:val="20"/>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40005</wp:posOffset>
            </wp:positionV>
            <wp:extent cx="13030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14" w:lineRule="exact"/>
        <w:rPr>
          <w:sz w:val="20"/>
          <w:szCs w:val="20"/>
          <w:color w:val="auto"/>
        </w:rPr>
      </w:pPr>
    </w:p>
    <w:p>
      <w:pPr>
        <w:ind w:left="700" w:hanging="656"/>
        <w:spacing w:after="0"/>
        <w:tabs>
          <w:tab w:leader="none" w:pos="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10%</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left="40" w:right="79" w:firstLine="324"/>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60" w:right="419"/>
        <w:spacing w:after="0" w:line="282" w:lineRule="auto"/>
        <w:rPr>
          <w:sz w:val="20"/>
          <w:szCs w:val="20"/>
          <w:color w:val="auto"/>
        </w:rPr>
      </w:pPr>
      <w:r>
        <w:rPr>
          <w:rFonts w:ascii="Times New Roman" w:cs="Times New Roman" w:eastAsia="Times New Roman" w:hAnsi="Times New Roman"/>
          <w:sz w:val="18"/>
          <w:szCs w:val="18"/>
          <w:color w:val="auto"/>
        </w:rPr>
        <w:t>Level 2— Inputs, other than quoted prices for identical assets or liabilities in active markets, which are observable either directly or indirectly; and</w:t>
      </w:r>
    </w:p>
    <w:p>
      <w:pPr>
        <w:spacing w:after="0" w:line="162" w:lineRule="exact"/>
        <w:rPr>
          <w:sz w:val="20"/>
          <w:szCs w:val="20"/>
          <w:color w:val="auto"/>
        </w:rPr>
      </w:pPr>
    </w:p>
    <w:p>
      <w:pPr>
        <w:ind w:left="360" w:right="339"/>
        <w:spacing w:after="0" w:line="282" w:lineRule="auto"/>
        <w:rPr>
          <w:sz w:val="20"/>
          <w:szCs w:val="20"/>
          <w:color w:val="auto"/>
        </w:rPr>
      </w:pPr>
      <w:r>
        <w:rPr>
          <w:rFonts w:ascii="Times New Roman" w:cs="Times New Roman" w:eastAsia="Times New Roman" w:hAnsi="Times New Roman"/>
          <w:sz w:val="18"/>
          <w:szCs w:val="18"/>
          <w:color w:val="auto"/>
        </w:rPr>
        <w:t>Level 3— Unobservable inputs in which there is little or no market data requiring the reporting entity to develop its own assumptions.</w:t>
      </w:r>
    </w:p>
    <w:p>
      <w:pPr>
        <w:spacing w:after="0" w:line="162" w:lineRule="exact"/>
        <w:rPr>
          <w:sz w:val="20"/>
          <w:szCs w:val="20"/>
          <w:color w:val="auto"/>
        </w:rPr>
      </w:pPr>
    </w:p>
    <w:p>
      <w:pPr>
        <w:ind w:left="40" w:right="99" w:firstLine="324"/>
        <w:spacing w:after="0" w:line="261" w:lineRule="auto"/>
        <w:rPr>
          <w:sz w:val="20"/>
          <w:szCs w:val="20"/>
          <w:color w:val="auto"/>
        </w:rPr>
      </w:pPr>
      <w:r>
        <w:rPr>
          <w:rFonts w:ascii="Times New Roman" w:cs="Times New Roman" w:eastAsia="Times New Roman" w:hAnsi="Times New Roman"/>
          <w:sz w:val="18"/>
          <w:szCs w:val="18"/>
          <w:color w:val="auto"/>
        </w:rPr>
        <w:t>The carrying value of accounts receivable, accounts payable, and other accruals readily convertible into cash approximate fair value because of the short-term nature of the instruments. The Company’s financial instruments consist of Level 1 assets. Where quoted prices are available in an active market, securities are classified as Level 1. Level 1 assets consist of highly liquid money market funds that are included in cash equivalents.</w:t>
      </w:r>
    </w:p>
    <w:p>
      <w:pPr>
        <w:spacing w:after="0" w:line="180" w:lineRule="exact"/>
        <w:rPr>
          <w:sz w:val="20"/>
          <w:szCs w:val="20"/>
          <w:color w:val="auto"/>
        </w:rPr>
      </w:pPr>
    </w:p>
    <w:p>
      <w:pPr>
        <w:ind w:left="4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and liabilities measured at fair value on a recurring basis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r>
      <w:tr>
        <w:trPr>
          <w:trHeight w:val="142"/>
        </w:trPr>
        <w:tc>
          <w:tcPr>
            <w:tcW w:w="9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Pr>
          <w:p>
            <w:pPr>
              <w:spacing w:after="0"/>
              <w:rPr>
                <w:sz w:val="12"/>
                <w:szCs w:val="12"/>
                <w:color w:val="auto"/>
              </w:rPr>
            </w:pPr>
          </w:p>
        </w:tc>
      </w:tr>
      <w:tr>
        <w:trPr>
          <w:trHeight w:val="209"/>
        </w:trPr>
        <w:tc>
          <w:tcPr>
            <w:tcW w:w="90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33,617</w:t>
            </w:r>
          </w:p>
        </w:tc>
        <w:tc>
          <w:tcPr>
            <w:tcW w:w="90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33,617</w:t>
            </w:r>
          </w:p>
        </w:tc>
        <w:tc>
          <w:tcPr>
            <w:tcW w:w="90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44"/>
        </w:trPr>
        <w:tc>
          <w:tcPr>
            <w:tcW w:w="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left="40" w:right="11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Accounting Standards Update (ASU) 2023-09, </w:t>
      </w:r>
      <w:r>
        <w:rPr>
          <w:rFonts w:ascii="Times New Roman" w:cs="Times New Roman" w:eastAsia="Times New Roman" w:hAnsi="Times New Roman"/>
          <w:sz w:val="18"/>
          <w:szCs w:val="18"/>
          <w:i w:val="1"/>
          <w:iCs w:val="1"/>
          <w:color w:val="auto"/>
        </w:rPr>
        <w:t>Income Taxes (Topic 740):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Disclosures</w:t>
      </w:r>
      <w:r>
        <w:rPr>
          <w:rFonts w:ascii="Times New Roman" w:cs="Times New Roman" w:eastAsia="Times New Roman" w:hAnsi="Times New Roman"/>
          <w:sz w:val="18"/>
          <w:szCs w:val="18"/>
          <w:color w:val="auto"/>
        </w:rPr>
        <w:t>, which improves income tax disclosure requirements, primarily through disaggregated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effective income tax rate reconciliation and additional disclosures regarding income taxes paid. The guidance is effective for fiscal years beginning after December 15, 2024, and interim periods within fiscal years beginning after December 15, 2024.</w:t>
      </w:r>
    </w:p>
    <w:p>
      <w:pPr>
        <w:spacing w:after="0" w:line="185" w:lineRule="exact"/>
        <w:rPr>
          <w:sz w:val="20"/>
          <w:szCs w:val="20"/>
          <w:color w:val="auto"/>
        </w:rPr>
      </w:pPr>
    </w:p>
    <w:p>
      <w:pPr>
        <w:ind w:left="40" w:right="139" w:firstLine="324"/>
        <w:spacing w:after="0" w:line="282" w:lineRule="auto"/>
        <w:rPr>
          <w:sz w:val="20"/>
          <w:szCs w:val="20"/>
          <w:color w:val="auto"/>
        </w:rPr>
      </w:pPr>
      <w:r>
        <w:rPr>
          <w:rFonts w:ascii="Times New Roman" w:cs="Times New Roman" w:eastAsia="Times New Roman" w:hAnsi="Times New Roman"/>
          <w:sz w:val="18"/>
          <w:szCs w:val="18"/>
          <w:color w:val="auto"/>
        </w:rPr>
        <w:t>The Company adopted ASU 2023-09 effective January 1, 2025, on a prospective basis. The adoption of ASU 2023-09 did not have a significant impact to the condensed financial statements.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Under Evaluation</w:t>
      </w:r>
    </w:p>
    <w:p>
      <w:pPr>
        <w:spacing w:after="0" w:line="227"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(Topic 220): Disaggregation of Income Statement Expenses</w:t>
      </w:r>
      <w:r>
        <w:rPr>
          <w:rFonts w:ascii="Times New Roman" w:cs="Times New Roman" w:eastAsia="Times New Roman" w:hAnsi="Times New Roman"/>
          <w:sz w:val="18"/>
          <w:szCs w:val="18"/>
          <w:color w:val="auto"/>
        </w:rPr>
        <w:t>, which requires additional disclosure of certain amounts included in the expense captions presented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of operations, as well as disclosures about selling expenses. ASU 2024-03 is effective for the Company’s annual reporting periods beginning after December 15, 2026 and interim reporting periods beginning after December 15, 2027, on a prospective basis, with the option for retrospective application. Early adoption is permitted for annual financial statements that have not yet been issued. The Company is currently evaluating the impact that the standard will have on its condensed financial statements.</w:t>
      </w:r>
    </w:p>
    <w:p>
      <w:pPr>
        <w:spacing w:after="0" w:line="187" w:lineRule="exact"/>
        <w:rPr>
          <w:sz w:val="20"/>
          <w:szCs w:val="20"/>
          <w:color w:val="auto"/>
        </w:rPr>
      </w:pPr>
    </w:p>
    <w:p>
      <w:pPr>
        <w:ind w:left="40" w:right="219" w:firstLine="324"/>
        <w:spacing w:after="0" w:line="282" w:lineRule="auto"/>
        <w:rPr>
          <w:sz w:val="20"/>
          <w:szCs w:val="20"/>
          <w:color w:val="auto"/>
        </w:rPr>
      </w:pPr>
      <w:r>
        <w:rPr>
          <w:rFonts w:ascii="Times New Roman" w:cs="Times New Roman" w:eastAsia="Times New Roman" w:hAnsi="Times New Roman"/>
          <w:sz w:val="18"/>
          <w:szCs w:val="18"/>
          <w:color w:val="212529"/>
        </w:rPr>
        <w:t xml:space="preserve">The Company </w:t>
      </w:r>
      <w:r>
        <w:rPr>
          <w:rFonts w:ascii="Times New Roman" w:cs="Times New Roman" w:eastAsia="Times New Roman" w:hAnsi="Times New Roman"/>
          <w:sz w:val="18"/>
          <w:szCs w:val="18"/>
          <w:color w:val="000000"/>
        </w:rPr>
        <w:t>reviewed</w:t>
      </w:r>
      <w:r>
        <w:rPr>
          <w:rFonts w:ascii="Times New Roman" w:cs="Times New Roman" w:eastAsia="Times New Roman" w:hAnsi="Times New Roman"/>
          <w:sz w:val="18"/>
          <w:szCs w:val="18"/>
          <w:color w:val="212529"/>
        </w:rPr>
        <w:t xml:space="preserve"> all other recently issued accounting pronouncements and concluded that they were either not applicable or not expected to have a significant impact to the condensed financial statements.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Statements of Operations and Comprehensive Loss Components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40" w:right="199" w:firstLine="324"/>
        <w:spacing w:after="0" w:line="266" w:lineRule="auto"/>
        <w:rPr>
          <w:sz w:val="20"/>
          <w:szCs w:val="20"/>
          <w:color w:val="auto"/>
        </w:rPr>
      </w:pPr>
      <w:r>
        <w:rPr>
          <w:rFonts w:ascii="Times New Roman" w:cs="Times New Roman" w:eastAsia="Times New Roman" w:hAnsi="Times New Roman"/>
          <w:sz w:val="18"/>
          <w:szCs w:val="18"/>
          <w:color w:val="auto"/>
        </w:rPr>
        <w:t>The Company sells products to its distributors, original design manufacturers (ODMs), and original equipment manufacturers (OEMs). The Company also recognizes revenue under licensing, patent, and royalty agreements with some customers.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sales channel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19,514</w:t>
            </w:r>
          </w:p>
        </w:tc>
      </w:tr>
      <w:tr>
        <w:trPr>
          <w:trHeight w:val="216"/>
        </w:trPr>
        <w:tc>
          <w:tcPr>
            <w:tcW w:w="20" w:type="dxa"/>
            <w:vAlign w:val="bottom"/>
          </w:tcPr>
          <w:p>
            <w:pPr>
              <w:spacing w:after="0"/>
              <w:rPr>
                <w:sz w:val="18"/>
                <w:szCs w:val="18"/>
                <w:color w:val="auto"/>
              </w:rPr>
            </w:pPr>
          </w:p>
        </w:tc>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Non-distributor</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w:t>
            </w:r>
          </w:p>
        </w:tc>
      </w:tr>
      <w:tr>
        <w:trPr>
          <w:trHeight w:val="210"/>
        </w:trPr>
        <w:tc>
          <w:tcPr>
            <w:tcW w:w="20" w:type="dxa"/>
            <w:vAlign w:val="bottom"/>
          </w:tcPr>
          <w:p>
            <w:pPr>
              <w:spacing w:after="0"/>
              <w:rPr>
                <w:sz w:val="18"/>
                <w:szCs w:val="18"/>
                <w:color w:val="auto"/>
              </w:rPr>
            </w:pPr>
          </w:p>
        </w:tc>
        <w:tc>
          <w:tcPr>
            <w:tcW w:w="3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w:t>
            </w: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timing of recognition (in thousands):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9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920" w:type="dxa"/>
            <w:vAlign w:val="bottom"/>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2"/>
                <w:szCs w:val="12"/>
                <w:color w:val="auto"/>
              </w:rPr>
            </w:pPr>
          </w:p>
        </w:tc>
      </w:tr>
      <w:tr>
        <w:trPr>
          <w:trHeight w:val="209"/>
        </w:trPr>
        <w:tc>
          <w:tcPr>
            <w:tcW w:w="9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21,029</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Over time</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900" w:type="dxa"/>
            <w:vAlign w:val="bottom"/>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3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26,339</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9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type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0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20,747</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Licensing</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10"/>
        </w:trPr>
        <w:tc>
          <w:tcPr>
            <w:tcW w:w="3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26,339</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w:t>
            </w:r>
          </w:p>
        </w:tc>
      </w:tr>
      <w:tr>
        <w:trPr>
          <w:trHeight w:val="20"/>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31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in three primary geographic regions: Asia-Pacific (APAC); North America; and Europe, Middle East and Africa (EMEA). The Company recognizes revenue by geography based on the region in which the Company’s products are sold, and not to where the end products in which they are assembled are shipped. The Company’s revenue by region for the periods indicated was as follows (in thousands):</w:t>
      </w:r>
    </w:p>
    <w:p>
      <w:pPr>
        <w:spacing w:after="0" w:line="187"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1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0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r>
      <w:tr>
        <w:trPr>
          <w:trHeight w:val="210"/>
        </w:trPr>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26,339</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25,066</w:t>
            </w: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left="40" w:right="139" w:firstLine="324"/>
        <w:spacing w:after="0" w:line="258" w:lineRule="auto"/>
        <w:rPr>
          <w:sz w:val="20"/>
          <w:szCs w:val="20"/>
          <w:color w:val="auto"/>
        </w:rPr>
      </w:pPr>
      <w:r>
        <w:rPr>
          <w:rFonts w:ascii="Times New Roman" w:cs="Times New Roman" w:eastAsia="Times New Roman" w:hAnsi="Times New Roman"/>
          <w:sz w:val="18"/>
          <w:szCs w:val="18"/>
          <w:color w:val="auto"/>
        </w:rPr>
        <w:t>On August 14, 2024, the Company received a strategic award to develop a long-term plan to provide manufacturing services for aerospace and defense segments (the Award). Under the Award, the Company will provide a plan to mitigate risks to its MRAM manufacturing supply chain. Pursuant to the Award, the Company may receive cash payments upon the achievement of certain technical tasks and deliverables. The Award allows for milestones totaling up to approximately $14.6 million for the Company over a span of 2.5 years.</w:t>
      </w:r>
    </w:p>
    <w:p>
      <w:pPr>
        <w:spacing w:after="0" w:line="183" w:lineRule="exact"/>
        <w:rPr>
          <w:sz w:val="20"/>
          <w:szCs w:val="20"/>
          <w:color w:val="auto"/>
        </w:rPr>
      </w:pPr>
    </w:p>
    <w:p>
      <w:pPr>
        <w:ind w:left="40" w:right="459" w:firstLine="324"/>
        <w:spacing w:after="0" w:line="312" w:lineRule="auto"/>
        <w:rPr>
          <w:sz w:val="20"/>
          <w:szCs w:val="20"/>
          <w:color w:val="auto"/>
        </w:rPr>
      </w:pPr>
      <w:r>
        <w:rPr>
          <w:rFonts w:ascii="Times New Roman" w:cs="Times New Roman" w:eastAsia="Times New Roman" w:hAnsi="Times New Roman"/>
          <w:sz w:val="17"/>
          <w:szCs w:val="17"/>
          <w:color w:val="auto"/>
        </w:rPr>
        <w:t>The Award is not in the ordinary course of the Company’s business and hence not a contract with a customer. The Company has applied the revenue recognition principles under Accounting Standards Codification 606 by analogy.</w:t>
      </w:r>
    </w:p>
    <w:p>
      <w:pPr>
        <w:spacing w:after="0" w:line="140"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billed $1.0 million and $2.0 million, respectively, relating to the Award and recorded $0.9 million and $1.3 million, respectively, of other income. The Company has recorded this other income using an input method based on costs incurred to date relative to the total expected costs of the Award over its term. The remaining $0.7 million of the billed amount for the Award is recorded as contract obligations liability on the condensed balance sheets. This amount represents the Company’s obligation to perform future services for which the Company has received or is entitled to receive payment but which are not yet fulfilled.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232</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6"/>
              </w:rPr>
              <w:t>11,306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8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24"/>
                <w:szCs w:val="24"/>
                <w:color w:val="auto"/>
              </w:rPr>
            </w:pPr>
          </w:p>
        </w:tc>
        <w:tc>
          <w:tcPr>
            <w:tcW w:w="8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6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w:t>
            </w:r>
          </w:p>
        </w:tc>
        <w:tc>
          <w:tcPr>
            <w:tcW w:w="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and network equipment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1,476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16,390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60" w:type="dxa"/>
            <w:vAlign w:val="bottom"/>
            <w:gridSpan w:val="2"/>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3,220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31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and 2024, the depreciation expense was $0.4 million and $0.4 million, respectively. For the six months ended June 30, 2025 and 2024, depreciation expense was $0.7 million and $0.8 million, respectively.</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left="40" w:right="159" w:firstLine="324"/>
        <w:spacing w:after="0" w:line="261" w:lineRule="auto"/>
        <w:rPr>
          <w:sz w:val="20"/>
          <w:szCs w:val="20"/>
          <w:color w:val="auto"/>
        </w:rPr>
      </w:pPr>
      <w:r>
        <w:rPr>
          <w:rFonts w:ascii="Times New Roman" w:cs="Times New Roman" w:eastAsia="Times New Roman" w:hAnsi="Times New Roman"/>
          <w:sz w:val="18"/>
          <w:szCs w:val="18"/>
          <w:color w:val="auto"/>
        </w:rPr>
        <w:t>The gross carrying amounts and accumulated amortization of intangible assets are as follows at the dates indicated (in thousands):</w:t>
      </w:r>
    </w:p>
    <w:tbl>
      <w:tblPr>
        <w:tblLayout w:type="fixed"/>
        <w:tblInd w:w="40" w:type="dxa"/>
        <w:tblCellMar>
          <w:top w:w="0" w:type="dxa"/>
          <w:left w:w="0" w:type="dxa"/>
          <w:bottom w:w="0" w:type="dxa"/>
          <w:right w:w="0" w:type="dxa"/>
        </w:tblCellMar>
      </w:tblPr>
      <w:tr>
        <w:trPr>
          <w:trHeight w:val="229"/>
        </w:trPr>
        <w:tc>
          <w:tcPr>
            <w:tcW w:w="302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187"/>
        </w:trPr>
        <w:tc>
          <w:tcPr>
            <w:tcW w:w="3020" w:type="dxa"/>
            <w:vAlign w:val="bottom"/>
          </w:tcPr>
          <w:p>
            <w:pPr>
              <w:spacing w:after="0"/>
              <w:rPr>
                <w:sz w:val="16"/>
                <w:szCs w:val="16"/>
                <w:color w:val="auto"/>
              </w:rPr>
            </w:pPr>
          </w:p>
        </w:tc>
        <w:tc>
          <w:tcPr>
            <w:tcW w:w="1500" w:type="dxa"/>
            <w:vAlign w:val="bottom"/>
          </w:tcPr>
          <w:p>
            <w:pPr>
              <w:jc w:val="center"/>
              <w:ind w:left="3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3020" w:type="dxa"/>
            <w:vAlign w:val="bottom"/>
          </w:tcPr>
          <w:p>
            <w:pPr>
              <w:spacing w:after="0"/>
              <w:rPr>
                <w:sz w:val="18"/>
                <w:szCs w:val="18"/>
                <w:color w:val="auto"/>
              </w:rPr>
            </w:pPr>
          </w:p>
        </w:tc>
        <w:tc>
          <w:tcPr>
            <w:tcW w:w="15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3020" w:type="dxa"/>
            <w:vAlign w:val="bottom"/>
          </w:tcPr>
          <w:p>
            <w:pPr>
              <w:spacing w:after="0"/>
              <w:rPr>
                <w:sz w:val="18"/>
                <w:szCs w:val="18"/>
                <w:color w:val="auto"/>
              </w:rPr>
            </w:pPr>
          </w:p>
        </w:tc>
        <w:tc>
          <w:tcPr>
            <w:tcW w:w="15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6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3020" w:type="dxa"/>
            <w:vAlign w:val="bottom"/>
          </w:tcPr>
          <w:p>
            <w:pPr>
              <w:spacing w:after="0"/>
              <w:rPr>
                <w:sz w:val="20"/>
                <w:szCs w:val="20"/>
                <w:color w:val="auto"/>
              </w:rPr>
            </w:pPr>
          </w:p>
        </w:tc>
        <w:tc>
          <w:tcPr>
            <w:tcW w:w="15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1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1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0"/>
        </w:trPr>
        <w:tc>
          <w:tcPr>
            <w:tcW w:w="3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42"/>
        </w:trPr>
        <w:tc>
          <w:tcPr>
            <w:tcW w:w="30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87"/>
        </w:trPr>
        <w:tc>
          <w:tcPr>
            <w:tcW w:w="3020" w:type="dxa"/>
            <w:vAlign w:val="bottom"/>
          </w:tcPr>
          <w:p>
            <w:pPr>
              <w:spacing w:after="0"/>
              <w:rPr>
                <w:sz w:val="16"/>
                <w:szCs w:val="16"/>
                <w:color w:val="auto"/>
              </w:rPr>
            </w:pPr>
          </w:p>
        </w:tc>
        <w:tc>
          <w:tcPr>
            <w:tcW w:w="1500" w:type="dxa"/>
            <w:vAlign w:val="bottom"/>
          </w:tcPr>
          <w:p>
            <w:pPr>
              <w:jc w:val="center"/>
              <w:ind w:left="3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3020" w:type="dxa"/>
            <w:vAlign w:val="bottom"/>
          </w:tcPr>
          <w:p>
            <w:pPr>
              <w:spacing w:after="0"/>
              <w:rPr>
                <w:sz w:val="18"/>
                <w:szCs w:val="18"/>
                <w:color w:val="auto"/>
              </w:rPr>
            </w:pPr>
          </w:p>
        </w:tc>
        <w:tc>
          <w:tcPr>
            <w:tcW w:w="15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3020" w:type="dxa"/>
            <w:vAlign w:val="bottom"/>
          </w:tcPr>
          <w:p>
            <w:pPr>
              <w:spacing w:after="0"/>
              <w:rPr>
                <w:sz w:val="18"/>
                <w:szCs w:val="18"/>
                <w:color w:val="auto"/>
              </w:rPr>
            </w:pPr>
          </w:p>
        </w:tc>
        <w:tc>
          <w:tcPr>
            <w:tcW w:w="15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6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3020" w:type="dxa"/>
            <w:vAlign w:val="bottom"/>
          </w:tcPr>
          <w:p>
            <w:pPr>
              <w:spacing w:after="0"/>
              <w:rPr>
                <w:sz w:val="20"/>
                <w:szCs w:val="20"/>
                <w:color w:val="auto"/>
              </w:rPr>
            </w:pPr>
          </w:p>
        </w:tc>
        <w:tc>
          <w:tcPr>
            <w:tcW w:w="15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1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0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0"/>
        </w:trPr>
        <w:tc>
          <w:tcPr>
            <w:tcW w:w="3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and 2024, the amortization expense for the intangible assets was $0.4 million and zero, respectively. For the six months ended June 30, 2025 and 2024, the amortization expense for the intangible assets was $0.9 million and zero, respectively.</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Payroll-related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10"/>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March 2025, the Company renewed a contractual arrangement with a customer for the development of a strategic</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radiation hardened (“RAD-Hard”) field programmable gate array product. The total consideration in the arrangement is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$1.2 million. The Company is recognizing revenue related to the performance obligation over time using the input method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based on costs incurred to date relative to the total expected costs of the contract and began recognizing revenue in the first</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quarter of 2025. As of June 30, 2025, the Company has billed $0.7 million for the performance under the agreement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has recognized $0.6 million and $0.7 million in revenue for the three and six months ended June 30, 2025, with an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immaterial amount in contract assets on the condensed balance sheets.</w:t>
      </w:r>
    </w:p>
    <w:p>
      <w:pPr>
        <w:spacing w:after="0" w:line="207" w:lineRule="exact"/>
        <w:rPr>
          <w:sz w:val="20"/>
          <w:szCs w:val="20"/>
          <w:color w:val="auto"/>
        </w:rPr>
      </w:pPr>
    </w:p>
    <w:p>
      <w:pPr>
        <w:ind w:left="40" w:right="379" w:firstLine="324"/>
        <w:spacing w:after="0" w:line="258" w:lineRule="auto"/>
        <w:rPr>
          <w:sz w:val="20"/>
          <w:szCs w:val="20"/>
          <w:color w:val="auto"/>
        </w:rPr>
      </w:pPr>
      <w:r>
        <w:rPr>
          <w:rFonts w:ascii="Times New Roman" w:cs="Times New Roman" w:eastAsia="Times New Roman" w:hAnsi="Times New Roman"/>
          <w:sz w:val="18"/>
          <w:szCs w:val="18"/>
          <w:color w:val="auto"/>
        </w:rPr>
        <w:t>The Company evaluated the contractual arrangement and assessed the promises made to the customer to determine whether they represented distinct performance obligations. The primary deliverables consist of development services, which are interdependent and must be provided together to deliver the intended value to the customer. Accordingly, the Company concluded that the performance obligations are not distinct within the context of the contract and should be accounted for as a single combined performance obligation.</w:t>
      </w:r>
    </w:p>
    <w:p>
      <w:pPr>
        <w:spacing w:after="0" w:line="183" w:lineRule="exact"/>
        <w:rPr>
          <w:sz w:val="20"/>
          <w:szCs w:val="20"/>
          <w:color w:val="auto"/>
        </w:rPr>
      </w:pPr>
    </w:p>
    <w:p>
      <w:pPr>
        <w:ind w:left="40" w:right="119" w:firstLine="324"/>
        <w:spacing w:after="0" w:line="255" w:lineRule="auto"/>
        <w:rPr>
          <w:sz w:val="20"/>
          <w:szCs w:val="20"/>
          <w:color w:val="auto"/>
        </w:rPr>
      </w:pPr>
      <w:r>
        <w:rPr>
          <w:rFonts w:ascii="Times New Roman" w:cs="Times New Roman" w:eastAsia="Times New Roman" w:hAnsi="Times New Roman"/>
          <w:sz w:val="18"/>
          <w:szCs w:val="18"/>
          <w:color w:val="auto"/>
        </w:rPr>
        <w:t>In January 2025, the Company executed a contractual arrangement with a customer to provide engineering services supporting the customer’s development that uses capabilities of MRAM for in-memory computing. The total consideration in the arrangement is $4.1 million. The Company is recognizing revenue related to the performance obligation over time using the input method based on costs incurred to date relative to the total expected costs of the contract and began recognizing revenue in the first quarter of 2025. As of June 30, 2025, the Company has billed $2.2 million for the performance under the agreement and has recognized $1.0 million and $2.2 million in revenue for the three and six months ended June 30, 2025, with no amounts in deferred revenue.</w:t>
      </w:r>
    </w:p>
    <w:p>
      <w:pPr>
        <w:spacing w:after="0" w:line="189" w:lineRule="exact"/>
        <w:rPr>
          <w:sz w:val="20"/>
          <w:szCs w:val="20"/>
          <w:color w:val="auto"/>
        </w:rPr>
      </w:pPr>
    </w:p>
    <w:p>
      <w:pPr>
        <w:ind w:left="40" w:right="159" w:firstLine="324"/>
        <w:spacing w:after="0" w:line="256" w:lineRule="auto"/>
        <w:rPr>
          <w:sz w:val="20"/>
          <w:szCs w:val="20"/>
          <w:color w:val="auto"/>
        </w:rPr>
      </w:pPr>
      <w:r>
        <w:rPr>
          <w:rFonts w:ascii="Times New Roman" w:cs="Times New Roman" w:eastAsia="Times New Roman" w:hAnsi="Times New Roman"/>
          <w:sz w:val="18"/>
          <w:szCs w:val="18"/>
          <w:color w:val="auto"/>
        </w:rPr>
        <w:t>The Company concluded that this contractual arrangement represents one arrangement and assessed the nature of the promises made to the customer to determine whether the performance obligations were distinct. The Company determined that the engineering services are not separately identifiable from the promised development services, as the engineering services are highly interrelated with, and dependent upon, the overall development services over the life of the contract. Accordingly, the Company concluded that the engineering services are not distinct within the context of the contract and, therefore, should be combined with the other promised services into a single performance obligation.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29" w:lineRule="exact"/>
        <w:rPr>
          <w:sz w:val="20"/>
          <w:szCs w:val="20"/>
          <w:color w:val="auto"/>
        </w:rPr>
      </w:pPr>
    </w:p>
    <w:p>
      <w:pPr>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Operating leases consist primarily of office space and manufacturing facilities expiring at various dates through 2029. Finance leases relate to server leases expiring at various dates through 2029. The Company’s lease agreements do not contain any material residual value guarantees or material restrictive covenants.</w:t>
      </w:r>
    </w:p>
    <w:p>
      <w:pPr>
        <w:spacing w:after="0" w:line="176"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The undiscounted future non-cancellable lease payments under the Company’s operating and finance leases were as follows (in thousands):</w:t>
      </w:r>
    </w:p>
    <w:p>
      <w:pPr>
        <w:spacing w:after="0" w:line="223"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9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imputed interest</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liabilities, net of current portion</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 liabilities was as follows: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0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4.50 %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4.50 %</w:t>
            </w: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information related to the Company’s finance lease liabilities was as follows:</w:t>
      </w:r>
    </w:p>
    <w:p>
      <w:pPr>
        <w:spacing w:after="0" w:line="300"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4.15</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3.90 %</w:t>
            </w:r>
          </w:p>
        </w:tc>
        <w:tc>
          <w:tcPr>
            <w:tcW w:w="14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3.90 %</w:t>
            </w:r>
          </w:p>
        </w:tc>
      </w:tr>
    </w:tbl>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details of the Company’s share-based compensation expense (in thousands):</w:t>
      </w:r>
    </w:p>
    <w:p>
      <w:pPr>
        <w:spacing w:after="0" w:line="300"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28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16"/>
        </w:trPr>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16"/>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2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8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r>
      <w:tr>
        <w:trPr>
          <w:trHeight w:val="20"/>
        </w:trPr>
        <w:tc>
          <w:tcPr>
            <w:tcW w:w="2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 Option Activity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six months ended June 30, 2025:</w:t>
      </w:r>
    </w:p>
    <w:p>
      <w:pPr>
        <w:spacing w:after="0" w:line="232"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8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2024</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1,521,857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 exercised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Balance—June 30, 2025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1,490,252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exercisable—June 30, 2025</w:t>
            </w:r>
          </w:p>
        </w:tc>
        <w:tc>
          <w:tcPr>
            <w:tcW w:w="98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line="20" w:lineRule="exact"/>
              <w:rPr>
                <w:sz w:val="1"/>
                <w:szCs w:val="1"/>
                <w:color w:val="auto"/>
              </w:rPr>
            </w:pPr>
          </w:p>
        </w:tc>
      </w:tr>
      <w:tr>
        <w:trPr>
          <w:trHeight w:val="197"/>
        </w:trPr>
        <w:tc>
          <w:tcPr>
            <w:tcW w:w="3000" w:type="dxa"/>
            <w:vAlign w:val="bottom"/>
            <w:gridSpan w:val="2"/>
            <w:vMerge w:val="continue"/>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1,421,558</w:t>
            </w:r>
          </w:p>
        </w:tc>
        <w:tc>
          <w:tcPr>
            <w:tcW w:w="30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159" w:firstLine="324"/>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options vested was $0.2 million and $0.3 million during the three months ended June 30, 2025 and 2024, respectively, and $0.4 million and $0.7 million during the six months ended June 30, 2025 and 2024, respectively.</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 options were granted in the three and six months ended June 30, 2025 or 2024, respectively.</w:t>
      </w:r>
    </w:p>
    <w:p>
      <w:pPr>
        <w:spacing w:after="0" w:line="225" w:lineRule="exact"/>
        <w:rPr>
          <w:sz w:val="20"/>
          <w:szCs w:val="20"/>
          <w:color w:val="auto"/>
        </w:rPr>
      </w:pPr>
    </w:p>
    <w:p>
      <w:pPr>
        <w:ind w:left="40" w:right="659"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there was $0.3 million of total unrecognized stock-based compensation expense related to unvested options which is expected to be recognized over a weighted-average period of 0.64 years. Stock-based compensation cost for options capitalized within inventory at June 30, 2025 and 2024 was not material.</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2016 Employee Stock Purchase Plan</w:t>
      </w:r>
    </w:p>
    <w:p>
      <w:pPr>
        <w:spacing w:after="0" w:line="229" w:lineRule="exact"/>
        <w:rPr>
          <w:sz w:val="20"/>
          <w:szCs w:val="20"/>
          <w:color w:val="auto"/>
        </w:rPr>
      </w:pPr>
    </w:p>
    <w:p>
      <w:pPr>
        <w:ind w:left="40" w:right="179" w:firstLine="324"/>
        <w:spacing w:after="0" w:line="258" w:lineRule="auto"/>
        <w:rPr>
          <w:sz w:val="20"/>
          <w:szCs w:val="20"/>
          <w:color w:val="auto"/>
        </w:rPr>
      </w:pPr>
      <w:r>
        <w:rPr>
          <w:rFonts w:ascii="Times New Roman" w:cs="Times New Roman" w:eastAsia="Times New Roman" w:hAnsi="Times New Roman"/>
          <w:sz w:val="18"/>
          <w:szCs w:val="18"/>
          <w:color w:val="auto"/>
        </w:rPr>
        <w:t>In January 2025, there was an increase of 220,596 shares reserved for issuance under the Company’s Employee Stock Purchase Plan (ESPP) pursuant to the terms of the ESPP. The Company had 1,191,215 shares available for future issuance under the ESPP as of June 30, 2025. Employees purchased 61,181 shares for $254,000 during the three and six months ended June 30, 2025. Employees purchased 37,696 shares for $241,000 during the three and six months ended June 30, 2024.</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restricted stock units (RSUs) activity for the six months ended June 30, 2025:</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080" w:type="dxa"/>
            <w:vAlign w:val="bottom"/>
            <w:tcBorders>
              <w:bottom w:val="single" w:sz="8" w:color="auto"/>
            </w:tcBorders>
            <w:gridSpan w:val="5"/>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RSUs Outstanding</w:t>
            </w: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 Per</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987,965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885,303</w:t>
            </w:r>
          </w:p>
        </w:tc>
        <w:tc>
          <w:tcPr>
            <w:tcW w:w="14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(426,610)</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(17,554)</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Balance—June 30, 2025</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1,429,104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9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RSUs is determined on the date of grant based on the market price of the Company’s common stock on that date.</w:t>
      </w:r>
    </w:p>
    <w:p>
      <w:pPr>
        <w:spacing w:after="0" w:line="162" w:lineRule="exact"/>
        <w:rPr>
          <w:sz w:val="20"/>
          <w:szCs w:val="20"/>
          <w:color w:val="auto"/>
        </w:rPr>
      </w:pPr>
    </w:p>
    <w:p>
      <w:pPr>
        <w:jc w:val="both"/>
        <w:ind w:left="40" w:right="119"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there was $8.7 million of unrecognized stock-based compensation expense related to RSUs to be recognized over a weighted-average period of 2.9 years. Stock-based compensation cost related to RSUs capitalized within inventory at June 30, 2025 and 2024 was not material.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7. Significant Agreements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GLOBALFOUNDRIES, Inc. Joint Development Agreement</w:t>
      </w:r>
    </w:p>
    <w:p>
      <w:pPr>
        <w:spacing w:after="0" w:line="229" w:lineRule="exact"/>
        <w:rPr>
          <w:sz w:val="20"/>
          <w:szCs w:val="20"/>
          <w:color w:val="auto"/>
        </w:rPr>
      </w:pPr>
    </w:p>
    <w:p>
      <w:pPr>
        <w:ind w:left="40" w:right="239" w:firstLine="324"/>
        <w:spacing w:after="0" w:line="256" w:lineRule="auto"/>
        <w:rPr>
          <w:sz w:val="20"/>
          <w:szCs w:val="20"/>
          <w:color w:val="auto"/>
        </w:rPr>
      </w:pPr>
      <w:r>
        <w:rPr>
          <w:rFonts w:ascii="Times New Roman" w:cs="Times New Roman" w:eastAsia="Times New Roman" w:hAnsi="Times New Roman"/>
          <w:sz w:val="18"/>
          <w:szCs w:val="18"/>
          <w:color w:val="auto"/>
        </w:rPr>
        <w:t>Since October 17, 2014, the Company has participated in a joint development agreement (JDA) with GLOBALFOUNDRIES Inc. (GLOBALFOUNDRIES), a semiconductor foundry, for the joint development of Spin-transfer Torque MRAM (STT-MRAM), technology to produce a family of discrete and embedded MRAM technologies. The term of the JDA is until the completion, termination, or expiration of the last statement of work entered into pursuant to the JDA. The JDA was extended on December 31, 2019, to include a new phase of support for 12nm MRAM development.</w:t>
      </w:r>
    </w:p>
    <w:p>
      <w:pPr>
        <w:spacing w:after="0" w:line="187" w:lineRule="exact"/>
        <w:rPr>
          <w:sz w:val="20"/>
          <w:szCs w:val="20"/>
          <w:color w:val="auto"/>
        </w:rPr>
      </w:pPr>
    </w:p>
    <w:p>
      <w:pPr>
        <w:ind w:left="40" w:right="179" w:firstLine="401"/>
        <w:spacing w:after="0" w:line="254" w:lineRule="auto"/>
        <w:rPr>
          <w:sz w:val="20"/>
          <w:szCs w:val="20"/>
          <w:color w:val="auto"/>
        </w:rPr>
      </w:pPr>
      <w:r>
        <w:rPr>
          <w:rFonts w:ascii="Times New Roman" w:cs="Times New Roman" w:eastAsia="Times New Roman" w:hAnsi="Times New Roman"/>
          <w:sz w:val="18"/>
          <w:szCs w:val="18"/>
          <w:color w:val="auto"/>
        </w:rPr>
        <w:t>Under the current JDA extension terms, each party licenses its relevant intellectual property to the other party. For certain jointly developed works, the parties have agreed to follow an invention allocation procedure to determine ownership. In addition, GLOBALFOUNDRIES possesses the exclusive right to manufacture the Company’s discrete and embedded STT-MRAM devices developed pursuant to the JDA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GLOBALFOUNDRIES agreed not to license intellectual property developed in connection with the JDA to named competitors of the Company.</w:t>
      </w:r>
    </w:p>
    <w:p>
      <w:pPr>
        <w:spacing w:after="0" w:line="84" w:lineRule="exact"/>
        <w:rPr>
          <w:sz w:val="20"/>
          <w:szCs w:val="20"/>
          <w:color w:val="auto"/>
        </w:rPr>
      </w:pPr>
    </w:p>
    <w:p>
      <w:pPr>
        <w:ind w:left="40" w:right="59" w:firstLine="401"/>
        <w:spacing w:after="0" w:line="266" w:lineRule="auto"/>
        <w:rPr>
          <w:sz w:val="20"/>
          <w:szCs w:val="20"/>
          <w:color w:val="auto"/>
        </w:rPr>
      </w:pPr>
      <w:r>
        <w:rPr>
          <w:rFonts w:ascii="Times New Roman" w:cs="Times New Roman" w:eastAsia="Times New Roman" w:hAnsi="Times New Roman"/>
          <w:sz w:val="18"/>
          <w:szCs w:val="18"/>
          <w:color w:val="auto"/>
        </w:rPr>
        <w:t>If GLOBALFOUNDRIES manufactures, sells, or transfers to customers wafers containing production quantified STT-MRAM devices that utilize certain design information, GLOBALFOUNDRIES will be required to pay the Company a royalty.</w:t>
      </w:r>
    </w:p>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Net Loss Per Common Share</w:t>
      </w:r>
    </w:p>
    <w:p>
      <w:pPr>
        <w:spacing w:after="0" w:line="229" w:lineRule="exact"/>
        <w:rPr>
          <w:sz w:val="20"/>
          <w:szCs w:val="20"/>
          <w:color w:val="auto"/>
        </w:rPr>
      </w:pPr>
    </w:p>
    <w:p>
      <w:pPr>
        <w:jc w:val="both"/>
        <w:ind w:left="40" w:right="59" w:firstLine="441"/>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weighted-average number of shares of common stock outstanding for the period less shares subject to repurchase, without consideration of potentially dilutive securities. Diluted earnings per share is calculated using the treasury stock method by dividing net loss by the total weighted average shares of common stock outstanding in addition to the potential impact of dilutive securities including restricted stock units, warrants, and options. In periods with a net loss, potentially dilutive securities are excluded from the Company’s calculation of earnings per share as their inclusion would have an antidilutive effect.</w:t>
      </w:r>
    </w:p>
    <w:p>
      <w:pPr>
        <w:spacing w:after="0" w:line="187" w:lineRule="exact"/>
        <w:rPr>
          <w:sz w:val="20"/>
          <w:szCs w:val="20"/>
          <w:color w:val="auto"/>
        </w:rPr>
      </w:pPr>
    </w:p>
    <w:p>
      <w:pPr>
        <w:jc w:val="both"/>
        <w:ind w:left="40" w:right="5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basic and diluted net loss per share attributable to common stockholders (in thousands, except share and per share amounts):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Basic and diluted EPS</w:t>
      </w:r>
    </w:p>
    <w:p>
      <w:pPr>
        <w:spacing w:after="0" w:line="232"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40" w:type="dxa"/>
            <w:vAlign w:val="bottom"/>
          </w:tcPr>
          <w:p>
            <w:pPr>
              <w:spacing w:after="0"/>
              <w:rPr>
                <w:sz w:val="20"/>
                <w:szCs w:val="20"/>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vMerge w:val="restart"/>
            <w:shd w:val="clear" w:color="auto" w:fill="CCEEFF"/>
          </w:tcPr>
          <w:p>
            <w:pPr>
              <w:ind w:left="80"/>
              <w:spacing w:after="0" w:line="171" w:lineRule="exact"/>
              <w:rPr>
                <w:sz w:val="20"/>
                <w:szCs w:val="20"/>
                <w:color w:val="auto"/>
              </w:rPr>
            </w:pPr>
            <w:r>
              <w:rPr>
                <w:rFonts w:ascii="Times New Roman" w:cs="Times New Roman" w:eastAsia="Times New Roman" w:hAnsi="Times New Roman"/>
                <w:sz w:val="18"/>
                <w:szCs w:val="18"/>
                <w:color w:val="auto"/>
              </w:rPr>
              <w:t>Net income attributable to common</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920" w:type="dxa"/>
            <w:vAlign w:val="bottom"/>
            <w:vMerge w:val="continue"/>
            <w:shd w:val="clear" w:color="auto" w:fill="CCEEFF"/>
          </w:tcPr>
          <w:p>
            <w:pPr>
              <w:spacing w:after="0"/>
              <w:rPr>
                <w:sz w:val="13"/>
                <w:szCs w:val="13"/>
                <w:color w:val="auto"/>
              </w:rPr>
            </w:pP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40" w:type="dxa"/>
            <w:vAlign w:val="bottom"/>
            <w:shd w:val="clear" w:color="auto" w:fill="CCEEFF"/>
          </w:tcPr>
          <w:p>
            <w:pPr>
              <w:spacing w:after="0"/>
              <w:rPr>
                <w:sz w:val="13"/>
                <w:szCs w:val="13"/>
                <w:color w:val="auto"/>
              </w:rPr>
            </w:pPr>
          </w:p>
        </w:tc>
        <w:tc>
          <w:tcPr>
            <w:tcW w:w="140" w:type="dxa"/>
            <w:vAlign w:val="bottom"/>
            <w:gridSpan w:val="2"/>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stockholders, diluted</w:t>
            </w:r>
          </w:p>
        </w:tc>
        <w:tc>
          <w:tcPr>
            <w:tcW w:w="2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Weighted-average shares of common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stock outstanding, basic</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22,504,957</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21,566,863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22,347,411</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21,409,611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20" w:type="dxa"/>
            <w:vAlign w:val="bottom"/>
            <w:shd w:val="clear" w:color="auto" w:fill="CCEEFF"/>
          </w:tcPr>
          <w:p>
            <w:pPr>
              <w:ind w:left="80"/>
              <w:spacing w:after="0" w:line="177" w:lineRule="exact"/>
              <w:rPr>
                <w:sz w:val="20"/>
                <w:szCs w:val="20"/>
                <w:color w:val="auto"/>
              </w:rPr>
            </w:pPr>
            <w:r>
              <w:rPr>
                <w:rFonts w:ascii="Times New Roman" w:cs="Times New Roman" w:eastAsia="Times New Roman" w:hAnsi="Times New Roman"/>
                <w:sz w:val="18"/>
                <w:szCs w:val="18"/>
                <w:color w:val="auto"/>
              </w:rPr>
              <w:t>Weighted-average shares of common</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22,504,957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21,566,863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22,347,411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21,409,611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 outstanding, diluted</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diluted</w:t>
            </w: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39" w:firstLine="324"/>
        <w:spacing w:after="0" w:line="281" w:lineRule="auto"/>
        <w:rPr>
          <w:sz w:val="20"/>
          <w:szCs w:val="20"/>
          <w:color w:val="auto"/>
        </w:rPr>
      </w:pPr>
      <w:r>
        <w:rPr>
          <w:rFonts w:ascii="Times New Roman" w:cs="Times New Roman" w:eastAsia="Times New Roman" w:hAnsi="Times New Roman"/>
          <w:sz w:val="17"/>
          <w:szCs w:val="17"/>
          <w:color w:val="auto"/>
        </w:rPr>
        <w:t>Potentially dilutive securities representing 1.6 million and 2.1 million stock options and RSUs that were outstanding during the three months ended June 30, 2025, and 2024, respectively, and 1.6 million and 1.7 million stock options and RSUs outstanding during the six months ended June 30, 2025 and 2024, respectively, were excluded from the computation of diluted earnings per common share during these periods as their inclusion would have an antidilutive effect.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40" w:right="3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2024.</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left="40" w:right="7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This discussion contains certain forward-looking statements within the meaning of Section 27A of the Securities Act of 1933, as amended (Securities Act), and Section 21E of the Securities Exchange Act of 1934, as amended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among other things, our industry, business, future plans, strategies, objectives, expectations, intentions and financial performance.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as well as in our other filings with the Securities and Exchange Commission (SEC).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We caution investors that our business and financial performance are subject to substantial risks and uncertainties.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40" w:right="379" w:firstLine="324"/>
        <w:spacing w:after="0" w:line="255" w:lineRule="auto"/>
        <w:rPr>
          <w:sz w:val="20"/>
          <w:szCs w:val="20"/>
          <w:color w:val="auto"/>
        </w:rPr>
      </w:pPr>
      <w:r>
        <w:rPr>
          <w:rFonts w:ascii="Times New Roman" w:cs="Times New Roman" w:eastAsia="Times New Roman" w:hAnsi="Times New Roman"/>
          <w:sz w:val="18"/>
          <w:szCs w:val="18"/>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15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sell our products directly and through our established distribution channels to industry-leading OEMs and ODMs.</w:t>
      </w:r>
    </w:p>
    <w:p>
      <w:pPr>
        <w:spacing w:after="0" w:line="225" w:lineRule="exact"/>
        <w:rPr>
          <w:sz w:val="20"/>
          <w:szCs w:val="20"/>
          <w:color w:val="auto"/>
        </w:rPr>
      </w:pPr>
    </w:p>
    <w:p>
      <w:pPr>
        <w:ind w:left="40" w:right="199" w:firstLine="324"/>
        <w:spacing w:after="0" w:line="258" w:lineRule="auto"/>
        <w:rPr>
          <w:sz w:val="20"/>
          <w:szCs w:val="20"/>
          <w:color w:val="auto"/>
        </w:rPr>
      </w:pPr>
      <w:r>
        <w:rPr>
          <w:rFonts w:ascii="Times New Roman" w:cs="Times New Roman" w:eastAsia="Times New Roman" w:hAnsi="Times New Roman"/>
          <w:sz w:val="18"/>
          <w:szCs w:val="18"/>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left="40" w:right="59" w:firstLine="324"/>
        <w:spacing w:after="0" w:line="261" w:lineRule="auto"/>
        <w:rPr>
          <w:sz w:val="20"/>
          <w:szCs w:val="20"/>
          <w:color w:val="auto"/>
        </w:rPr>
      </w:pPr>
      <w:r>
        <w:rPr>
          <w:rFonts w:ascii="Times New Roman" w:cs="Times New Roman" w:eastAsia="Times New Roman" w:hAnsi="Times New Roman"/>
          <w:sz w:val="18"/>
          <w:szCs w:val="18"/>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net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income, a non-GAAP financial measure, and design wins. We define Adjusted net income as net income adjusted for stock-based compensation expense.</w:t>
      </w:r>
    </w:p>
    <w:p>
      <w:pPr>
        <w:spacing w:after="0" w:line="160"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Adjusted net income. </w:t>
      </w:r>
      <w:r>
        <w:rPr>
          <w:rFonts w:ascii="Times New Roman" w:cs="Times New Roman" w:eastAsia="Times New Roman" w:hAnsi="Times New Roman"/>
          <w:sz w:val="18"/>
          <w:szCs w:val="18"/>
          <w:color w:val="auto"/>
        </w:rPr>
        <w:t>Our management and board of directors use Adjusted net income to assess and evaluate our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and financial trends, inform the annual budgeting process, and guide both short-term and long-term operational and strategic planning. As such, we believe Adjusted net income provides meaningful insight for investors into our financial performance, consistent with how our management team and board view and analyze our results. Adjusted net income is a non-GAAP financial measure and should be considered alongside, but not as a replacement for or superior to, net income as reported in accordance with GAAP. The following table provides a reconciliation of net income, the most directly comparable GAAP measure, to Adjusted net income for the periods presented:</w:t>
      </w:r>
    </w:p>
    <w:p>
      <w:pPr>
        <w:spacing w:after="0" w:line="192"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9"/>
        </w:trPr>
        <w:tc>
          <w:tcPr>
            <w:tcW w:w="3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5"/>
          </w:tcPr>
          <w:p>
            <w:pPr>
              <w:jc w:val="right"/>
              <w:ind w:right="3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 reconciliation:</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r>
      <w:tr>
        <w:trPr>
          <w:trHeight w:val="210"/>
        </w:trPr>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Adjusted Net Income (Loss)</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0"/>
        </w:trPr>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w:t>
      </w:r>
    </w:p>
    <w:p>
      <w:pPr>
        <w:spacing w:after="0" w:line="232"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7"/>
                <w:szCs w:val="17"/>
                <w:color w:val="auto"/>
              </w:rPr>
            </w:pPr>
          </w:p>
        </w:tc>
        <w:tc>
          <w:tcPr>
            <w:tcW w:w="2040" w:type="dxa"/>
            <w:vAlign w:val="bottom"/>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5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w:t>
            </w:r>
          </w:p>
        </w:tc>
        <w:tc>
          <w:tcPr>
            <w:tcW w:w="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licensing, royalty, patent, and other</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4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r>
      <w:tr>
        <w:trPr>
          <w:trHeight w:val="209"/>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left="40" w:right="719" w:firstLine="324"/>
        <w:spacing w:after="0" w:line="282" w:lineRule="auto"/>
        <w:rPr>
          <w:sz w:val="20"/>
          <w:szCs w:val="20"/>
          <w:color w:val="auto"/>
        </w:rPr>
      </w:pPr>
      <w:r>
        <w:rPr>
          <w:rFonts w:ascii="Times New Roman" w:cs="Times New Roman" w:eastAsia="Times New Roman" w:hAnsi="Times New Roman"/>
          <w:sz w:val="18"/>
          <w:szCs w:val="18"/>
          <w:color w:val="auto"/>
        </w:rPr>
        <w:t>We generated 66% and 87% of our revenue from products sold to distributors for the three months ended June 30, 2025 and 2024, respectively.</w:t>
      </w:r>
    </w:p>
    <w:p>
      <w:pPr>
        <w:spacing w:after="0" w:line="162" w:lineRule="exact"/>
        <w:rPr>
          <w:sz w:val="20"/>
          <w:szCs w:val="20"/>
          <w:color w:val="auto"/>
        </w:rPr>
      </w:pPr>
    </w:p>
    <w:p>
      <w:pPr>
        <w:ind w:left="40" w:right="79" w:firstLine="324"/>
        <w:spacing w:after="0" w:line="258" w:lineRule="auto"/>
        <w:rPr>
          <w:sz w:val="20"/>
          <w:szCs w:val="20"/>
          <w:color w:val="auto"/>
        </w:rPr>
      </w:pPr>
      <w:r>
        <w:rPr>
          <w:rFonts w:ascii="Times New Roman" w:cs="Times New Roman" w:eastAsia="Times New Roman" w:hAnsi="Times New Roman"/>
          <w:sz w:val="18"/>
          <w:szCs w:val="18"/>
          <w:color w:val="auto"/>
        </w:rPr>
        <w:t>In addition to selling our products to our distributors, we maintain a direct selling relationship, for strategic purposes, with several key customer accounts. We have organized our sales team and representatives into three primary regions: North America; EMEA; and APAC. We recognize revenue by geography based on the region in which our customer is located and to which our products are sold, and not to where the end products in which they are assembled are shipped. Our revenue by region and by type of revenue for the periods indicated were as follows (in thousands):</w:t>
      </w:r>
    </w:p>
    <w:p>
      <w:pPr>
        <w:spacing w:after="0" w:line="258" w:lineRule="exact"/>
        <w:rPr>
          <w:sz w:val="20"/>
          <w:szCs w:val="20"/>
          <w:color w:val="auto"/>
        </w:rPr>
      </w:pPr>
    </w:p>
    <w:tbl>
      <w:tblPr>
        <w:tblLayout w:type="fixed"/>
        <w:tblInd w:w="8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9"/>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16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5"/>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5"/>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60" w:type="dxa"/>
            <w:vAlign w:val="bottom"/>
          </w:tcPr>
          <w:p>
            <w:pPr>
              <w:spacing w:after="0"/>
              <w:rPr>
                <w:sz w:val="11"/>
                <w:szCs w:val="11"/>
                <w:color w:val="auto"/>
              </w:rPr>
            </w:pPr>
          </w:p>
        </w:tc>
        <w:tc>
          <w:tcPr>
            <w:tcW w:w="8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1,361</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181.7 %</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2,565</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119" w:firstLine="324"/>
        <w:spacing w:after="0" w:line="266" w:lineRule="auto"/>
        <w:rPr>
          <w:sz w:val="20"/>
          <w:szCs w:val="20"/>
          <w:color w:val="auto"/>
        </w:rPr>
      </w:pPr>
      <w:r>
        <w:rPr>
          <w:rFonts w:ascii="Times New Roman" w:cs="Times New Roman" w:eastAsia="Times New Roman" w:hAnsi="Times New Roman"/>
          <w:sz w:val="18"/>
          <w:szCs w:val="18"/>
          <w:color w:val="auto"/>
        </w:rPr>
        <w:t>Total revenue increased by $2.6 million, or 24.1%, from $10.6 million during the three months ended June 30, 2024 to $13.2 million during the three months ended June 30, 2025. The increase was due to an increase in product sales of $1.2 million, and an increase of licensing, royalty, patent, and other revenue of $1.4 million.</w:t>
      </w:r>
    </w:p>
    <w:p>
      <w:pPr>
        <w:spacing w:after="0" w:line="176" w:lineRule="exact"/>
        <w:rPr>
          <w:sz w:val="20"/>
          <w:szCs w:val="20"/>
          <w:color w:val="auto"/>
        </w:rPr>
      </w:pPr>
    </w:p>
    <w:p>
      <w:pPr>
        <w:ind w:left="40" w:right="79" w:firstLine="324"/>
        <w:spacing w:after="0" w:line="254" w:lineRule="auto"/>
        <w:rPr>
          <w:sz w:val="20"/>
          <w:szCs w:val="20"/>
          <w:color w:val="auto"/>
        </w:rPr>
      </w:pPr>
      <w:r>
        <w:rPr>
          <w:rFonts w:ascii="Times New Roman" w:cs="Times New Roman" w:eastAsia="Times New Roman" w:hAnsi="Times New Roman"/>
          <w:sz w:val="18"/>
          <w:szCs w:val="18"/>
          <w:color w:val="auto"/>
        </w:rPr>
        <w:t>Licensing, royalty, patent, and other revenue is a highly variable revenue item characterized by a small number of transactions annually with revenue based on size and terms of each transaction. Licensing, royalty, patent, and other revenue increased by $1.4 million, or 181.7% from $0.7 million during the three months ended June 30, 2024, to $2.1 million during the three months ended June 30, 2025. The increase was primarily due to the progression of our contractual agreements with customers for the development of RAD-Hard products, a new agreement for the development of an AI technology application, partially offset by the conclusion of a contractual arrangement with a customer for the development of reliability models for strategic radiation hardened toggle MRAM. Our best estimate of royalty revenue earned is made throughout the year for royalty contracts with an annual performance period, with an annual adjustment recognized for actual sales in the first quarter of each fiscal year.</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6"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gridSpan w:val="5"/>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44.3 %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1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12529"/>
        </w:rPr>
        <w:t xml:space="preserve">Cost of product sales increased by $0.9 million, or 17.8%, from $5.2 million during the three months ended </w:t>
      </w:r>
      <w:r>
        <w:rPr>
          <w:rFonts w:ascii="Times New Roman" w:cs="Times New Roman" w:eastAsia="Times New Roman" w:hAnsi="Times New Roman"/>
          <w:sz w:val="18"/>
          <w:szCs w:val="18"/>
          <w:color w:val="000000"/>
        </w:rPr>
        <w:t>June</w:t>
      </w:r>
    </w:p>
    <w:p>
      <w:pPr>
        <w:spacing w:after="0" w:line="27" w:lineRule="exact"/>
        <w:rPr>
          <w:sz w:val="20"/>
          <w:szCs w:val="20"/>
          <w:color w:val="auto"/>
        </w:rPr>
      </w:pPr>
    </w:p>
    <w:p>
      <w:pPr>
        <w:ind w:left="40" w:right="79"/>
        <w:spacing w:after="0" w:line="260" w:lineRule="auto"/>
        <w:rPr>
          <w:sz w:val="20"/>
          <w:szCs w:val="20"/>
          <w:color w:val="auto"/>
        </w:rPr>
      </w:pPr>
      <w:r>
        <w:rPr>
          <w:rFonts w:ascii="Times New Roman" w:cs="Times New Roman" w:eastAsia="Times New Roman" w:hAnsi="Times New Roman"/>
          <w:sz w:val="18"/>
          <w:szCs w:val="18"/>
          <w:color w:val="auto"/>
        </w:rPr>
        <w:t>30, 2024</w:t>
      </w:r>
      <w:r>
        <w:rPr>
          <w:rFonts w:ascii="Times New Roman" w:cs="Times New Roman" w:eastAsia="Times New Roman" w:hAnsi="Times New Roman"/>
          <w:sz w:val="18"/>
          <w:szCs w:val="18"/>
          <w:color w:val="212529"/>
        </w:rPr>
        <w:t>, to $6.2 million during the three months ended</w:t>
      </w:r>
      <w:r>
        <w:rPr>
          <w:rFonts w:ascii="Times New Roman" w:cs="Times New Roman" w:eastAsia="Times New Roman" w:hAnsi="Times New Roman"/>
          <w:sz w:val="18"/>
          <w:szCs w:val="18"/>
          <w:color w:val="auto"/>
        </w:rPr>
        <w:t xml:space="preserve"> June 30, 2025</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Cost of product sales relate primarily to costs of our toggle and STT products.</w:t>
      </w:r>
    </w:p>
    <w:p>
      <w:pPr>
        <w:spacing w:after="0" w:line="181" w:lineRule="exact"/>
        <w:rPr>
          <w:sz w:val="20"/>
          <w:szCs w:val="20"/>
          <w:color w:val="auto"/>
        </w:rPr>
      </w:pPr>
    </w:p>
    <w:p>
      <w:pPr>
        <w:ind w:left="40" w:right="279" w:firstLine="324"/>
        <w:spacing w:after="0" w:line="261" w:lineRule="auto"/>
        <w:rPr>
          <w:sz w:val="20"/>
          <w:szCs w:val="20"/>
          <w:color w:val="auto"/>
        </w:rPr>
      </w:pPr>
      <w:r>
        <w:rPr>
          <w:rFonts w:ascii="Times New Roman" w:cs="Times New Roman" w:eastAsia="Times New Roman" w:hAnsi="Times New Roman"/>
          <w:sz w:val="18"/>
          <w:szCs w:val="18"/>
          <w:color w:val="auto"/>
        </w:rPr>
        <w:t>Cost of licensing, royalty, patent, and other revenue slightly increased by $0.1 million, or 44.3% from $0.2 million during the three months ended June 30, 2024, to $0.3 million during the three months ended June 30, 2025. The increase was primarily due to an increase in costs related to labor and materials associated with the progression of our RAD-Hard and AI technology application projects.</w:t>
      </w:r>
    </w:p>
    <w:p>
      <w:pPr>
        <w:spacing w:after="0" w:line="180" w:lineRule="exact"/>
        <w:rPr>
          <w:sz w:val="20"/>
          <w:szCs w:val="20"/>
          <w:color w:val="auto"/>
        </w:rPr>
      </w:pPr>
    </w:p>
    <w:p>
      <w:pPr>
        <w:jc w:val="both"/>
        <w:ind w:left="40" w:right="219" w:firstLine="324"/>
        <w:spacing w:after="0" w:line="266" w:lineRule="auto"/>
        <w:rPr>
          <w:sz w:val="20"/>
          <w:szCs w:val="20"/>
          <w:color w:val="auto"/>
        </w:rPr>
      </w:pPr>
      <w:r>
        <w:rPr>
          <w:rFonts w:ascii="Times New Roman" w:cs="Times New Roman" w:eastAsia="Times New Roman" w:hAnsi="Times New Roman"/>
          <w:sz w:val="18"/>
          <w:szCs w:val="18"/>
          <w:color w:val="auto"/>
        </w:rPr>
        <w:t>Gross margin increased from 49.0% during the three months ended June 30, 2024, to 51.3% during the three months ended June 30, 2025. Gross margin increased as a result of a shift in product mix, an increase in licensing, royalty, patent, and other revenue revenue, offset by a decrease in FAB loadings.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left="40" w:right="239"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components of each of our operating expense categories.</w:t>
      </w:r>
    </w:p>
    <w:p>
      <w:pPr>
        <w:spacing w:after="0" w:line="238"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8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gridSpan w:val="6"/>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$ 3,580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$ 3,457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as a % of revenue</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ind w:left="40" w:right="2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212529"/>
        </w:rPr>
        <w:t>Research and development expenses increased by $0.1 million, or 3.6%,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 xml:space="preserve">$3.5 million during the three months ended </w:t>
      </w:r>
      <w:r>
        <w:rPr>
          <w:rFonts w:ascii="Times New Roman" w:cs="Times New Roman" w:eastAsia="Times New Roman" w:hAnsi="Times New Roman"/>
          <w:sz w:val="18"/>
          <w:szCs w:val="18"/>
          <w:color w:val="000000"/>
        </w:rPr>
        <w:t>June 30, 2024</w:t>
      </w:r>
      <w:r>
        <w:rPr>
          <w:rFonts w:ascii="Times New Roman" w:cs="Times New Roman" w:eastAsia="Times New Roman" w:hAnsi="Times New Roman"/>
          <w:sz w:val="18"/>
          <w:szCs w:val="18"/>
          <w:color w:val="212529"/>
        </w:rPr>
        <w:t xml:space="preserve">, to $3.6 million during the three months ended June 30, 2025. </w:t>
      </w:r>
      <w:r>
        <w:rPr>
          <w:rFonts w:ascii="Times New Roman" w:cs="Times New Roman" w:eastAsia="Times New Roman" w:hAnsi="Times New Roman"/>
          <w:sz w:val="18"/>
          <w:szCs w:val="18"/>
          <w:color w:val="000000"/>
        </w:rPr>
        <w:t>Research and development expenses relate primarily to the development and enhancement of our new Extended Serial Peripheral Interface (xSPI) family of STT-MRAM products, which offer high-performance, multiple I/O, SPI-</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compatibility and feature a high-speed, low pin count SPI compatible interface, and increases in share-based compensation.</w:t>
      </w:r>
    </w:p>
    <w:p>
      <w:pPr>
        <w:spacing w:after="0" w:line="200" w:lineRule="exact"/>
        <w:rPr>
          <w:sz w:val="20"/>
          <w:szCs w:val="20"/>
          <w:color w:val="auto"/>
        </w:rPr>
      </w:pPr>
    </w:p>
    <w:p>
      <w:pPr>
        <w:spacing w:after="0" w:line="303"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34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gridSpan w:val="6"/>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$ 3,642</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$ 3,254</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as a % of revenue</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ind w:left="40" w:right="13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$0.4 million, or 11.9%,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$3.3 million during the three months ended June 30, 2024, to $3.6 million during the three months ended June 30, 2025. The increase is primarily due to one-time professional services.</w:t>
      </w:r>
    </w:p>
    <w:p>
      <w:pPr>
        <w:spacing w:after="0" w:line="237"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7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72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40" w:type="dxa"/>
            <w:vAlign w:val="bottom"/>
            <w:gridSpan w:val="4"/>
          </w:tcPr>
          <w:p>
            <w:pPr>
              <w:jc w:val="right"/>
              <w:ind w:right="102"/>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$ 1,507</w:t>
            </w: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$ 1,324</w:t>
            </w: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183</w:t>
            </w:r>
          </w:p>
        </w:tc>
        <w:tc>
          <w:tcPr>
            <w:tcW w:w="1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as a % of revenue</w:t>
            </w: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11 %</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12 %</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0" w:right="2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increased by $0.2 million, or 13.8%, from $1.3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June 30, 2024, to $1.5 million during the three months ended June 30, 2025. Sales and marketing expenses relate primarily to compensation costs and contract labor.</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8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860" w:type="dxa"/>
            <w:vAlign w:val="bottom"/>
            <w:tcBorders>
              <w:bottom w:val="single" w:sz="8" w:color="auto"/>
            </w:tcBorders>
            <w:gridSpan w:val="3"/>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5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54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4"/>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423</w:t>
            </w:r>
          </w:p>
        </w:tc>
        <w:tc>
          <w:tcPr>
            <w:tcW w:w="10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919" w:firstLine="324"/>
        <w:spacing w:after="0" w:line="282" w:lineRule="auto"/>
        <w:rPr>
          <w:sz w:val="20"/>
          <w:szCs w:val="20"/>
          <w:color w:val="auto"/>
        </w:rPr>
      </w:pPr>
      <w:r>
        <w:rPr>
          <w:rFonts w:ascii="Times New Roman" w:cs="Times New Roman" w:eastAsia="Times New Roman" w:hAnsi="Times New Roman"/>
          <w:sz w:val="18"/>
          <w:szCs w:val="18"/>
          <w:color w:val="auto"/>
        </w:rPr>
        <w:t>Interest income remained consistent at $0.4 million during the three months ended June 30, 2025 and 2024, respectively.</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34"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7"/>
                <w:szCs w:val="17"/>
                <w:color w:val="auto"/>
              </w:rPr>
            </w:pPr>
          </w:p>
        </w:tc>
        <w:tc>
          <w:tcPr>
            <w:tcW w:w="16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5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40" w:type="dxa"/>
            <w:vAlign w:val="bottom"/>
            <w:gridSpan w:val="2"/>
            <w:vMerge w:val="continue"/>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$ 872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399" w:firstLine="324"/>
        <w:spacing w:after="0" w:line="261" w:lineRule="auto"/>
        <w:rPr>
          <w:sz w:val="20"/>
          <w:szCs w:val="20"/>
          <w:color w:val="auto"/>
        </w:rPr>
      </w:pPr>
      <w:r>
        <w:rPr>
          <w:rFonts w:ascii="Times New Roman" w:cs="Times New Roman" w:eastAsia="Times New Roman" w:hAnsi="Times New Roman"/>
          <w:sz w:val="18"/>
          <w:szCs w:val="18"/>
          <w:color w:val="auto"/>
        </w:rPr>
        <w:t>Other income (expense), net increased by $0.9 million, or 2906.7%, from $30,000 other expense during the three months ended June 30, 2024, to $0.8 million other income during the three months ended June 30, 2025. Other income relates primarily to other income recognized from a strategic award we received to develop a long-term plan to provide manufacturing services for aerospace and defense segments.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38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96"/>
        </w:trPr>
        <w:tc>
          <w:tcPr>
            <w:tcW w:w="3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r>
      <w:tr>
        <w:trPr>
          <w:trHeight w:val="196"/>
        </w:trPr>
        <w:tc>
          <w:tcPr>
            <w:tcW w:w="3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22,117</w:t>
            </w:r>
          </w:p>
        </w:tc>
        <w:tc>
          <w:tcPr>
            <w:tcW w:w="52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16"/>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CEEFF"/>
            </w:tcBorders>
          </w:tcPr>
          <w:p>
            <w:pPr>
              <w:spacing w:after="0"/>
              <w:rPr>
                <w:sz w:val="18"/>
                <w:szCs w:val="18"/>
                <w:color w:val="auto"/>
              </w:rPr>
            </w:pPr>
          </w:p>
        </w:tc>
      </w:tr>
      <w:tr>
        <w:trPr>
          <w:trHeight w:val="209"/>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r>
      <w:tr>
        <w:trPr>
          <w:trHeight w:val="209"/>
        </w:trPr>
        <w:tc>
          <w:tcPr>
            <w:tcW w:w="3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12,818</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CCEEFF"/>
            </w:tcBorders>
          </w:tcPr>
          <w:p>
            <w:pPr>
              <w:spacing w:after="0"/>
              <w:rPr>
                <w:sz w:val="18"/>
                <w:szCs w:val="18"/>
                <w:color w:val="auto"/>
              </w:rPr>
            </w:pPr>
          </w:p>
        </w:tc>
      </w:tr>
      <w:tr>
        <w:trPr>
          <w:trHeight w:val="210"/>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r>
      <w:tr>
        <w:trPr>
          <w:trHeight w:val="216"/>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r>
      <w:tr>
        <w:trPr>
          <w:trHeight w:val="216"/>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r>
      <w:tr>
        <w:trPr>
          <w:trHeight w:val="210"/>
        </w:trPr>
        <w:tc>
          <w:tcPr>
            <w:tcW w:w="3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Borders>
              <w:bottom w:val="single" w:sz="8" w:color="CCEEFF"/>
            </w:tcBorders>
          </w:tcPr>
          <w:p>
            <w:pPr>
              <w:spacing w:after="0"/>
              <w:rPr>
                <w:sz w:val="18"/>
                <w:szCs w:val="18"/>
                <w:color w:val="auto"/>
              </w:rPr>
            </w:pPr>
          </w:p>
        </w:tc>
      </w:tr>
      <w:tr>
        <w:trPr>
          <w:trHeight w:val="20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40" w:right="199" w:firstLine="324"/>
        <w:spacing w:after="0" w:line="282" w:lineRule="auto"/>
        <w:rPr>
          <w:sz w:val="20"/>
          <w:szCs w:val="20"/>
          <w:color w:val="auto"/>
        </w:rPr>
      </w:pPr>
      <w:r>
        <w:rPr>
          <w:rFonts w:ascii="Times New Roman" w:cs="Times New Roman" w:eastAsia="Times New Roman" w:hAnsi="Times New Roman"/>
          <w:sz w:val="18"/>
          <w:szCs w:val="18"/>
          <w:color w:val="auto"/>
        </w:rPr>
        <w:t>We generated 63% and 78% of our revenue from products sold to distributors for the six months ended June 30, 2025 and 2024, respectively.</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revenue by region and by type of revenue for the periods indicated were as follows (in thousands).</w:t>
      </w:r>
    </w:p>
    <w:p>
      <w:pPr>
        <w:spacing w:after="0" w:line="300"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5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r>
      <w:tr>
        <w:trPr>
          <w:trHeight w:val="210"/>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26,339</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25,066</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4"/>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60" w:type="dxa"/>
            <w:vAlign w:val="bottom"/>
          </w:tcPr>
          <w:p>
            <w:pPr>
              <w:spacing w:after="0"/>
              <w:rPr>
                <w:sz w:val="11"/>
                <w:szCs w:val="11"/>
                <w:color w:val="auto"/>
              </w:rPr>
            </w:pPr>
          </w:p>
        </w:tc>
        <w:tc>
          <w:tcPr>
            <w:tcW w:w="8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20,747</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40" w:right="319" w:firstLine="324"/>
        <w:spacing w:after="0" w:line="266" w:lineRule="auto"/>
        <w:rPr>
          <w:sz w:val="20"/>
          <w:szCs w:val="20"/>
          <w:color w:val="auto"/>
        </w:rPr>
      </w:pPr>
      <w:r>
        <w:rPr>
          <w:rFonts w:ascii="Times New Roman" w:cs="Times New Roman" w:eastAsia="Times New Roman" w:hAnsi="Times New Roman"/>
          <w:sz w:val="18"/>
          <w:szCs w:val="18"/>
          <w:color w:val="auto"/>
        </w:rPr>
        <w:t>Total revenue increased by $1.3 million, or 5.1%, from $25.1 million during the six months ended June 30, 2024 to $26.3 million during the six months ended June 30, 2025. The increase was primarily due to an increase in product sales revenue of $1.4 million.</w:t>
      </w:r>
    </w:p>
    <w:p>
      <w:pPr>
        <w:spacing w:after="0" w:line="176" w:lineRule="exact"/>
        <w:rPr>
          <w:sz w:val="20"/>
          <w:szCs w:val="20"/>
          <w:color w:val="auto"/>
        </w:rPr>
      </w:pPr>
    </w:p>
    <w:p>
      <w:pPr>
        <w:ind w:left="40" w:right="79" w:firstLine="369"/>
        <w:spacing w:after="0" w:line="266" w:lineRule="auto"/>
        <w:rPr>
          <w:sz w:val="20"/>
          <w:szCs w:val="20"/>
          <w:color w:val="auto"/>
        </w:rPr>
      </w:pPr>
      <w:r>
        <w:rPr>
          <w:rFonts w:ascii="Times New Roman" w:cs="Times New Roman" w:eastAsia="Times New Roman" w:hAnsi="Times New Roman"/>
          <w:sz w:val="18"/>
          <w:szCs w:val="18"/>
          <w:color w:val="auto"/>
        </w:rPr>
        <w:t>Licensing, royalty, patent, and other revenue decreased by $0.1 million, or 2.2% from $4.3 million during the six months ended June 30, 2024, to $4.2 million during the six months ended June 30, 2025. The decrease was primarily due to the conclusion of a contractual arrangement with a customer for the development of reliability models for strategic</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59"/>
        <w:spacing w:after="0" w:line="282" w:lineRule="auto"/>
        <w:rPr>
          <w:sz w:val="20"/>
          <w:szCs w:val="20"/>
          <w:color w:val="auto"/>
        </w:rPr>
      </w:pPr>
      <w:r>
        <w:rPr>
          <w:rFonts w:ascii="Times New Roman" w:cs="Times New Roman" w:eastAsia="Times New Roman" w:hAnsi="Times New Roman"/>
          <w:sz w:val="18"/>
          <w:szCs w:val="18"/>
          <w:color w:val="auto"/>
        </w:rPr>
        <w:t>radiation hardened toggle MRAM, partially offset by the progression of our contractual agreements with customers for the development of RAD-Hard products a new agreement for the development of an AI technology application.</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4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94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7"/>
              </w:rPr>
              <w:t>(Dollars in</w:t>
            </w:r>
          </w:p>
        </w:tc>
        <w:tc>
          <w:tcPr>
            <w:tcW w:w="140" w:type="dxa"/>
            <w:vAlign w:val="bottom"/>
          </w:tcPr>
          <w:p>
            <w:pPr>
              <w:spacing w:after="0"/>
              <w:rPr>
                <w:sz w:val="11"/>
                <w:szCs w:val="11"/>
                <w:color w:val="auto"/>
              </w:rPr>
            </w:pPr>
          </w:p>
        </w:tc>
        <w:tc>
          <w:tcPr>
            <w:tcW w:w="64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$ 12,195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$ 11,238</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37.8 %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$ 12,818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$ 11,690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4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160" w:type="dxa"/>
            <w:vAlign w:val="bottom"/>
            <w:gridSpan w:val="2"/>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12529"/>
        </w:rPr>
        <w:t xml:space="preserve">Cost of product sales increased by $1.0 million, or 8.5%, from $11.2 million during the six months ended </w:t>
      </w:r>
      <w:r>
        <w:rPr>
          <w:rFonts w:ascii="Times New Roman" w:cs="Times New Roman" w:eastAsia="Times New Roman" w:hAnsi="Times New Roman"/>
          <w:sz w:val="18"/>
          <w:szCs w:val="18"/>
          <w:color w:val="000000"/>
        </w:rPr>
        <w:t>June</w:t>
      </w:r>
    </w:p>
    <w:p>
      <w:pPr>
        <w:spacing w:after="0" w:line="27" w:lineRule="exact"/>
        <w:rPr>
          <w:sz w:val="20"/>
          <w:szCs w:val="20"/>
          <w:color w:val="auto"/>
        </w:rPr>
      </w:pPr>
    </w:p>
    <w:p>
      <w:pPr>
        <w:ind w:left="40" w:right="139"/>
        <w:spacing w:after="0" w:line="260" w:lineRule="auto"/>
        <w:rPr>
          <w:sz w:val="20"/>
          <w:szCs w:val="20"/>
          <w:color w:val="auto"/>
        </w:rPr>
      </w:pPr>
      <w:r>
        <w:rPr>
          <w:rFonts w:ascii="Times New Roman" w:cs="Times New Roman" w:eastAsia="Times New Roman" w:hAnsi="Times New Roman"/>
          <w:sz w:val="18"/>
          <w:szCs w:val="18"/>
          <w:color w:val="auto"/>
        </w:rPr>
        <w:t>30, 2024</w:t>
      </w:r>
      <w:r>
        <w:rPr>
          <w:rFonts w:ascii="Times New Roman" w:cs="Times New Roman" w:eastAsia="Times New Roman" w:hAnsi="Times New Roman"/>
          <w:sz w:val="18"/>
          <w:szCs w:val="18"/>
          <w:color w:val="212529"/>
        </w:rPr>
        <w:t>, to $12.2 million during the six months ended</w:t>
      </w:r>
      <w:r>
        <w:rPr>
          <w:rFonts w:ascii="Times New Roman" w:cs="Times New Roman" w:eastAsia="Times New Roman" w:hAnsi="Times New Roman"/>
          <w:sz w:val="18"/>
          <w:szCs w:val="18"/>
          <w:color w:val="auto"/>
        </w:rPr>
        <w:t xml:space="preserve"> June 30, 2025</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Cost of product sales relate primarily to costs of our toggle and STT products.</w:t>
      </w:r>
    </w:p>
    <w:p>
      <w:pPr>
        <w:spacing w:after="0" w:line="181" w:lineRule="exact"/>
        <w:rPr>
          <w:sz w:val="20"/>
          <w:szCs w:val="20"/>
          <w:color w:val="auto"/>
        </w:rPr>
      </w:pPr>
    </w:p>
    <w:p>
      <w:pPr>
        <w:ind w:left="40" w:right="79" w:firstLine="324"/>
        <w:spacing w:after="0" w:line="261" w:lineRule="auto"/>
        <w:rPr>
          <w:sz w:val="20"/>
          <w:szCs w:val="20"/>
          <w:color w:val="auto"/>
        </w:rPr>
      </w:pPr>
      <w:r>
        <w:rPr>
          <w:rFonts w:ascii="Times New Roman" w:cs="Times New Roman" w:eastAsia="Times New Roman" w:hAnsi="Times New Roman"/>
          <w:sz w:val="18"/>
          <w:szCs w:val="18"/>
          <w:color w:val="auto"/>
        </w:rPr>
        <w:t>Cost of licensing, royalty, patent, and other revenue slightly increased by $0.2 million, or 37.8% from $0.5 million during the six months ended June 30, 2024, to $0.6 million during the six months ended June 30, 2025. The increase was primarily due to an increase in costs related to labor and materials associated with the progression of our RAD-Hard and AI technology application projects.</w:t>
      </w:r>
    </w:p>
    <w:p>
      <w:pPr>
        <w:spacing w:after="0" w:line="180" w:lineRule="exact"/>
        <w:rPr>
          <w:sz w:val="20"/>
          <w:szCs w:val="20"/>
          <w:color w:val="auto"/>
        </w:rPr>
      </w:pPr>
    </w:p>
    <w:p>
      <w:pPr>
        <w:ind w:left="40" w:right="59" w:firstLine="324"/>
        <w:spacing w:after="0" w:line="282" w:lineRule="auto"/>
        <w:rPr>
          <w:sz w:val="20"/>
          <w:szCs w:val="20"/>
          <w:color w:val="auto"/>
        </w:rPr>
      </w:pPr>
      <w:r>
        <w:rPr>
          <w:rFonts w:ascii="Times New Roman" w:cs="Times New Roman" w:eastAsia="Times New Roman" w:hAnsi="Times New Roman"/>
          <w:sz w:val="18"/>
          <w:szCs w:val="18"/>
          <w:color w:val="auto"/>
        </w:rPr>
        <w:t>Gross margin decreased from 53.4% during the six months ended June 30, 2024, to 51.3% during the six months ended June 30, 2025. Gross margin decreased as a result of a decrease in FAB loadings, and a decrease in other revenue.</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left="40" w:right="239"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components of each of our operating expense categories.</w:t>
      </w:r>
    </w:p>
    <w:p>
      <w:pPr>
        <w:spacing w:after="0" w:line="170"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3"/>
                <w:szCs w:val="13"/>
                <w:color w:val="auto"/>
              </w:rPr>
            </w:pPr>
          </w:p>
        </w:tc>
        <w:tc>
          <w:tcPr>
            <w:tcW w:w="8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gridSpan w:val="6"/>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$ 6,936</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$ 6,875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as a % of revenue</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ind w:left="40" w:right="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212529"/>
        </w:rPr>
        <w:t>Research and development expenses increased by $0.1 million, or 0.9%,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 xml:space="preserve">$6.9 million during the six months ended </w:t>
      </w:r>
      <w:r>
        <w:rPr>
          <w:rFonts w:ascii="Times New Roman" w:cs="Times New Roman" w:eastAsia="Times New Roman" w:hAnsi="Times New Roman"/>
          <w:sz w:val="18"/>
          <w:szCs w:val="18"/>
          <w:color w:val="000000"/>
        </w:rPr>
        <w:t>June 30, 2024</w:t>
      </w:r>
      <w:r>
        <w:rPr>
          <w:rFonts w:ascii="Times New Roman" w:cs="Times New Roman" w:eastAsia="Times New Roman" w:hAnsi="Times New Roman"/>
          <w:sz w:val="18"/>
          <w:szCs w:val="18"/>
          <w:color w:val="212529"/>
        </w:rPr>
        <w:t xml:space="preserve">, to $6.9 million during the six months ended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Research and development expenses relate primarily to the development and enhancement of our new Extended Serial Peripheral Interface (xSPI) family of STT-MRAM products, which offer high-performance, multiple I/O, SPI-compatibility and feature a high-speed, low pin count SPI compatible interface.</w:t>
      </w:r>
    </w:p>
    <w:p>
      <w:pPr>
        <w:spacing w:after="0" w:line="180"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3"/>
                <w:szCs w:val="13"/>
                <w:color w:val="auto"/>
              </w:rPr>
            </w:pPr>
          </w:p>
        </w:tc>
        <w:tc>
          <w:tcPr>
            <w:tcW w:w="8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00" w:type="dxa"/>
            <w:vAlign w:val="bottom"/>
            <w:gridSpan w:val="6"/>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$ 7,480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$ 7,290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as a % of revenue</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40" w:right="2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$0.2 million, or 2.6%,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$7.3 million during the six months ended June 30, 2024, to $7.5 million during the six months ended June 30, 2025. The increase is primarily due to one-time professional services.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7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70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20" w:type="dxa"/>
            <w:vAlign w:val="bottom"/>
            <w:gridSpan w:val="5"/>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$ 2,998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$ 2,630</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$ 368</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as a % of revenue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ind w:left="40" w:right="2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increased by $0.4 million, or 14.0%, from $2.6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six months ended June 30, 2024, to $3.0 million during the six months ended June 30, 2025. Sales and marketing expenses relate primarily to compensation costs and contract labor.</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84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840" w:type="dxa"/>
            <w:vAlign w:val="bottom"/>
            <w:tcBorders>
              <w:bottom w:val="single" w:sz="8" w:color="auto"/>
            </w:tcBorders>
            <w:gridSpan w:val="3"/>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54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862</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income remained consistent at $0.9 million during the six months ended June 30, 2025 and 2024, respectively.</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2"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8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w w:val="78"/>
              </w:rPr>
              <w:t>(Dollars</w:t>
            </w:r>
          </w:p>
        </w:tc>
        <w:tc>
          <w:tcPr>
            <w:tcW w:w="14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(71)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$ 1,301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Other income (expense), net increased by $1.3 million, or 1,832.4%, from $0.1 million other expense during the six months ended June 30, 2024, to $1.2 million other income during the six months ended June 30, 2025. </w:t>
      </w:r>
      <w:r>
        <w:rPr>
          <w:rFonts w:ascii="Times New Roman" w:cs="Times New Roman" w:eastAsia="Times New Roman" w:hAnsi="Times New Roman"/>
          <w:sz w:val="18"/>
          <w:szCs w:val="18"/>
          <w:color w:val="212529"/>
        </w:rPr>
        <w:t>Other income relates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primarily to income recognized from a strategic award we received to develop a long-term plan to provide manufacturing services for aerospace and defense industries.</w:t>
      </w:r>
    </w:p>
    <w:p>
      <w:pPr>
        <w:spacing w:after="0" w:line="180" w:lineRule="exact"/>
        <w:rPr>
          <w:sz w:val="20"/>
          <w:szCs w:val="20"/>
          <w:color w:val="auto"/>
        </w:rPr>
      </w:pPr>
    </w:p>
    <w:p>
      <w:pPr>
        <w:ind w:left="40" w:right="139" w:firstLine="324"/>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June 30, 2025, we had $45.0 million of cash and cash equivalents, compared to $42.1 million as of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31, 2024. We believe our cash and cash equivalents are sufficient to meet our anticipated capital requirements in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next 12 months. Our future capital requirements will depend on many factors, including, among other things, our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growth rate, the timing and extent of our spending to support research and development activities, the timing and cost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establishing additional sales and marketing capabilities, and the introduction of new products.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 Ended June 30,</w:t>
            </w:r>
          </w:p>
        </w:tc>
      </w:tr>
      <w:tr>
        <w:trPr>
          <w:trHeight w:val="142"/>
        </w:trPr>
        <w:tc>
          <w:tcPr>
            <w:tcW w:w="5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r>
      <w:tr>
        <w:trPr>
          <w:trHeight w:val="129"/>
        </w:trPr>
        <w:tc>
          <w:tcPr>
            <w:tcW w:w="5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gridSpan w:val="5"/>
          </w:tcPr>
          <w:p>
            <w:pPr>
              <w:jc w:val="right"/>
              <w:ind w:right="4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2025, cash provided by operating activities was $6.5 million, which consisted of net loss of $1.8 million, non-cash charges of $4.7 million and changes of net operating assets and liabilities of $3.6 million. The non-cash charges consisted of stock-based compensation of $3.0 million and depreciation and amortization of $1.7 million. The change in our net operating assets and liabilities was primarily due to a decrease in accounts receivable of $4.4 million due to a one-time distributor transition, which provided improved payment terms, an increase in accounts payable of $0.8 million, an increase in contract obligation of $0.7 million, a decrease in prepaid and other current assets of $0.2 million, offset by an increase in inventory of $2.2 million and a decrease in accrued liabilities of $0.2 million.</w:t>
      </w:r>
    </w:p>
    <w:p>
      <w:pPr>
        <w:spacing w:after="0" w:line="189"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2024, cash provided by operating activities was $0.4 million, which consisted of net loss of $2.7 million, non-cash charges of $4.4 million and changes of net operating assets and liabilities of $1.2 million. The non-cash charges consisted of stock-based compensation of $3.6 million and depreciation and amortization of $0.8 million. The change in our net operating assets and liabilities was primarily due to a decrease in accounts receivable of $1.4 million due to timing of cash receipts for outstanding balances, a decrease in prepaid and other current assets of $0.5 million, and a decrease in inventory of $0.4 million offset by a decrease in accounts payable of $0.6 million, a decrease in accrued liabilities of $2.6 million and a decrease in deferred revenue of $0.3 million.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40" w:right="339"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six months ended June 30, 2025 was $3.9 million due to $2.9 million of purchases of manufacturing equipment and $1.0 million in purchases of intangible assets.</w:t>
      </w:r>
    </w:p>
    <w:p>
      <w:pPr>
        <w:spacing w:after="0" w:line="162" w:lineRule="exact"/>
        <w:rPr>
          <w:sz w:val="20"/>
          <w:szCs w:val="20"/>
          <w:color w:val="auto"/>
        </w:rPr>
      </w:pPr>
    </w:p>
    <w:p>
      <w:pPr>
        <w:ind w:left="40" w:right="219"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six months ended June 30, 2024 was $1.2 million, reflecting purchases of manufacturing equipment.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left="40" w:right="339" w:firstLine="324"/>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during the six months ended June 30, 2025 was $0.3 million, primarily due to proceeds from the exercise of employee stock options and purchase of shares under our employee stock purchase plan offset by a nominal amount in payments on finance leases.</w:t>
      </w:r>
    </w:p>
    <w:p>
      <w:pPr>
        <w:spacing w:after="0" w:line="176" w:lineRule="exact"/>
        <w:rPr>
          <w:sz w:val="20"/>
          <w:szCs w:val="20"/>
          <w:color w:val="auto"/>
        </w:rPr>
      </w:pPr>
    </w:p>
    <w:p>
      <w:pPr>
        <w:ind w:left="40" w:right="439" w:firstLine="324"/>
        <w:spacing w:after="0" w:line="312" w:lineRule="auto"/>
        <w:rPr>
          <w:sz w:val="20"/>
          <w:szCs w:val="20"/>
          <w:color w:val="auto"/>
        </w:rPr>
      </w:pPr>
      <w:r>
        <w:rPr>
          <w:rFonts w:ascii="Times New Roman" w:cs="Times New Roman" w:eastAsia="Times New Roman" w:hAnsi="Times New Roman"/>
          <w:sz w:val="17"/>
          <w:szCs w:val="17"/>
          <w:color w:val="auto"/>
        </w:rPr>
        <w:t>Cash provided by financing activities during the six months ended June 30, 2024 was $0.6 million, consisting of proceeds from the exercise of employee stock options and purchase of shares under our employee stock purchase plan.</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229"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Our condensed financial statements have been prepared in accordance with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critical accounting policies and estimates described in the Annual Report on Form 10-K for the year ended December 31, 2024, filed with the SEC on February 27, 2025, that have had a material impact on our condensed financial statements and related notes.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left="40" w:right="119" w:firstLine="324"/>
        <w:spacing w:after="0" w:line="289" w:lineRule="auto"/>
        <w:rPr>
          <w:sz w:val="20"/>
          <w:szCs w:val="20"/>
          <w:color w:val="auto"/>
        </w:rPr>
      </w:pPr>
      <w:r>
        <w:rPr>
          <w:rFonts w:ascii="Times New Roman" w:cs="Times New Roman" w:eastAsia="Times New Roman" w:hAnsi="Times New Roman"/>
          <w:sz w:val="17"/>
          <w:szCs w:val="17"/>
          <w:color w:val="auto"/>
        </w:rPr>
        <w:t>Our management, including our Chief Executive Officer (CEO) and Chief Financial Officer (CFO), evaluated the effectiveness of the design and operation of our disclosure controls and procedures (as defined in Rules 13a-15(e) and 15d-15(e) under the Exchange Act), as of June 30, 2025, the end of the period covered by this Quarterly Report on Form 10-Q.</w:t>
      </w:r>
    </w:p>
    <w:p>
      <w:pPr>
        <w:spacing w:after="0" w:line="158" w:lineRule="exact"/>
        <w:rPr>
          <w:sz w:val="20"/>
          <w:szCs w:val="20"/>
          <w:color w:val="auto"/>
        </w:rPr>
      </w:pPr>
    </w:p>
    <w:p>
      <w:pPr>
        <w:ind w:left="40" w:right="299" w:firstLine="324"/>
        <w:spacing w:after="0" w:line="282" w:lineRule="auto"/>
        <w:rPr>
          <w:sz w:val="20"/>
          <w:szCs w:val="20"/>
          <w:color w:val="auto"/>
        </w:rPr>
      </w:pPr>
      <w:r>
        <w:rPr>
          <w:rFonts w:ascii="Times New Roman" w:cs="Times New Roman" w:eastAsia="Times New Roman" w:hAnsi="Times New Roman"/>
          <w:sz w:val="18"/>
          <w:szCs w:val="18"/>
          <w:color w:val="auto"/>
        </w:rPr>
        <w:t>Based on this evaluation, our CEO and CFO concluded that our disclosure controls and procedures were effective at the reasonable assurance level as of June 30, 2025.</w:t>
      </w:r>
    </w:p>
    <w:p>
      <w:pPr>
        <w:spacing w:after="0" w:line="162" w:lineRule="exact"/>
        <w:rPr>
          <w:sz w:val="20"/>
          <w:szCs w:val="20"/>
          <w:color w:val="auto"/>
        </w:rPr>
      </w:pPr>
    </w:p>
    <w:p>
      <w:pPr>
        <w:ind w:left="40" w:right="179" w:firstLine="401"/>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three and six months ended June 30, 2025 that materially affected, or are reasonably likely to materially affect, our internal control over financial reporting.</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227" w:lineRule="exact"/>
        <w:rPr>
          <w:sz w:val="20"/>
          <w:szCs w:val="20"/>
          <w:color w:val="auto"/>
        </w:rPr>
      </w:pPr>
    </w:p>
    <w:p>
      <w:pPr>
        <w:ind w:left="40" w:right="59" w:firstLine="401"/>
        <w:spacing w:after="0" w:line="254"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99" w:firstLine="324"/>
        <w:spacing w:after="0" w:line="282" w:lineRule="auto"/>
        <w:rPr>
          <w:sz w:val="20"/>
          <w:szCs w:val="20"/>
          <w:color w:val="auto"/>
        </w:rPr>
      </w:pPr>
      <w:r>
        <w:rPr>
          <w:rFonts w:ascii="Times New Roman" w:cs="Times New Roman" w:eastAsia="Times New Roman" w:hAnsi="Times New Roman"/>
          <w:sz w:val="18"/>
          <w:szCs w:val="18"/>
          <w:color w:val="auto"/>
        </w:rPr>
        <w:t>We are not party to any material legal proceedings at this time. From time to time, we may become involved in various legal proceedings that arise in the ordinary course of our business.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right="59" w:firstLine="324"/>
        <w:spacing w:after="0" w:line="256" w:lineRule="auto"/>
        <w:rPr>
          <w:sz w:val="20"/>
          <w:szCs w:val="20"/>
          <w:color w:val="auto"/>
        </w:rPr>
      </w:pPr>
      <w:r>
        <w:rPr>
          <w:rFonts w:ascii="Times New Roman" w:cs="Times New Roman" w:eastAsia="Times New Roman" w:hAnsi="Times New Roman"/>
          <w:sz w:val="18"/>
          <w:szCs w:val="18"/>
          <w:color w:val="auto"/>
        </w:rPr>
        <w:t>In addition to information set forth in this report, you should carefully consider the factors discussed in “Part I, Item 1A. Risk Factors” of our annual report on Form 10-K for our fiscal year ended December 31, 2024 and in “Part II, Item 1A. Risk Factors” of our quarterly report on Form 10-Q for the fiscal year ended March 31, 2025,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Trading Arrangements of Directors and Executive Officers.</w:t>
      </w:r>
    </w:p>
    <w:p>
      <w:pPr>
        <w:spacing w:after="0" w:line="227" w:lineRule="exact"/>
        <w:rPr>
          <w:sz w:val="20"/>
          <w:szCs w:val="20"/>
          <w:color w:val="auto"/>
        </w:rPr>
      </w:pPr>
    </w:p>
    <w:p>
      <w:pPr>
        <w:ind w:left="40" w:right="219" w:firstLine="401"/>
        <w:spacing w:after="0" w:line="266" w:lineRule="auto"/>
        <w:rPr>
          <w:sz w:val="20"/>
          <w:szCs w:val="20"/>
          <w:color w:val="auto"/>
        </w:rPr>
      </w:pPr>
      <w:r>
        <w:rPr>
          <w:rFonts w:ascii="Times New Roman" w:cs="Times New Roman" w:eastAsia="Times New Roman" w:hAnsi="Times New Roman"/>
          <w:sz w:val="18"/>
          <w:szCs w:val="18"/>
          <w:color w:val="auto"/>
        </w:rPr>
        <w:t>None of our directors or executive officers adopted, modified, or terminated a Rule 10b5-1 trading arrangement or a non-Rule 10b5-1 trading arrangement (as defined under Item 408(a) of Regulation S-K) during the quarter ended June 30, 2025.</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1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00" w:type="dxa"/>
            <w:vAlign w:val="bottom"/>
            <w:gridSpan w:val="19"/>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 w:type="dxa"/>
            <w:vAlign w:val="bottom"/>
            <w:vMerge w:val="restart"/>
          </w:tcPr>
          <w:p>
            <w:pPr>
              <w:spacing w:after="0"/>
              <w:rPr>
                <w:sz w:val="10"/>
                <w:szCs w:val="10"/>
                <w:color w:val="auto"/>
              </w:rPr>
            </w:pPr>
          </w:p>
        </w:tc>
        <w:tc>
          <w:tcPr>
            <w:tcW w:w="660" w:type="dxa"/>
            <w:vAlign w:val="bottom"/>
            <w:vMerge w:val="restart"/>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2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74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0"/>
                <w:szCs w:val="10"/>
                <w:color w:val="auto"/>
              </w:rPr>
            </w:pP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19"/>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26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1"/>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Amended and Restated Certificate</w:t>
              </w:r>
            </w:hyperlink>
          </w:p>
        </w:tc>
        <w:tc>
          <w:tcPr>
            <w:tcW w:w="6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10/13/2016</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of Incorporation</w:t>
              </w:r>
            </w:hyperlink>
          </w:p>
        </w:tc>
        <w:tc>
          <w:tcPr>
            <w:tcW w:w="42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 xml:space="preserve">Amendment </w:t>
              </w:r>
              <w:r>
                <w:rPr>
                  <w:rFonts w:ascii="Times New Roman" w:cs="Times New Roman" w:eastAsia="Times New Roman" w:hAnsi="Times New Roman"/>
                  <w:sz w:val="18"/>
                  <w:szCs w:val="18"/>
                  <w:color w:val="0000EE"/>
                  <w:highlight w:val="white"/>
                  <w:w w:val="98"/>
                </w:rPr>
                <w:t>to Amended and</w:t>
              </w:r>
            </w:hyperlink>
          </w:p>
        </w:tc>
        <w:tc>
          <w:tcPr>
            <w:tcW w:w="760" w:type="dxa"/>
            <w:vAlign w:val="bottom"/>
            <w:gridSpan w:val="12"/>
          </w:tcPr>
          <w:p>
            <w:pPr>
              <w:spacing w:after="0"/>
              <w:rPr>
                <w:sz w:val="24"/>
                <w:szCs w:val="24"/>
                <w:color w:val="auto"/>
              </w:rPr>
            </w:pPr>
          </w:p>
        </w:tc>
        <w:tc>
          <w:tcPr>
            <w:tcW w:w="6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Restated Certificate of</w:t>
              </w:r>
            </w:hyperlink>
          </w:p>
        </w:tc>
        <w:tc>
          <w:tcPr>
            <w:tcW w:w="126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44">
              <w:r>
                <w:rPr>
                  <w:rFonts w:ascii="Times New Roman" w:cs="Times New Roman" w:eastAsia="Times New Roman" w:hAnsi="Times New Roman"/>
                  <w:sz w:val="18"/>
                  <w:szCs w:val="18"/>
                  <w:color w:val="0000EE"/>
                  <w:w w:val="97"/>
                </w:rPr>
                <w:t>Incorporation</w:t>
              </w:r>
            </w:hyperlink>
          </w:p>
        </w:tc>
        <w:tc>
          <w:tcPr>
            <w:tcW w:w="1900" w:type="dxa"/>
            <w:vAlign w:val="bottom"/>
            <w:gridSpan w:val="19"/>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Amendment to Amended and</w:t>
              </w:r>
            </w:hyperlink>
          </w:p>
        </w:tc>
        <w:tc>
          <w:tcPr>
            <w:tcW w:w="760" w:type="dxa"/>
            <w:vAlign w:val="bottom"/>
            <w:gridSpan w:val="12"/>
          </w:tcPr>
          <w:p>
            <w:pPr>
              <w:spacing w:after="0"/>
              <w:rPr>
                <w:sz w:val="24"/>
                <w:szCs w:val="24"/>
                <w:color w:val="auto"/>
              </w:rPr>
            </w:pPr>
          </w:p>
        </w:tc>
        <w:tc>
          <w:tcPr>
            <w:tcW w:w="6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5/27/2020</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Restated Certificate of</w:t>
              </w:r>
            </w:hyperlink>
          </w:p>
        </w:tc>
        <w:tc>
          <w:tcPr>
            <w:tcW w:w="126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45">
              <w:r>
                <w:rPr>
                  <w:rFonts w:ascii="Times New Roman" w:cs="Times New Roman" w:eastAsia="Times New Roman" w:hAnsi="Times New Roman"/>
                  <w:sz w:val="18"/>
                  <w:szCs w:val="18"/>
                  <w:color w:val="0000EE"/>
                  <w:w w:val="97"/>
                </w:rPr>
                <w:t>Incorporation</w:t>
              </w:r>
            </w:hyperlink>
          </w:p>
        </w:tc>
        <w:tc>
          <w:tcPr>
            <w:tcW w:w="1900" w:type="dxa"/>
            <w:vAlign w:val="bottom"/>
            <w:gridSpan w:val="19"/>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Amendment to Amended and</w:t>
              </w:r>
            </w:hyperlink>
          </w:p>
        </w:tc>
        <w:tc>
          <w:tcPr>
            <w:tcW w:w="760" w:type="dxa"/>
            <w:vAlign w:val="bottom"/>
            <w:gridSpan w:val="12"/>
          </w:tcPr>
          <w:p>
            <w:pPr>
              <w:spacing w:after="0"/>
              <w:rPr>
                <w:sz w:val="24"/>
                <w:szCs w:val="24"/>
                <w:color w:val="auto"/>
              </w:rPr>
            </w:pPr>
          </w:p>
        </w:tc>
        <w:tc>
          <w:tcPr>
            <w:tcW w:w="6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5/25/2023</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Restated Certificate of</w:t>
              </w:r>
            </w:hyperlink>
          </w:p>
        </w:tc>
        <w:tc>
          <w:tcPr>
            <w:tcW w:w="126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46">
              <w:r>
                <w:rPr>
                  <w:rFonts w:ascii="Times New Roman" w:cs="Times New Roman" w:eastAsia="Times New Roman" w:hAnsi="Times New Roman"/>
                  <w:sz w:val="18"/>
                  <w:szCs w:val="18"/>
                  <w:color w:val="0000EE"/>
                  <w:w w:val="97"/>
                </w:rPr>
                <w:t>Incorporation</w:t>
              </w:r>
            </w:hyperlink>
          </w:p>
        </w:tc>
        <w:tc>
          <w:tcPr>
            <w:tcW w:w="1900" w:type="dxa"/>
            <w:vAlign w:val="bottom"/>
            <w:gridSpan w:val="19"/>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1"/>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Amended and Restated Bylaws</w:t>
              </w:r>
            </w:hyperlink>
          </w:p>
        </w:tc>
        <w:tc>
          <w:tcPr>
            <w:tcW w:w="6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97"/>
              </w:rPr>
              <w:t>3.2</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Certification of Principal</w:t>
            </w:r>
          </w:p>
        </w:tc>
        <w:tc>
          <w:tcPr>
            <w:tcW w:w="440" w:type="dxa"/>
            <w:vAlign w:val="bottom"/>
            <w:tcBorders>
              <w:top w:val="single" w:sz="8" w:color="0000EE"/>
            </w:tcBorders>
            <w:gridSpan w:val="7"/>
          </w:tcPr>
          <w:p>
            <w:pPr>
              <w:spacing w:after="0"/>
              <w:rPr>
                <w:sz w:val="24"/>
                <w:szCs w:val="24"/>
                <w:color w:val="auto"/>
              </w:rPr>
            </w:pPr>
          </w:p>
        </w:tc>
        <w:tc>
          <w:tcPr>
            <w:tcW w:w="64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Pursuant to</w:t>
            </w:r>
          </w:p>
        </w:tc>
        <w:tc>
          <w:tcPr>
            <w:tcW w:w="74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Rules 13a-14(a) and 15d-14(a)</w:t>
            </w:r>
          </w:p>
        </w:tc>
        <w:tc>
          <w:tcPr>
            <w:tcW w:w="66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under the Exchange Act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Rules 13a-</w:t>
            </w:r>
          </w:p>
        </w:tc>
        <w:tc>
          <w:tcPr>
            <w:tcW w:w="300" w:type="dxa"/>
            <w:vAlign w:val="bottom"/>
            <w:tcBorders>
              <w:top w:val="single" w:sz="8" w:color="0000EE"/>
            </w:tcBorders>
            <w:gridSpan w:val="7"/>
          </w:tcPr>
          <w:p>
            <w:pPr>
              <w:spacing w:after="0"/>
              <w:rPr>
                <w:sz w:val="17"/>
                <w:szCs w:val="17"/>
                <w:color w:val="auto"/>
              </w:rPr>
            </w:pPr>
          </w:p>
        </w:tc>
        <w:tc>
          <w:tcPr>
            <w:tcW w:w="3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14(a) and 15d-14(a) under the</w:t>
            </w:r>
          </w:p>
        </w:tc>
        <w:tc>
          <w:tcPr>
            <w:tcW w:w="72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Exchange Act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Certification of Principal</w:t>
            </w:r>
          </w:p>
        </w:tc>
        <w:tc>
          <w:tcPr>
            <w:tcW w:w="1080" w:type="dxa"/>
            <w:vAlign w:val="bottom"/>
            <w:gridSpan w:val="14"/>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and Principal</w:t>
            </w:r>
          </w:p>
        </w:tc>
        <w:tc>
          <w:tcPr>
            <w:tcW w:w="6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Officer Pursuant to 18</w:t>
            </w:r>
          </w:p>
        </w:tc>
        <w:tc>
          <w:tcPr>
            <w:tcW w:w="56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w:t>
            </w:r>
          </w:p>
        </w:tc>
        <w:tc>
          <w:tcPr>
            <w:tcW w:w="5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72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40"/>
        <w:spacing w:after="0"/>
        <w:tabs>
          <w:tab w:leader="none" w:pos="130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Inline XBRL Instance Document -</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the instance document does not</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appear in the Interactive Data File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because its XBRL tags are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embedded within the Inline XBRL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document</w:t>
      </w:r>
    </w:p>
    <w:p>
      <w:pPr>
        <w:spacing w:after="0" w:line="207" w:lineRule="exact"/>
        <w:rPr>
          <w:sz w:val="20"/>
          <w:szCs w:val="20"/>
          <w:color w:val="auto"/>
        </w:rPr>
      </w:pPr>
    </w:p>
    <w:p>
      <w:pPr>
        <w:ind w:left="140"/>
        <w:spacing w:after="0"/>
        <w:tabs>
          <w:tab w:leader="none" w:pos="130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Inline XBRL Taxonomy</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Extension Schema Document</w:t>
      </w:r>
    </w:p>
    <w:p>
      <w:pPr>
        <w:spacing w:after="0" w:line="207" w:lineRule="exact"/>
        <w:rPr>
          <w:sz w:val="20"/>
          <w:szCs w:val="20"/>
          <w:color w:val="auto"/>
        </w:rPr>
      </w:pPr>
    </w:p>
    <w:p>
      <w:pPr>
        <w:ind w:left="140"/>
        <w:spacing w:after="0"/>
        <w:tabs>
          <w:tab w:leader="none" w:pos="130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7"/>
          <w:szCs w:val="17"/>
          <w:color w:val="auto"/>
        </w:rPr>
        <w:t>Inline XBRL Taxonomy</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Extension Calculation Linkbase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Document</w:t>
      </w:r>
    </w:p>
    <w:p>
      <w:pPr>
        <w:spacing w:after="0" w:line="207" w:lineRule="exact"/>
        <w:rPr>
          <w:sz w:val="20"/>
          <w:szCs w:val="20"/>
          <w:color w:val="auto"/>
        </w:rPr>
      </w:pPr>
    </w:p>
    <w:p>
      <w:pPr>
        <w:ind w:left="140"/>
        <w:spacing w:after="0"/>
        <w:tabs>
          <w:tab w:leader="none" w:pos="130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7"/>
          <w:szCs w:val="17"/>
          <w:color w:val="auto"/>
        </w:rPr>
        <w:t>Inline XBRL Taxonomy</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Extension Definition Linkbase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Document</w:t>
      </w:r>
    </w:p>
    <w:p>
      <w:pPr>
        <w:spacing w:after="0" w:line="207" w:lineRule="exact"/>
        <w:rPr>
          <w:sz w:val="20"/>
          <w:szCs w:val="20"/>
          <w:color w:val="auto"/>
        </w:rPr>
      </w:pPr>
    </w:p>
    <w:p>
      <w:pPr>
        <w:ind w:left="140"/>
        <w:spacing w:after="0"/>
        <w:tabs>
          <w:tab w:leader="none" w:pos="130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7"/>
          <w:szCs w:val="17"/>
          <w:color w:val="auto"/>
        </w:rPr>
        <w:t>Inline XBRL Taxonomy</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Extension Label Linkbase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Document</w:t>
      </w:r>
    </w:p>
    <w:p>
      <w:pPr>
        <w:spacing w:after="0" w:line="207" w:lineRule="exact"/>
        <w:rPr>
          <w:sz w:val="20"/>
          <w:szCs w:val="20"/>
          <w:color w:val="auto"/>
        </w:rPr>
      </w:pPr>
    </w:p>
    <w:p>
      <w:pPr>
        <w:ind w:left="140"/>
        <w:spacing w:after="0"/>
        <w:tabs>
          <w:tab w:leader="none" w:pos="130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Inline XBRL Taxonomy</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Extension Presentation Linkbase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Document</w:t>
      </w:r>
    </w:p>
    <w:p>
      <w:pPr>
        <w:spacing w:after="0" w:line="207" w:lineRule="exact"/>
        <w:rPr>
          <w:sz w:val="20"/>
          <w:szCs w:val="20"/>
          <w:color w:val="auto"/>
        </w:rPr>
      </w:pPr>
    </w:p>
    <w:p>
      <w:pPr>
        <w:ind w:left="140"/>
        <w:spacing w:after="0"/>
        <w:tabs>
          <w:tab w:leader="none" w:pos="13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(formatted as Inline XBRL and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211455</wp:posOffset>
            </wp:positionV>
            <wp:extent cx="14141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60" w:hanging="316"/>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60" w:right="99" w:hanging="316"/>
        <w:spacing w:after="0" w:line="253" w:lineRule="auto"/>
        <w:tabs>
          <w:tab w:leader="none" w:pos="3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Exhibit 32.1 is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558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Everspin Technologies, Inc.</w:t>
            </w:r>
          </w:p>
        </w:tc>
      </w:tr>
      <w:tr>
        <w:trPr>
          <w:trHeight w:val="4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558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By:/s/ Sanjeev Aggarwal</w:t>
            </w:r>
          </w:p>
        </w:tc>
      </w:tr>
      <w:tr>
        <w:trPr>
          <w:trHeight w:val="191"/>
        </w:trPr>
        <w:tc>
          <w:tcPr>
            <w:tcW w:w="3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Sanjeev Aggarwal</w:t>
            </w:r>
          </w:p>
        </w:tc>
      </w:tr>
      <w:tr>
        <w:trPr>
          <w:trHeight w:val="216"/>
        </w:trPr>
        <w:tc>
          <w:tcPr>
            <w:tcW w:w="3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6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558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By:/s/ William Cooper</w:t>
            </w:r>
          </w:p>
        </w:tc>
      </w:tr>
      <w:tr>
        <w:trPr>
          <w:trHeight w:val="191"/>
        </w:trPr>
        <w:tc>
          <w:tcPr>
            <w:tcW w:w="3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Cooper</w:t>
            </w:r>
          </w:p>
        </w:tc>
      </w:tr>
      <w:tr>
        <w:trPr>
          <w:trHeight w:val="216"/>
        </w:trPr>
        <w:tc>
          <w:tcPr>
            <w:tcW w:w="3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Sanjeev Aggarwal, certify that:</w:t>
      </w:r>
    </w:p>
    <w:p>
      <w:pPr>
        <w:spacing w:after="0" w:line="225"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80" w:right="239" w:hanging="330"/>
        <w:spacing w:after="0" w:line="258"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6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jc w:val="both"/>
        <w:ind w:left="380" w:right="59" w:hanging="6"/>
        <w:spacing w:after="0" w:line="266" w:lineRule="auto"/>
        <w:tabs>
          <w:tab w:leader="none" w:pos="64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380" w:right="319" w:hanging="330"/>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59" w:hanging="6"/>
        <w:spacing w:after="0" w:line="266" w:lineRule="auto"/>
        <w:tabs>
          <w:tab w:leader="none" w:pos="64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380" w:right="79" w:hanging="6"/>
        <w:spacing w:after="0" w:line="282" w:lineRule="auto"/>
        <w:tabs>
          <w:tab w:leader="none" w:pos="64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477520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9" w:name="page30"/>
    <w:bookmarkEnd w:id="2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William Cooper, certify that:</w:t>
      </w:r>
    </w:p>
    <w:p>
      <w:pPr>
        <w:spacing w:after="0" w:line="225" w:lineRule="exact"/>
        <w:rPr>
          <w:sz w:val="20"/>
          <w:szCs w:val="20"/>
          <w:color w:val="auto"/>
        </w:rPr>
      </w:pPr>
    </w:p>
    <w:p>
      <w:pPr>
        <w:ind w:left="700" w:hanging="326"/>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326"/>
        <w:spacing w:after="0" w:line="258"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1020" w:right="79" w:hanging="322"/>
        <w:spacing w:after="0" w:line="255"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99" w:hanging="326"/>
        <w:spacing w:after="0" w:line="266"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William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William Cooper</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0" w:name="page31"/>
    <w:bookmarkEnd w:id="30"/>
    <w:p>
      <w:pPr>
        <w:ind w:left="80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18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Sanjeev Aggarwal, Chief Executive Officer of Everspin Technologies, Inc. (the “Company”), and William Cooper, Chief Financial Officer of the Company, each hereby certifies that, to the best of his knowledge:</w:t>
      </w:r>
    </w:p>
    <w:p>
      <w:pPr>
        <w:spacing w:after="0" w:line="160" w:lineRule="exact"/>
        <w:rPr>
          <w:sz w:val="20"/>
          <w:szCs w:val="20"/>
          <w:color w:val="auto"/>
        </w:rPr>
      </w:pPr>
    </w:p>
    <w:p>
      <w:pPr>
        <w:ind w:left="60" w:right="159" w:hanging="10"/>
        <w:spacing w:after="0" w:line="258" w:lineRule="auto"/>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2025, to which this Certification is attached as Exhibit 32.1 (the “Periodic Report”), fully complies with the requirements of Section 13(a) or Section 15(d) of the Exchange Act; and</w:t>
      </w:r>
    </w:p>
    <w:p>
      <w:pPr>
        <w:spacing w:after="0" w:line="155" w:lineRule="exact"/>
        <w:rPr>
          <w:rFonts w:ascii="Times New Roman" w:cs="Times New Roman" w:eastAsia="Times New Roman" w:hAnsi="Times New Roman"/>
          <w:sz w:val="18"/>
          <w:szCs w:val="18"/>
          <w:color w:val="auto"/>
        </w:rPr>
      </w:pPr>
    </w:p>
    <w:p>
      <w:pPr>
        <w:ind w:left="60" w:right="439" w:hanging="10"/>
        <w:spacing w:after="0" w:line="266" w:lineRule="auto"/>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William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William Cooper</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335915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43" Type="http://schemas.openxmlformats.org/officeDocument/2006/relationships/hyperlink" Target="http://www.sec.gov/Archives/edgar/data/1438423/000119312516737688/d271840dex31.htm" TargetMode="External"/><Relationship Id="rId44" Type="http://schemas.openxmlformats.org/officeDocument/2006/relationships/hyperlink" Target="http://www.sec.gov/Archives/edgar/data/1438423/000119312519154165/d752899dex31.htm" TargetMode="External"/><Relationship Id="rId45" Type="http://schemas.openxmlformats.org/officeDocument/2006/relationships/hyperlink" Target="https://www.sec.gov/Archives/edgar/data/1438423/000119312520153247/d936625dex31.htm" TargetMode="External"/><Relationship Id="rId46" Type="http://schemas.openxmlformats.org/officeDocument/2006/relationships/hyperlink" Target="https://www.sec.gov/Archives/edgar/data/1438423/000110465923064640/tm2316966d1_ex3-1.htm" TargetMode="External"/><Relationship Id="rId47" Type="http://schemas.openxmlformats.org/officeDocument/2006/relationships/hyperlink" Target="https://www.sec.gov/Archives/edgar/data/1438423/000119312519154165/d75289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2025-08-06T16:38:04Z</dcterms:created>
  <dcterms:modified xsi:type="dcterms:W3CDTF">2025-08-06T16:38:04Z</dcterms:modified>
</cp:coreProperties>
</file>