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291465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96520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30" w:right="180" w:hanging="430"/>
        <w:spacing w:after="0" w:line="237" w:lineRule="auto"/>
        <w:tabs>
          <w:tab w:leader="none" w:pos="43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1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30" w:right="180" w:hanging="430"/>
        <w:spacing w:after="0" w:line="262" w:lineRule="auto"/>
        <w:tabs>
          <w:tab w:leader="none" w:pos="43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27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2"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5670 W. Chandler Boulevard, Suite 130</w:t>
      </w:r>
    </w:p>
    <w:p>
      <w:pPr>
        <w:spacing w:after="0" w:line="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55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ind w:left="10"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left="10" w:right="2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left="10"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4"/>
        </w:trPr>
        <w:tc>
          <w:tcPr>
            <w:tcW w:w="16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84" w:lineRule="exact"/>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84"/>
        </w:trPr>
        <w:tc>
          <w:tcPr>
            <w:tcW w:w="94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August 9, 2022, was 20,163,410.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608965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340" w:type="dxa"/>
            <w:vAlign w:val="bottom"/>
            <w:gridSpan w:val="14"/>
            <w:vMerge w:val="restart"/>
          </w:tcPr>
          <w:p>
            <w:pPr>
              <w:jc w:val="center"/>
              <w:ind w:right="2180"/>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8"/>
              </w:rPr>
              <w:t>Condensed Balance Sheets as of June 30, 2022 (unaudited) and December 31, 2021</w:t>
            </w:r>
          </w:p>
        </w:tc>
        <w:tc>
          <w:tcPr>
            <w:tcW w:w="116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Statements of Operations and Comprehensive Income (Loss) for the three and six</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months ended June 30, 2022 and 2021 (unaudited)</w:t>
            </w:r>
          </w:p>
        </w:tc>
        <w:tc>
          <w:tcPr>
            <w:tcW w:w="2820" w:type="dxa"/>
            <w:vAlign w:val="bottom"/>
            <w:tcBorders>
              <w:top w:val="single" w:sz="8" w:color="0000EE"/>
            </w:tcBorders>
            <w:gridSpan w:val="8"/>
          </w:tcPr>
          <w:p>
            <w:pPr>
              <w:spacing w:after="0"/>
              <w:rPr>
                <w:sz w:val="17"/>
                <w:szCs w:val="17"/>
                <w:color w:val="auto"/>
              </w:rPr>
            </w:pPr>
          </w:p>
        </w:tc>
        <w:tc>
          <w:tcPr>
            <w:tcW w:w="4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Condensed Statements of Stockholders’ Equity for the three and six months ended June 30, 2022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2021 (unaudited)</w:t>
            </w:r>
          </w:p>
        </w:tc>
        <w:tc>
          <w:tcPr>
            <w:tcW w:w="54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Condensed Statements of Cash Flows for the six months ended June 30, 2022 and 2021</w:t>
            </w:r>
          </w:p>
        </w:tc>
        <w:tc>
          <w:tcPr>
            <w:tcW w:w="88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12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4"/>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766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1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EXHIBIT INDEX</w:t>
            </w:r>
          </w:p>
        </w:tc>
        <w:tc>
          <w:tcPr>
            <w:tcW w:w="7120" w:type="dxa"/>
            <w:vAlign w:val="bottom"/>
            <w:gridSpan w:val="2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0"/>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June 30, 2022 and December 31, 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20,137,520 and 19,858,460 shares issued and outstanding as of June 30, 2022, and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180,067</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(149,225)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(152,831)</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39,380</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right="59"/>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Income (Loss)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5"/>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0" w:type="dxa"/>
            <w:vAlign w:val="bottom"/>
          </w:tcPr>
          <w:p>
            <w:pPr>
              <w:spacing w:after="0"/>
              <w:rPr>
                <w:sz w:val="1"/>
                <w:szCs w:val="1"/>
                <w:color w:val="auto"/>
              </w:rPr>
            </w:pP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Net income (loss) and comprehensive</w:t>
            </w: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180" w:type="dxa"/>
            <w:vAlign w:val="bottom"/>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6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income (loss)</w:t>
            </w:r>
          </w:p>
        </w:tc>
        <w:tc>
          <w:tcPr>
            <w:tcW w:w="8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gridSpan w:val="2"/>
            <w:vMerge w:val="continue"/>
          </w:tcPr>
          <w:p>
            <w:pPr>
              <w:spacing w:after="0"/>
              <w:rPr>
                <w:sz w:val="22"/>
                <w:szCs w:val="22"/>
                <w:color w:val="auto"/>
              </w:rPr>
            </w:pPr>
          </w:p>
        </w:tc>
        <w:tc>
          <w:tcPr>
            <w:tcW w:w="1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7"/>
        </w:trPr>
        <w:tc>
          <w:tcPr>
            <w:tcW w:w="31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318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20,069,444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19,313,162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19,983,526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19,203,374</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8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20,424,283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19,726,064</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20,626,547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19,203,374</w:t>
            </w: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6"/>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3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9"/>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4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2021</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19,858,460</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180,067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(152,831)</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27,238</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15,830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96,496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2022</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19,970,786</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180,960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(150,896)</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30,066</w:t>
            </w: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18,131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148,603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0" w:type="dxa"/>
            <w:vAlign w:val="bottom"/>
          </w:tcPr>
          <w:p>
            <w:pPr>
              <w:spacing w:after="0"/>
              <w:rPr>
                <w:sz w:val="1"/>
                <w:szCs w:val="1"/>
                <w:color w:val="auto"/>
              </w:rPr>
            </w:pPr>
          </w:p>
        </w:tc>
      </w:tr>
      <w:tr>
        <w:trPr>
          <w:trHeight w:val="149"/>
        </w:trPr>
        <w:tc>
          <w:tcPr>
            <w:tcW w:w="38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2022</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20,137,520</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182,488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(149,225)</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33,265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1640" w:type="dxa"/>
            <w:vAlign w:val="bottom"/>
            <w:gridSpan w:val="4"/>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8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2020</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19,031,556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174,584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(157,174)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17,412</w:t>
            </w:r>
          </w:p>
        </w:tc>
        <w:tc>
          <w:tcPr>
            <w:tcW w:w="0" w:type="dxa"/>
            <w:vAlign w:val="bottom"/>
          </w:tcPr>
          <w:p>
            <w:pPr>
              <w:spacing w:after="0"/>
              <w:rPr>
                <w:sz w:val="1"/>
                <w:szCs w:val="1"/>
                <w:color w:val="auto"/>
              </w:rPr>
            </w:pPr>
          </w:p>
        </w:tc>
      </w:tr>
      <w:tr>
        <w:trPr>
          <w:trHeight w:val="149"/>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136,709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743</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82"/>
        </w:trPr>
        <w:tc>
          <w:tcPr>
            <w:tcW w:w="38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2021</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19,222,342</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175,835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(157,634)</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18,203</w:t>
            </w:r>
          </w:p>
        </w:tc>
        <w:tc>
          <w:tcPr>
            <w:tcW w:w="0" w:type="dxa"/>
            <w:vAlign w:val="bottom"/>
          </w:tcPr>
          <w:p>
            <w:pPr>
              <w:spacing w:after="0"/>
              <w:rPr>
                <w:sz w:val="1"/>
                <w:szCs w:val="1"/>
                <w:color w:val="auto"/>
              </w:rPr>
            </w:pPr>
          </w:p>
        </w:tc>
      </w:tr>
      <w:tr>
        <w:trPr>
          <w:trHeight w:val="129"/>
        </w:trPr>
        <w:tc>
          <w:tcPr>
            <w:tcW w:w="388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23,280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8"/>
        </w:trPr>
        <w:tc>
          <w:tcPr>
            <w:tcW w:w="38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189,652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48"/>
        </w:trPr>
        <w:tc>
          <w:tcPr>
            <w:tcW w:w="38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w:t>
            </w:r>
          </w:p>
        </w:tc>
        <w:tc>
          <w:tcPr>
            <w:tcW w:w="0" w:type="dxa"/>
            <w:vAlign w:val="bottom"/>
          </w:tcPr>
          <w:p>
            <w:pPr>
              <w:spacing w:after="0"/>
              <w:rPr>
                <w:sz w:val="1"/>
                <w:szCs w:val="1"/>
                <w:color w:val="auto"/>
              </w:rPr>
            </w:pPr>
          </w:p>
        </w:tc>
      </w:tr>
      <w:tr>
        <w:trPr>
          <w:trHeight w:val="149"/>
        </w:trPr>
        <w:tc>
          <w:tcPr>
            <w:tcW w:w="388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2021</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19,435,274</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176,688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(157,378)</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19,312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2540" w:type="dxa"/>
            <w:vAlign w:val="bottom"/>
            <w:tcBorders>
              <w:bottom w:val="single" w:sz="8" w:color="auto"/>
            </w:tcBorders>
            <w:gridSpan w:val="4"/>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900" w:type="dxa"/>
            <w:vAlign w:val="bottom"/>
          </w:tcPr>
          <w:p>
            <w:pPr>
              <w:jc w:val="right"/>
              <w:ind w:right="7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3,606</w:t>
            </w:r>
          </w:p>
        </w:tc>
        <w:tc>
          <w:tcPr>
            <w:tcW w:w="200" w:type="dxa"/>
            <w:vAlign w:val="bottom"/>
          </w:tcPr>
          <w:p>
            <w:pPr>
              <w:spacing w:after="0"/>
              <w:rPr>
                <w:sz w:val="14"/>
                <w:szCs w:val="14"/>
                <w:color w:val="auto"/>
              </w:rPr>
            </w:pPr>
          </w:p>
        </w:tc>
        <w:tc>
          <w:tcPr>
            <w:tcW w:w="920" w:type="dxa"/>
            <w:vAlign w:val="bottom"/>
          </w:tcPr>
          <w:p>
            <w:pPr>
              <w:jc w:val="right"/>
              <w:ind w:right="7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462</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Gain on sale of property and equipment</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(167)</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2,135</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warrant revaluation</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(21)</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9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62</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(1,090)</w:t>
            </w: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(38)</w:t>
            </w: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(201)</w:t>
            </w: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9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(1,414)</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(832)</w:t>
            </w: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liabilities</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w:t>
            </w:r>
          </w:p>
        </w:tc>
        <w:tc>
          <w:tcPr>
            <w:tcW w:w="2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3,350</w:t>
            </w: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(996)</w:t>
            </w: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received from sale of property and equipment</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2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(794)</w:t>
            </w: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on long-term debt</w:t>
            </w:r>
          </w:p>
        </w:tc>
        <w:tc>
          <w:tcPr>
            <w:tcW w:w="900" w:type="dxa"/>
            <w:vAlign w:val="bottom"/>
          </w:tcPr>
          <w:p>
            <w:pPr>
              <w:spacing w:after="0"/>
              <w:rPr>
                <w:sz w:val="14"/>
                <w:szCs w:val="14"/>
                <w:color w:val="auto"/>
              </w:rPr>
            </w:pPr>
          </w:p>
        </w:tc>
        <w:tc>
          <w:tcPr>
            <w:tcW w:w="72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(1,200)</w:t>
            </w:r>
          </w:p>
        </w:tc>
        <w:tc>
          <w:tcPr>
            <w:tcW w:w="9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5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6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(914)</w:t>
            </w:r>
          </w:p>
        </w:tc>
        <w:tc>
          <w:tcPr>
            <w:tcW w:w="2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1,642</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(380)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6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21,409</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14,599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6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900" w:type="dxa"/>
            <w:vAlign w:val="bottom"/>
            <w:tcBorders>
              <w:bottom w:val="single" w:sz="8" w:color="auto"/>
            </w:tcBorders>
            <w:shd w:val="clear" w:color="auto" w:fill="CCEEFF"/>
          </w:tcPr>
          <w:p>
            <w:pPr>
              <w:jc w:val="right"/>
              <w:ind w:right="7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23,051</w:t>
            </w:r>
          </w:p>
        </w:tc>
        <w:tc>
          <w:tcPr>
            <w:tcW w:w="2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76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14,219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900" w:type="dxa"/>
            <w:vAlign w:val="bottom"/>
            <w:tcBorders>
              <w:bottom w:val="single" w:sz="8" w:color="auto"/>
            </w:tcBorders>
            <w:shd w:val="clear" w:color="auto" w:fill="CCEEFF"/>
          </w:tcPr>
          <w:p>
            <w:pPr>
              <w:jc w:val="right"/>
              <w:ind w:right="7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w:t>
            </w: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ind w:right="7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635</w:t>
            </w: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7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814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900" w:type="dxa"/>
            <w:vAlign w:val="bottom"/>
            <w:tcBorders>
              <w:bottom w:val="single" w:sz="8" w:color="auto"/>
            </w:tcBorders>
            <w:shd w:val="clear" w:color="auto" w:fill="CCEEFF"/>
          </w:tcPr>
          <w:p>
            <w:pPr>
              <w:jc w:val="right"/>
              <w:ind w:right="7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5</w:t>
            </w: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7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60" w:type="dxa"/>
            <w:vAlign w:val="bottom"/>
            <w:tcBorders>
              <w:bottom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operating lease liabilities</w:t>
            </w:r>
          </w:p>
        </w:tc>
        <w:tc>
          <w:tcPr>
            <w:tcW w:w="900" w:type="dxa"/>
            <w:vAlign w:val="bottom"/>
            <w:tcBorders>
              <w:bottom w:val="single" w:sz="8" w:color="auto"/>
            </w:tcBorders>
            <w:shd w:val="clear" w:color="auto" w:fill="CCEEFF"/>
          </w:tcPr>
          <w:p>
            <w:pPr>
              <w:jc w:val="right"/>
              <w:ind w:right="7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3,350</w:t>
            </w:r>
          </w:p>
        </w:tc>
        <w:tc>
          <w:tcPr>
            <w:tcW w:w="2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6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ind w:right="7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36</w:t>
            </w:r>
          </w:p>
        </w:tc>
        <w:tc>
          <w:tcPr>
            <w:tcW w:w="2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7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900" w:type="dxa"/>
            <w:vAlign w:val="bottom"/>
            <w:tcBorders>
              <w:bottom w:val="single" w:sz="8" w:color="auto"/>
            </w:tcBorders>
            <w:shd w:val="clear" w:color="auto" w:fill="CCEEFF"/>
          </w:tcPr>
          <w:p>
            <w:pPr>
              <w:jc w:val="right"/>
              <w:ind w:right="7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783</w:t>
            </w: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7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Bonus settled in shares of common stock</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vMerge w:val="continue"/>
          </w:tcPr>
          <w:p>
            <w:pPr>
              <w:spacing w:after="0"/>
              <w:rPr>
                <w:sz w:val="12"/>
                <w:szCs w:val="12"/>
                <w:color w:val="auto"/>
              </w:rPr>
            </w:pPr>
          </w:p>
        </w:tc>
        <w:tc>
          <w:tcPr>
            <w:tcW w:w="900" w:type="dxa"/>
            <w:vAlign w:val="bottom"/>
            <w:tcBorders>
              <w:bottom w:val="single" w:sz="8" w:color="auto"/>
            </w:tcBorders>
          </w:tcPr>
          <w:p>
            <w:pPr>
              <w:jc w:val="right"/>
              <w:ind w:right="7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vMerge w:val="continue"/>
          </w:tcPr>
          <w:p>
            <w:pPr>
              <w:spacing w:after="0"/>
              <w:rPr>
                <w:sz w:val="12"/>
                <w:szCs w:val="12"/>
                <w:color w:val="auto"/>
              </w:rPr>
            </w:pPr>
          </w:p>
        </w:tc>
        <w:tc>
          <w:tcPr>
            <w:tcW w:w="920" w:type="dxa"/>
            <w:vAlign w:val="bottom"/>
            <w:tcBorders>
              <w:bottom w:val="single" w:sz="8" w:color="auto"/>
            </w:tcBorders>
          </w:tcPr>
          <w:p>
            <w:pPr>
              <w:jc w:val="right"/>
              <w:ind w:right="76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2021,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2022, are not necessarily indicative of the results to be expected for the year ending December 31, 2022 or for any other interim period or for any other future year.</w:t>
      </w:r>
    </w:p>
    <w:p>
      <w:pPr>
        <w:spacing w:after="0" w:line="192"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2021, included in the Company’s Annual Report on Form 10-K filed with the SEC.</w:t>
      </w:r>
    </w:p>
    <w:p>
      <w:pPr>
        <w:spacing w:after="0" w:line="176" w:lineRule="exact"/>
        <w:rPr>
          <w:sz w:val="20"/>
          <w:szCs w:val="20"/>
          <w:color w:val="auto"/>
        </w:rPr>
      </w:pPr>
    </w:p>
    <w:p>
      <w:pPr>
        <w:ind w:left="40" w:right="79" w:firstLine="401"/>
        <w:spacing w:after="0" w:line="254"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as of June 30, 2022, coupled with its anticipated growth and sales levels and availability under its credit facility, will be sufficient to meet its anticipated cash requirements for at least the next 12 months from the financial statement issuance date. The Company’s future capital requirements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2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 related valuation allowances, and stock-based compensation. The Company believes its estimates and assumptions are reasonable; however, actual results may differ from the Company’s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09"/>
        </w:trPr>
        <w:tc>
          <w:tcPr>
            <w:tcW w:w="5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3"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 Receivable, net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5"/>
          </w:tcPr>
          <w:p>
            <w:pPr>
              <w:jc w:val="center"/>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1580" w:type="dxa"/>
            <w:vAlign w:val="bottom"/>
            <w:gridSpan w:val="4"/>
            <w:vMerge w:val="restart"/>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0"/>
                <w:szCs w:val="10"/>
                <w:color w:val="auto"/>
              </w:rPr>
            </w:pPr>
          </w:p>
        </w:tc>
        <w:tc>
          <w:tcPr>
            <w:tcW w:w="1340" w:type="dxa"/>
            <w:vAlign w:val="bottom"/>
            <w:gridSpan w:val="3"/>
            <w:vMerge w:val="restart"/>
          </w:tcPr>
          <w:p>
            <w:pPr>
              <w:jc w:val="center"/>
              <w:ind w:right="7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left="33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5"/>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4"/>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560" w:type="dxa"/>
            <w:vAlign w:val="bottom"/>
            <w:tcBorders>
              <w:top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9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3030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59" w:lineRule="exact"/>
        <w:rPr>
          <w:sz w:val="20"/>
          <w:szCs w:val="20"/>
          <w:color w:val="auto"/>
        </w:rPr>
      </w:pPr>
    </w:p>
    <w:p>
      <w:pPr>
        <w:ind w:left="40"/>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60" w:right="33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As of June 30, 2022,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 cash equivalents. The Company’s Level 3 liability consists of warrants issued in connection with the Company’s current credit facility (Note 6).</w:t>
      </w:r>
    </w:p>
    <w:p>
      <w:pPr>
        <w:spacing w:after="0" w:line="187"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21,508</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3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3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Pronouncements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2019-04, </w:t>
      </w:r>
      <w:r>
        <w:rPr>
          <w:rFonts w:ascii="Times New Roman" w:cs="Times New Roman" w:eastAsia="Times New Roman" w:hAnsi="Times New Roman"/>
          <w:sz w:val="18"/>
          <w:szCs w:val="18"/>
          <w:i w:val="1"/>
          <w:iCs w:val="1"/>
          <w:color w:val="auto"/>
        </w:rPr>
        <w:t>Codification Improvements Financial Instruments-Credit Losses (Topic 326)</w:t>
      </w:r>
      <w:r>
        <w:rPr>
          <w:rFonts w:ascii="Times New Roman" w:cs="Times New Roman" w:eastAsia="Times New Roman" w:hAnsi="Times New Roman"/>
          <w:sz w:val="18"/>
          <w:szCs w:val="18"/>
          <w:color w:val="auto"/>
        </w:rPr>
        <w:t>. ASU 2019-04 provides narrow-scope amendments to help apply ASU 2016-13, and is effective with the adoption of ASU 2016-13. The Company is evaluating the impact of the adoption of ASU 2016-13 and ASU 2019-04 on its condensed financial statements.</w:t>
      </w:r>
    </w:p>
    <w:p>
      <w:pPr>
        <w:spacing w:after="0" w:line="194"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left="40" w:right="459" w:firstLine="324"/>
        <w:spacing w:after="0" w:line="282" w:lineRule="auto"/>
        <w:rPr>
          <w:sz w:val="20"/>
          <w:szCs w:val="20"/>
          <w:color w:val="auto"/>
        </w:rPr>
      </w:pPr>
      <w:r>
        <w:rPr>
          <w:rFonts w:ascii="Times New Roman" w:cs="Times New Roman" w:eastAsia="Times New Roman" w:hAnsi="Times New Roman"/>
          <w:sz w:val="18"/>
          <w:szCs w:val="18"/>
          <w:color w:val="auto"/>
        </w:rPr>
        <w:t>The Company sells products to its distributors and original equipment manufacturers (OEMs). The Company also recognized revenue under licensing, patent, and royalty agreements with some customers.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6,628</w:t>
            </w:r>
          </w:p>
        </w:tc>
      </w:tr>
      <w:tr>
        <w:trPr>
          <w:trHeight w:val="210"/>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20,593</w:t>
            </w:r>
          </w:p>
        </w:tc>
      </w:tr>
      <w:tr>
        <w:trPr>
          <w:trHeight w:val="216"/>
        </w:trPr>
        <w:tc>
          <w:tcPr>
            <w:tcW w:w="3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09"/>
        </w:trPr>
        <w:tc>
          <w:tcPr>
            <w:tcW w:w="3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198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09"/>
        </w:trPr>
        <w:tc>
          <w:tcPr>
            <w:tcW w:w="3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39" w:firstLine="324"/>
        <w:spacing w:after="0" w:line="281" w:lineRule="auto"/>
        <w:rPr>
          <w:sz w:val="20"/>
          <w:szCs w:val="20"/>
          <w:color w:val="auto"/>
        </w:rPr>
      </w:pPr>
      <w:r>
        <w:rPr>
          <w:rFonts w:ascii="Times New Roman" w:cs="Times New Roman" w:eastAsia="Times New Roman" w:hAnsi="Times New Roman"/>
          <w:sz w:val="17"/>
          <w:szCs w:val="17"/>
          <w:color w:val="auto"/>
        </w:rPr>
        <w:t>The Company recognizes revenue in three primary geographic regions: Asia-Pacific (APAC); North America; and Europe, Middle East and Africa (EMEA). The Company classifies revenue by geography based on the region in which the Company’s customer is located and to which the Company’s products are sold, and not to where the end products in which they are assembled are shipped. The Company’s revenue by region for the periods indicated was as follows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8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6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0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09"/>
        </w:trPr>
        <w:tc>
          <w:tcPr>
            <w:tcW w:w="5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the Company executed contractual arrangements with a customer for the development of a RAD-Hard product, consisting of a technology license, design license agreement and development subcontract. The Company does not share in the rights to future revenues or royalties. The total arrangements are for $6.5 million in consideration.</w:t>
      </w:r>
    </w:p>
    <w:p>
      <w:pPr>
        <w:spacing w:after="0" w:line="193"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spacing w:after="0" w:line="148"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performance obligation period. This method depicts performance under the contract and requires the Company to make estimates about the future costs expected to be incurred to perform under the contact, including labor and material costs.</w:t>
      </w:r>
    </w:p>
    <w:p>
      <w:pPr>
        <w:spacing w:after="0" w:line="183" w:lineRule="exact"/>
        <w:rPr>
          <w:sz w:val="20"/>
          <w:szCs w:val="20"/>
          <w:color w:val="auto"/>
        </w:rPr>
      </w:pPr>
    </w:p>
    <w:p>
      <w:pPr>
        <w:ind w:left="40" w:right="119" w:firstLine="324"/>
        <w:spacing w:after="0" w:line="255" w:lineRule="auto"/>
        <w:rPr>
          <w:sz w:val="20"/>
          <w:szCs w:val="20"/>
          <w:color w:val="auto"/>
        </w:rPr>
      </w:pPr>
      <w:r>
        <w:rPr>
          <w:rFonts w:ascii="Times New Roman" w:cs="Times New Roman" w:eastAsia="Times New Roman" w:hAnsi="Times New Roman"/>
          <w:sz w:val="18"/>
          <w:szCs w:val="18"/>
          <w:color w:val="auto"/>
        </w:rPr>
        <w:t>As of June 30, 2022, the Company has billed $4.2 million for the performance under the contractual agreements. Under the input method of recognition, the Company has recognized $0.8 million and $1.3 million in revenue for the three and six months ended June 30, 2022, respectively, and $4.7 million in revenue since inception of the contractual agreement. As a result, the Company recorded $0.5 million in unbilled accounts receivable and does not have a deferred revenue balance as of June 30, 2022. As of December 31, 2021, the deferred revenue balance was $0.8 million. The Company expects to recognize the remaining $1.8 million of the transaction price as services are performed throughout the contractual period and performance is expected to be complete in the year ended December 31, 2024.</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ind w:left="40" w:right="399" w:firstLine="324"/>
        <w:spacing w:after="0" w:line="266" w:lineRule="auto"/>
        <w:rPr>
          <w:sz w:val="20"/>
          <w:szCs w:val="20"/>
          <w:color w:val="auto"/>
        </w:rPr>
      </w:pPr>
      <w:r>
        <w:rPr>
          <w:rFonts w:ascii="Times New Roman" w:cs="Times New Roman" w:eastAsia="Times New Roman" w:hAnsi="Times New Roman"/>
          <w:sz w:val="18"/>
          <w:szCs w:val="18"/>
          <w:color w:val="auto"/>
        </w:rPr>
        <w:t>Operating leases consist primarily of office space expiring at various dates through 2029. Finance leases relate to a server lease expiring in January 2025. The Company’s lease agreements do not contain any material residual value guarantees or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4.67 %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6.00 %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 %</w:t>
            </w: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2019 Credit Facility</w:t>
      </w:r>
    </w:p>
    <w:p>
      <w:pPr>
        <w:spacing w:after="0" w:line="229" w:lineRule="exact"/>
        <w:rPr>
          <w:sz w:val="20"/>
          <w:szCs w:val="20"/>
          <w:color w:val="auto"/>
        </w:rPr>
      </w:pPr>
    </w:p>
    <w:p>
      <w:pPr>
        <w:ind w:left="40" w:right="219" w:firstLine="324"/>
        <w:spacing w:after="0" w:line="289" w:lineRule="auto"/>
        <w:rPr>
          <w:sz w:val="20"/>
          <w:szCs w:val="20"/>
          <w:color w:val="auto"/>
        </w:rPr>
      </w:pPr>
      <w:r>
        <w:rPr>
          <w:rFonts w:ascii="Times New Roman" w:cs="Times New Roman" w:eastAsia="Times New Roman" w:hAnsi="Times New Roman"/>
          <w:sz w:val="17"/>
          <w:szCs w:val="17"/>
          <w:color w:val="auto"/>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w:t>
      </w:r>
    </w:p>
    <w:p>
      <w:pPr>
        <w:spacing w:after="0" w:line="158" w:lineRule="exact"/>
        <w:rPr>
          <w:sz w:val="20"/>
          <w:szCs w:val="20"/>
          <w:color w:val="auto"/>
        </w:rPr>
      </w:pPr>
    </w:p>
    <w:p>
      <w:pPr>
        <w:ind w:left="40" w:right="139" w:firstLine="324"/>
        <w:spacing w:after="0" w:line="261" w:lineRule="auto"/>
        <w:rPr>
          <w:sz w:val="20"/>
          <w:szCs w:val="20"/>
          <w:color w:val="auto"/>
        </w:rPr>
      </w:pPr>
      <w:r>
        <w:rPr>
          <w:rFonts w:ascii="Times New Roman" w:cs="Times New Roman" w:eastAsia="Times New Roman" w:hAnsi="Times New Roman"/>
          <w:sz w:val="18"/>
          <w:szCs w:val="18"/>
          <w:color w:val="auto"/>
        </w:rPr>
        <w:t>In July 2020, the Company executed the first amendment to the 2019 Credit Facility with SVB. The amendment, among other things, extended the initial 12-month interest-only period for the 2019 Term Loan to a 16-month interest-only period and lowered the floor interest rate. The floor interest rates for the 2019 Term Loan and the Line of Credit were reduced from 4.75% and 6.75% to 3.75% and 4.75%, respectively.</w:t>
      </w:r>
    </w:p>
    <w:p>
      <w:pPr>
        <w:spacing w:after="0" w:line="180"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color w:val="auto"/>
        </w:rPr>
        <w:t>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w:t>
      </w:r>
    </w:p>
    <w:p>
      <w:pPr>
        <w:spacing w:after="0" w:line="183" w:lineRule="exact"/>
        <w:rPr>
          <w:sz w:val="20"/>
          <w:szCs w:val="20"/>
          <w:color w:val="auto"/>
        </w:rPr>
      </w:pPr>
    </w:p>
    <w:p>
      <w:pPr>
        <w:ind w:left="40" w:right="179" w:firstLine="324"/>
        <w:spacing w:after="0" w:line="255" w:lineRule="auto"/>
        <w:rPr>
          <w:sz w:val="20"/>
          <w:szCs w:val="20"/>
          <w:color w:val="auto"/>
        </w:rPr>
      </w:pPr>
      <w:r>
        <w:rPr>
          <w:rFonts w:ascii="Times New Roman" w:cs="Times New Roman" w:eastAsia="Times New Roman" w:hAnsi="Times New Roman"/>
          <w:sz w:val="18"/>
          <w:szCs w:val="18"/>
          <w:color w:val="auto"/>
        </w:rPr>
        <w:t>In July 2021, the Company executed the second amendment to the 2019 Credit Facility with SVB. The amended Line of Credit allows for a maximum draw of $5.0 million, subject to a formula borrowing base, and bears interest at a floating rate equal to the Wall Street Journal (WSJ) prime rate plus 1.5%, per annum, subject to a floor of 4.75%. As of June 30, 2022, the interest rate was 6.25%. Currently, $4.0 million remains available under the Line of Credit, subject to borrowing base availability. As of June 30, 2022, the effective interest rate under the Line of Credit was 10.18% and the outstanding balance was $1.0 million. The Line of Credit was set to mature on August 5, 2022. The third amendment, entered into on July 22, 2022, extended the maturity date of the Line of Credit to August 5,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amended 2019 Term Loan provides for a $6.0 million term loan. The 2019 Term Loan has a term of 46 months, and a 16-month interest-only period followed by 30 months of equal principal payments of $200,000 per month, plus accrued interest. The 2019 Term Loan bears interest at a floating rate equal to the WSJ prime rate minus 0.75%, subject to a floor of 3.75%. As of June 30, 2022, the interest rate was 4.00%.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June 30, 2022, the effective interest rate under the 2019 Term Loan was 7.85% and the outstanding balance was $2.8 million. The 2019 Term Loan matures on June 1, 2023.</w:t>
      </w:r>
    </w:p>
    <w:p>
      <w:pPr>
        <w:spacing w:after="0" w:line="194" w:lineRule="exact"/>
        <w:rPr>
          <w:sz w:val="20"/>
          <w:szCs w:val="20"/>
          <w:color w:val="auto"/>
        </w:rPr>
      </w:pPr>
    </w:p>
    <w:p>
      <w:pPr>
        <w:ind w:left="40" w:right="59" w:firstLine="401"/>
        <w:spacing w:after="0" w:line="253" w:lineRule="auto"/>
        <w:rPr>
          <w:sz w:val="20"/>
          <w:szCs w:val="20"/>
          <w:color w:val="auto"/>
        </w:rPr>
      </w:pPr>
      <w:r>
        <w:rPr>
          <w:rFonts w:ascii="Times New Roman" w:cs="Times New Roman" w:eastAsia="Times New Roman" w:hAnsi="Times New Roman"/>
          <w:sz w:val="18"/>
          <w:szCs w:val="18"/>
          <w:color w:val="auto"/>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 statements of operations and comprehensive income (loss). The Company recognized other income of $11,000 and $21,000 for the three and six months ended June 30, 2022, respectively. The Company recognized other expense of $1,000 and $5,000 for the three and six months ended June 30, 2021, respectively, related to the change in fair value of the warrant within other expense, net in the statements of operations and comprehensive income (loss).</w:t>
      </w:r>
    </w:p>
    <w:p>
      <w:pPr>
        <w:spacing w:after="0" w:line="190" w:lineRule="exact"/>
        <w:rPr>
          <w:sz w:val="20"/>
          <w:szCs w:val="20"/>
          <w:color w:val="auto"/>
        </w:rPr>
      </w:pPr>
    </w:p>
    <w:p>
      <w:pPr>
        <w:ind w:left="40" w:right="219" w:firstLine="401"/>
        <w:spacing w:after="0" w:line="258" w:lineRule="auto"/>
        <w:rPr>
          <w:sz w:val="20"/>
          <w:szCs w:val="20"/>
          <w:color w:val="auto"/>
        </w:rPr>
      </w:pPr>
      <w:r>
        <w:rPr>
          <w:rFonts w:ascii="Times New Roman" w:cs="Times New Roman" w:eastAsia="Times New Roman" w:hAnsi="Times New Roman"/>
          <w:sz w:val="18"/>
          <w:szCs w:val="18"/>
          <w:color w:val="auto"/>
        </w:rPr>
        <w:t>Additionally, in conjunction with entering into the first amendment to the 2019 Credit Facility, on July 15, 2020, the Company issued an additional warrant to SVB to purchase 21,500 shares of its common stock at an exercise price of $0.01 per share, which was to expire on July 15, 2025. The warrant was classified as equity and was recorded as a debt discount that was amortized to interest expense using the effective interest method. The fair value of the warrant was $152,000 on the date of issuance using the Black-Scholes option-pricing model.</w:t>
      </w:r>
    </w:p>
    <w:p>
      <w:pPr>
        <w:spacing w:after="0" w:line="183" w:lineRule="exact"/>
        <w:rPr>
          <w:sz w:val="20"/>
          <w:szCs w:val="20"/>
          <w:color w:val="auto"/>
        </w:rPr>
      </w:pPr>
    </w:p>
    <w:p>
      <w:pPr>
        <w:jc w:val="both"/>
        <w:ind w:left="40" w:right="619" w:firstLine="401"/>
        <w:spacing w:after="0" w:line="266" w:lineRule="auto"/>
        <w:rPr>
          <w:sz w:val="20"/>
          <w:szCs w:val="20"/>
          <w:color w:val="auto"/>
        </w:rPr>
      </w:pPr>
      <w:r>
        <w:rPr>
          <w:rFonts w:ascii="Times New Roman" w:cs="Times New Roman" w:eastAsia="Times New Roman" w:hAnsi="Times New Roman"/>
          <w:sz w:val="18"/>
          <w:szCs w:val="18"/>
          <w:color w:val="auto"/>
        </w:rPr>
        <w:t>On July 22, 2021, SVB elected to exercise the warrant associated with the first amendment to the 2019 Credit Facility, which resulted in a net cashless exercise of the warrant and the issuance of 21,463 shares of the Company’s common stock.</w:t>
      </w:r>
    </w:p>
    <w:p>
      <w:pPr>
        <w:spacing w:after="0" w:line="176"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as of June 30, 2022.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2019 Term Loan. As of June 30, 2022, management does not believe that it is probable that the clause will be triggered within the next 12 months.</w:t>
      </w:r>
    </w:p>
    <w:p>
      <w:pPr>
        <w:spacing w:after="0" w:line="192" w:lineRule="exact"/>
        <w:rPr>
          <w:sz w:val="20"/>
          <w:szCs w:val="20"/>
          <w:color w:val="auto"/>
        </w:rPr>
      </w:pPr>
    </w:p>
    <w:p>
      <w:pPr>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the debt issuance costs and accretion of the debt discount is included in interest expense within the statements of operations and comprehensive income (loss) and included in non-cash interest expense within the statement of cash flows.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carrying value of the Company’s 2019 Credit Facility at June 30, 2022, was as follows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3"/>
                <w:szCs w:val="13"/>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6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carrying value of the Company’s 2019 Credit Facility as of December 31, 2021 was as follows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3"/>
                <w:szCs w:val="13"/>
                <w:color w:val="auto"/>
              </w:rPr>
            </w:pPr>
          </w:p>
        </w:tc>
        <w:tc>
          <w:tcPr>
            <w:tcW w:w="5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6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table below includes the principal repayments due under the 2019 Credit Facility (in thousands):</w:t>
      </w:r>
    </w:p>
    <w:p>
      <w:pPr>
        <w:spacing w:after="0" w:line="36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173"/>
        </w:trPr>
        <w:tc>
          <w:tcPr>
            <w:tcW w:w="56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of June 30, 2022</w:t>
            </w: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repayments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stock option and award activity for the six months ended June 30, 2022:</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09"/>
        </w:trPr>
        <w:tc>
          <w:tcPr>
            <w:tcW w:w="2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1,038,956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1,783,298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595,753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RSUs granted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(604,254)</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cancelled/forfeited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(489,244)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489,244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(33,961)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(88,654)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618,612</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2,149,927</w:t>
            </w:r>
          </w:p>
        </w:tc>
        <w:tc>
          <w:tcPr>
            <w:tcW w:w="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151"/>
        </w:trPr>
        <w:tc>
          <w:tcPr>
            <w:tcW w:w="258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Options exercisable—</w:t>
            </w: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802,192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options vested was $853,000 and $220,000 during the three months ended June 30, 2022 and 2021, respectively, and $1.8 million and $533,000 during the six months ended June 30, 2022 and 2021, respectively.</w:t>
      </w:r>
    </w:p>
    <w:p>
      <w:pPr>
        <w:spacing w:after="0" w:line="176" w:lineRule="exact"/>
        <w:rPr>
          <w:sz w:val="20"/>
          <w:szCs w:val="20"/>
          <w:color w:val="auto"/>
        </w:rPr>
      </w:pPr>
    </w:p>
    <w:p>
      <w:pPr>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$4.40 and $3.18 per share during the three months ended June 30, 2022 and 2021, respectively, and $5.40 and $3.43 during the six months ended June 30, 2022 and 2021,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79" w:firstLine="324"/>
        <w:spacing w:after="0" w:line="266" w:lineRule="auto"/>
        <w:rPr>
          <w:sz w:val="20"/>
          <w:szCs w:val="20"/>
          <w:color w:val="auto"/>
        </w:rPr>
      </w:pPr>
      <w:r>
        <w:rPr>
          <w:rFonts w:ascii="Times New Roman" w:cs="Times New Roman" w:eastAsia="Times New Roman" w:hAnsi="Times New Roman"/>
          <w:sz w:val="18"/>
          <w:szCs w:val="18"/>
          <w:color w:val="auto"/>
        </w:rPr>
        <w:t>As of June 30, 2022, of the 88,654 options cancelled/forfeited during the six months ended June 30, 2022, 22,364 of the options relate to a prior stock-based compensation plan that are no longer available for grant under the current stock-based compensation plan.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In January 2022, there was an increase of 198,584 shares reserved for issuance under the Company’s Employee Stock Purchase Plan (ESPP) pursuant to the terms of the ESPP. The Company had 814,341 shares available for future issuance under the Company’s ESPP as of June 30, 2022. Employees purchased 37,017 shares for $167,000 during the three and six months ended June 30, 2022. Employees purchased 32,186 shares for $92,000 during the three and six months ended June 30, 2021.</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six months ended June 30, 2022:</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8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384,307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604,254</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(208,082)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(11,111)</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Balance—June 30,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 As of June 30, 2022, there was $4.5 million of unrecognized stock-based compensation expense related to RSUs to be recognized over a weighted-average period of 2.6 years.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40" w:right="6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2022, there was $4.8 million of total unrecognized stock-based compensation expense related to unvested options which is expected to be recognized over a weighted-average period of 2.8 years.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40" w:right="119" w:firstLine="324"/>
        <w:spacing w:after="0" w:line="255"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pacing w:after="0" w:line="189"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Silterra Malaysia Sdn. Bhd. Joint Collaboration Agreement</w:t>
      </w:r>
    </w:p>
    <w:p>
      <w:pPr>
        <w:spacing w:after="0" w:line="229" w:lineRule="exact"/>
        <w:rPr>
          <w:sz w:val="20"/>
          <w:szCs w:val="20"/>
          <w:color w:val="auto"/>
        </w:rPr>
      </w:pPr>
    </w:p>
    <w:p>
      <w:pPr>
        <w:ind w:left="40" w:right="339" w:firstLine="405"/>
        <w:spacing w:after="0" w:line="255" w:lineRule="auto"/>
        <w:rPr>
          <w:sz w:val="20"/>
          <w:szCs w:val="20"/>
          <w:color w:val="auto"/>
        </w:rPr>
      </w:pPr>
      <w:r>
        <w:rPr>
          <w:rFonts w:ascii="Times New Roman" w:cs="Times New Roman" w:eastAsia="Times New Roman" w:hAnsi="Times New Roman"/>
          <w:sz w:val="18"/>
          <w:szCs w:val="18"/>
          <w:color w:val="auto"/>
        </w:rPr>
        <w:t>In September 2018, the Company entered into a Joint Collaboration Agreement (JCA) with Silterra Malaysia Sdn. Bhd., and another third party. The JCA will create additional manufacturing capacity for the Company’s Toggle MRAM products. The Company had previously anticipated initial production starting in 2020. However, as a result of recent delays, the Company now anticipates initial production to start some time in 2022. Under the JCA, the Company is required to pay non-recurring engineering costs of $1.0 million. As of September 30, 2021, the Company had paid $600,000 of these JCA costs. On October 23, 2021, the Company executed a termination of the JCA. As a result, the Company does not expect to incur additional JCA costs for the remainder of 2022.</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Net Income (Loss) Per Common Share</w:t>
      </w:r>
    </w:p>
    <w:p>
      <w:pPr>
        <w:spacing w:after="0" w:line="229" w:lineRule="exact"/>
        <w:rPr>
          <w:sz w:val="20"/>
          <w:szCs w:val="20"/>
          <w:color w:val="auto"/>
        </w:rPr>
      </w:pPr>
    </w:p>
    <w:p>
      <w:pPr>
        <w:jc w:val="both"/>
        <w:ind w:left="40" w:right="59" w:firstLine="441"/>
        <w:spacing w:after="0" w:line="256" w:lineRule="auto"/>
        <w:rPr>
          <w:sz w:val="20"/>
          <w:szCs w:val="20"/>
          <w:color w:val="auto"/>
        </w:rPr>
      </w:pPr>
      <w:r>
        <w:rPr>
          <w:rFonts w:ascii="Times New Roman" w:cs="Times New Roman" w:eastAsia="Times New Roman" w:hAnsi="Times New Roman"/>
          <w:sz w:val="18"/>
          <w:szCs w:val="18"/>
          <w:color w:val="auto"/>
        </w:rPr>
        <w:t>Basic net income (loss) per common share is calculated by dividing the net income (loss)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potentially dilutive securities are excluded from our calculation of earning per share as their inclusion would have an antidilutive effect.</w:t>
      </w:r>
    </w:p>
    <w:p>
      <w:pPr>
        <w:spacing w:after="0" w:line="187" w:lineRule="exact"/>
        <w:rPr>
          <w:sz w:val="20"/>
          <w:szCs w:val="20"/>
          <w:color w:val="auto"/>
        </w:rPr>
      </w:pPr>
    </w:p>
    <w:p>
      <w:pPr>
        <w:jc w:val="both"/>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income (loss) per share attributable to common stockholders (in thousands, except share and per share amounts):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9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tcPr>
          <w:p>
            <w:pPr>
              <w:spacing w:after="0"/>
              <w:rPr>
                <w:sz w:val="17"/>
                <w:szCs w:val="17"/>
                <w:color w:val="auto"/>
              </w:rPr>
            </w:pPr>
          </w:p>
        </w:tc>
        <w:tc>
          <w:tcPr>
            <w:tcW w:w="2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00" w:type="dxa"/>
            <w:vAlign w:val="bottom"/>
          </w:tcPr>
          <w:p>
            <w:pPr>
              <w:spacing w:after="0"/>
              <w:rPr>
                <w:sz w:val="17"/>
                <w:szCs w:val="17"/>
                <w:color w:val="auto"/>
              </w:rPr>
            </w:pPr>
          </w:p>
        </w:tc>
        <w:tc>
          <w:tcPr>
            <w:tcW w:w="26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of</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20,069,444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19,983,526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19,203,374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per common</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9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5"/>
        </w:trPr>
        <w:tc>
          <w:tcPr>
            <w:tcW w:w="9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basic</w:t>
            </w: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Diluted EPS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06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8"/>
        </w:trPr>
        <w:tc>
          <w:tcPr>
            <w:tcW w:w="26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Less: warrant liability fair value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gain recognized</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620" w:type="dxa"/>
            <w:vAlign w:val="bottom"/>
            <w:tcBorders>
              <w:top w:val="single" w:sz="8" w:color="CCEEFF"/>
            </w:tcBorders>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1"/>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Weighted-average shares of</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20,069,444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19,313,162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19,983,526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19,203,374</w:t>
            </w:r>
          </w:p>
        </w:tc>
        <w:tc>
          <w:tcPr>
            <w:tcW w:w="0" w:type="dxa"/>
            <w:vAlign w:val="bottom"/>
          </w:tcPr>
          <w:p>
            <w:pPr>
              <w:spacing w:after="0"/>
              <w:rPr>
                <w:sz w:val="1"/>
                <w:szCs w:val="1"/>
                <w:color w:val="auto"/>
              </w:rPr>
            </w:pPr>
          </w:p>
        </w:tc>
      </w:tr>
      <w:tr>
        <w:trPr>
          <w:trHeight w:val="198"/>
        </w:trPr>
        <w:tc>
          <w:tcPr>
            <w:tcW w:w="26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Dilutive effect of stock options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and RSUs</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354,839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412,902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643,021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62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Weighted-average shares of</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20,424,283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19,726,064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20,626,547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19,203,374</w:t>
            </w:r>
          </w:p>
        </w:tc>
        <w:tc>
          <w:tcPr>
            <w:tcW w:w="0" w:type="dxa"/>
            <w:vAlign w:val="bottom"/>
          </w:tcPr>
          <w:p>
            <w:pPr>
              <w:spacing w:after="0"/>
              <w:rPr>
                <w:sz w:val="1"/>
                <w:szCs w:val="1"/>
                <w:color w:val="auto"/>
              </w:rPr>
            </w:pPr>
          </w:p>
        </w:tc>
      </w:tr>
      <w:tr>
        <w:trPr>
          <w:trHeight w:val="221"/>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per common</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 diluted</w:t>
            </w: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139" w:firstLine="324"/>
        <w:spacing w:after="0" w:line="281" w:lineRule="auto"/>
        <w:rPr>
          <w:sz w:val="20"/>
          <w:szCs w:val="20"/>
          <w:color w:val="auto"/>
        </w:rPr>
      </w:pPr>
      <w:r>
        <w:rPr>
          <w:rFonts w:ascii="Times New Roman" w:cs="Times New Roman" w:eastAsia="Times New Roman" w:hAnsi="Times New Roman"/>
          <w:sz w:val="17"/>
          <w:szCs w:val="17"/>
          <w:color w:val="auto"/>
        </w:rPr>
        <w:t>Potentially dilutive securities representing 2.0 million and 1.2 million stock options and RSUs that were outstanding during the three-months ended of June 30, 2022, and 2021, respectively, and 0.6 million and 1.9 million stock options and RSUs outstanding during the six months ended June 30, 2022 and 2021,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2021.</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as well as anticipated impacts from, and our responses to, the COVID-19 pandemic and our expectations regarding current supply constraints,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37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89" w:lineRule="exact"/>
        <w:rPr>
          <w:sz w:val="20"/>
          <w:szCs w:val="20"/>
          <w:color w:val="auto"/>
        </w:rPr>
      </w:pPr>
    </w:p>
    <w:p>
      <w:pPr>
        <w:ind w:left="40" w:right="159" w:firstLine="324"/>
        <w:spacing w:after="0" w:line="282" w:lineRule="auto"/>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OEMs and original design manufacturers (ODMs).</w:t>
      </w:r>
    </w:p>
    <w:p>
      <w:pPr>
        <w:spacing w:after="0" w:line="162" w:lineRule="exact"/>
        <w:rPr>
          <w:sz w:val="20"/>
          <w:szCs w:val="20"/>
          <w:color w:val="auto"/>
        </w:rPr>
      </w:pPr>
    </w:p>
    <w:p>
      <w:pPr>
        <w:ind w:left="40" w:right="199"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266" w:lineRule="auto"/>
        <w:rPr>
          <w:sz w:val="20"/>
          <w:szCs w:val="20"/>
          <w:color w:val="auto"/>
        </w:rPr>
      </w:pPr>
      <w:r>
        <w:rPr>
          <w:rFonts w:ascii="Times New Roman" w:cs="Times New Roman" w:eastAsia="Times New Roman" w:hAnsi="Times New Roman"/>
          <w:sz w:val="18"/>
          <w:szCs w:val="18"/>
          <w:color w:val="auto"/>
        </w:rPr>
        <w:t>EBITDA, a non-GAAP financial measure, and design wins. We define Adjusted EBITDA as net income or loss adjusted for interest expense, taxes, depreciation and amortization, stock-based compensation expense, and restructuring costs, if any.</w:t>
      </w:r>
    </w:p>
    <w:p>
      <w:pPr>
        <w:spacing w:after="0" w:line="174"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Our management and board of directors use Adjusted EBITDA to understand and evaluate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The following table presents a reconciliation of net income (loss), the most directly comparable GAAP measure, to Adjusted EBITDA for the periods indicated: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260" w:type="dxa"/>
            <w:vAlign w:val="bottom"/>
          </w:tcPr>
          <w:p>
            <w:pPr>
              <w:spacing w:after="0"/>
              <w:rPr>
                <w:sz w:val="15"/>
                <w:szCs w:val="15"/>
                <w:color w:val="auto"/>
              </w:rPr>
            </w:pP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2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3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of the COVID-19 Pandemic on our Business</w:t>
      </w:r>
    </w:p>
    <w:p>
      <w:pPr>
        <w:spacing w:after="0" w:line="229"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such as the Omicron variant and its subvariants, that are significantly more contagious than previous strains have emerged. The spread of these new strains have caused many government authorities and businesses to reimplement the aforementioned measures to try to reduce the spread that had become less prevalent. While some of these restrictions have been lifted, the lingering impact of the COVID pandemic continues to create significant volatility throughout the global economy, including supply chain constraints, labor supply issues and higher inflation. Accordingly, it is unclear at this point the full impact COVID-19 and its variants will have on the global economy and on our company.</w:t>
      </w:r>
    </w:p>
    <w:p>
      <w:pPr>
        <w:spacing w:after="0" w:line="188"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Overall, our business remains operational in the midst of the pandemic. However, as a result of the ongoing COVID-19 pandemic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88" w:lineRule="exact"/>
        <w:rPr>
          <w:sz w:val="20"/>
          <w:szCs w:val="20"/>
          <w:color w:val="auto"/>
        </w:rPr>
      </w:pPr>
    </w:p>
    <w:p>
      <w:pPr>
        <w:ind w:left="40" w:right="279" w:firstLine="324"/>
        <w:spacing w:after="0" w:line="256" w:lineRule="auto"/>
        <w:rPr>
          <w:sz w:val="20"/>
          <w:szCs w:val="20"/>
          <w:color w:val="auto"/>
        </w:rPr>
      </w:pPr>
      <w:r>
        <w:rPr>
          <w:rFonts w:ascii="Times New Roman" w:cs="Times New Roman" w:eastAsia="Times New Roman" w:hAnsi="Times New Roman"/>
          <w:sz w:val="18"/>
          <w:szCs w:val="18"/>
          <w:color w:val="auto"/>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operations given delays in data gathering, analysis and inefficiencies of teams solving technical problems via remote-only means, which has impacted, and continues to impact, our cost of sales.</w:t>
      </w:r>
    </w:p>
    <w:p>
      <w:pPr>
        <w:spacing w:after="0" w:line="187" w:lineRule="exact"/>
        <w:rPr>
          <w:sz w:val="20"/>
          <w:szCs w:val="20"/>
          <w:color w:val="auto"/>
        </w:rPr>
      </w:pPr>
    </w:p>
    <w:p>
      <w:pPr>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The emergence of new variants of COVID-19, and the prevalence of cases of infection globally adds additional uncertainty and could result in further impacts to our business and operations, including those discussed above and in “Risk Factors” in Part II, Item 1A of this report.</w:t>
      </w:r>
    </w:p>
    <w:p>
      <w:pPr>
        <w:spacing w:after="0" w:line="176"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We will continue to monitor the situation and take additional actions as warranted. These actions may include further altering our operations in order to protect the best interests of our employees, customers and suppliers, and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79"/>
        <w:spacing w:after="0" w:line="282" w:lineRule="auto"/>
        <w:rPr>
          <w:sz w:val="20"/>
          <w:szCs w:val="20"/>
          <w:color w:val="auto"/>
        </w:rPr>
      </w:pPr>
      <w:r>
        <w:rPr>
          <w:rFonts w:ascii="Times New Roman" w:cs="Times New Roman" w:eastAsia="Times New Roman" w:hAnsi="Times New Roman"/>
          <w:sz w:val="18"/>
          <w:szCs w:val="18"/>
          <w:color w:val="auto"/>
        </w:rPr>
        <w:t>comply with government requirements, while also planning and executing our business to best support our customers, suppliers, and partners.</w:t>
      </w:r>
    </w:p>
    <w:p>
      <w:pPr>
        <w:spacing w:after="0" w:line="162"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2"/>
        </w:trPr>
        <w:tc>
          <w:tcPr>
            <w:tcW w:w="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5"/>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7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1060" w:type="dxa"/>
            <w:vAlign w:val="bottom"/>
            <w:gridSpan w:val="2"/>
          </w:tcPr>
          <w:p>
            <w:pPr>
              <w:spacing w:after="0"/>
              <w:rPr>
                <w:sz w:val="12"/>
                <w:szCs w:val="12"/>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13,223</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14,707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900" w:type="dxa"/>
            <w:vAlign w:val="bottom"/>
          </w:tcPr>
          <w:p>
            <w:pPr>
              <w:spacing w:after="0"/>
              <w:rPr>
                <w:sz w:val="17"/>
                <w:szCs w:val="17"/>
                <w:color w:val="auto"/>
              </w:rPr>
            </w:pPr>
          </w:p>
        </w:tc>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90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900" w:type="dxa"/>
            <w:vAlign w:val="bottom"/>
          </w:tcPr>
          <w:p>
            <w:pPr>
              <w:spacing w:after="0"/>
              <w:rPr>
                <w:sz w:val="20"/>
                <w:szCs w:val="20"/>
                <w:color w:val="auto"/>
              </w:rPr>
            </w:pPr>
          </w:p>
        </w:tc>
      </w:tr>
      <w:tr>
        <w:trPr>
          <w:trHeight w:val="210"/>
        </w:trPr>
        <w:tc>
          <w:tcPr>
            <w:tcW w:w="900" w:type="dxa"/>
            <w:vAlign w:val="bottom"/>
          </w:tcPr>
          <w:p>
            <w:pPr>
              <w:spacing w:after="0"/>
              <w:rPr>
                <w:sz w:val="18"/>
                <w:szCs w:val="18"/>
                <w:color w:val="auto"/>
              </w:rPr>
            </w:pPr>
          </w:p>
        </w:tc>
        <w:tc>
          <w:tcPr>
            <w:tcW w:w="3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0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5"/>
        </w:trPr>
        <w:tc>
          <w:tcPr>
            <w:tcW w:w="9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5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 (loss) and comprehensive income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w:t>
            </w: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459" w:firstLine="324"/>
        <w:spacing w:after="0" w:line="282" w:lineRule="auto"/>
        <w:rPr>
          <w:sz w:val="20"/>
          <w:szCs w:val="20"/>
          <w:color w:val="auto"/>
        </w:rPr>
      </w:pPr>
      <w:r>
        <w:rPr>
          <w:rFonts w:ascii="Times New Roman" w:cs="Times New Roman" w:eastAsia="Times New Roman" w:hAnsi="Times New Roman"/>
          <w:sz w:val="18"/>
          <w:szCs w:val="18"/>
          <w:color w:val="auto"/>
        </w:rPr>
        <w:t>We generated 87% and 77% of our revenue from products sold to distributors for the three months ended June 30, 2022 and 2021, respectively.</w:t>
      </w:r>
    </w:p>
    <w:p>
      <w:pPr>
        <w:spacing w:after="0" w:line="162"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6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7,793</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09"/>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gridSpan w:val="2"/>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79" w:firstLine="324"/>
        <w:spacing w:after="0" w:line="261" w:lineRule="auto"/>
        <w:rPr>
          <w:sz w:val="20"/>
          <w:szCs w:val="20"/>
          <w:color w:val="auto"/>
        </w:rPr>
      </w:pPr>
      <w:r>
        <w:rPr>
          <w:rFonts w:ascii="Times New Roman" w:cs="Times New Roman" w:eastAsia="Times New Roman" w:hAnsi="Times New Roman"/>
          <w:sz w:val="18"/>
          <w:szCs w:val="18"/>
          <w:color w:val="auto"/>
        </w:rPr>
        <w:t>Total revenue increased by $2.9 million, or 24.1%, from $11.8 million during the three months ended June 30, 2021 to $14.7 million during the three months ended June 30, 2022. The increase was primarily due to an increase of product sales by $3.0 million, or 29.8%, from $10.2 million to $13.2 million driven by a higher volume of units produced and sold, along with average sales price increases to offset supplier price increases.</w:t>
      </w:r>
    </w:p>
    <w:p>
      <w:pPr>
        <w:spacing w:after="0" w:line="180"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patent, and other revenue decreased by $0.2 million, or 10.7%, from $1.7 million during the three months ended June 30, 2021 to $1.5 million during the three months ended June 30, 2022. The decrease was driven by a decrease in licensing revenues from a contractual agreement with a customer for the development of a RAD-Hard product, consisting of a technology license, a design license agreement, and development contract that was entered into in the second quarter of 2021.</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720" w:type="dxa"/>
            <w:vAlign w:val="bottom"/>
            <w:gridSpan w:val="5"/>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720" w:type="dxa"/>
            <w:vAlign w:val="bottom"/>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5"/>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$ 5,793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$ 4,329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$ 1,464</w:t>
            </w: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33.8 %</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$ 4,652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$ 1,464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31.5 %</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4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40" w:right="27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increased by $1.5 million, or 33.8%, from $4.3 million during the three months ended June 30, 2021, to $5.8 million during the three months ended June 30, 2022. The increase was due to an increase in product sales, along with price increases from suppliers.</w:t>
      </w:r>
    </w:p>
    <w:p>
      <w:pPr>
        <w:spacing w:after="0" w:line="176"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Cost of licensing, royalty, patent, and other revenue remained consistent at $0.3 million during the three months ended June 30, 2022 and June 30, 2021, respectively.</w:t>
      </w:r>
    </w:p>
    <w:p>
      <w:pPr>
        <w:spacing w:after="0" w:line="162"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from 60.7% during the three months ended June 30, 2021, to 58.4% during the three months ended June 30, 2022. The decrease in gross margin was primarily due to price increases from suppliers.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7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340" w:type="dxa"/>
            <w:vAlign w:val="bottom"/>
            <w:gridSpan w:val="4"/>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$ 2,699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$ 3,357</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(658)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$0.7 million, or 19.6%, from $3.4 million during the three months ended June 30, 2021, to $2.7 million during the three months ended June 30, 2022. The decrease is primarily due to reduced development expenses related to the new 28nm product, that has started producing samples in 2022.</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$ 2,860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$ 2,338</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522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right="1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$0.5 million, or 22.3%,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 million during the three months ended June 30, 2021, to $2.9 million during the three months ended June 30, 2022. The increase is primarily due to increased stock-based compensation expense.</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$ 1,292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247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$0.3 million, or 23.6%, from $1.0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June 30, 2021, to $1.3 million during the three months ended June 30, 2022. The increase was primarily due to an increase in variable compensation.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30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(74)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decreased by $74,000, or 51.4%, from $144,000 during the three months ended June 30, 2021, to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$70,000 during the three months ended June 30, 2022. The decrease was due to lower outstanding balances under the credit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facility during the three months ended June 30, 2022, resulting in less interest incurred.</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4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3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4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108.3 %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219"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net changed from a $12,000 expense to income of $1,000 from the three months ended June 30, 2021 to the three months ended June 30, 2022. The increase was primarily due to change in fair value of warrants associated with the credit facility.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179" w:firstLine="324"/>
        <w:spacing w:after="0" w:line="282" w:lineRule="auto"/>
        <w:rPr>
          <w:sz w:val="20"/>
          <w:szCs w:val="20"/>
          <w:color w:val="auto"/>
        </w:rPr>
      </w:pPr>
      <w:r>
        <w:rPr>
          <w:rFonts w:ascii="Times New Roman" w:cs="Times New Roman" w:eastAsia="Times New Roman" w:hAnsi="Times New Roman"/>
          <w:sz w:val="18"/>
          <w:szCs w:val="18"/>
          <w:color w:val="auto"/>
        </w:rPr>
        <w:t>We generated 81% and 70% of our revenue from products sold through distributors for the six months ended June 30, 2022 and 2021, respectively.</w:t>
      </w:r>
    </w:p>
    <w:p>
      <w:pPr>
        <w:spacing w:after="0" w:line="162"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customer is located and to which our products are sold, and not to where the end products in which they are assembled are shipped. Our revenue by region and by type for the periods indicated were as follows (in thousands):</w:t>
      </w:r>
    </w:p>
    <w:p>
      <w:pPr>
        <w:spacing w:after="0" w:line="26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09"/>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22,128</w:t>
            </w: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19,255</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9"/>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revenue increased by $6.9 million, or 31.3%, from $22.1 million during the six months ended June 30, 2021 to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$29.0 million during the six months ended June 30, 2022. The increase was primarily due to an increase of product sales by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$6.6 million, or 34.5%, from $19.3 million to $25.9 million driven by a higher volume of units produced and sold, along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with average sales price increases to offset supplier price increases.</w:t>
      </w:r>
    </w:p>
    <w:p>
      <w:pPr>
        <w:spacing w:after="0" w:line="207"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patent, and other revenue increased by $0.3 million, or 10.0%, from $2.9 million during the six months ended June 30, 2021 to $3.2 million during the six months ended June 30, 2022. The increase was driven by an increase in licensing revenues from a contractual agreement with a customer for the development of a RAD-Hard product, consisting of a technology license, a design license agreement, and development contract that was entered into in the second quarter of 2021.</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13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00" w:type="dxa"/>
            <w:vAlign w:val="bottom"/>
            <w:gridSpan w:val="5"/>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$ 11,545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$ 8,586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$ 2,959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$ 12,140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$ 8,947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$ 3,193</w:t>
            </w:r>
          </w:p>
        </w:tc>
        <w:tc>
          <w:tcPr>
            <w:tcW w:w="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40" w:right="35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increased by $2.9 million, or 34.5%, from $8.6 million during the six months ended June 30, 2021, to $11.5 million during the six months ended June 30, 2022. The increase was due to an increase in product sales, along with price increases from suppliers.</w:t>
      </w:r>
    </w:p>
    <w:p>
      <w:pPr>
        <w:spacing w:after="0" w:line="176"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Cost of licensing, royalty, patent, and other revenue increased by $0.2 million from $0.4 million during the six months ended June 30, 2021, to $0.6 million during the six months ended June 30, 2022. The increase was primarily due to increases in foundry and licensing activities.</w:t>
      </w:r>
    </w:p>
    <w:p>
      <w:pPr>
        <w:spacing w:after="0" w:line="176"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from 59.6% during the six months ended June 30, 2021, to 58.2% during the six months ended June 30, 2022. The decrease in gross margin was primarily due to price increases from suppliers.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7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340" w:type="dxa"/>
            <w:vAlign w:val="bottom"/>
            <w:gridSpan w:val="4"/>
          </w:tcPr>
          <w:p>
            <w:pPr>
              <w:ind w:left="7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$ 5,135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$ 5,796</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(661)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26 %</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$0.7 million, or 11.4%, from $5.8 million during the six months ended June 30, 2021 to $5.1 million during the six months ended June 30, 2022. The decrease is primarily due to reduced development expenses related to the new 28nm product that has started producing samples in 2022.</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4"/>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$ 5,589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$ 5,181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408</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7.9 %</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$0.4 million, or 7.9%,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$5.2 million during the six months ended June 30, 2021, to $5.6 million during the six months ended June 30, 2022. The increase is primarily due to increased stock-based compensation expense offset by a gain on the sale of property and equipment.</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$ 2,426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$ 2,032</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394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jc w:val="both"/>
        <w:ind w:left="40" w:right="21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by $0.4 million, or 19.4%, from $2.0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six months ended June 30, 2021, to $2.4 million during the six months ended June 30, 2022. The increase was primarily due to an increase in variable compensation.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296</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(151)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decreased by $151,000, or 51.0%, from $296,000 during the six months ended June 30, 2021, to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$145,000 during the six months ended June 30, 2022. The decrease was due to lower outstanding balances under the credit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facility during the six months ended June 30, 2022, resulting in less interest incurred.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9"/>
        </w:trPr>
        <w:tc>
          <w:tcPr>
            <w:tcW w:w="3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7"/>
                <w:szCs w:val="17"/>
                <w:color w:val="auto"/>
              </w:rPr>
            </w:pPr>
          </w:p>
        </w:tc>
        <w:tc>
          <w:tcPr>
            <w:tcW w:w="136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3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128"/>
        </w:trPr>
        <w:tc>
          <w:tcPr>
            <w:tcW w:w="3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6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(27)</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14</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bl>
    <w:p>
      <w:pPr>
        <w:spacing w:after="0" w:line="198"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decreased from $27,000 in expense to $13,000 in expense from the six months ended June 30, 2021 to the six months ended June 30, 2022. The decrease was primarily due to a change in fair value of warrants associated with the credit facility.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239" w:firstLine="324"/>
        <w:spacing w:after="0" w:line="256" w:lineRule="auto"/>
        <w:rPr>
          <w:sz w:val="20"/>
          <w:szCs w:val="20"/>
          <w:color w:val="auto"/>
        </w:rPr>
      </w:pPr>
      <w:r>
        <w:rPr>
          <w:rFonts w:ascii="Times New Roman" w:cs="Times New Roman" w:eastAsia="Times New Roman" w:hAnsi="Times New Roman"/>
          <w:sz w:val="18"/>
          <w:szCs w:val="18"/>
          <w:color w:val="auto"/>
        </w:rPr>
        <w:t>We have generated significant losses since our inception and had an accumulated deficit of $149.2 million as of June 30, 2022, compared to $152.8 million as of December 31, 2021. We have historically financed our operations primarily through the sale of our common stock in our initial public offering (IPO) and follow-on public offering, sales of our common stock under our at-the-market (ATM) program (which was terminated in November 2020), sales of our redeemable convertible preferred stock, debt financing and the sale of our products. As of June 30, 2022, we had $23.1 million of cash and cash equivalents, compared to $21.4 million as of December 31, 2021.</w:t>
      </w:r>
    </w:p>
    <w:p>
      <w:pPr>
        <w:spacing w:after="0" w:line="187" w:lineRule="exact"/>
        <w:rPr>
          <w:sz w:val="20"/>
          <w:szCs w:val="20"/>
          <w:color w:val="auto"/>
        </w:rPr>
      </w:pPr>
    </w:p>
    <w:p>
      <w:pPr>
        <w:ind w:left="40" w:right="239" w:firstLine="324"/>
        <w:spacing w:after="0" w:line="277" w:lineRule="auto"/>
        <w:rPr>
          <w:sz w:val="20"/>
          <w:szCs w:val="20"/>
          <w:color w:val="auto"/>
        </w:rPr>
      </w:pPr>
      <w:r>
        <w:rPr>
          <w:rFonts w:ascii="Times New Roman" w:cs="Times New Roman" w:eastAsia="Times New Roman" w:hAnsi="Times New Roman"/>
          <w:sz w:val="17"/>
          <w:szCs w:val="17"/>
          <w:color w:val="auto"/>
        </w:rPr>
        <w:t>We believe that our existing cash and cash equivalents as of June 30, 2022, coupled with the amount available under our credit facility and our anticipated growth and sales levels, will be sufficient to meet our anticipated cash requirements for the next twelve months and beyond.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68" w:lineRule="exact"/>
        <w:rPr>
          <w:sz w:val="20"/>
          <w:szCs w:val="20"/>
          <w:color w:val="auto"/>
        </w:rPr>
      </w:pPr>
    </w:p>
    <w:p>
      <w:pPr>
        <w:ind w:left="40" w:right="279"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2019 Credit Facility, see Note 6 to our condensed financial statements in Part I, Item 1 of this report.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67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940" w:type="dxa"/>
        <w:tblCellMar>
          <w:top w:w="0" w:type="dxa"/>
          <w:left w:w="0" w:type="dxa"/>
          <w:bottom w:w="0" w:type="dxa"/>
          <w:right w:w="0" w:type="dxa"/>
        </w:tblCellMar>
      </w:tblPr>
      <w:tr>
        <w:trPr>
          <w:trHeight w:val="142"/>
        </w:trPr>
        <w:tc>
          <w:tcPr>
            <w:tcW w:w="3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3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2022, cash provided by operating activities was $3.4 million, which consisted of net income of $3.6 million, cash provided by non-cash charges of $2.5 million and changes of net operating assets and liabilities of $2.7 million. The non-cash charges primarily consisted of stock-based compensation of $2.1 million, and depreciation and amortization of $0.5 million. The use of cash due to the change in our net operating assets and liabilities was primarily due to an decrease in accounts receivable of $1.1 million due to timing of cash receipts for outstanding balances, a decrease in accounts payable of $0.2 million, a decrease in accrued liabilities of $1.4 million primarily due to variable compensation costs, profit sharing, and a decrease in deferred revenue of $0.8 million. These uses were partially offset by a decrease in other assets of $0.7 million.</w:t>
      </w:r>
    </w:p>
    <w:p>
      <w:pPr>
        <w:spacing w:after="0" w:line="192"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2021, cash provided by operating activities was $1.1 million, which consisted of a net loss of $0.2 million, cash provided by non-cash charges of $2.4 million and cash used in changes of net operating assets and liabilities of $1.1 million. The non-cash charges primarily consisted of stock-based compensation of $1.4 million, depreciation and amortization of $0.8 million, and interest expense related to the amortization of debt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issuance costs of $0.2 million. The use of cash due to the change in our net operating assets and liabilities was primarily due to an increase in accounts receivable of $2.8 million due to timing of cash receipts for outstanding balances, an increase of $0.9 million in inventory due to increased inventory levels, and a decrease of $0.1 million in accrued liabilities due to the timing of payments. These uses were partially offset by an increase in deferred revenue of $1.8 million and an increase in accounts payable of $0.9 million.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2022, was $0.8 million, reflecting $1.0 million for the purchase of manufacturing equipment offset by $0.2 million in proceeds received on the sale of property and equipment.</w:t>
      </w:r>
    </w:p>
    <w:p>
      <w:pPr>
        <w:spacing w:after="0" w:line="176" w:lineRule="exact"/>
        <w:rPr>
          <w:sz w:val="20"/>
          <w:szCs w:val="20"/>
          <w:color w:val="auto"/>
        </w:rPr>
      </w:pPr>
    </w:p>
    <w:p>
      <w:pPr>
        <w:ind w:left="40" w:right="49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six months ended June 30, 2021, was $0.6 million for the purchase of manufacturing and computer equipment.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left="40" w:right="679"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during both the six months ended June 30, 2022, and 2021, was $0.9 million, consisting mainly of $1.2 million of payments of term loan installments offset by $0.3 million in proceeds from the exercise of employee stock options.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2021, filed with the SEC on March 9, 2022, that have had a material impact on our condensed financial statements and related notes.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40" w:right="119" w:firstLine="324"/>
        <w:spacing w:after="0" w:line="289" w:lineRule="auto"/>
        <w:rPr>
          <w:sz w:val="20"/>
          <w:szCs w:val="20"/>
          <w:color w:val="auto"/>
        </w:rPr>
      </w:pPr>
      <w:r>
        <w:rPr>
          <w:rFonts w:ascii="Times New Roman" w:cs="Times New Roman" w:eastAsia="Times New Roman" w:hAnsi="Times New Roman"/>
          <w:sz w:val="17"/>
          <w:szCs w:val="17"/>
          <w:color w:val="auto"/>
        </w:rPr>
        <w:t>Our management, including our Chief Executive Officer (CEO) and Chief Financial Officer (CFO), evaluated the effectiveness of the design and operation of our disclosure controls and procedures (as defined in Rules 13a-15(e) and 15d-15(e) under the Exchange Act), as of June 30, 2022, the end of the period covered by this quarterly report on Form 10-Q.</w:t>
      </w:r>
    </w:p>
    <w:p>
      <w:pPr>
        <w:spacing w:after="0" w:line="158"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not effective at the reasonable assurance level as of June 30, 2022, based on the material weakness discussed below.</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Material weakness in internal control over financial reporting.</w:t>
      </w:r>
    </w:p>
    <w:p>
      <w:pPr>
        <w:spacing w:after="0" w:line="227"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(as defined in Rules 13a-15(f) and 15d-15(f) under the Exchange Act) such that there is a reasonable possibility that a material misstatement of the annual or interim financial statements will not be prevented or detected on a timely basis. In connection with the preparation of our audited annual financial statements for the year ended December 31, 2021, we determined our controls around inventory, including unit level cost allocations and communication protocols between operations and accounting were not sufficiently designed to prevent and detect a material misstatement. We have established a plan to remediate this material weakness outlined below.</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Management’s steps taken to remediate the material weakness.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remediate this material weakness, we have taken the following actions:</w:t>
      </w:r>
    </w:p>
    <w:p>
      <w:pPr>
        <w:spacing w:after="0" w:line="225" w:lineRule="exact"/>
        <w:rPr>
          <w:sz w:val="20"/>
          <w:szCs w:val="20"/>
          <w:color w:val="auto"/>
        </w:rPr>
      </w:pPr>
    </w:p>
    <w:p>
      <w:pPr>
        <w:ind w:left="640" w:right="259" w:hanging="245"/>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establishing multi-discipline processes to actively manage and make decisions regarding our inventory to support our business objectives.</w:t>
      </w:r>
    </w:p>
    <w:p>
      <w:pPr>
        <w:spacing w:after="0" w:line="161" w:lineRule="exact"/>
        <w:rPr>
          <w:rFonts w:ascii="Times New Roman" w:cs="Times New Roman" w:eastAsia="Times New Roman" w:hAnsi="Times New Roman"/>
          <w:sz w:val="18"/>
          <w:szCs w:val="18"/>
          <w:color w:val="auto"/>
        </w:rPr>
      </w:pPr>
    </w:p>
    <w:p>
      <w:pPr>
        <w:ind w:left="640" w:right="219" w:hanging="245"/>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establishing reconciliations by product family based on unit cost at each stage of the wafer manufacturing process.</w:t>
      </w:r>
    </w:p>
    <w:p>
      <w:pPr>
        <w:spacing w:after="0" w:line="161" w:lineRule="exact"/>
        <w:rPr>
          <w:rFonts w:ascii="Times New Roman" w:cs="Times New Roman" w:eastAsia="Times New Roman" w:hAnsi="Times New Roman"/>
          <w:sz w:val="18"/>
          <w:szCs w:val="18"/>
          <w:color w:val="auto"/>
        </w:rPr>
      </w:pPr>
    </w:p>
    <w:p>
      <w:pPr>
        <w:ind w:left="640" w:right="379" w:hanging="245"/>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taking steps to identify unit pricing variances between each stage of the wafer manufacturing process to ensure cost allocation amounts are appropriately reflected at both the unit and product family level.</w:t>
      </w:r>
    </w:p>
    <w:p>
      <w:pPr>
        <w:spacing w:after="0" w:line="161" w:lineRule="exact"/>
        <w:rPr>
          <w:rFonts w:ascii="Times New Roman" w:cs="Times New Roman" w:eastAsia="Times New Roman" w:hAnsi="Times New Roman"/>
          <w:sz w:val="18"/>
          <w:szCs w:val="18"/>
          <w:color w:val="auto"/>
        </w:rPr>
      </w:pPr>
    </w:p>
    <w:p>
      <w:pPr>
        <w:ind w:left="640" w:hanging="24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providing additional training to our teams and updating procedures with our third-party Assembly Houses.</w:t>
      </w:r>
    </w:p>
    <w:p>
      <w:pPr>
        <w:spacing w:after="0" w:line="225" w:lineRule="exact"/>
        <w:rPr>
          <w:rFonts w:ascii="Times New Roman" w:cs="Times New Roman" w:eastAsia="Times New Roman" w:hAnsi="Times New Roman"/>
          <w:sz w:val="18"/>
          <w:szCs w:val="18"/>
          <w:color w:val="auto"/>
        </w:rPr>
      </w:pPr>
    </w:p>
    <w:p>
      <w:pPr>
        <w:ind w:left="640" w:right="59" w:hanging="245"/>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additional qualified personnel to assist management with its financial statement close process and provide oversight of our financial reporting and inventory costing processes.</w:t>
      </w:r>
    </w:p>
    <w:p>
      <w:pPr>
        <w:spacing w:after="0" w:line="162" w:lineRule="exact"/>
        <w:rPr>
          <w:sz w:val="20"/>
          <w:szCs w:val="20"/>
          <w:color w:val="auto"/>
        </w:rPr>
      </w:pPr>
    </w:p>
    <w:p>
      <w:pPr>
        <w:ind w:left="40" w:right="479" w:firstLine="324"/>
        <w:spacing w:after="0" w:line="258" w:lineRule="auto"/>
        <w:rPr>
          <w:sz w:val="20"/>
          <w:szCs w:val="20"/>
          <w:color w:val="auto"/>
        </w:rPr>
      </w:pPr>
      <w:r>
        <w:rPr>
          <w:rFonts w:ascii="Times New Roman" w:cs="Times New Roman" w:eastAsia="Times New Roman" w:hAnsi="Times New Roman"/>
          <w:sz w:val="18"/>
          <w:szCs w:val="18"/>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and to prevent and detect material misstatements.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left="40" w:right="59" w:firstLine="324"/>
        <w:spacing w:after="0" w:line="266" w:lineRule="auto"/>
        <w:rPr>
          <w:sz w:val="20"/>
          <w:szCs w:val="20"/>
          <w:color w:val="auto"/>
        </w:rPr>
      </w:pPr>
      <w:r>
        <w:rPr>
          <w:rFonts w:ascii="Times New Roman" w:cs="Times New Roman" w:eastAsia="Times New Roman" w:hAnsi="Times New Roman"/>
          <w:sz w:val="18"/>
          <w:szCs w:val="18"/>
          <w:color w:val="auto"/>
        </w:rPr>
        <w:t>Except with respect to the remediation actions described above, there have been no changes in our internal control over financial reporting that occurred during the six months ended June 30, 2022, that have materially affected, or are reasonably likely to materially affect, our internal control over financial reporting.</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75" w:lineRule="exact"/>
        <w:rPr>
          <w:sz w:val="20"/>
          <w:szCs w:val="20"/>
          <w:color w:val="auto"/>
        </w:rPr>
      </w:pPr>
    </w:p>
    <w:p>
      <w:pPr>
        <w:ind w:left="640" w:right="299" w:hanging="245"/>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and may be unable to raise capital when needed, which could force us to delay, reduce, or eliminate planned activities.</w:t>
      </w:r>
    </w:p>
    <w:p>
      <w:pPr>
        <w:spacing w:after="0" w:line="53" w:lineRule="exact"/>
        <w:rPr>
          <w:rFonts w:ascii="Times New Roman" w:cs="Times New Roman" w:eastAsia="Times New Roman" w:hAnsi="Times New Roman"/>
          <w:sz w:val="18"/>
          <w:szCs w:val="18"/>
          <w:color w:val="auto"/>
        </w:rPr>
      </w:pPr>
    </w:p>
    <w:p>
      <w:pPr>
        <w:ind w:left="640" w:hanging="24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we cannot be certain that we will sustain profitability.</w:t>
      </w:r>
    </w:p>
    <w:p>
      <w:pPr>
        <w:spacing w:after="0" w:line="117" w:lineRule="exact"/>
        <w:rPr>
          <w:rFonts w:ascii="Times New Roman" w:cs="Times New Roman" w:eastAsia="Times New Roman" w:hAnsi="Times New Roman"/>
          <w:sz w:val="18"/>
          <w:szCs w:val="18"/>
          <w:color w:val="auto"/>
        </w:rPr>
      </w:pPr>
    </w:p>
    <w:p>
      <w:pPr>
        <w:ind w:left="640" w:hanging="24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credit facility may restrict our ability to pursue our business strategies.</w:t>
      </w:r>
    </w:p>
    <w:p>
      <w:pPr>
        <w:spacing w:after="0" w:line="117" w:lineRule="exact"/>
        <w:rPr>
          <w:rFonts w:ascii="Times New Roman" w:cs="Times New Roman" w:eastAsia="Times New Roman" w:hAnsi="Times New Roman"/>
          <w:sz w:val="18"/>
          <w:szCs w:val="18"/>
          <w:color w:val="auto"/>
        </w:rPr>
      </w:pPr>
    </w:p>
    <w:p>
      <w:pPr>
        <w:ind w:left="640" w:right="259" w:hanging="245"/>
        <w:spacing w:after="0" w:line="289" w:lineRule="auto"/>
        <w:tabs>
          <w:tab w:leader="none" w:pos="6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49" w:lineRule="exact"/>
        <w:rPr>
          <w:rFonts w:ascii="Times New Roman" w:cs="Times New Roman" w:eastAsia="Times New Roman" w:hAnsi="Times New Roman"/>
          <w:sz w:val="17"/>
          <w:szCs w:val="17"/>
          <w:color w:val="auto"/>
        </w:rPr>
      </w:pPr>
    </w:p>
    <w:p>
      <w:pPr>
        <w:ind w:left="640" w:right="779" w:hanging="245"/>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history of STT-MRAM adoption makes it difficult to evaluate our current business and future prospects.</w:t>
      </w:r>
    </w:p>
    <w:p>
      <w:pPr>
        <w:spacing w:after="0" w:line="53" w:lineRule="exact"/>
        <w:rPr>
          <w:rFonts w:ascii="Times New Roman" w:cs="Times New Roman" w:eastAsia="Times New Roman" w:hAnsi="Times New Roman"/>
          <w:sz w:val="18"/>
          <w:szCs w:val="18"/>
          <w:color w:val="auto"/>
        </w:rPr>
      </w:pPr>
    </w:p>
    <w:p>
      <w:pPr>
        <w:ind w:left="640" w:right="159" w:hanging="245"/>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67" w:lineRule="exact"/>
        <w:rPr>
          <w:rFonts w:ascii="Times New Roman" w:cs="Times New Roman" w:eastAsia="Times New Roman" w:hAnsi="Times New Roman"/>
          <w:sz w:val="18"/>
          <w:szCs w:val="18"/>
          <w:color w:val="auto"/>
        </w:rPr>
      </w:pPr>
    </w:p>
    <w:p>
      <w:pPr>
        <w:ind w:left="640" w:right="79" w:hanging="245"/>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expand into new potential markets, we expect to face intense competition, including from our customers and potential customers, and may not be able to compete effectively, which could harm our business.</w:t>
      </w:r>
    </w:p>
    <w:p>
      <w:pPr>
        <w:spacing w:after="0" w:line="53" w:lineRule="exact"/>
        <w:rPr>
          <w:rFonts w:ascii="Times New Roman" w:cs="Times New Roman" w:eastAsia="Times New Roman" w:hAnsi="Times New Roman"/>
          <w:sz w:val="18"/>
          <w:szCs w:val="18"/>
          <w:color w:val="auto"/>
        </w:rPr>
      </w:pPr>
    </w:p>
    <w:p>
      <w:pPr>
        <w:jc w:val="both"/>
        <w:ind w:left="640" w:right="139" w:hanging="245"/>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67" w:lineRule="exact"/>
        <w:rPr>
          <w:rFonts w:ascii="Times New Roman" w:cs="Times New Roman" w:eastAsia="Times New Roman" w:hAnsi="Times New Roman"/>
          <w:sz w:val="18"/>
          <w:szCs w:val="18"/>
          <w:color w:val="auto"/>
        </w:rPr>
      </w:pPr>
    </w:p>
    <w:p>
      <w:pPr>
        <w:ind w:left="640" w:right="159" w:hanging="245"/>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and increased costs of components used in our products may adversely impact our business, results of operations and financial condition, including our ability to fulfill customer demand.</w:t>
      </w:r>
    </w:p>
    <w:p>
      <w:pPr>
        <w:spacing w:after="0" w:line="53" w:lineRule="exact"/>
        <w:rPr>
          <w:rFonts w:ascii="Times New Roman" w:cs="Times New Roman" w:eastAsia="Times New Roman" w:hAnsi="Times New Roman"/>
          <w:sz w:val="18"/>
          <w:szCs w:val="18"/>
          <w:color w:val="auto"/>
        </w:rPr>
      </w:pPr>
    </w:p>
    <w:p>
      <w:pPr>
        <w:ind w:left="640" w:hanging="24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development agreement and strategic relationships involve numerous risks.</w:t>
      </w:r>
    </w:p>
    <w:p>
      <w:pPr>
        <w:spacing w:after="0" w:line="117" w:lineRule="exact"/>
        <w:rPr>
          <w:rFonts w:ascii="Times New Roman" w:cs="Times New Roman" w:eastAsia="Times New Roman" w:hAnsi="Times New Roman"/>
          <w:sz w:val="18"/>
          <w:szCs w:val="18"/>
          <w:color w:val="auto"/>
        </w:rPr>
      </w:pPr>
    </w:p>
    <w:p>
      <w:pPr>
        <w:ind w:left="640" w:right="279" w:hanging="245"/>
        <w:spacing w:after="0" w:line="282"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semiconductor memory products is characterized by declines in average selling prices, which we expect to continue, and which could negatively affect our revenue and margins.</w:t>
      </w:r>
    </w:p>
    <w:p>
      <w:pPr>
        <w:spacing w:after="0" w:line="53" w:lineRule="exact"/>
        <w:rPr>
          <w:rFonts w:ascii="Times New Roman" w:cs="Times New Roman" w:eastAsia="Times New Roman" w:hAnsi="Times New Roman"/>
          <w:sz w:val="18"/>
          <w:szCs w:val="18"/>
          <w:color w:val="auto"/>
        </w:rPr>
      </w:pPr>
    </w:p>
    <w:p>
      <w:pPr>
        <w:ind w:left="640" w:right="219" w:hanging="245"/>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right="459" w:hanging="245"/>
        <w:spacing w:after="0" w:line="289"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9" w:lineRule="exact"/>
        <w:rPr>
          <w:rFonts w:ascii="Times New Roman" w:cs="Times New Roman" w:eastAsia="Times New Roman" w:hAnsi="Times New Roman"/>
          <w:sz w:val="17"/>
          <w:szCs w:val="17"/>
          <w:color w:val="auto"/>
        </w:rPr>
      </w:pPr>
    </w:p>
    <w:p>
      <w:pPr>
        <w:ind w:left="640" w:right="57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several of our customers or reduced orders or pricing from existing customers may have a significant adverse effect on our operations and financial results.</w:t>
      </w:r>
    </w:p>
    <w:p>
      <w:pPr>
        <w:spacing w:after="0" w:line="53" w:lineRule="exact"/>
        <w:rPr>
          <w:rFonts w:ascii="Times New Roman" w:cs="Times New Roman" w:eastAsia="Times New Roman" w:hAnsi="Times New Roman"/>
          <w:sz w:val="18"/>
          <w:szCs w:val="18"/>
          <w:color w:val="auto"/>
        </w:rPr>
      </w:pPr>
    </w:p>
    <w:p>
      <w:pPr>
        <w:ind w:left="640" w:right="9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and expect competition to increase in the future. If we fail to compete effectively, our revenue growth and results of operations will be materially and adversely affected.</w:t>
      </w:r>
    </w:p>
    <w:p>
      <w:pPr>
        <w:spacing w:after="0" w:line="53" w:lineRule="exact"/>
        <w:rPr>
          <w:rFonts w:ascii="Times New Roman" w:cs="Times New Roman" w:eastAsia="Times New Roman" w:hAnsi="Times New Roman"/>
          <w:sz w:val="18"/>
          <w:szCs w:val="18"/>
          <w:color w:val="auto"/>
        </w:rPr>
      </w:pPr>
    </w:p>
    <w:p>
      <w:pPr>
        <w:ind w:left="640" w:right="13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increase substantially if we or our third-party manufacturing contractors do not achieve satisfactory product yields or quality.</w:t>
      </w:r>
    </w:p>
    <w:p>
      <w:pPr>
        <w:spacing w:after="0" w:line="53" w:lineRule="exact"/>
        <w:rPr>
          <w:rFonts w:ascii="Times New Roman" w:cs="Times New Roman" w:eastAsia="Times New Roman" w:hAnsi="Times New Roman"/>
          <w:sz w:val="18"/>
          <w:szCs w:val="18"/>
          <w:color w:val="auto"/>
        </w:rPr>
      </w:pPr>
    </w:p>
    <w:p>
      <w:pPr>
        <w:ind w:left="640" w:right="15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may lead to defects, which could negatively impact our reputation with customers and result in liability.</w:t>
      </w:r>
    </w:p>
    <w:p>
      <w:pPr>
        <w:spacing w:after="0" w:line="53" w:lineRule="exact"/>
        <w:rPr>
          <w:rFonts w:ascii="Times New Roman" w:cs="Times New Roman" w:eastAsia="Times New Roman" w:hAnsi="Times New Roman"/>
          <w:sz w:val="18"/>
          <w:szCs w:val="18"/>
          <w:color w:val="auto"/>
        </w:rPr>
      </w:pPr>
    </w:p>
    <w:p>
      <w:pPr>
        <w:ind w:left="640" w:right="159" w:hanging="245"/>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67" w:lineRule="exact"/>
        <w:rPr>
          <w:rFonts w:ascii="Times New Roman" w:cs="Times New Roman" w:eastAsia="Times New Roman" w:hAnsi="Times New Roman"/>
          <w:sz w:val="18"/>
          <w:szCs w:val="18"/>
          <w:color w:val="auto"/>
        </w:rPr>
      </w:pPr>
    </w:p>
    <w:p>
      <w:pPr>
        <w:ind w:left="640" w:right="37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industry standards and technical requirements relevant to our products and markets could adversely affect our business, results of operations and prospects.</w:t>
      </w:r>
    </w:p>
    <w:p>
      <w:pPr>
        <w:spacing w:after="0" w:line="53" w:lineRule="exact"/>
        <w:rPr>
          <w:rFonts w:ascii="Times New Roman" w:cs="Times New Roman" w:eastAsia="Times New Roman" w:hAnsi="Times New Roman"/>
          <w:sz w:val="18"/>
          <w:szCs w:val="18"/>
          <w:color w:val="auto"/>
        </w:rPr>
      </w:pPr>
    </w:p>
    <w:p>
      <w:pPr>
        <w:ind w:left="640" w:right="39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attract and retain key employees, and our failure to do so could harm our ability to grow our business and execute our business strategies.</w:t>
      </w:r>
    </w:p>
    <w:p>
      <w:pPr>
        <w:spacing w:after="0" w:line="53" w:lineRule="exact"/>
        <w:rPr>
          <w:rFonts w:ascii="Times New Roman" w:cs="Times New Roman" w:eastAsia="Times New Roman" w:hAnsi="Times New Roman"/>
          <w:sz w:val="18"/>
          <w:szCs w:val="18"/>
          <w:color w:val="auto"/>
        </w:rPr>
      </w:pPr>
    </w:p>
    <w:p>
      <w:pPr>
        <w:ind w:left="640" w:right="45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maintain, and are seeking to expand, operations outside of the United States which exposes us to significant risks.</w:t>
      </w:r>
    </w:p>
    <w:p>
      <w:pPr>
        <w:spacing w:after="0" w:line="53" w:lineRule="exact"/>
        <w:rPr>
          <w:rFonts w:ascii="Times New Roman" w:cs="Times New Roman" w:eastAsia="Times New Roman" w:hAnsi="Times New Roman"/>
          <w:sz w:val="18"/>
          <w:szCs w:val="18"/>
          <w:color w:val="auto"/>
        </w:rPr>
      </w:pPr>
    </w:p>
    <w:p>
      <w:pPr>
        <w:ind w:left="640" w:right="79" w:hanging="245"/>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manage the transitions associated with certain of our executive officers, which could have an adverse impact on us.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a more complete discussion of the material risk factors applicable to us, see below.</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 and Our Indebtedness</w:t>
      </w:r>
    </w:p>
    <w:p>
      <w:pPr>
        <w:spacing w:after="0" w:line="22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could force us to delay, reduce, or eliminate planned activities.</w:t>
      </w:r>
    </w:p>
    <w:p>
      <w:pPr>
        <w:spacing w:after="0" w:line="159" w:lineRule="exact"/>
        <w:rPr>
          <w:sz w:val="20"/>
          <w:szCs w:val="20"/>
          <w:color w:val="auto"/>
        </w:rPr>
      </w:pPr>
    </w:p>
    <w:p>
      <w:pPr>
        <w:ind w:left="40" w:right="79" w:firstLine="324"/>
        <w:spacing w:after="0" w:line="253" w:lineRule="auto"/>
        <w:rPr>
          <w:sz w:val="20"/>
          <w:szCs w:val="20"/>
          <w:color w:val="auto"/>
        </w:rPr>
      </w:pPr>
      <w:r>
        <w:rPr>
          <w:rFonts w:ascii="Times New Roman" w:cs="Times New Roman" w:eastAsia="Times New Roman" w:hAnsi="Times New Roman"/>
          <w:sz w:val="18"/>
          <w:szCs w:val="18"/>
          <w:color w:val="auto"/>
        </w:rPr>
        <w:t>Our total revenue was approximately $29.1 million for the six months ended June 30, 2022, and $55.1 million for the year ended December 31, 2021. As of June 30, 2022, we had cash and cash equivalents of approximately $23.1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94"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3"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cannot be certain that we will sustain profitability.</w:t>
      </w:r>
    </w:p>
    <w:p>
      <w:pPr>
        <w:spacing w:after="0" w:line="229" w:lineRule="exact"/>
        <w:rPr>
          <w:sz w:val="20"/>
          <w:szCs w:val="20"/>
          <w:color w:val="auto"/>
        </w:rPr>
      </w:pPr>
    </w:p>
    <w:p>
      <w:pPr>
        <w:ind w:left="40" w:right="99" w:firstLine="324"/>
        <w:spacing w:after="0" w:line="253" w:lineRule="auto"/>
        <w:rPr>
          <w:sz w:val="20"/>
          <w:szCs w:val="20"/>
          <w:color w:val="auto"/>
        </w:rPr>
      </w:pPr>
      <w:r>
        <w:rPr>
          <w:rFonts w:ascii="Times New Roman" w:cs="Times New Roman" w:eastAsia="Times New Roman" w:hAnsi="Times New Roman"/>
          <w:sz w:val="18"/>
          <w:szCs w:val="18"/>
          <w:color w:val="auto"/>
        </w:rPr>
        <w:t>Although we generated net income of $4.3 million for the year ended December 31, 2021, and net income of $3.7 million for the six months ended June 30, 2022, we have historically incurred net losses since our inception. As of June 30, 2022, we had an accumulated deficit of $149.2 million. 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credit facility may restrict our ability to pursue our business strategies.</w:t>
      </w:r>
    </w:p>
    <w:p>
      <w:pPr>
        <w:spacing w:after="0" w:line="229"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 business activities or expand or fully pursue our business strategies. For example, our existing credit facility prohibits our ability to, among other things:</w:t>
      </w:r>
    </w:p>
    <w:p>
      <w:pPr>
        <w:spacing w:after="0" w:line="183" w:lineRule="exact"/>
        <w:rPr>
          <w:sz w:val="20"/>
          <w:szCs w:val="20"/>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sell assets;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other entities;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subordinated indebtedness.</w:t>
      </w:r>
    </w:p>
    <w:p>
      <w:pPr>
        <w:spacing w:after="0" w:line="225"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75" w:lineRule="exact"/>
        <w:rPr>
          <w:sz w:val="20"/>
          <w:szCs w:val="20"/>
          <w:color w:val="auto"/>
        </w:rPr>
      </w:pPr>
    </w:p>
    <w:p>
      <w:pPr>
        <w:ind w:left="40" w:right="79" w:firstLine="324"/>
        <w:spacing w:after="0" w:line="253" w:lineRule="auto"/>
        <w:rPr>
          <w:sz w:val="20"/>
          <w:szCs w:val="20"/>
          <w:color w:val="auto"/>
        </w:rPr>
      </w:pPr>
      <w:r>
        <w:rPr>
          <w:rFonts w:ascii="Times New Roman" w:cs="Times New Roman" w:eastAsia="Times New Roman" w:hAnsi="Times New Roman"/>
          <w:sz w:val="18"/>
          <w:szCs w:val="18"/>
          <w:color w:val="auto"/>
        </w:rPr>
        <w:t>We could be negatively impacted by the widespread outbreak of an illness, any other communicable disease or any other public health crisis that results in economic and trade disruptions, including the disruption of global supply chains.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new variants of COVID-19, that are significantly more contagious than previous strains, have emerged. The spread of these new strains have caused many government authorities and businesses to reimplement the aforementioned measures to try to reduce the spread that had become less prevalent. While some of these restrictions have begun to be lifted, the lingering impact of the COVID-19 pandemic continues to create significant volatility throughout the global economy, including supply chain constraints, labor supply issues and higher inflation. Accordingly, it is unclear at this point the full impact COVID-19 and its variants will have on the global economy and on our Company.</w:t>
      </w:r>
    </w:p>
    <w:p>
      <w:pPr>
        <w:spacing w:after="0" w:line="192" w:lineRule="exact"/>
        <w:rPr>
          <w:sz w:val="20"/>
          <w:szCs w:val="20"/>
          <w:color w:val="auto"/>
        </w:rPr>
      </w:pPr>
    </w:p>
    <w:p>
      <w:pPr>
        <w:ind w:left="40" w:right="139"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COVID-19 pandemic and the related responses from government authorities, our business, results of operations and financial condition have been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 work in our manufacturing and laboratory locations.</w:t>
      </w:r>
    </w:p>
    <w:p>
      <w:pPr>
        <w:spacing w:after="0" w:line="192" w:lineRule="exact"/>
        <w:rPr>
          <w:sz w:val="20"/>
          <w:szCs w:val="20"/>
          <w:color w:val="auto"/>
        </w:rPr>
      </w:pPr>
    </w:p>
    <w:p>
      <w:pPr>
        <w:ind w:left="40" w:right="439" w:firstLine="324"/>
        <w:spacing w:after="0" w:line="282" w:lineRule="auto"/>
        <w:rPr>
          <w:sz w:val="20"/>
          <w:szCs w:val="20"/>
          <w:color w:val="auto"/>
        </w:rPr>
      </w:pPr>
      <w:r>
        <w:rPr>
          <w:rFonts w:ascii="Times New Roman" w:cs="Times New Roman" w:eastAsia="Times New Roman" w:hAnsi="Times New Roman"/>
          <w:sz w:val="18"/>
          <w:szCs w:val="18"/>
          <w:color w:val="auto"/>
        </w:rPr>
        <w:t xml:space="preserve">Additionally, our business, results of operations and financial condition </w:t>
      </w:r>
      <w:r>
        <w:rPr>
          <w:rFonts w:ascii="Times New Roman" w:cs="Times New Roman" w:eastAsia="Times New Roman" w:hAnsi="Times New Roman"/>
          <w:sz w:val="18"/>
          <w:szCs w:val="18"/>
          <w:color w:val="212529"/>
        </w:rPr>
        <w:t>have been and may be further impacted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several ways, including, but not limited to, the following:</w:t>
      </w:r>
    </w:p>
    <w:p>
      <w:pPr>
        <w:spacing w:after="0" w:line="162" w:lineRule="exact"/>
        <w:rPr>
          <w:sz w:val="20"/>
          <w:szCs w:val="20"/>
          <w:color w:val="auto"/>
        </w:rPr>
      </w:pPr>
    </w:p>
    <w:p>
      <w:pPr>
        <w:ind w:left="1040" w:right="159" w:hanging="321"/>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67" w:lineRule="exact"/>
        <w:rPr>
          <w:rFonts w:ascii="Times New Roman" w:cs="Times New Roman" w:eastAsia="Times New Roman" w:hAnsi="Times New Roman"/>
          <w:sz w:val="18"/>
          <w:szCs w:val="18"/>
          <w:color w:val="auto"/>
        </w:rPr>
      </w:pPr>
    </w:p>
    <w:p>
      <w:pPr>
        <w:ind w:left="1040" w:right="259" w:hanging="321"/>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reduced demand for our products, particularly due to disruptions to the businesses and operations of our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0" w:hanging="321"/>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availability or delays in global shipping to transport our products;</w:t>
      </w:r>
    </w:p>
    <w:p>
      <w:pPr>
        <w:spacing w:after="0" w:line="117" w:lineRule="exact"/>
        <w:rPr>
          <w:rFonts w:ascii="Times New Roman" w:cs="Times New Roman" w:eastAsia="Times New Roman" w:hAnsi="Times New Roman"/>
          <w:sz w:val="18"/>
          <w:szCs w:val="18"/>
          <w:color w:val="auto"/>
        </w:rPr>
      </w:pPr>
    </w:p>
    <w:p>
      <w:pPr>
        <w:ind w:left="1040" w:right="239" w:hanging="321"/>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slowdowns, stoppages or other limitations in the supply chain for our products, in addition to higher costs, such as due to suppliers raising prices;</w:t>
      </w:r>
    </w:p>
    <w:p>
      <w:pPr>
        <w:spacing w:after="0" w:line="53" w:lineRule="exact"/>
        <w:rPr>
          <w:rFonts w:ascii="Times New Roman" w:cs="Times New Roman" w:eastAsia="Times New Roman" w:hAnsi="Times New Roman"/>
          <w:sz w:val="18"/>
          <w:szCs w:val="18"/>
          <w:color w:val="auto"/>
        </w:rPr>
      </w:pPr>
    </w:p>
    <w:p>
      <w:pPr>
        <w:ind w:left="1040" w:right="199" w:hanging="321"/>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and availability, including due to sickness, government restrictions, labor supply shortages, and the desire of employees to avoid contact with large groups of people or mass transit disruptions;</w:t>
      </w:r>
    </w:p>
    <w:p>
      <w:pPr>
        <w:spacing w:after="0" w:line="67"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or worsening of general economic conditions, including increased inflation;</w:t>
      </w:r>
    </w:p>
    <w:p>
      <w:pPr>
        <w:spacing w:after="0" w:line="117"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collecting customer receivables;</w:t>
      </w:r>
    </w:p>
    <w:p>
      <w:pPr>
        <w:spacing w:after="0" w:line="117"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fluctuation in foreign currency exchange rates or interest rates could result from market uncertainties; and</w:t>
      </w:r>
    </w:p>
    <w:p>
      <w:pPr>
        <w:spacing w:after="0" w:line="117" w:lineRule="exact"/>
        <w:rPr>
          <w:rFonts w:ascii="Times New Roman" w:cs="Times New Roman" w:eastAsia="Times New Roman" w:hAnsi="Times New Roman"/>
          <w:sz w:val="18"/>
          <w:szCs w:val="18"/>
          <w:color w:val="auto"/>
        </w:rPr>
      </w:pPr>
    </w:p>
    <w:p>
      <w:pPr>
        <w:ind w:left="1040" w:right="179" w:hanging="321"/>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or the difficulty to obtain debt or equity financing could affect our financial condition or our ability to fund operations or future investment opportunities.</w:t>
      </w:r>
    </w:p>
    <w:p>
      <w:pPr>
        <w:spacing w:after="0" w:line="162"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0"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The emergence of different variants of COVID-19, recent outbreak in China, and the prevalence of breakthrough cases of infection among fully vaccinated people adds additional uncertainty and could result in further impacts to our business and operations, including those discussed above.</w:t>
      </w:r>
    </w:p>
    <w:p>
      <w:pPr>
        <w:spacing w:after="0" w:line="176" w:lineRule="exact"/>
        <w:rPr>
          <w:sz w:val="20"/>
          <w:szCs w:val="20"/>
          <w:color w:val="auto"/>
        </w:rPr>
      </w:pPr>
    </w:p>
    <w:p>
      <w:pPr>
        <w:ind w:left="40" w:right="319" w:firstLine="324"/>
        <w:spacing w:after="0" w:line="261" w:lineRule="auto"/>
        <w:rPr>
          <w:sz w:val="20"/>
          <w:szCs w:val="20"/>
          <w:color w:val="auto"/>
        </w:rPr>
      </w:pPr>
      <w:r>
        <w:rPr>
          <w:rFonts w:ascii="Times New Roman" w:cs="Times New Roman" w:eastAsia="Times New Roman" w:hAnsi="Times New Roman"/>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0"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and its severity; the emergence and severity of its variants; the actions to contain the virus or treat its impact, such as the availability and efficacy of vaccines (particularly with respect to emerging strains of the virus) and potential hesitancy to use them; general economic factors, such as increased inflation; supply chain restraints; labor supply issues; and how quickly and to what extent normal economic and operating conditions can resume.</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limited history of STT-MRAM adoption makes it difficult to evaluate our current business and future prospects.</w:t>
      </w:r>
    </w:p>
    <w:p>
      <w:pPr>
        <w:spacing w:after="0" w:line="229" w:lineRule="exact"/>
        <w:rPr>
          <w:sz w:val="20"/>
          <w:szCs w:val="20"/>
          <w:color w:val="auto"/>
        </w:rPr>
      </w:pPr>
    </w:p>
    <w:p>
      <w:pPr>
        <w:ind w:left="40" w:right="239" w:firstLine="324"/>
        <w:spacing w:after="0" w:line="261"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Spin Transfer Torque MRAM (STT-MRAM) products in the fourth quarter of 2017.</w:t>
      </w:r>
    </w:p>
    <w:p>
      <w:pPr>
        <w:spacing w:after="0" w:line="180"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our inability to accurately forecast customer demand, supply chain constraints, or the capacity constraints of our suppliers, which could adversely affect our operating results.</w:t>
      </w:r>
    </w:p>
    <w:p>
      <w:pPr>
        <w:spacing w:after="0" w:line="175"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8"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left="40" w:right="119" w:firstLine="324"/>
        <w:spacing w:after="0" w:line="253" w:lineRule="auto"/>
        <w:rPr>
          <w:sz w:val="20"/>
          <w:szCs w:val="20"/>
          <w:color w:val="auto"/>
        </w:rPr>
      </w:pPr>
      <w:r>
        <w:rPr>
          <w:rFonts w:ascii="Times New Roman" w:cs="Times New Roman" w:eastAsia="Times New Roman" w:hAnsi="Times New Roman"/>
          <w:sz w:val="18"/>
          <w:szCs w:val="18"/>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6" w:lineRule="exact"/>
        <w:rPr>
          <w:sz w:val="20"/>
          <w:szCs w:val="20"/>
          <w:color w:val="auto"/>
        </w:rPr>
      </w:pPr>
    </w:p>
    <w:p>
      <w:pPr>
        <w:jc w:val="both"/>
        <w:ind w:left="4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75"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7" w:lineRule="exact"/>
        <w:rPr>
          <w:sz w:val="20"/>
          <w:szCs w:val="20"/>
          <w:color w:val="auto"/>
        </w:rPr>
      </w:pPr>
    </w:p>
    <w:p>
      <w:pPr>
        <w:ind w:left="40" w:right="599" w:firstLine="324"/>
        <w:spacing w:after="0" w:line="282" w:lineRule="auto"/>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175" w:lineRule="exact"/>
        <w:rPr>
          <w:sz w:val="20"/>
          <w:szCs w:val="20"/>
          <w:color w:val="auto"/>
        </w:rPr>
      </w:pPr>
    </w:p>
    <w:p>
      <w:pPr>
        <w:ind w:left="620" w:right="219" w:hanging="252"/>
        <w:spacing w:after="0" w:line="266" w:lineRule="auto"/>
        <w:tabs>
          <w:tab w:leader="none" w:pos="6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 or supply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representatives for certain customer engagements;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90"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7"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9" w:lineRule="exact"/>
        <w:rPr>
          <w:sz w:val="20"/>
          <w:szCs w:val="20"/>
          <w:color w:val="auto"/>
        </w:rPr>
      </w:pPr>
    </w:p>
    <w:p>
      <w:pPr>
        <w:ind w:left="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59"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the COVID-19 pandemic or the recent military conflict in Ukraine, at any of our main suppliers.</w:t>
      </w:r>
    </w:p>
    <w:p>
      <w:pPr>
        <w:spacing w:after="0" w:line="183" w:lineRule="exact"/>
        <w:rPr>
          <w:sz w:val="20"/>
          <w:szCs w:val="20"/>
          <w:color w:val="auto"/>
        </w:rPr>
      </w:pPr>
    </w:p>
    <w:p>
      <w:pPr>
        <w:ind w:left="40" w:right="339" w:firstLine="324"/>
        <w:spacing w:after="0" w:line="266" w:lineRule="auto"/>
        <w:rPr>
          <w:sz w:val="20"/>
          <w:szCs w:val="20"/>
          <w:color w:val="auto"/>
        </w:rPr>
      </w:pPr>
      <w:r>
        <w:rPr>
          <w:rFonts w:ascii="Times New Roman" w:cs="Times New Roman" w:eastAsia="Times New Roman" w:hAnsi="Times New Roman"/>
          <w:sz w:val="18"/>
          <w:szCs w:val="18"/>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spacing w:after="0" w:line="254" w:lineRule="auto"/>
        <w:rPr>
          <w:sz w:val="20"/>
          <w:szCs w:val="20"/>
          <w:color w:val="auto"/>
        </w:rPr>
      </w:pPr>
      <w:r>
        <w:rPr>
          <w:rFonts w:ascii="Times New Roman" w:cs="Times New Roman" w:eastAsia="Times New Roman" w:hAnsi="Times New Roman"/>
          <w:sz w:val="18"/>
          <w:szCs w:val="18"/>
          <w:color w:val="auto"/>
        </w:rPr>
        <w:t>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recent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192"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93" w:lineRule="exact"/>
        <w:rPr>
          <w:sz w:val="20"/>
          <w:szCs w:val="20"/>
          <w:color w:val="auto"/>
        </w:rPr>
      </w:pPr>
    </w:p>
    <w:p>
      <w:pPr>
        <w:ind w:left="620" w:right="219" w:hanging="252"/>
        <w:spacing w:after="0" w:line="266"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pacing w:after="0" w:line="225" w:lineRule="exact"/>
        <w:rPr>
          <w:rFonts w:ascii="Times New Roman" w:cs="Times New Roman" w:eastAsia="Times New Roman" w:hAnsi="Times New Roman"/>
          <w:sz w:val="18"/>
          <w:szCs w:val="18"/>
          <w:color w:val="auto"/>
        </w:rPr>
      </w:pPr>
    </w:p>
    <w:p>
      <w:pPr>
        <w:ind w:left="620" w:right="29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161" w:lineRule="exact"/>
        <w:rPr>
          <w:rFonts w:ascii="Times New Roman" w:cs="Times New Roman" w:eastAsia="Times New Roman" w:hAnsi="Times New Roman"/>
          <w:sz w:val="18"/>
          <w:szCs w:val="18"/>
          <w:color w:val="auto"/>
        </w:rPr>
      </w:pPr>
    </w:p>
    <w:p>
      <w:pPr>
        <w:ind w:left="620" w:right="63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pacing w:after="0" w:line="225" w:lineRule="exact"/>
        <w:rPr>
          <w:rFonts w:ascii="Times New Roman" w:cs="Times New Roman" w:eastAsia="Times New Roman" w:hAnsi="Times New Roman"/>
          <w:sz w:val="18"/>
          <w:szCs w:val="18"/>
          <w:color w:val="auto"/>
        </w:rPr>
      </w:pPr>
    </w:p>
    <w:p>
      <w:pPr>
        <w:ind w:left="620" w:right="7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82" w:lineRule="auto"/>
        <w:rPr>
          <w:sz w:val="20"/>
          <w:szCs w:val="20"/>
          <w:color w:val="auto"/>
        </w:rPr>
      </w:pPr>
      <w:r>
        <w:rPr>
          <w:rFonts w:ascii="Times New Roman" w:cs="Times New Roman" w:eastAsia="Times New Roman" w:hAnsi="Times New Roman"/>
          <w:sz w:val="18"/>
          <w:szCs w:val="18"/>
          <w:color w:val="auto"/>
        </w:rPr>
        <w:t>The term of the agreement, as amended, is the completion, termination, or expiration of the last statement of work entered into pursuant to the joint development agreement.</w:t>
      </w:r>
    </w:p>
    <w:p>
      <w:pPr>
        <w:spacing w:after="0" w:line="162" w:lineRule="exact"/>
        <w:rPr>
          <w:sz w:val="20"/>
          <w:szCs w:val="20"/>
          <w:color w:val="auto"/>
        </w:rPr>
      </w:pPr>
    </w:p>
    <w:p>
      <w:pPr>
        <w:ind w:left="40" w:right="659"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5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97"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83"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75"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92" w:lineRule="exact"/>
        <w:rPr>
          <w:sz w:val="20"/>
          <w:szCs w:val="20"/>
          <w:color w:val="auto"/>
        </w:rPr>
      </w:pPr>
    </w:p>
    <w:p>
      <w:pPr>
        <w:ind w:left="40" w:right="8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57"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spacing w:after="0" w:line="266" w:lineRule="auto"/>
        <w:rPr>
          <w:sz w:val="20"/>
          <w:szCs w:val="20"/>
          <w:color w:val="auto"/>
        </w:rPr>
      </w:pPr>
      <w:r>
        <w:rPr>
          <w:rFonts w:ascii="Times New Roman" w:cs="Times New Roman" w:eastAsia="Times New Roman" w:hAnsi="Times New Roman"/>
          <w:sz w:val="18"/>
          <w:szCs w:val="18"/>
          <w:color w:val="auto"/>
        </w:rPr>
        <w:t>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76"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8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left="40" w:right="179" w:firstLine="324"/>
        <w:spacing w:after="0" w:line="271" w:lineRule="auto"/>
        <w:rPr>
          <w:sz w:val="20"/>
          <w:szCs w:val="20"/>
          <w:color w:val="auto"/>
        </w:rPr>
      </w:pPr>
      <w:r>
        <w:rPr>
          <w:rFonts w:ascii="Times New Roman" w:cs="Times New Roman" w:eastAsia="Times New Roman" w:hAnsi="Times New Roman"/>
          <w:sz w:val="17"/>
          <w:szCs w:val="17"/>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30% of our total revenue for the six months ended June 30, 2022, and one of these customers accounted for more than 10% of our revenue during that period. Our four largest end customers together accounted for 47% of our total revenue for the year ended December 31, 2021,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9" w:lineRule="exact"/>
        <w:rPr>
          <w:sz w:val="20"/>
          <w:szCs w:val="20"/>
          <w:color w:val="auto"/>
        </w:rPr>
      </w:pPr>
    </w:p>
    <w:p>
      <w:pPr>
        <w:ind w:left="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right="539" w:hanging="252"/>
        <w:spacing w:after="0" w:line="282" w:lineRule="auto"/>
        <w:tabs>
          <w:tab w:leader="none" w:pos="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76" w:lineRule="exact"/>
        <w:rPr>
          <w:sz w:val="20"/>
          <w:szCs w:val="20"/>
          <w:color w:val="auto"/>
        </w:rPr>
      </w:pPr>
    </w:p>
    <w:p>
      <w:pPr>
        <w:ind w:left="4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8"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9" w:lineRule="exact"/>
        <w:rPr>
          <w:sz w:val="20"/>
          <w:szCs w:val="20"/>
          <w:color w:val="auto"/>
        </w:rPr>
      </w:pPr>
    </w:p>
    <w:p>
      <w:pPr>
        <w:ind w:left="40" w:right="239" w:firstLine="324"/>
        <w:spacing w:after="0" w:line="272" w:lineRule="auto"/>
        <w:rPr>
          <w:sz w:val="20"/>
          <w:szCs w:val="20"/>
          <w:color w:val="auto"/>
        </w:rPr>
      </w:pPr>
      <w:r>
        <w:rPr>
          <w:rFonts w:ascii="Times New Roman" w:cs="Times New Roman" w:eastAsia="Times New Roman" w:hAnsi="Times New Roman"/>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72" w:lineRule="exact"/>
        <w:rPr>
          <w:sz w:val="20"/>
          <w:szCs w:val="20"/>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75" w:lineRule="exact"/>
        <w:rPr>
          <w:sz w:val="20"/>
          <w:szCs w:val="20"/>
          <w:color w:val="auto"/>
        </w:rPr>
      </w:pPr>
    </w:p>
    <w:p>
      <w:pPr>
        <w:ind w:left="40" w:right="59" w:firstLine="324"/>
        <w:spacing w:after="0" w:line="281" w:lineRule="auto"/>
        <w:rPr>
          <w:sz w:val="20"/>
          <w:szCs w:val="20"/>
          <w:color w:val="auto"/>
        </w:rPr>
      </w:pPr>
      <w:r>
        <w:rPr>
          <w:rFonts w:ascii="Times New Roman" w:cs="Times New Roman" w:eastAsia="Times New Roman" w:hAnsi="Times New Roman"/>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64"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0"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5"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8"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4"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66" w:lineRule="auto"/>
        <w:rPr>
          <w:sz w:val="20"/>
          <w:szCs w:val="20"/>
          <w:color w:val="auto"/>
        </w:rPr>
      </w:pPr>
      <w:r>
        <w:rPr>
          <w:rFonts w:ascii="Times New Roman" w:cs="Times New Roman" w:eastAsia="Times New Roman" w:hAnsi="Times New Roman"/>
          <w:sz w:val="18"/>
          <w:szCs w:val="18"/>
          <w:color w:val="auto"/>
        </w:rPr>
        <w:t>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72" w:lineRule="exact"/>
        <w:rPr>
          <w:sz w:val="20"/>
          <w:szCs w:val="20"/>
          <w:color w:val="auto"/>
        </w:rPr>
      </w:pPr>
    </w:p>
    <w:p>
      <w:pPr>
        <w:ind w:left="4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and are seeking to expand operations outside of the United States which exposes us to significant risks.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92" w:lineRule="exact"/>
        <w:rPr>
          <w:sz w:val="20"/>
          <w:szCs w:val="20"/>
          <w:color w:val="auto"/>
        </w:rPr>
      </w:pPr>
    </w:p>
    <w:p>
      <w:pPr>
        <w:jc w:val="both"/>
        <w:ind w:left="620" w:right="599" w:hanging="252"/>
        <w:spacing w:after="0" w:line="266"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import/export laws, trade restrictions, regulations and customs and duties and tariffs (foreign and domestic);</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225" w:lineRule="exact"/>
        <w:rPr>
          <w:rFonts w:ascii="Times New Roman" w:cs="Times New Roman" w:eastAsia="Times New Roman" w:hAnsi="Times New Roman"/>
          <w:sz w:val="18"/>
          <w:szCs w:val="18"/>
          <w:color w:val="auto"/>
        </w:rPr>
      </w:pPr>
    </w:p>
    <w:p>
      <w:pPr>
        <w:ind w:left="620" w:right="519" w:hanging="252"/>
        <w:spacing w:after="0" w:line="282"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161" w:lineRule="exact"/>
        <w:rPr>
          <w:rFonts w:ascii="Times New Roman" w:cs="Times New Roman" w:eastAsia="Times New Roman" w:hAnsi="Times New Roman"/>
          <w:sz w:val="18"/>
          <w:szCs w:val="18"/>
          <w:color w:val="auto"/>
        </w:rPr>
      </w:pPr>
    </w:p>
    <w:p>
      <w:pPr>
        <w:ind w:left="620" w:right="139" w:hanging="252"/>
        <w:spacing w:after="0" w:line="282"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161" w:lineRule="exact"/>
        <w:rPr>
          <w:rFonts w:ascii="Times New Roman" w:cs="Times New Roman" w:eastAsia="Times New Roman" w:hAnsi="Times New Roman"/>
          <w:sz w:val="18"/>
          <w:szCs w:val="18"/>
          <w:color w:val="auto"/>
        </w:rPr>
      </w:pPr>
    </w:p>
    <w:p>
      <w:pPr>
        <w:ind w:left="620" w:right="119" w:hanging="252"/>
        <w:spacing w:after="0" w:line="261" w:lineRule="auto"/>
        <w:tabs>
          <w:tab w:leader="none" w:pos="6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79"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299" w:hanging="252"/>
        <w:spacing w:after="0" w:line="282"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acts of war, such as the recent military conflict in Ukraine, which could have a negative impact on sales throughout Europe and Asia</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pacing w:after="0" w:line="221" w:lineRule="exact"/>
        <w:rPr>
          <w:sz w:val="20"/>
          <w:szCs w:val="20"/>
          <w:color w:val="auto"/>
        </w:rPr>
      </w:pPr>
    </w:p>
    <w:p>
      <w:pPr>
        <w:ind w:left="4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manage the transitions associated with certain of our executive officers, which could have an adverse impact on us.</w:t>
      </w:r>
    </w:p>
    <w:p>
      <w:pPr>
        <w:spacing w:after="0" w:line="159" w:lineRule="exact"/>
        <w:rPr>
          <w:sz w:val="20"/>
          <w:szCs w:val="20"/>
          <w:color w:val="auto"/>
        </w:rPr>
      </w:pPr>
    </w:p>
    <w:p>
      <w:pPr>
        <w:ind w:left="40" w:right="119" w:firstLine="324"/>
        <w:spacing w:after="0" w:line="256" w:lineRule="auto"/>
        <w:rPr>
          <w:sz w:val="20"/>
          <w:szCs w:val="20"/>
          <w:color w:val="auto"/>
        </w:rPr>
      </w:pPr>
      <w:r>
        <w:rPr>
          <w:rFonts w:ascii="Times New Roman" w:cs="Times New Roman" w:eastAsia="Times New Roman" w:hAnsi="Times New Roman"/>
          <w:sz w:val="18"/>
          <w:szCs w:val="18"/>
          <w:color w:val="auto"/>
        </w:rPr>
        <w:t>In December 2020, Kevin Conley notified our board of directors of his decision to resign as President and Chief Executive Officer of the Company. In connection with Mr. Conley’s resignation, our board of directors appointed Darin Billerbeck to serve as Interim Chief Executive Officer of the Company until a permanent successor could be named. On February 28, 2022, our board of directors appointed Sanjeev Aggarwal to serve as the Company’s permanent President and Chief Executive Officer, effective March 14, 2022. Sanjeev Aggarwal formerly served as Chief Technology Officer and Vice President, Operations &amp; Technology R&amp;D.</w:t>
      </w:r>
    </w:p>
    <w:p>
      <w:pPr>
        <w:spacing w:after="0" w:line="187" w:lineRule="exact"/>
        <w:rPr>
          <w:sz w:val="20"/>
          <w:szCs w:val="20"/>
          <w:color w:val="auto"/>
        </w:rPr>
      </w:pPr>
    </w:p>
    <w:p>
      <w:pPr>
        <w:ind w:left="40" w:right="179" w:firstLine="324"/>
        <w:spacing w:after="0" w:line="256" w:lineRule="auto"/>
        <w:rPr>
          <w:sz w:val="20"/>
          <w:szCs w:val="20"/>
          <w:color w:val="auto"/>
        </w:rPr>
      </w:pPr>
      <w:r>
        <w:rPr>
          <w:rFonts w:ascii="Times New Roman" w:cs="Times New Roman" w:eastAsia="Times New Roman" w:hAnsi="Times New Roman"/>
          <w:sz w:val="18"/>
          <w:szCs w:val="18"/>
          <w:color w:val="auto"/>
        </w:rPr>
        <w:t>Although our board of directors is confident in the leadership of Sanjeev Aggarwal, leadership transitions can be inherently difficult to manage. An inadequate transition to a permanent Chief Executive Officer or with respect to other executive officer transitions, including the appointment of Anuj Aggarwal as the Company’s permanent Chief Financial Officer in September 2021, may cause disruption within the Company. Additionally, our financial performance and ability to meet operational goals and strategic plans may be adversely impacted, as well as our ability to retain and hire other key members of management.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 and Technology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92"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3"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left="40" w:right="179"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7"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87" w:lineRule="exact"/>
        <w:rPr>
          <w:sz w:val="20"/>
          <w:szCs w:val="20"/>
          <w:color w:val="auto"/>
        </w:rPr>
      </w:pPr>
    </w:p>
    <w:p>
      <w:pPr>
        <w:ind w:left="660" w:hanging="29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pacing w:after="0" w:line="161" w:lineRule="exact"/>
        <w:rPr>
          <w:rFonts w:ascii="Times New Roman" w:cs="Times New Roman" w:eastAsia="Times New Roman" w:hAnsi="Times New Roman"/>
          <w:sz w:val="18"/>
          <w:szCs w:val="18"/>
          <w:color w:val="auto"/>
        </w:rPr>
      </w:pPr>
    </w:p>
    <w:p>
      <w:pPr>
        <w:ind w:left="620" w:right="1059" w:hanging="252"/>
        <w:spacing w:after="0" w:line="282" w:lineRule="auto"/>
        <w:tabs>
          <w:tab w:leader="none" w:pos="6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20" w:right="239" w:hanging="252"/>
        <w:spacing w:after="0" w:line="282" w:lineRule="auto"/>
        <w:tabs>
          <w:tab w:leader="none" w:pos="6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20" w:right="379" w:hanging="252"/>
        <w:spacing w:after="0" w:line="282" w:lineRule="auto"/>
        <w:tabs>
          <w:tab w:leader="none" w:pos="6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3"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our information technology systems could adversely affect our business.</w:t>
      </w:r>
    </w:p>
    <w:p>
      <w:pPr>
        <w:spacing w:after="0" w:line="229" w:lineRule="exact"/>
        <w:rPr>
          <w:sz w:val="20"/>
          <w:szCs w:val="20"/>
          <w:color w:val="auto"/>
        </w:rPr>
      </w:pPr>
    </w:p>
    <w:p>
      <w:pPr>
        <w:ind w:left="40" w:right="199" w:firstLine="324"/>
        <w:spacing w:after="0" w:line="253"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94"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3" w:lineRule="exact"/>
        <w:rPr>
          <w:sz w:val="20"/>
          <w:szCs w:val="20"/>
          <w:color w:val="auto"/>
        </w:rPr>
      </w:pPr>
    </w:p>
    <w:p>
      <w:pPr>
        <w:ind w:left="40" w:right="299" w:firstLine="324"/>
        <w:spacing w:after="0" w:line="258"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Regulatory Matters and Compliance</w:t>
      </w:r>
    </w:p>
    <w:p>
      <w:pPr>
        <w:spacing w:after="0" w:line="225"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75" w:lineRule="exact"/>
        <w:rPr>
          <w:sz w:val="20"/>
          <w:szCs w:val="20"/>
          <w:color w:val="auto"/>
        </w:rPr>
      </w:pPr>
    </w:p>
    <w:p>
      <w:pPr>
        <w:ind w:left="40" w:right="79" w:firstLine="324"/>
        <w:spacing w:after="0" w:line="269" w:lineRule="auto"/>
        <w:rPr>
          <w:sz w:val="20"/>
          <w:szCs w:val="20"/>
          <w:color w:val="auto"/>
        </w:rPr>
      </w:pPr>
      <w:r>
        <w:rPr>
          <w:rFonts w:ascii="Times New Roman" w:cs="Times New Roman" w:eastAsia="Times New Roman" w:hAnsi="Times New Roman"/>
          <w:sz w:val="17"/>
          <w:szCs w:val="17"/>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6" w:lineRule="exact"/>
        <w:rPr>
          <w:sz w:val="20"/>
          <w:szCs w:val="20"/>
          <w:color w:val="auto"/>
        </w:rPr>
      </w:pPr>
    </w:p>
    <w:p>
      <w:pPr>
        <w:ind w:left="40" w:right="159" w:firstLine="324"/>
        <w:spacing w:after="0" w:line="281" w:lineRule="auto"/>
        <w:rPr>
          <w:sz w:val="20"/>
          <w:szCs w:val="20"/>
          <w:color w:val="auto"/>
        </w:rPr>
      </w:pPr>
      <w:r>
        <w:rPr>
          <w:rFonts w:ascii="Times New Roman" w:cs="Times New Roman" w:eastAsia="Times New Roman" w:hAnsi="Times New Roman"/>
          <w:sz w:val="17"/>
          <w:szCs w:val="17"/>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pacing w:after="0" w:line="160"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has adopted requirements for companies that use certain minerals and metals, known as conflict minerals, in their products, whether or not these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53" w:lineRule="auto"/>
        <w:rPr>
          <w:sz w:val="20"/>
          <w:szCs w:val="20"/>
          <w:color w:val="auto"/>
        </w:rPr>
      </w:pPr>
      <w:r>
        <w:rPr>
          <w:rFonts w:ascii="Times New Roman" w:cs="Times New Roman" w:eastAsia="Times New Roman" w:hAnsi="Times New Roman"/>
          <w:sz w:val="18"/>
          <w:szCs w:val="18"/>
          <w:color w:val="auto"/>
        </w:rPr>
        <w:t>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2021, we had gross federal net operating loss carryforwards of approximately $136.0 million, of which $95.2 million will expire in 2028 through 2037 if not utilized, and $40.8 million will carryover indefinitely. As of December 31, 2021, we had state net operating loss carryforwards of approximately $52.1 million, of which $49.3 million will expire in 2023 through 2042 if not utilized, and $2.6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left="40" w:right="519"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620" w:right="119" w:hanging="252"/>
        <w:spacing w:after="0" w:line="282" w:lineRule="auto"/>
        <w:tabs>
          <w:tab w:leader="none" w:pos="6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severity of the COVID-19 pandemic and its effects on our business, financial condition, results of operations and cash flows;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620" w:right="259" w:hanging="252"/>
        <w:spacing w:after="0" w:line="282" w:lineRule="auto"/>
        <w:tabs>
          <w:tab w:leader="none" w:pos="6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restructurings;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rFonts w:ascii="Times New Roman" w:cs="Times New Roman" w:eastAsia="Times New Roman" w:hAnsi="Times New Roman"/>
          <w:sz w:val="18"/>
          <w:szCs w:val="18"/>
          <w:color w:val="auto"/>
        </w:rPr>
      </w:pPr>
    </w:p>
    <w:p>
      <w:pPr>
        <w:jc w:val="both"/>
        <w:ind w:left="620" w:right="559" w:hanging="252"/>
        <w:spacing w:after="0" w:line="266" w:lineRule="auto"/>
        <w:tabs>
          <w:tab w:leader="none" w:pos="6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those due to the duration and severity of the COVID-19 pandemic and the recent military conflict in Ukraine.</w:t>
      </w:r>
    </w:p>
    <w:p>
      <w:pPr>
        <w:spacing w:after="0" w:line="176"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3" w:lineRule="exact"/>
        <w:rPr>
          <w:sz w:val="20"/>
          <w:szCs w:val="20"/>
          <w:color w:val="auto"/>
        </w:rPr>
      </w:pPr>
    </w:p>
    <w:p>
      <w:pPr>
        <w:ind w:left="4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8" w:lineRule="exact"/>
        <w:rPr>
          <w:sz w:val="20"/>
          <w:szCs w:val="20"/>
          <w:color w:val="auto"/>
        </w:rPr>
      </w:pPr>
    </w:p>
    <w:p>
      <w:pPr>
        <w:ind w:left="620" w:right="139" w:hanging="252"/>
        <w:spacing w:after="0" w:line="266" w:lineRule="auto"/>
        <w:tabs>
          <w:tab w:leader="none" w:pos="6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3"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3" w:lineRule="exact"/>
        <w:rPr>
          <w:rFonts w:ascii="Times New Roman" w:cs="Times New Roman" w:eastAsia="Times New Roman" w:hAnsi="Times New Roman"/>
          <w:sz w:val="18"/>
          <w:szCs w:val="18"/>
          <w:color w:val="auto"/>
        </w:rPr>
      </w:pPr>
    </w:p>
    <w:p>
      <w:pPr>
        <w:ind w:left="620" w:right="219" w:hanging="252"/>
        <w:spacing w:after="0" w:line="261" w:lineRule="auto"/>
        <w:tabs>
          <w:tab w:leader="none" w:pos="6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159" w:hanging="252"/>
        <w:spacing w:after="0" w:line="266" w:lineRule="auto"/>
        <w:tabs>
          <w:tab w:leader="none" w:pos="6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6" w:lineRule="exact"/>
        <w:rPr>
          <w:sz w:val="20"/>
          <w:szCs w:val="20"/>
          <w:color w:val="auto"/>
        </w:rPr>
      </w:pPr>
    </w:p>
    <w:p>
      <w:pPr>
        <w:ind w:left="40" w:right="99" w:firstLine="324"/>
        <w:spacing w:after="0" w:line="281"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07" w:lineRule="exact"/>
        <w:rPr>
          <w:sz w:val="20"/>
          <w:szCs w:val="20"/>
          <w:color w:val="auto"/>
        </w:rPr>
      </w:pPr>
    </w:p>
    <w:p>
      <w:pPr>
        <w:ind w:left="4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9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 w:lineRule="exact"/>
        <w:rPr>
          <w:rFonts w:ascii="Times New Roman" w:cs="Times New Roman" w:eastAsia="Times New Roman" w:hAnsi="Times New Roman"/>
          <w:sz w:val="18"/>
          <w:szCs w:val="18"/>
          <w:color w:val="auto"/>
        </w:rPr>
      </w:pPr>
    </w:p>
    <w:p>
      <w:pPr>
        <w:ind w:left="620" w:right="199" w:hanging="252"/>
        <w:spacing w:after="0" w:line="250"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Times New Roman" w:cs="Times New Roman" w:eastAsia="Times New Roman" w:hAnsi="Times New Roman"/>
          <w:sz w:val="18"/>
          <w:szCs w:val="18"/>
          <w:color w:val="212529"/>
        </w:rPr>
        <w:t>that, unless we consent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ind w:left="40" w:right="139" w:firstLine="324"/>
        <w:spacing w:after="0" w:line="277" w:lineRule="auto"/>
        <w:rPr>
          <w:sz w:val="20"/>
          <w:szCs w:val="20"/>
          <w:color w:val="auto"/>
        </w:rPr>
      </w:pPr>
      <w:r>
        <w:rPr>
          <w:rFonts w:ascii="Times New Roman" w:cs="Times New Roman" w:eastAsia="Times New Roman" w:hAnsi="Times New Roman"/>
          <w:sz w:val="17"/>
          <w:szCs w:val="17"/>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Times New Roman" w:cs="Times New Roman" w:eastAsia="Times New Roman" w:hAnsi="Times New Roman"/>
          <w:sz w:val="17"/>
          <w:szCs w:val="17"/>
          <w:color w:val="000000"/>
        </w:rPr>
        <w:t>further significant</w:t>
      </w:r>
      <w:r>
        <w:rPr>
          <w:rFonts w:ascii="Times New Roman" w:cs="Times New Roman" w:eastAsia="Times New Roman" w:hAnsi="Times New Roman"/>
          <w:sz w:val="17"/>
          <w:szCs w:val="17"/>
          <w:color w:val="212529"/>
        </w:rPr>
        <w:t xml:space="preserve"> additional costs associated with resolving the dispute in other jurisdictions, </w:t>
      </w:r>
      <w:r>
        <w:rPr>
          <w:rFonts w:ascii="Times New Roman" w:cs="Times New Roman" w:eastAsia="Times New Roman" w:hAnsi="Times New Roman"/>
          <w:sz w:val="17"/>
          <w:szCs w:val="17"/>
          <w:color w:val="000000"/>
        </w:rPr>
        <w:t>all of</w:t>
      </w:r>
      <w:r>
        <w:rPr>
          <w:rFonts w:ascii="Times New Roman" w:cs="Times New Roman" w:eastAsia="Times New Roman" w:hAnsi="Times New Roman"/>
          <w:sz w:val="17"/>
          <w:szCs w:val="17"/>
          <w:color w:val="212529"/>
        </w:rPr>
        <w:t xml:space="preserve"> which could seriously harm our business.</w:t>
      </w:r>
    </w:p>
    <w:p>
      <w:pPr>
        <w:spacing w:after="0" w:line="164"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Effective December 31, 2021, we ceased to be an “emerging growth company,” and certain reduced reporting requirements applicable to emerging growth companies no longer apply to us, which is expected to increase our costs as a public company and place additional demands on management.</w:t>
      </w:r>
    </w:p>
    <w:p>
      <w:pPr>
        <w:spacing w:after="0" w:line="175" w:lineRule="exact"/>
        <w:rPr>
          <w:sz w:val="20"/>
          <w:szCs w:val="20"/>
          <w:color w:val="auto"/>
        </w:rPr>
      </w:pPr>
    </w:p>
    <w:p>
      <w:pPr>
        <w:ind w:left="40" w:right="59" w:firstLine="324"/>
        <w:spacing w:after="0" w:line="255" w:lineRule="auto"/>
        <w:rPr>
          <w:sz w:val="20"/>
          <w:szCs w:val="20"/>
          <w:color w:val="auto"/>
        </w:rPr>
      </w:pPr>
      <w:r>
        <w:rPr>
          <w:rFonts w:ascii="Times New Roman" w:cs="Times New Roman" w:eastAsia="Times New Roman" w:hAnsi="Times New Roman"/>
          <w:sz w:val="18"/>
          <w:szCs w:val="18"/>
          <w:color w:val="auto"/>
        </w:rPr>
        <w:t>Effective December 31, 2021, we ceased to be classified as an “emerging growth company” as defined in the Jumpstart Our Business Startups Act (the JOBS Act). We have previously taken advantage of certain reduced reporting requirements pursuant to the JOBS Act specifically applicable to emerging growth companies, including exemptions from the requirements of holding advisory “say-on-pay” and the related “say-on frequency” votes on executive compensation. Since we are no longer classified as an emerging growth company, we are now required to comply with those additional reporting requirements for which we were previously exempt. For example, we were required to hold a say-on-pay vote and a say-on frequency vote at our 2022 annual meeting of stockholders. As a result, we expect that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8"/>
          <w:szCs w:val="18"/>
          <w:color w:val="auto"/>
        </w:rPr>
        <w:t>will require additional attention from management with respect to our additional reporting requirements and will incur increased costs, which could include higher legal fees, accounting fees, consultant fees and fees associated with investor relations activities, among others.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12529"/>
        </w:rPr>
        <w:t>General Risk Factors</w:t>
      </w:r>
    </w:p>
    <w:p>
      <w:pPr>
        <w:spacing w:after="0" w:line="225"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59" w:lineRule="exact"/>
        <w:rPr>
          <w:sz w:val="20"/>
          <w:szCs w:val="20"/>
          <w:color w:val="auto"/>
        </w:rPr>
      </w:pPr>
    </w:p>
    <w:p>
      <w:pPr>
        <w:ind w:left="40" w:right="99" w:firstLine="324"/>
        <w:spacing w:after="0" w:line="252" w:lineRule="auto"/>
        <w:rPr>
          <w:sz w:val="20"/>
          <w:szCs w:val="20"/>
          <w:color w:val="auto"/>
        </w:rPr>
      </w:pPr>
      <w:r>
        <w:rPr>
          <w:rFonts w:ascii="Times New Roman" w:cs="Times New Roman" w:eastAsia="Times New Roman" w:hAnsi="Times New Roman"/>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general economic factors that are beyond our control, including, but not limited to, housing markets, recession, inflation, deflation, consumer credit activity, consumer debt levels, fuel and energy costs, interest rates, tax rates and policy, unemployment trends, the impact of natural disasters such as pandemics, civil disturbances, terrorist activities, and acts of war, including the military conflict in Ukraine, may adversely impact consumer spending, which may adversely impact our customers’ spending and demand for our products.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natural disasters and other catastrophic events.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60" w:type="dxa"/>
            <w:vAlign w:val="bottom"/>
            <w:gridSpan w:val="2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vMerge w:val="restart"/>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74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2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gridSpan w:val="23"/>
          </w:tcPr>
          <w:p>
            <w:pPr>
              <w:spacing w:after="0" w:line="169"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Certificate</w:t>
              </w:r>
            </w:hyperlink>
          </w:p>
        </w:tc>
        <w:tc>
          <w:tcPr>
            <w:tcW w:w="260" w:type="dxa"/>
            <w:vAlign w:val="bottom"/>
          </w:tcPr>
          <w:p>
            <w:pPr>
              <w:spacing w:after="0"/>
              <w:rPr>
                <w:sz w:val="14"/>
                <w:szCs w:val="14"/>
                <w:color w:val="auto"/>
              </w:rPr>
            </w:pPr>
          </w:p>
        </w:tc>
        <w:tc>
          <w:tcPr>
            <w:tcW w:w="660" w:type="dxa"/>
            <w:vAlign w:val="bottom"/>
            <w:tcBorders>
              <w:top w:val="single" w:sz="8" w:color="auto"/>
            </w:tcBorders>
          </w:tcPr>
          <w:p>
            <w:pPr>
              <w:jc w:val="center"/>
              <w:ind w:left="94"/>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2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top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center"/>
              <w:ind w:right="37"/>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4"/>
                <w:szCs w:val="14"/>
                <w:color w:val="auto"/>
              </w:rPr>
            </w:pPr>
          </w:p>
        </w:tc>
        <w:tc>
          <w:tcPr>
            <w:tcW w:w="13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of Incorporation</w:t>
              </w:r>
            </w:hyperlink>
          </w:p>
        </w:tc>
        <w:tc>
          <w:tcPr>
            <w:tcW w:w="4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 xml:space="preserve">Amendment </w:t>
              </w:r>
              <w:r>
                <w:rPr>
                  <w:rFonts w:ascii="Times New Roman" w:cs="Times New Roman" w:eastAsia="Times New Roman" w:hAnsi="Times New Roman"/>
                  <w:sz w:val="18"/>
                  <w:szCs w:val="18"/>
                  <w:color w:val="0000EE"/>
                  <w:highlight w:val="white"/>
                  <w:w w:val="98"/>
                </w:rPr>
                <w:t>to Amended and</w:t>
              </w:r>
            </w:hyperlink>
          </w:p>
        </w:tc>
        <w:tc>
          <w:tcPr>
            <w:tcW w:w="760" w:type="dxa"/>
            <w:vAlign w:val="bottom"/>
            <w:gridSpan w:val="14"/>
          </w:tcPr>
          <w:p>
            <w:pPr>
              <w:spacing w:after="0"/>
              <w:rPr>
                <w:sz w:val="24"/>
                <w:szCs w:val="24"/>
                <w:color w:val="auto"/>
              </w:rPr>
            </w:pPr>
          </w:p>
        </w:tc>
        <w:tc>
          <w:tcPr>
            <w:tcW w:w="6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Restated Certificate of</w:t>
              </w:r>
            </w:hyperlink>
          </w:p>
        </w:tc>
        <w:tc>
          <w:tcPr>
            <w:tcW w:w="12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6">
              <w:r>
                <w:rPr>
                  <w:rFonts w:ascii="Times New Roman" w:cs="Times New Roman" w:eastAsia="Times New Roman" w:hAnsi="Times New Roman"/>
                  <w:sz w:val="18"/>
                  <w:szCs w:val="18"/>
                  <w:color w:val="0000EE"/>
                  <w:w w:val="97"/>
                </w:rPr>
                <w:t>Incorporation</w:t>
              </w:r>
            </w:hyperlink>
          </w:p>
        </w:tc>
        <w:tc>
          <w:tcPr>
            <w:tcW w:w="190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Amendment to Amended and</w:t>
              </w:r>
            </w:hyperlink>
          </w:p>
        </w:tc>
        <w:tc>
          <w:tcPr>
            <w:tcW w:w="760" w:type="dxa"/>
            <w:vAlign w:val="bottom"/>
            <w:gridSpan w:val="14"/>
          </w:tcPr>
          <w:p>
            <w:pPr>
              <w:spacing w:after="0"/>
              <w:rPr>
                <w:sz w:val="24"/>
                <w:szCs w:val="24"/>
                <w:color w:val="auto"/>
              </w:rPr>
            </w:pPr>
          </w:p>
        </w:tc>
        <w:tc>
          <w:tcPr>
            <w:tcW w:w="6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Restated Certificate of</w:t>
              </w:r>
            </w:hyperlink>
          </w:p>
        </w:tc>
        <w:tc>
          <w:tcPr>
            <w:tcW w:w="12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Incorporation</w:t>
              </w:r>
            </w:hyperlink>
          </w:p>
        </w:tc>
        <w:tc>
          <w:tcPr>
            <w:tcW w:w="190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4"/>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and Restated Bylaws</w:t>
              </w:r>
            </w:hyperlink>
          </w:p>
        </w:tc>
        <w:tc>
          <w:tcPr>
            <w:tcW w:w="66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Third Amendment to Amended</w:t>
            </w:r>
          </w:p>
        </w:tc>
        <w:tc>
          <w:tcPr>
            <w:tcW w:w="62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and Restated Loan and Security</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Agreement, dated as of July 22,</w:t>
            </w:r>
          </w:p>
        </w:tc>
        <w:tc>
          <w:tcPr>
            <w:tcW w:w="60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2022, between the Company and</w:t>
            </w:r>
          </w:p>
        </w:tc>
        <w:tc>
          <w:tcPr>
            <w:tcW w:w="5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Silicon Valley Bank</w:t>
            </w:r>
          </w:p>
        </w:tc>
        <w:tc>
          <w:tcPr>
            <w:tcW w:w="144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6"/>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 to</w:t>
            </w:r>
          </w:p>
        </w:tc>
        <w:tc>
          <w:tcPr>
            <w:tcW w:w="74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w:t>
            </w:r>
          </w:p>
        </w:tc>
        <w:tc>
          <w:tcPr>
            <w:tcW w:w="64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under the 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w:t>
            </w:r>
          </w:p>
        </w:tc>
        <w:tc>
          <w:tcPr>
            <w:tcW w:w="300" w:type="dxa"/>
            <w:vAlign w:val="bottom"/>
            <w:tcBorders>
              <w:top w:val="single" w:sz="8" w:color="0000EE"/>
            </w:tcBorders>
            <w:gridSpan w:val="9"/>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72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 Principal</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w:t>
            </w:r>
          </w:p>
        </w:tc>
        <w:tc>
          <w:tcPr>
            <w:tcW w:w="5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w:t>
            </w:r>
          </w:p>
        </w:tc>
        <w:tc>
          <w:tcPr>
            <w:tcW w:w="50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72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84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appear in the Interactive Data File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because its XBRL tags are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101.CAL*</w:t>
            </w:r>
          </w:p>
        </w:tc>
        <w:tc>
          <w:tcPr>
            <w:tcW w:w="100" w:type="dxa"/>
            <w:vAlign w:val="bottom"/>
          </w:tcPr>
          <w:p>
            <w:pPr>
              <w:spacing w:after="0"/>
              <w:rPr>
                <w:sz w:val="24"/>
                <w:szCs w:val="24"/>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Extension Calculation Linkbase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Definition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Label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Presentation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(formatted as Inline XBRL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74295</wp:posOffset>
            </wp:positionV>
            <wp:extent cx="14141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720"/>
            <w:col w:w="7699"/>
          </w:cols>
          <w:pgMar w:left="1440" w:top="513" w:right="1440" w:bottom="1440" w:gutter="0" w:footer="0" w:header="0"/>
          <w:type w:val="continuous"/>
        </w:sectPr>
      </w:pPr>
    </w:p>
    <w:p>
      <w:pPr>
        <w:spacing w:after="0" w:line="7" w:lineRule="exact"/>
        <w:rPr>
          <w:sz w:val="20"/>
          <w:szCs w:val="20"/>
          <w:color w:val="auto"/>
        </w:rPr>
      </w:pPr>
    </w:p>
    <w:p>
      <w:pPr>
        <w:ind w:left="360" w:hanging="316"/>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right="99" w:hanging="316"/>
        <w:spacing w:after="0" w:line="253" w:lineRule="auto"/>
        <w:tabs>
          <w:tab w:leader="none" w:pos="3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9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59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By:/s/ Sanjeev Aggarwal</w:t>
            </w:r>
          </w:p>
        </w:tc>
      </w:tr>
      <w:tr>
        <w:trPr>
          <w:trHeight w:val="191"/>
        </w:trPr>
        <w:tc>
          <w:tcPr>
            <w:tcW w:w="3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Sanjeev Aggarwal</w:t>
            </w:r>
          </w:p>
        </w:tc>
      </w:tr>
      <w:tr>
        <w:trPr>
          <w:trHeight w:val="216"/>
        </w:trPr>
        <w:tc>
          <w:tcPr>
            <w:tcW w:w="30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2022</w:t>
            </w:r>
          </w:p>
        </w:tc>
        <w:tc>
          <w:tcPr>
            <w:tcW w:w="59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By:/s/ Anuj Aggarwal</w:t>
            </w:r>
          </w:p>
        </w:tc>
      </w:tr>
      <w:tr>
        <w:trPr>
          <w:trHeight w:val="191"/>
        </w:trPr>
        <w:tc>
          <w:tcPr>
            <w:tcW w:w="3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Anuj Aggarwal</w:t>
            </w:r>
          </w:p>
        </w:tc>
      </w:tr>
      <w:tr>
        <w:trPr>
          <w:trHeight w:val="216"/>
        </w:trPr>
        <w:tc>
          <w:tcPr>
            <w:tcW w:w="30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5"/>
        </w:trPr>
        <w:tc>
          <w:tcPr>
            <w:tcW w:w="3000" w:type="dxa"/>
            <w:vAlign w:val="bottom"/>
          </w:tcPr>
          <w:p>
            <w:pPr>
              <w:spacing w:after="0"/>
              <w:rPr>
                <w:sz w:val="24"/>
                <w:szCs w:val="24"/>
                <w:color w:val="auto"/>
              </w:rPr>
            </w:pPr>
          </w:p>
        </w:tc>
        <w:tc>
          <w:tcPr>
            <w:tcW w:w="24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51</w:t>
            </w:r>
          </w:p>
        </w:tc>
        <w:tc>
          <w:tcPr>
            <w:tcW w:w="3520" w:type="dxa"/>
            <w:vAlign w:val="bottom"/>
          </w:tcPr>
          <w:p>
            <w:pPr>
              <w:spacing w:after="0"/>
              <w:rPr>
                <w:sz w:val="24"/>
                <w:szCs w:val="24"/>
                <w:color w:val="auto"/>
              </w:rPr>
            </w:pPr>
          </w:p>
        </w:tc>
      </w:tr>
      <w:tr>
        <w:trPr>
          <w:trHeight w:val="560"/>
        </w:trPr>
        <w:tc>
          <w:tcPr>
            <w:tcW w:w="3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LOAN AND SECURITY AGREEMENT</w:t>
      </w:r>
    </w:p>
    <w:p>
      <w:pPr>
        <w:spacing w:after="0" w:line="18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THIRD AMENDMENT TO AMENDED AND RESTATED LOAN AND SECURITY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is entered into this 22nd day of July, 2022, by and between SILICON VALLEY BANK, a California corporation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and EVERSPIN TECHNOLOGIES, INC., a Delaware corporation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7"/>
          <w:szCs w:val="17"/>
          <w:b w:val="1"/>
          <w:bCs w:val="1"/>
          <w:color w:val="auto"/>
        </w:rPr>
        <w:t>ECITALS</w:t>
      </w:r>
    </w:p>
    <w:p>
      <w:pPr>
        <w:spacing w:after="0" w:line="210" w:lineRule="exact"/>
        <w:rPr>
          <w:sz w:val="20"/>
          <w:szCs w:val="20"/>
          <w:color w:val="auto"/>
        </w:rPr>
      </w:pPr>
    </w:p>
    <w:p>
      <w:pPr>
        <w:jc w:val="both"/>
        <w:ind w:firstLine="656"/>
        <w:spacing w:after="0" w:line="244" w:lineRule="auto"/>
        <w:tabs>
          <w:tab w:leader="none" w:pos="12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and Borrower have entered into that certain Amended and Restated Loan and Security Agreement dated as of August 5, 2019 (as the same may from time to time be further amended, modified, supplemented or restated, the “</w:t>
      </w:r>
      <w:r>
        <w:rPr>
          <w:rFonts w:ascii="Times New Roman" w:cs="Times New Roman" w:eastAsia="Times New Roman" w:hAnsi="Times New Roman"/>
          <w:sz w:val="22"/>
          <w:szCs w:val="22"/>
          <w:b w:val="1"/>
          <w:bCs w:val="1"/>
          <w:color w:val="auto"/>
        </w:rPr>
        <w:t>Loan Agreement</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has extended credit to Borrower for the purposes permitted in the Loan Agreement.</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has requested that Bank make certain changes to the Loan Agreement as set forth herein.</w:t>
      </w:r>
    </w:p>
    <w:p>
      <w:pPr>
        <w:spacing w:after="0" w:line="217" w:lineRule="exact"/>
        <w:rPr>
          <w:rFonts w:ascii="Times New Roman" w:cs="Times New Roman" w:eastAsia="Times New Roman" w:hAnsi="Times New Roman"/>
          <w:sz w:val="21"/>
          <w:szCs w:val="21"/>
          <w:color w:val="auto"/>
        </w:rPr>
      </w:pPr>
    </w:p>
    <w:p>
      <w:pPr>
        <w:jc w:val="both"/>
        <w:ind w:firstLine="656"/>
        <w:spacing w:after="0" w:line="244" w:lineRule="auto"/>
        <w:tabs>
          <w:tab w:leader="none" w:pos="129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Bank is under no obligation to do so, Bank is willing to amend certain provisions of the Loan Agreement, but only to the extent, in accordance with the terms, subject to the conditions and in reliance upon the representations and warranties set forth below.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7"/>
          <w:szCs w:val="17"/>
          <w:b w:val="1"/>
          <w:bCs w:val="1"/>
          <w:color w:val="auto"/>
        </w:rPr>
        <w:t>GREEMENT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7"/>
          <w:szCs w:val="17"/>
          <w:b w:val="1"/>
          <w:bCs w:val="1"/>
          <w:color w:val="auto"/>
        </w:rPr>
        <w:t>OW</w:t>
      </w:r>
      <w:r>
        <w:rPr>
          <w:rFonts w:ascii="Times New Roman" w:cs="Times New Roman" w:eastAsia="Times New Roman" w:hAnsi="Times New Roman"/>
          <w:sz w:val="22"/>
          <w:szCs w:val="22"/>
          <w:b w:val="1"/>
          <w:bCs w:val="1"/>
          <w:color w:val="auto"/>
        </w:rPr>
        <w:t>, T</w:t>
      </w:r>
      <w:r>
        <w:rPr>
          <w:rFonts w:ascii="Times New Roman" w:cs="Times New Roman" w:eastAsia="Times New Roman" w:hAnsi="Times New Roman"/>
          <w:sz w:val="17"/>
          <w:szCs w:val="17"/>
          <w:b w:val="1"/>
          <w:bCs w:val="1"/>
          <w:color w:val="auto"/>
        </w:rPr>
        <w:t>HEREFORE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foregoing recitals and other good and valuable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receipt and adequacy of which is hereby acknowledged, and intending to be legally bound, the parties hereto agree as follows:</w:t>
      </w:r>
    </w:p>
    <w:p>
      <w:pPr>
        <w:spacing w:after="0" w:line="167" w:lineRule="exact"/>
        <w:rPr>
          <w:sz w:val="20"/>
          <w:szCs w:val="20"/>
          <w:color w:val="auto"/>
        </w:rPr>
      </w:pPr>
    </w:p>
    <w:p>
      <w:pPr>
        <w:ind w:right="20" w:firstLine="656"/>
        <w:spacing w:after="0" w:line="262" w:lineRule="auto"/>
        <w:tabs>
          <w:tab w:leader="none" w:pos="1296"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Capitalized terms used but not defined in this Amendment shall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to them in the Loan Agreement.</w:t>
      </w:r>
    </w:p>
    <w:p>
      <w:pPr>
        <w:spacing w:after="0" w:line="14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to Loan Agreement.</w:t>
      </w:r>
    </w:p>
    <w:p>
      <w:pPr>
        <w:spacing w:after="0" w:line="206"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2.1 Section 13 (Definitions)</w:t>
      </w:r>
      <w:r>
        <w:rPr>
          <w:rFonts w:ascii="Times New Roman" w:cs="Times New Roman" w:eastAsia="Times New Roman" w:hAnsi="Times New Roman"/>
          <w:sz w:val="22"/>
          <w:szCs w:val="22"/>
          <w:color w:val="auto"/>
        </w:rPr>
        <w:t>. The following term and its definition set forth in Section 13.1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Loan Agreement is hereby amended in its entirety and replaced with the following:</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Revolving Line Maturity Date</w:t>
      </w:r>
      <w:r>
        <w:rPr>
          <w:rFonts w:ascii="Times New Roman" w:cs="Times New Roman" w:eastAsia="Times New Roman" w:hAnsi="Times New Roman"/>
          <w:sz w:val="22"/>
          <w:szCs w:val="22"/>
          <w:color w:val="auto"/>
        </w:rPr>
        <w:t>” is August 5, 2023.</w:t>
      </w:r>
    </w:p>
    <w:p>
      <w:pPr>
        <w:spacing w:after="0" w:line="206"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Limitation of Amendment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color w:val="auto"/>
        </w:rPr>
        <w:t>The amendment set forth in Section 2, above, is effective for the purposes set forth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2" w:name="page53"/>
    <w:bookmarkEnd w:id="52"/>
    <w:p>
      <w:pPr>
        <w:jc w:val="both"/>
        <w:ind w:firstLine="1296"/>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3.2 </w:t>
      </w:r>
      <w:r>
        <w:rPr>
          <w:rFonts w:ascii="Times New Roman" w:cs="Times New Roman" w:eastAsia="Times New Roman" w:hAnsi="Times New Roman"/>
          <w:sz w:val="21"/>
          <w:szCs w:val="21"/>
          <w:color w:val="auto"/>
        </w:rPr>
        <w:t>This Amendment shall be construed in connection with and as part of the Loan Documents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all terms, conditions, representations, warranties, covenants and agreements set forth in the Loan Documents, except as herein amended, are hereby ratified and confirmed and shall remain in full force and effect.</w:t>
      </w:r>
    </w:p>
    <w:p>
      <w:pPr>
        <w:spacing w:after="0" w:line="149" w:lineRule="exact"/>
        <w:rPr>
          <w:sz w:val="20"/>
          <w:szCs w:val="20"/>
          <w:color w:val="auto"/>
        </w:rPr>
      </w:pPr>
    </w:p>
    <w:p>
      <w:pPr>
        <w:ind w:firstLine="656"/>
        <w:spacing w:after="0" w:line="262" w:lineRule="auto"/>
        <w:tabs>
          <w:tab w:leader="none" w:pos="129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Representations and Warranties. </w:t>
      </w:r>
      <w:r>
        <w:rPr>
          <w:rFonts w:ascii="Times New Roman" w:cs="Times New Roman" w:eastAsia="Times New Roman" w:hAnsi="Times New Roman"/>
          <w:sz w:val="22"/>
          <w:szCs w:val="22"/>
          <w:color w:val="auto"/>
        </w:rPr>
        <w:t>To induce Bank to enter into this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hereby represents and warrants to Bank as follows:</w:t>
      </w:r>
    </w:p>
    <w:p>
      <w:pPr>
        <w:spacing w:after="0" w:line="15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Immediately after giving effect to this Amendment (a) the representations and warranties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color w:val="auto"/>
        </w:rPr>
        <w:t>Borrower has the power and authority to execute and deliver this Amendment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its obligations under the Loan Agreement, as amended by this Amendment;</w:t>
      </w:r>
    </w:p>
    <w:p>
      <w:pPr>
        <w:spacing w:after="0" w:line="150" w:lineRule="exact"/>
        <w:rPr>
          <w:sz w:val="20"/>
          <w:szCs w:val="20"/>
          <w:color w:val="auto"/>
        </w:rPr>
      </w:pPr>
    </w:p>
    <w:p>
      <w:pPr>
        <w:jc w:val="both"/>
        <w:ind w:right="20"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color w:val="auto"/>
        </w:rPr>
        <w:t>The organizational documents of Borrower delivered to Bank on the Effective Date remain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true, accurate and complete and have not been amended, supplemented or restated and are and continue to be in full force and effect;</w:t>
      </w:r>
    </w:p>
    <w:p>
      <w:pPr>
        <w:spacing w:after="0" w:line="167"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color w:val="auto"/>
        </w:rPr>
        <w:t>The execution and delivery by Borrower of this Amendment and the performance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of its obligations under the Loan Agreement, as amended by this Amendment, have been duly authorized;</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4.5 </w:t>
      </w:r>
      <w:r>
        <w:rPr>
          <w:rFonts w:ascii="Times New Roman" w:cs="Times New Roman" w:eastAsia="Times New Roman" w:hAnsi="Times New Roman"/>
          <w:sz w:val="21"/>
          <w:szCs w:val="21"/>
          <w:color w:val="auto"/>
        </w:rPr>
        <w:t>The execution and delivery by Borrower of this Amendment and the performance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3" w:lineRule="exact"/>
        <w:rPr>
          <w:sz w:val="20"/>
          <w:szCs w:val="20"/>
          <w:color w:val="auto"/>
        </w:rPr>
      </w:pPr>
    </w:p>
    <w:p>
      <w:pPr>
        <w:jc w:val="both"/>
        <w:ind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22"/>
          <w:szCs w:val="22"/>
          <w:color w:val="auto"/>
        </w:rPr>
        <w:t>The execution and delivery by Borrower of this Amendment and the performance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77"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color w:val="auto"/>
        </w:rPr>
        <w:t>This Amendment has been duly executed and delivered by Borrower and is the binding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2" w:lineRule="exact"/>
        <w:rPr>
          <w:sz w:val="20"/>
          <w:szCs w:val="20"/>
          <w:color w:val="auto"/>
        </w:rPr>
      </w:pPr>
    </w:p>
    <w:p>
      <w:pPr>
        <w:ind w:firstLine="656"/>
        <w:spacing w:after="0" w:line="262" w:lineRule="auto"/>
        <w:tabs>
          <w:tab w:leader="none" w:pos="1296"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Ratification of Perfection Certificate</w:t>
      </w:r>
      <w:r>
        <w:rPr>
          <w:rFonts w:ascii="Times New Roman" w:cs="Times New Roman" w:eastAsia="Times New Roman" w:hAnsi="Times New Roman"/>
          <w:sz w:val="22"/>
          <w:szCs w:val="22"/>
          <w:color w:val="auto"/>
        </w:rPr>
        <w:t>. Borrower hereby ratifies, confirms and reaffirms, all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singular, the terms and disclosures contained in a certain Perfection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3" w:name="page54"/>
    <w:bookmarkEnd w:id="53"/>
    <w:p>
      <w:pPr>
        <w:spacing w:after="0" w:line="259" w:lineRule="auto"/>
        <w:rPr>
          <w:sz w:val="20"/>
          <w:szCs w:val="20"/>
          <w:color w:val="auto"/>
        </w:rPr>
      </w:pPr>
      <w:r>
        <w:rPr>
          <w:rFonts w:ascii="Times New Roman" w:cs="Times New Roman" w:eastAsia="Times New Roman" w:hAnsi="Times New Roman"/>
          <w:sz w:val="22"/>
          <w:szCs w:val="22"/>
          <w:color w:val="auto"/>
        </w:rPr>
        <w:t>dated as of August 5, 2019, and acknowledges, confirms and agrees that the disclosures and information Borrower provided to Bank in such Perfection Certificate have not changed, as of the date hereof.</w:t>
      </w:r>
    </w:p>
    <w:p>
      <w:pPr>
        <w:spacing w:after="0" w:line="153" w:lineRule="exact"/>
        <w:rPr>
          <w:sz w:val="20"/>
          <w:szCs w:val="20"/>
          <w:color w:val="auto"/>
        </w:rPr>
      </w:pPr>
    </w:p>
    <w:p>
      <w:pPr>
        <w:ind w:left="1300" w:hanging="644"/>
        <w:spacing w:after="0"/>
        <w:tabs>
          <w:tab w:leader="none" w:pos="1300" w:val="left"/>
        </w:tabs>
        <w:numPr>
          <w:ilvl w:val="1"/>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Reaffirmation of Obligations</w:t>
      </w:r>
      <w:r>
        <w:rPr>
          <w:rFonts w:ascii="Times New Roman" w:cs="Times New Roman" w:eastAsia="Times New Roman" w:hAnsi="Times New Roman"/>
          <w:sz w:val="22"/>
          <w:szCs w:val="22"/>
          <w:color w:val="auto"/>
        </w:rPr>
        <w:t>. Borrower (a) ratifies, confirms, and reaffirms the Obligations and</w:t>
      </w:r>
    </w:p>
    <w:p>
      <w:pPr>
        <w:spacing w:after="0" w:line="18"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32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acknowledges and agrees that (i) the Loan Agreement and each of the other Loan Documents remain in full force and effect in accordance with the original terms, except as expressly modified hereby and (ii) the Loan Agreement and the other Loan Documents shall continue to secure all Obligations as stated therein.</w:t>
      </w:r>
    </w:p>
    <w:p>
      <w:pPr>
        <w:spacing w:after="0" w:line="173"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Reaffirmation of Security Interest in the Collateral</w:t>
      </w:r>
      <w:r>
        <w:rPr>
          <w:rFonts w:ascii="Times New Roman" w:cs="Times New Roman" w:eastAsia="Times New Roman" w:hAnsi="Times New Roman"/>
          <w:sz w:val="22"/>
          <w:szCs w:val="22"/>
          <w:color w:val="auto"/>
        </w:rPr>
        <w:t>. Borrower acknowledges and agrees that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security interests and Liens in the Collateral granted by Borrower under the Loan Agreement and the other Loan Documents shall remain in place, unimpaired by the transactions contemplated by this Amendment, and Bank’s priority with respect thereto shall not be affected hereby or thereby and (b) the Loan Agreement and the other Loan Documents shall continue to secure all Obligations as set forth therein. Nothing in this Amendment is intended to impair or limit the validity, priority or extent of Bank’s security interests in and Liens upon the Collateral.</w:t>
      </w:r>
    </w:p>
    <w:p>
      <w:pPr>
        <w:spacing w:after="0" w:line="175"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1296"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Integration</w:t>
      </w:r>
      <w:r>
        <w:rPr>
          <w:rFonts w:ascii="Times New Roman" w:cs="Times New Roman" w:eastAsia="Times New Roman" w:hAnsi="Times New Roman"/>
          <w:sz w:val="22"/>
          <w:szCs w:val="22"/>
          <w:color w:val="auto"/>
        </w:rPr>
        <w:t>. This Amendment and the Loan Documents represent the entire agreement about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71" w:lineRule="exact"/>
        <w:rPr>
          <w:rFonts w:ascii="Times New Roman" w:cs="Times New Roman" w:eastAsia="Times New Roman" w:hAnsi="Times New Roman"/>
          <w:sz w:val="22"/>
          <w:szCs w:val="22"/>
          <w:b w:val="1"/>
          <w:bCs w:val="1"/>
          <w:color w:val="auto"/>
        </w:rPr>
      </w:pPr>
    </w:p>
    <w:p>
      <w:pPr>
        <w:ind w:firstLine="656"/>
        <w:spacing w:after="0" w:line="262" w:lineRule="auto"/>
        <w:tabs>
          <w:tab w:leader="none" w:pos="1296"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Amendment may be executed in any number of counterparts and all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taken together shall be deemed to constitute one and the same instrument.</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1296"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Effectiveness</w:t>
      </w:r>
      <w:r>
        <w:rPr>
          <w:rFonts w:ascii="Times New Roman" w:cs="Times New Roman" w:eastAsia="Times New Roman" w:hAnsi="Times New Roman"/>
          <w:sz w:val="22"/>
          <w:szCs w:val="22"/>
          <w:color w:val="auto"/>
        </w:rPr>
        <w:t>. This Amendment shall be deemed effective upon (a) the due execution and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Bank of this Amendment by each party hereto, (b) Borrower’s payment of a fully-earned, nonrefundable amendment fee in an amount equal to Ten Thousand Dollars ($10,000), and (c) payment of Bank’s legal fees and expenses in connection with the negotiation and preparation of this Amendment.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4" w:name="page55"/>
    <w:bookmarkEnd w:id="54"/>
    <w:p>
      <w:pPr>
        <w:ind w:right="39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7"/>
          <w:szCs w:val="17"/>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7"/>
          <w:szCs w:val="17"/>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have caused this Amendment to be duly executed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delivered as of the date first written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147955</wp:posOffset>
            </wp:positionV>
            <wp:extent cx="102870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10795</wp:posOffset>
            </wp:positionV>
            <wp:extent cx="28803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22"/>
          <w:szCs w:val="22"/>
          <w:color w:val="auto"/>
        </w:rPr>
        <w:t>Name: Anuj Aggarwal</w:t>
      </w:r>
    </w:p>
    <w:p>
      <w:pPr>
        <w:ind w:left="420"/>
        <w:spacing w:after="0"/>
        <w:rPr>
          <w:sz w:val="20"/>
          <w:szCs w:val="20"/>
          <w:color w:val="auto"/>
        </w:rPr>
      </w:pPr>
      <w:r>
        <w:rPr>
          <w:rFonts w:ascii="Times New Roman" w:cs="Times New Roman" w:eastAsia="Times New Roman" w:hAnsi="Times New Roman"/>
          <w:sz w:val="22"/>
          <w:szCs w:val="22"/>
          <w:color w:val="auto"/>
        </w:rPr>
        <w:t>Title: CFO</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BANK: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SILICON VALLEY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147955</wp:posOffset>
            </wp:positionV>
            <wp:extent cx="185166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851660" cy="41148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10795</wp:posOffset>
            </wp:positionV>
            <wp:extent cx="2880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22"/>
          <w:szCs w:val="22"/>
          <w:color w:val="auto"/>
        </w:rPr>
        <w:t>Name: Brian Brown</w:t>
      </w:r>
    </w:p>
    <w:p>
      <w:pPr>
        <w:ind w:left="4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[Signature Page to Third Amendment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08"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-127635</wp:posOffset>
            </wp:positionV>
            <wp:extent cx="25031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Anuj Aggarwal, certify that:</w:t>
      </w:r>
    </w:p>
    <w:p>
      <w:pPr>
        <w:spacing w:after="0" w:line="225" w:lineRule="exact"/>
        <w:rPr>
          <w:sz w:val="20"/>
          <w:szCs w:val="20"/>
          <w:color w:val="auto"/>
        </w:rPr>
      </w:pPr>
    </w:p>
    <w:p>
      <w:pPr>
        <w:ind w:left="700" w:hanging="326"/>
        <w:spacing w:after="0"/>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258"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99" w:hanging="326"/>
        <w:spacing w:after="0" w:line="266" w:lineRule="auto"/>
        <w:tabs>
          <w:tab w:leader="none" w:pos="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-127635</wp:posOffset>
            </wp:positionV>
            <wp:extent cx="23577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7" w:name="page58"/>
    <w:bookmarkEnd w:id="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Anuj Aggarwal, Chief Financial Officer of the Company, each hereby certifies that, to the best of his knowledge:</w:t>
      </w:r>
    </w:p>
    <w:p>
      <w:pPr>
        <w:spacing w:after="0" w:line="187" w:lineRule="exact"/>
        <w:rPr>
          <w:sz w:val="20"/>
          <w:szCs w:val="20"/>
          <w:color w:val="auto"/>
        </w:rPr>
      </w:pPr>
    </w:p>
    <w:p>
      <w:pPr>
        <w:ind w:left="60" w:right="159" w:hanging="10"/>
        <w:spacing w:after="0" w:line="266"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0" w:right="439" w:hanging="10"/>
        <w:spacing w:after="0" w:line="266"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0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48960" cy="130302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Anuj Aggarwal</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Anuj Aggarwal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upperLetter"/>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decimal"/>
      <w:start w:val="4"/>
    </w:lvl>
  </w:abstractNum>
  <w:abstractNum w:abstractNumId="29">
    <w:nsid w:val="22221A70"/>
    <w:multiLevelType w:val="hybridMultilevel"/>
    <w:lvl w:ilvl="0">
      <w:lvlJc w:val="left"/>
      <w:lvlText w:val="%1."/>
      <w:numFmt w:val="decimal"/>
      <w:start w:val="5"/>
    </w:lvl>
  </w:abstractNum>
  <w:abstractNum w:abstractNumId="30">
    <w:nsid w:val="4516DDE9"/>
    <w:multiLevelType w:val="hybridMultilevel"/>
    <w:lvl w:ilvl="0">
      <w:lvlJc w:val="left"/>
      <w:lvlText w:val="%1"/>
      <w:numFmt w:val="lowerLetter"/>
      <w:start w:val="1"/>
    </w:lvl>
    <w:lvl w:ilvl="1">
      <w:lvlJc w:val="left"/>
      <w:lvlText w:val="%2."/>
      <w:numFmt w:val="decimal"/>
      <w:start w:val="6"/>
    </w:lvl>
  </w:abstractNum>
  <w:abstractNum w:abstractNumId="31">
    <w:nsid w:val="3006C83E"/>
    <w:multiLevelType w:val="hybridMultilevel"/>
    <w:lvl w:ilvl="0">
      <w:lvlJc w:val="left"/>
      <w:lvlText w:val="(%1)"/>
      <w:numFmt w:val="lowerLetter"/>
      <w:start w:val="2"/>
    </w:lvl>
    <w:lvl w:ilvl="1">
      <w:lvlJc w:val="left"/>
      <w:lvlText w:val="%2."/>
      <w:numFmt w:val="decimal"/>
      <w:start w:val="7"/>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jpeg"/><Relationship Id="rId76" Type="http://schemas.openxmlformats.org/officeDocument/2006/relationships/image" Target="media/image65.png"/><Relationship Id="rId77" Type="http://schemas.openxmlformats.org/officeDocument/2006/relationships/image" Target="media/image66.jpe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65" Type="http://schemas.openxmlformats.org/officeDocument/2006/relationships/hyperlink" Target="http://www.sec.gov/Archives/edgar/data/1438423/000119312516737688/d271840dex31.htm" TargetMode="External"/><Relationship Id="rId66" Type="http://schemas.openxmlformats.org/officeDocument/2006/relationships/hyperlink" Target="http://www.sec.gov/Archives/edgar/data/1438423/000119312519154165/d752899dex31.htm" TargetMode="External"/><Relationship Id="rId67" Type="http://schemas.openxmlformats.org/officeDocument/2006/relationships/hyperlink" Target="https://www.sec.gov/Archives/edgar/data/1438423/000119312520153247/d936625dex31.htm" TargetMode="External"/><Relationship Id="rId68"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2022-08-13T12:35:29Z</dcterms:created>
  <dcterms:modified xsi:type="dcterms:W3CDTF">2022-08-13T12:35:29Z</dcterms:modified>
</cp:coreProperties>
</file>