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April 24,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19" w:type="dxa"/>
        <w:jc w:val="left"/>
        <w:tblInd w:w="0" w:type="dxa"/>
        <w:tblLayout w:type="fixed"/>
        <w:tblCellMar>
          <w:top w:w="28" w:type="dxa"/>
          <w:left w:w="28" w:type="dxa"/>
          <w:bottom w:w="28" w:type="dxa"/>
          <w:right w:w="28" w:type="dxa"/>
        </w:tblCellMar>
      </w:tblPr>
      <w:tblGrid>
        <w:gridCol w:w="750"/>
        <w:gridCol w:w="658"/>
        <w:gridCol w:w="662"/>
        <w:gridCol w:w="354"/>
        <w:gridCol w:w="354"/>
        <w:gridCol w:w="356"/>
        <w:gridCol w:w="434"/>
        <w:gridCol w:w="434"/>
        <w:gridCol w:w="61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001-37900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26-2640654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5670 W. Chandler Blvd.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 85226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 347-1111</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Not Applicable </w:t>
      </w:r>
    </w:p>
    <w:p>
      <w:pPr>
        <w:pStyle w:val="TextBody"/>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22" w:type="dxa"/>
        <w:jc w:val="left"/>
        <w:tblInd w:w="0" w:type="dxa"/>
        <w:tblLayout w:type="fixed"/>
        <w:tblCellMar>
          <w:top w:w="28" w:type="dxa"/>
          <w:left w:w="28" w:type="dxa"/>
          <w:bottom w:w="28" w:type="dxa"/>
          <w:right w:w="28" w:type="dxa"/>
        </w:tblCellMar>
      </w:tblPr>
      <w:tblGrid>
        <w:gridCol w:w="124"/>
        <w:gridCol w:w="109"/>
        <w:gridCol w:w="109"/>
        <w:gridCol w:w="2335"/>
        <w:gridCol w:w="2335"/>
        <w:gridCol w:w="3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bl>
    <w:tbl>
      <w:tblPr>
        <w:tblW w:w="8261" w:type="dxa"/>
        <w:jc w:val="left"/>
        <w:tblInd w:w="0" w:type="dxa"/>
        <w:tblLayout w:type="fixed"/>
        <w:tblCellMar>
          <w:top w:w="28" w:type="dxa"/>
          <w:left w:w="28" w:type="dxa"/>
          <w:bottom w:w="28" w:type="dxa"/>
          <w:right w:w="28" w:type="dxa"/>
        </w:tblCellMar>
      </w:tblPr>
      <w:tblGrid>
        <w:gridCol w:w="124"/>
        <w:gridCol w:w="109"/>
        <w:gridCol w:w="109"/>
        <w:gridCol w:w="2317"/>
        <w:gridCol w:w="2317"/>
        <w:gridCol w:w="3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96" w:type="dxa"/>
        <w:jc w:val="left"/>
        <w:tblInd w:w="0" w:type="dxa"/>
        <w:tblLayout w:type="fixed"/>
        <w:tblCellMar>
          <w:top w:w="28" w:type="dxa"/>
          <w:left w:w="28" w:type="dxa"/>
          <w:bottom w:w="28" w:type="dxa"/>
          <w:right w:w="28" w:type="dxa"/>
        </w:tblCellMar>
      </w:tblPr>
      <w:tblGrid>
        <w:gridCol w:w="954"/>
        <w:gridCol w:w="837"/>
        <w:gridCol w:w="848"/>
        <w:gridCol w:w="109"/>
        <w:gridCol w:w="109"/>
        <w:gridCol w:w="109"/>
        <w:gridCol w:w="484"/>
        <w:gridCol w:w="484"/>
        <w:gridCol w:w="486"/>
        <w:gridCol w:w="109"/>
        <w:gridCol w:w="109"/>
        <w:gridCol w:w="109"/>
        <w:gridCol w:w="746"/>
        <w:gridCol w:w="746"/>
        <w:gridCol w:w="1057"/>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w:t>
              <w:br/>
              <w:t>registered</w:t>
            </w:r>
          </w:p>
        </w:tc>
      </w:tr>
      <w:tr>
        <w:trPr/>
        <w:tc>
          <w:tcPr>
            <w:tcW w:w="26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On April 24, 2026, Everspin Technologies, Inc. (the “Company”) and Amentum Services Inc. (“Contractor”) entered into Subcontract Number S26-03-01 and a Statement of Work (collectively, the “Agreement”), structured as an IDIQ Subcontract with Firm Fixed Price Task Orders, in connection with the Microelectronics Research, Development, Test, and Evaluation (“RDT&amp;E”) program under Prime Contract Number FA8075-18-D-0014 (the “Prime Contract”) issued by Naval Surface Warfare Center, Crane Division (“NSWC Crane”) to Contractor. The overall objective of the Prime Contract with the Contractor is for the U.S. government to have a set of proven processes and manufacturing capability that will result in new Toggle Magnetoresistive Random Access Memory (“MRAM”) that the U.S. government will then be able to purchase for use in strategic systems.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primary purpose of the Agreement is to provide Information Analysis Center Multiple Award Contract related Scientific and Technical Information deliverables by performing RDT&amp;E and other Research and Development related analytical services in achieving the Requiring Activity’s mission requirements. Key technical obligations of the Company include managing the program and developing on-shore Toggle MRAM Production capability; providing process technology and engineering services; providing electrical characterization results; and providing statistical process control matching with physical dimension details with the goal of providing a qualified process to manufacture Contractor Toggle MRAM products. The Company will provide process know-how and IP for Toggle MRAM manufacturing in case the Company exits the Toggle MRAM business while executing the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Agreement is structured as a Firm Fixed Price contract. Pursuant to the Agreement, milestone payments are structured across two phases over a 30-month period of performance from April 20, 2026 through November 21, 2028, with payments triggered upon completion of each milestone deliverable, for a total aggregate value of $40,000,000. Contractor reserves the right to terminate the Agreement for convenience, but only if and to the extent that NSWC Crane first terminates the Prime Contract. In the event of termination for convenience, Contractor agrees to pay the Company the full amounts paid or obligated to vendors, subcontractors, and suppliers, as well as any ancillary costs or expenses. Option periods apply, and Contractor reserves the right to unilaterally exercise one or more option periods, in whole or in part, by written notice no later than one day prior to the stated option period. Additionally, Contractor may unilaterally require continued performance of any services at the rates specified in the final option period, with any such extension of performance not to exceed six months.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Current Report on Form 8-K contains forward-looking statements within the meaning of Section 27A of the Securities Act of 1933, as amended, and Section 21E of the Securities Exchange Act of 1934, as amended. These statements involve known and unknown risks, uncertainties, and other factors which may cause the Company's actual results, performance, or achievements to be materially different from any future results, performances, or achievements expressed or implied by the forward-looking statements. These risks and uncertainties are more fully described under the heading “Risk Factors” in the Company’s filings with the Securities and Exchange Commission (the “SEC”), including its Annual Report on Form 10-K filed with the SEC on March 4, 2026, and its subsequent filings with the SEC from time to time. The Company does not undertake any obligation to update any forward-looking statements.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foregoing summary of the Agreement does not purport to be complete and is qualified in its entirety by reference to the full text of the Agreement, a copy of which will be filed as an exhibit to the Company’s Quarterly Report on Form 10-Q for the quarter ending June 30, 2026 and is incorporated herein by reference.</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0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518" w:type="dxa"/>
        <w:jc w:val="left"/>
        <w:tblInd w:w="0" w:type="dxa"/>
        <w:tblLayout w:type="fixed"/>
        <w:tblCellMar>
          <w:top w:w="28" w:type="dxa"/>
          <w:left w:w="28" w:type="dxa"/>
          <w:bottom w:w="28" w:type="dxa"/>
          <w:right w:w="28" w:type="dxa"/>
        </w:tblCellMar>
      </w:tblPr>
      <w:tblGrid>
        <w:gridCol w:w="608"/>
        <w:gridCol w:w="533"/>
        <w:gridCol w:w="539"/>
        <w:gridCol w:w="351"/>
        <w:gridCol w:w="351"/>
        <w:gridCol w:w="351"/>
        <w:gridCol w:w="518"/>
        <w:gridCol w:w="518"/>
        <w:gridCol w:w="749"/>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Everspin Technologies, Inc.</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Dated: April 29, 2026</w:t>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William Cooper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Cooper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5448</Characters>
  <CharactersWithSpaces>6352</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