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160655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169545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May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169545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Everspin Technologies,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160655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tbl>
      <w:tblPr>
        <w:tblLayout w:type="fixed"/>
        <w:tblInd w:w="260" w:type="dxa"/>
        <w:tblCellMar>
          <w:top w:w="0" w:type="dxa"/>
          <w:left w:w="0" w:type="dxa"/>
          <w:bottom w:w="0" w:type="dxa"/>
          <w:right w:w="0" w:type="dxa"/>
        </w:tblCellMar>
      </w:tblPr>
      <w:tr>
        <w:trPr>
          <w:trHeight w:val="162"/>
        </w:trPr>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Delaware</w:t>
            </w: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001-37900</w:t>
            </w:r>
          </w:p>
        </w:tc>
        <w:tc>
          <w:tcPr>
            <w:tcW w:w="1500" w:type="dxa"/>
            <w:vAlign w:val="bottom"/>
          </w:tcPr>
          <w:p>
            <w:pPr>
              <w:jc w:val="center"/>
              <w:ind w:left="228"/>
              <w:spacing w:after="0"/>
              <w:rPr>
                <w:sz w:val="20"/>
                <w:szCs w:val="20"/>
                <w:color w:val="auto"/>
              </w:rPr>
            </w:pPr>
            <w:r>
              <w:rPr>
                <w:rFonts w:ascii="Arial" w:cs="Arial" w:eastAsia="Arial" w:hAnsi="Arial"/>
                <w:sz w:val="14"/>
                <w:szCs w:val="14"/>
                <w:b w:val="1"/>
                <w:bCs w:val="1"/>
                <w:color w:val="auto"/>
              </w:rPr>
              <w:t>26-2640654</w:t>
            </w:r>
          </w:p>
        </w:tc>
      </w:tr>
      <w:tr>
        <w:trPr>
          <w:trHeight w:val="162"/>
        </w:trPr>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(State or other jurisdiction</w:t>
            </w: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(Commission</w:t>
            </w:r>
          </w:p>
        </w:tc>
        <w:tc>
          <w:tcPr>
            <w:tcW w:w="1500" w:type="dxa"/>
            <w:vAlign w:val="bottom"/>
          </w:tcPr>
          <w:p>
            <w:pPr>
              <w:jc w:val="center"/>
              <w:ind w:left="228"/>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of incorporation)</w:t>
            </w: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ind w:left="228"/>
              <w:spacing w:after="0"/>
              <w:rPr>
                <w:sz w:val="20"/>
                <w:szCs w:val="20"/>
                <w:color w:val="auto"/>
              </w:rPr>
            </w:pPr>
            <w:r>
              <w:rPr>
                <w:rFonts w:ascii="Arial" w:cs="Arial" w:eastAsia="Arial" w:hAnsi="Arial"/>
                <w:sz w:val="14"/>
                <w:szCs w:val="14"/>
                <w:b w:val="1"/>
                <w:bCs w:val="1"/>
                <w:color w:val="auto"/>
              </w:rPr>
              <w:t>Identification No.)</w:t>
            </w:r>
          </w:p>
        </w:tc>
      </w:tr>
      <w:tr>
        <w:trPr>
          <w:trHeight w:val="317"/>
        </w:trPr>
        <w:tc>
          <w:tcPr>
            <w:tcW w:w="1960" w:type="dxa"/>
            <w:vAlign w:val="bottom"/>
          </w:tcPr>
          <w:p>
            <w:pPr>
              <w:spacing w:after="0"/>
              <w:rPr>
                <w:sz w:val="24"/>
                <w:szCs w:val="24"/>
                <w:color w:val="auto"/>
              </w:rPr>
            </w:pPr>
          </w:p>
        </w:tc>
        <w:tc>
          <w:tcPr>
            <w:tcW w:w="4720" w:type="dxa"/>
            <w:vAlign w:val="bottom"/>
          </w:tcPr>
          <w:p>
            <w:pPr>
              <w:jc w:val="center"/>
              <w:ind w:right="68"/>
              <w:spacing w:after="0"/>
              <w:rPr>
                <w:sz w:val="20"/>
                <w:szCs w:val="20"/>
                <w:color w:val="auto"/>
              </w:rPr>
            </w:pPr>
            <w:r>
              <w:rPr>
                <w:rFonts w:ascii="Arial" w:cs="Arial" w:eastAsia="Arial" w:hAnsi="Arial"/>
                <w:sz w:val="14"/>
                <w:szCs w:val="14"/>
                <w:b w:val="1"/>
                <w:bCs w:val="1"/>
                <w:color w:val="auto"/>
              </w:rPr>
              <w:t>5670 W. Chandler Blvd.</w:t>
            </w:r>
          </w:p>
        </w:tc>
        <w:tc>
          <w:tcPr>
            <w:tcW w:w="1500" w:type="dxa"/>
            <w:vAlign w:val="bottom"/>
          </w:tcPr>
          <w:p>
            <w:pPr>
              <w:spacing w:after="0"/>
              <w:rPr>
                <w:sz w:val="24"/>
                <w:szCs w:val="24"/>
                <w:color w:val="auto"/>
              </w:rPr>
            </w:pPr>
          </w:p>
        </w:tc>
      </w:tr>
      <w:tr>
        <w:trPr>
          <w:trHeight w:val="162"/>
        </w:trPr>
        <w:tc>
          <w:tcPr>
            <w:tcW w:w="1960" w:type="dxa"/>
            <w:vAlign w:val="bottom"/>
          </w:tcPr>
          <w:p>
            <w:pPr>
              <w:spacing w:after="0"/>
              <w:rPr>
                <w:sz w:val="14"/>
                <w:szCs w:val="14"/>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Suite 130</w:t>
            </w:r>
          </w:p>
        </w:tc>
        <w:tc>
          <w:tcPr>
            <w:tcW w:w="150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Chandler, Arizona 85226</w:t>
            </w:r>
          </w:p>
        </w:tc>
        <w:tc>
          <w:tcPr>
            <w:tcW w:w="1500" w:type="dxa"/>
            <w:vAlign w:val="bottom"/>
          </w:tcPr>
          <w:p>
            <w:pPr>
              <w:spacing w:after="0"/>
              <w:rPr>
                <w:sz w:val="14"/>
                <w:szCs w:val="14"/>
                <w:color w:val="auto"/>
              </w:rPr>
            </w:pPr>
          </w:p>
        </w:tc>
      </w:tr>
      <w:tr>
        <w:trPr>
          <w:trHeight w:val="196"/>
        </w:trPr>
        <w:tc>
          <w:tcPr>
            <w:tcW w:w="1960" w:type="dxa"/>
            <w:vAlign w:val="bottom"/>
          </w:tcPr>
          <w:p>
            <w:pPr>
              <w:spacing w:after="0"/>
              <w:rPr>
                <w:sz w:val="17"/>
                <w:szCs w:val="17"/>
                <w:color w:val="auto"/>
              </w:rPr>
            </w:pPr>
          </w:p>
        </w:tc>
        <w:tc>
          <w:tcPr>
            <w:tcW w:w="4720" w:type="dxa"/>
            <w:vAlign w:val="bottom"/>
          </w:tcPr>
          <w:p>
            <w:pPr>
              <w:jc w:val="center"/>
              <w:ind w:right="68"/>
              <w:spacing w:after="0"/>
              <w:rPr>
                <w:sz w:val="20"/>
                <w:szCs w:val="20"/>
                <w:color w:val="auto"/>
              </w:rPr>
            </w:pPr>
            <w:r>
              <w:rPr>
                <w:rFonts w:ascii="Arial" w:cs="Arial" w:eastAsia="Arial" w:hAnsi="Arial"/>
                <w:sz w:val="14"/>
                <w:szCs w:val="14"/>
                <w:b w:val="1"/>
                <w:bCs w:val="1"/>
                <w:color w:val="auto"/>
              </w:rPr>
              <w:t>(Address of principal executive offices, including zip code)</w:t>
            </w:r>
          </w:p>
        </w:tc>
        <w:tc>
          <w:tcPr>
            <w:tcW w:w="1500" w:type="dxa"/>
            <w:vAlign w:val="bottom"/>
          </w:tcPr>
          <w:p>
            <w:pPr>
              <w:spacing w:after="0"/>
              <w:rPr>
                <w:sz w:val="17"/>
                <w:szCs w:val="17"/>
                <w:color w:val="auto"/>
              </w:rPr>
            </w:pPr>
          </w:p>
        </w:tc>
      </w:tr>
      <w:tr>
        <w:trPr>
          <w:trHeight w:val="290"/>
        </w:trPr>
        <w:tc>
          <w:tcPr>
            <w:tcW w:w="1960" w:type="dxa"/>
            <w:vAlign w:val="bottom"/>
          </w:tcPr>
          <w:p>
            <w:pPr>
              <w:spacing w:after="0"/>
              <w:rPr>
                <w:sz w:val="24"/>
                <w:szCs w:val="24"/>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(480) 347-1111</w:t>
            </w:r>
          </w:p>
        </w:tc>
        <w:tc>
          <w:tcPr>
            <w:tcW w:w="1500" w:type="dxa"/>
            <w:vAlign w:val="bottom"/>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500" w:type="dxa"/>
            <w:vAlign w:val="bottom"/>
          </w:tcPr>
          <w:p>
            <w:pPr>
              <w:spacing w:after="0"/>
              <w:rPr>
                <w:sz w:val="17"/>
                <w:szCs w:val="17"/>
                <w:color w:val="auto"/>
              </w:rPr>
            </w:pPr>
          </w:p>
        </w:tc>
      </w:tr>
      <w:tr>
        <w:trPr>
          <w:trHeight w:val="290"/>
        </w:trPr>
        <w:tc>
          <w:tcPr>
            <w:tcW w:w="1960" w:type="dxa"/>
            <w:vAlign w:val="bottom"/>
          </w:tcPr>
          <w:p>
            <w:pPr>
              <w:spacing w:after="0"/>
              <w:rPr>
                <w:sz w:val="24"/>
                <w:szCs w:val="24"/>
                <w:color w:val="auto"/>
              </w:rPr>
            </w:pPr>
          </w:p>
        </w:tc>
        <w:tc>
          <w:tcPr>
            <w:tcW w:w="4720" w:type="dxa"/>
            <w:vAlign w:val="bottom"/>
          </w:tcPr>
          <w:p>
            <w:pPr>
              <w:jc w:val="center"/>
              <w:ind w:right="68"/>
              <w:spacing w:after="0"/>
              <w:rPr>
                <w:sz w:val="20"/>
                <w:szCs w:val="20"/>
                <w:color w:val="auto"/>
              </w:rPr>
            </w:pPr>
            <w:r>
              <w:rPr>
                <w:rFonts w:ascii="Arial" w:cs="Arial" w:eastAsia="Arial" w:hAnsi="Arial"/>
                <w:sz w:val="14"/>
                <w:szCs w:val="14"/>
                <w:b w:val="1"/>
                <w:bCs w:val="1"/>
                <w:color w:val="auto"/>
              </w:rPr>
              <w:t>5670 W. Chandler Blvd.</w:t>
            </w:r>
          </w:p>
        </w:tc>
        <w:tc>
          <w:tcPr>
            <w:tcW w:w="1500" w:type="dxa"/>
            <w:vAlign w:val="bottom"/>
          </w:tcPr>
          <w:p>
            <w:pPr>
              <w:spacing w:after="0"/>
              <w:rPr>
                <w:sz w:val="24"/>
                <w:szCs w:val="24"/>
                <w:color w:val="auto"/>
              </w:rPr>
            </w:pPr>
          </w:p>
        </w:tc>
      </w:tr>
      <w:tr>
        <w:trPr>
          <w:trHeight w:val="162"/>
        </w:trPr>
        <w:tc>
          <w:tcPr>
            <w:tcW w:w="1960" w:type="dxa"/>
            <w:vAlign w:val="bottom"/>
          </w:tcPr>
          <w:p>
            <w:pPr>
              <w:spacing w:after="0"/>
              <w:rPr>
                <w:sz w:val="14"/>
                <w:szCs w:val="14"/>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Suite 100</w:t>
            </w:r>
          </w:p>
        </w:tc>
        <w:tc>
          <w:tcPr>
            <w:tcW w:w="150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4720" w:type="dxa"/>
            <w:vAlign w:val="bottom"/>
          </w:tcPr>
          <w:p>
            <w:pPr>
              <w:jc w:val="center"/>
              <w:ind w:right="68"/>
              <w:spacing w:after="0"/>
              <w:rPr>
                <w:sz w:val="20"/>
                <w:szCs w:val="20"/>
                <w:color w:val="auto"/>
              </w:rPr>
            </w:pPr>
            <w:r>
              <w:rPr>
                <w:rFonts w:ascii="Arial" w:cs="Arial" w:eastAsia="Arial" w:hAnsi="Arial"/>
                <w:sz w:val="14"/>
                <w:szCs w:val="14"/>
                <w:b w:val="1"/>
                <w:bCs w:val="1"/>
                <w:color w:val="auto"/>
              </w:rPr>
              <w:t>Chandler, Arizona 85226</w:t>
            </w:r>
          </w:p>
        </w:tc>
        <w:tc>
          <w:tcPr>
            <w:tcW w:w="1500" w:type="dxa"/>
            <w:vAlign w:val="bottom"/>
          </w:tcPr>
          <w:p>
            <w:pPr>
              <w:spacing w:after="0"/>
              <w:rPr>
                <w:sz w:val="14"/>
                <w:szCs w:val="14"/>
                <w:color w:val="auto"/>
              </w:rPr>
            </w:pPr>
          </w:p>
        </w:tc>
      </w:tr>
      <w:tr>
        <w:trPr>
          <w:trHeight w:val="196"/>
        </w:trPr>
        <w:tc>
          <w:tcPr>
            <w:tcW w:w="1960" w:type="dxa"/>
            <w:vAlign w:val="bottom"/>
          </w:tcPr>
          <w:p>
            <w:pPr>
              <w:spacing w:after="0"/>
              <w:rPr>
                <w:sz w:val="17"/>
                <w:szCs w:val="17"/>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(Former name or former address, if changed since last report.)</w:t>
            </w:r>
          </w:p>
        </w:tc>
        <w:tc>
          <w:tcPr>
            <w:tcW w:w="150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146685</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60" w:right="99"/>
        <w:spacing w:after="0" w:line="285"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0" w:right="1459" w:hanging="2"/>
        <w:spacing w:after="0" w:line="513" w:lineRule="auto"/>
        <w:tabs>
          <w:tab w:leader="none" w:pos="453"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w:t>
            </w:r>
          </w:p>
        </w:tc>
      </w:tr>
      <w:tr>
        <w:trPr>
          <w:trHeight w:val="171"/>
        </w:trPr>
        <w:tc>
          <w:tcPr>
            <w:tcW w:w="3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2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Trading Symbol(s)</w:t>
            </w: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registered</w:t>
            </w:r>
          </w:p>
        </w:tc>
      </w:tr>
      <w:tr>
        <w:trPr>
          <w:trHeight w:val="190"/>
        </w:trPr>
        <w:tc>
          <w:tcPr>
            <w:tcW w:w="2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Common Stock, par value $0.0001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MRAM</w:t>
            </w:r>
          </w:p>
        </w:tc>
        <w:tc>
          <w:tcPr>
            <w:tcW w:w="160" w:type="dxa"/>
            <w:vAlign w:val="bottom"/>
          </w:tcPr>
          <w:p>
            <w:pPr>
              <w:spacing w:after="0"/>
              <w:rPr>
                <w:sz w:val="16"/>
                <w:szCs w:val="16"/>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119" w:lineRule="exact"/>
        <w:rPr>
          <w:sz w:val="24"/>
          <w:szCs w:val="24"/>
          <w:color w:val="auto"/>
        </w:rPr>
      </w:pPr>
    </w:p>
    <w:p>
      <w:pPr>
        <w:ind w:left="60" w:right="1039"/>
        <w:spacing w:after="0" w:line="28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80"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ind w:left="60" w:right="159"/>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478155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49530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92075</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8"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6"/>
          <w:szCs w:val="16"/>
          <w:color w:val="auto"/>
        </w:rPr>
        <w:t>On May 11, 2022, Everspin Technologies, Inc. (the “Company”) issued a press release announcing its financial results for the quarter ended March 31, 2022,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21" w:lineRule="exact"/>
        <w:rPr>
          <w:sz w:val="20"/>
          <w:szCs w:val="20"/>
          <w:color w:val="auto"/>
        </w:rPr>
      </w:pPr>
    </w:p>
    <w:p>
      <w:pPr>
        <w:ind w:left="60"/>
        <w:spacing w:after="0"/>
        <w:tabs>
          <w:tab w:leader="none" w:pos="4580" w:val="left"/>
        </w:tabs>
        <w:rPr>
          <w:sz w:val="20"/>
          <w:szCs w:val="20"/>
          <w:color w:val="auto"/>
        </w:rPr>
      </w:pPr>
      <w:r>
        <w:rPr>
          <w:rFonts w:ascii="Arial" w:cs="Arial" w:eastAsia="Arial" w:hAnsi="Arial"/>
          <w:sz w:val="16"/>
          <w:szCs w:val="16"/>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12065</wp:posOffset>
            </wp:positionV>
            <wp:extent cx="4946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20" w:type="dxa"/>
            <w:vAlign w:val="bottom"/>
          </w:tcPr>
          <w:p>
            <w:pPr>
              <w:ind w:left="200"/>
              <w:spacing w:after="0"/>
              <w:rPr>
                <w:sz w:val="20"/>
                <w:szCs w:val="20"/>
                <w:color w:val="auto"/>
              </w:rPr>
            </w:pPr>
            <w:r>
              <w:rPr>
                <w:rFonts w:ascii="Arial" w:cs="Arial" w:eastAsia="Arial" w:hAnsi="Arial"/>
                <w:sz w:val="16"/>
                <w:szCs w:val="16"/>
                <w:color w:val="auto"/>
              </w:rPr>
              <w:t>99.1</w:t>
            </w:r>
          </w:p>
        </w:tc>
        <w:tc>
          <w:tcPr>
            <w:tcW w:w="27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Press release, dated May 11, 2022</w:t>
            </w:r>
          </w:p>
        </w:tc>
        <w:tc>
          <w:tcPr>
            <w:tcW w:w="5020" w:type="dxa"/>
            <w:vAlign w:val="bottom"/>
          </w:tcPr>
          <w:p>
            <w:pPr>
              <w:spacing w:after="0"/>
              <w:rPr>
                <w:sz w:val="17"/>
                <w:szCs w:val="17"/>
                <w:color w:val="auto"/>
              </w:rPr>
            </w:pPr>
          </w:p>
        </w:tc>
      </w:tr>
      <w:tr>
        <w:trPr>
          <w:trHeight w:val="397"/>
        </w:trPr>
        <w:tc>
          <w:tcPr>
            <w:tcW w:w="1120" w:type="dxa"/>
            <w:vAlign w:val="bottom"/>
          </w:tcPr>
          <w:p>
            <w:pPr>
              <w:ind w:left="200"/>
              <w:spacing w:after="0"/>
              <w:rPr>
                <w:sz w:val="20"/>
                <w:szCs w:val="20"/>
                <w:color w:val="auto"/>
              </w:rPr>
            </w:pPr>
            <w:r>
              <w:rPr>
                <w:rFonts w:ascii="Arial" w:cs="Arial" w:eastAsia="Arial" w:hAnsi="Arial"/>
                <w:sz w:val="16"/>
                <w:szCs w:val="16"/>
                <w:color w:val="auto"/>
              </w:rPr>
              <w:t>104</w:t>
            </w:r>
          </w:p>
        </w:tc>
        <w:tc>
          <w:tcPr>
            <w:tcW w:w="7800" w:type="dxa"/>
            <w:vAlign w:val="bottom"/>
            <w:gridSpan w:val="2"/>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981"/>
        </w:trPr>
        <w:tc>
          <w:tcPr>
            <w:tcW w:w="1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08"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Everspin Technologies, Inc.</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Dated: May 11, 2022</w:t>
      </w:r>
    </w:p>
    <w:p>
      <w:pPr>
        <w:spacing w:after="0" w:line="194"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/s/ 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12065</wp:posOffset>
            </wp:positionV>
            <wp:extent cx="2640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1"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Anuj Aggarwal</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610870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Q1’22 Earnings Press Release</w:t>
      </w:r>
    </w:p>
    <w:p>
      <w:pPr>
        <w:spacing w:after="0" w:line="224" w:lineRule="exact"/>
        <w:rPr>
          <w:sz w:val="20"/>
          <w:szCs w:val="20"/>
          <w:color w:val="auto"/>
        </w:rPr>
      </w:pPr>
    </w:p>
    <w:p>
      <w:pPr>
        <w:ind w:left="60" w:right="619"/>
        <w:spacing w:after="0" w:line="239" w:lineRule="auto"/>
        <w:rPr>
          <w:sz w:val="20"/>
          <w:szCs w:val="20"/>
          <w:color w:val="auto"/>
        </w:rPr>
      </w:pPr>
      <w:r>
        <w:rPr>
          <w:rFonts w:ascii="Calibri" w:cs="Calibri" w:eastAsia="Calibri" w:hAnsi="Calibri"/>
          <w:sz w:val="36"/>
          <w:szCs w:val="36"/>
          <w:b w:val="1"/>
          <w:bCs w:val="1"/>
          <w:color w:val="auto"/>
        </w:rPr>
        <w:t>Everspin Reports Unaudited First Quarter 2022 Financial Results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8"/>
          <w:szCs w:val="28"/>
          <w:i w:val="1"/>
          <w:iCs w:val="1"/>
          <w:color w:val="auto"/>
        </w:rPr>
        <w:t>The Company continues growth into 2022 with profitable first quarter results</w:t>
      </w:r>
    </w:p>
    <w:p>
      <w:pPr>
        <w:spacing w:after="0" w:line="241"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25"/>
          <w:szCs w:val="25"/>
          <w:b w:val="1"/>
          <w:bCs w:val="1"/>
          <w:color w:val="auto"/>
        </w:rPr>
        <w:t xml:space="preserve">Chandler, AZ, May 11, 2022 </w:t>
      </w:r>
      <w:r>
        <w:rPr>
          <w:rFonts w:ascii="Times New Roman" w:cs="Times New Roman" w:eastAsia="Times New Roman" w:hAnsi="Times New Roman"/>
          <w:sz w:val="25"/>
          <w:szCs w:val="25"/>
          <w:color w:val="auto"/>
        </w:rPr>
        <w:t>— Everspin Technologies, Inc. (NASDAQ: MRAM), the</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25"/>
          <w:szCs w:val="25"/>
          <w:color w:val="auto"/>
        </w:rPr>
        <w:t>market leader in MRAM, today announced preliminary unaudited financial results for the first quarter ended March 31, 2022.</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b w:val="1"/>
          <w:bCs w:val="1"/>
          <w:color w:val="auto"/>
        </w:rPr>
        <w:t>First Quarter 2022 Highlights</w:t>
      </w:r>
    </w:p>
    <w:p>
      <w:pPr>
        <w:spacing w:after="0" w:line="232" w:lineRule="exact"/>
        <w:rPr>
          <w:sz w:val="20"/>
          <w:szCs w:val="20"/>
          <w:color w:val="auto"/>
        </w:rPr>
      </w:pPr>
    </w:p>
    <w:p>
      <w:pPr>
        <w:ind w:left="700" w:right="719" w:hanging="326"/>
        <w:spacing w:after="0" w:line="259" w:lineRule="auto"/>
        <w:tabs>
          <w:tab w:leader="none" w:pos="700" w:val="left"/>
        </w:tabs>
        <w:numPr>
          <w:ilvl w:val="0"/>
          <w:numId w:val="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Q1’22 revenue increased $4.0 million, or 39%, to $14.3 million from $10.3 million for Q1’21.</w:t>
      </w:r>
    </w:p>
    <w:p>
      <w:pPr>
        <w:spacing w:after="0" w:line="1" w:lineRule="exact"/>
        <w:rPr>
          <w:rFonts w:ascii="Times New Roman" w:cs="Times New Roman" w:eastAsia="Times New Roman" w:hAnsi="Times New Roman"/>
          <w:sz w:val="25"/>
          <w:szCs w:val="25"/>
          <w:color w:val="auto"/>
        </w:rPr>
      </w:pPr>
    </w:p>
    <w:p>
      <w:pPr>
        <w:ind w:left="700" w:right="259" w:hanging="326"/>
        <w:spacing w:after="0" w:line="247" w:lineRule="auto"/>
        <w:tabs>
          <w:tab w:leader="none" w:pos="700" w:val="left"/>
        </w:tabs>
        <w:numPr>
          <w:ilvl w:val="0"/>
          <w:numId w:val="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Company reported net income of $1.9 million for Q1’22, compared to a net loss of $0.5 million for Q1’21.</w:t>
      </w:r>
    </w:p>
    <w:p>
      <w:pPr>
        <w:spacing w:after="0" w:line="2" w:lineRule="exact"/>
        <w:rPr>
          <w:rFonts w:ascii="Times New Roman" w:cs="Times New Roman" w:eastAsia="Times New Roman" w:hAnsi="Times New Roman"/>
          <w:sz w:val="25"/>
          <w:szCs w:val="25"/>
          <w:color w:val="auto"/>
        </w:rPr>
      </w:pPr>
    </w:p>
    <w:p>
      <w:pPr>
        <w:ind w:left="700" w:right="899" w:hanging="326"/>
        <w:spacing w:after="0" w:line="247" w:lineRule="auto"/>
        <w:tabs>
          <w:tab w:leader="none" w:pos="700" w:val="left"/>
        </w:tabs>
        <w:numPr>
          <w:ilvl w:val="0"/>
          <w:numId w:val="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Adjusted EBITDA for Q1’22 improved to $3.1 million, compared to $0.8 million for Q1’21.</w:t>
      </w:r>
    </w:p>
    <w:p>
      <w:pPr>
        <w:spacing w:after="0" w:line="2" w:lineRule="exact"/>
        <w:rPr>
          <w:rFonts w:ascii="Times New Roman" w:cs="Times New Roman" w:eastAsia="Times New Roman" w:hAnsi="Times New Roman"/>
          <w:sz w:val="25"/>
          <w:szCs w:val="25"/>
          <w:color w:val="auto"/>
        </w:rPr>
      </w:pPr>
    </w:p>
    <w:p>
      <w:pPr>
        <w:ind w:left="700" w:right="559" w:hanging="326"/>
        <w:spacing w:after="0" w:line="258" w:lineRule="auto"/>
        <w:tabs>
          <w:tab w:leader="none" w:pos="700" w:val="left"/>
        </w:tabs>
        <w:numPr>
          <w:ilvl w:val="0"/>
          <w:numId w:val="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Basic EPS for Q1’22 was $0.10 compared to a net loss per share of $0.02 for Q1’21.</w:t>
      </w:r>
    </w:p>
    <w:p>
      <w:pPr>
        <w:spacing w:after="0" w:line="16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25"/>
          <w:szCs w:val="25"/>
          <w:color w:val="auto"/>
        </w:rPr>
        <w:t>“The Everspin team delivered an excellent quarter focusing on sales, yield improvement, and operational discipline in this tough supply chain environment,” said Sanjeev Aggarwal, President &amp; CEO. “We are optimistic about our business outlook and expect our new xSPI family of Low Density STT-MRAM products to drive growth across industrial and IoT markets.”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b w:val="1"/>
          <w:bCs w:val="1"/>
          <w:color w:val="auto"/>
        </w:rPr>
        <w:t>First Quarter 2022 Results</w:t>
      </w:r>
    </w:p>
    <w:p>
      <w:pPr>
        <w:spacing w:after="0" w:line="232" w:lineRule="exact"/>
        <w:rPr>
          <w:sz w:val="20"/>
          <w:szCs w:val="20"/>
          <w:color w:val="auto"/>
        </w:rPr>
      </w:pPr>
    </w:p>
    <w:p>
      <w:pPr>
        <w:jc w:val="both"/>
        <w:ind w:left="60" w:right="59"/>
        <w:spacing w:after="0" w:line="265" w:lineRule="auto"/>
        <w:rPr>
          <w:sz w:val="20"/>
          <w:szCs w:val="20"/>
          <w:color w:val="auto"/>
        </w:rPr>
      </w:pPr>
      <w:r>
        <w:rPr>
          <w:rFonts w:ascii="Times New Roman" w:cs="Times New Roman" w:eastAsia="Times New Roman" w:hAnsi="Times New Roman"/>
          <w:sz w:val="25"/>
          <w:szCs w:val="25"/>
          <w:color w:val="auto"/>
        </w:rPr>
        <w:t>Total revenue for the first quarter of 2022 was $14.3 million, a decrease of 21% from the $18.2 million reported in the fourth quarter of 2021, which primarily reflects $3.9M in revenue recognized in the fourth quarter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318770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 w:name="page5"/>
    <w:bookmarkEnd w:id="4"/>
    <w:p>
      <w:pPr>
        <w:jc w:val="both"/>
        <w:ind w:left="60" w:right="59"/>
        <w:spacing w:after="0" w:line="282" w:lineRule="auto"/>
        <w:rPr>
          <w:sz w:val="20"/>
          <w:szCs w:val="20"/>
          <w:color w:val="auto"/>
        </w:rPr>
      </w:pPr>
      <w:r>
        <w:rPr>
          <w:rFonts w:ascii="Times New Roman" w:cs="Times New Roman" w:eastAsia="Times New Roman" w:hAnsi="Times New Roman"/>
          <w:sz w:val="25"/>
          <w:szCs w:val="25"/>
          <w:color w:val="auto"/>
        </w:rPr>
        <w:t>2021 from a one-time intellectual property (“IP”) monetization deal. This is an increase of 39% compared to $10.3 million of revenue in the first quarter of 2021.</w:t>
      </w:r>
    </w:p>
    <w:p>
      <w:pPr>
        <w:spacing w:after="0" w:line="134" w:lineRule="exact"/>
        <w:rPr>
          <w:sz w:val="20"/>
          <w:szCs w:val="20"/>
          <w:color w:val="auto"/>
        </w:rPr>
      </w:pPr>
    </w:p>
    <w:p>
      <w:pPr>
        <w:jc w:val="both"/>
        <w:ind w:left="60" w:right="59"/>
        <w:spacing w:after="0" w:line="265" w:lineRule="auto"/>
        <w:rPr>
          <w:sz w:val="20"/>
          <w:szCs w:val="20"/>
          <w:color w:val="auto"/>
        </w:rPr>
      </w:pPr>
      <w:r>
        <w:rPr>
          <w:rFonts w:ascii="Times New Roman" w:cs="Times New Roman" w:eastAsia="Times New Roman" w:hAnsi="Times New Roman"/>
          <w:sz w:val="25"/>
          <w:szCs w:val="25"/>
          <w:color w:val="auto"/>
        </w:rPr>
        <w:t>MRAM product sales in the first quarter of 2022, which includes both Toggle and STT-MRAM revenue, was $12.7 million compared to $12.6 million in the fourth quarter of 2021 and $9.1 million in the first quarter of 2021.</w:t>
      </w:r>
    </w:p>
    <w:p>
      <w:pPr>
        <w:spacing w:after="0" w:line="155" w:lineRule="exact"/>
        <w:rPr>
          <w:sz w:val="20"/>
          <w:szCs w:val="20"/>
          <w:color w:val="auto"/>
        </w:rPr>
      </w:pPr>
    </w:p>
    <w:p>
      <w:pPr>
        <w:jc w:val="both"/>
        <w:ind w:left="60" w:right="79"/>
        <w:spacing w:after="0" w:line="265" w:lineRule="auto"/>
        <w:rPr>
          <w:sz w:val="20"/>
          <w:szCs w:val="20"/>
          <w:color w:val="auto"/>
        </w:rPr>
      </w:pPr>
      <w:r>
        <w:rPr>
          <w:rFonts w:ascii="Times New Roman" w:cs="Times New Roman" w:eastAsia="Times New Roman" w:hAnsi="Times New Roman"/>
          <w:sz w:val="25"/>
          <w:szCs w:val="25"/>
          <w:color w:val="auto"/>
        </w:rPr>
        <w:t>Licensing, Royalties, Patents and Other revenue in the first quarter of 2022 was $1.7 million compared to $5.6 million in the fourth quarter of 2021 and $1.2 million in the first quarter of 2021.</w:t>
      </w:r>
    </w:p>
    <w:p>
      <w:pPr>
        <w:spacing w:after="0" w:line="155" w:lineRule="exact"/>
        <w:rPr>
          <w:sz w:val="20"/>
          <w:szCs w:val="20"/>
          <w:color w:val="auto"/>
        </w:rPr>
      </w:pPr>
    </w:p>
    <w:p>
      <w:pPr>
        <w:jc w:val="both"/>
        <w:ind w:left="60" w:right="59"/>
        <w:spacing w:after="0" w:line="265" w:lineRule="auto"/>
        <w:rPr>
          <w:sz w:val="20"/>
          <w:szCs w:val="20"/>
          <w:color w:val="auto"/>
        </w:rPr>
      </w:pPr>
      <w:r>
        <w:rPr>
          <w:rFonts w:ascii="Times New Roman" w:cs="Times New Roman" w:eastAsia="Times New Roman" w:hAnsi="Times New Roman"/>
          <w:sz w:val="25"/>
          <w:szCs w:val="25"/>
          <w:color w:val="auto"/>
        </w:rPr>
        <w:t>The increase in total revenue for the first quarter of 2022 compared to the first quarter of 2021 was due to strong Toggle sales and an increase in revenue recognized from a U.S. Government RAD-Hard program entered into during the second quarter of 2021.</w:t>
      </w:r>
    </w:p>
    <w:p>
      <w:pPr>
        <w:spacing w:after="0" w:line="15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25"/>
          <w:szCs w:val="25"/>
          <w:color w:val="auto"/>
        </w:rPr>
        <w:t>Gross margin for the first quarter of 2022 was 58.0%, compared to 62.8% in the fourth quarter of 2021, and 58.2% in the first quarter of 2021. The decrease in gross margin in the first quarter of 2022 compared to the fourth quarter of 2021 was attributable to higher margin related to the IP monetization deal in the fourth quarter of 2021 as noted above.</w:t>
      </w:r>
    </w:p>
    <w:p>
      <w:pPr>
        <w:spacing w:after="0" w:line="16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25"/>
          <w:szCs w:val="25"/>
          <w:color w:val="auto"/>
        </w:rPr>
        <w:t>GAAP operating expenses was $6.3 million in the first quarter of 2022, compared to $7.7 million in the fourth quarter of 2021 and $6.3 million in the first quarter of 2021. GAAP operating expenses decreased in the first quarter of 2022 compared to the fourth quarter of 2021 as a result of decreased research and development spend related to the new 28nm product sampling this quarter.</w:t>
      </w:r>
    </w:p>
    <w:p>
      <w:pPr>
        <w:spacing w:after="0" w:line="16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25"/>
          <w:szCs w:val="25"/>
          <w:color w:val="auto"/>
        </w:rPr>
        <w:t>GAAP net income for the first quarter of 2022 was $1.9 million, or $0.10 per basic share, based on 19.9 million weighted-average basic common shares outstanding. This compares to a net income of $3.7 million, or $0.19 per basic share, in the fourth quarter of 2021 and a net loss of $0.5 million, or ($0.02) per basic share, in the first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652780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25"/>
          <w:szCs w:val="25"/>
          <w:b w:val="1"/>
          <w:bCs w:val="1"/>
          <w:color w:val="auto"/>
        </w:rPr>
        <w:t>Business Outlook</w:t>
      </w:r>
    </w:p>
    <w:p>
      <w:pPr>
        <w:spacing w:after="0" w:line="23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25"/>
          <w:szCs w:val="25"/>
          <w:color w:val="auto"/>
        </w:rPr>
        <w:t>For the second quarter 2022, Everspin expects total revenue in a range of $13.6 million to $14.6 million. Everspin expects industry supply constraints to limit supply and push some unfulfilled customer demand to the second half of the year. Everspin expects GAAP net income (loss) per basic share to be between ($0.06) and breakeven, primarily driven by expenses related to next generation 28nm STT MRAM product development and price increases from our suppliers.</w:t>
      </w:r>
    </w:p>
    <w:p>
      <w:pPr>
        <w:spacing w:after="0" w:line="17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25"/>
          <w:szCs w:val="25"/>
          <w:color w:val="auto"/>
        </w:rPr>
        <w:t>This outlook is dependent on Everspin's current expectations, which may be impacted by, among other things, evolving external conditions, such as the resurgence of COVID-19 and its variants, local safety guidelines, worsening impacts due to supply chain constraints or interruptions, including due to the recent military conflict in Ukraine, and the other risk factors described in Everspin's filings with the Securities and Exchange Commission (the "SEC"), including its Annual Report on Form 10-K for the fiscal year ended December 31, 2021, its Quarterly Reports on Form 10-Q filed with the SEC during 2022, as well as in its subsequent filings with the SEC.</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b w:val="1"/>
          <w:bCs w:val="1"/>
          <w:color w:val="auto"/>
        </w:rPr>
        <w:t>Use of Non-GAAP Financial Measures</w:t>
      </w:r>
    </w:p>
    <w:p>
      <w:pPr>
        <w:spacing w:after="0" w:line="23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25"/>
          <w:szCs w:val="25"/>
          <w:color w:val="auto"/>
        </w:rPr>
        <w:t>We supplement the reporting of our financial information determined under generally accepted accounting principles in the United States of America (GAAP) with Adjusted EBITDA, which is a non-GAAP financial measure. We define Adjusted EBITDA as net income (loss) adjusted for interest expense, taxes, depreciation and amortization, stock-based compensation expense, and restructuring costs if any.</w:t>
      </w:r>
    </w:p>
    <w:p>
      <w:pPr>
        <w:spacing w:after="0" w:line="16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25"/>
          <w:szCs w:val="25"/>
          <w:color w:val="auto"/>
        </w:rPr>
        <w:t>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327025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6" w:name="page7"/>
    <w:bookmarkEnd w:id="6"/>
    <w:p>
      <w:pPr>
        <w:jc w:val="both"/>
        <w:ind w:left="60" w:right="59"/>
        <w:spacing w:after="0" w:line="252" w:lineRule="auto"/>
        <w:rPr>
          <w:sz w:val="20"/>
          <w:szCs w:val="20"/>
          <w:color w:val="auto"/>
        </w:rPr>
      </w:pPr>
      <w:r>
        <w:rPr>
          <w:rFonts w:ascii="Times New Roman" w:cs="Times New Roman" w:eastAsia="Times New Roman" w:hAnsi="Times New Roman"/>
          <w:sz w:val="25"/>
          <w:szCs w:val="25"/>
          <w:color w:val="auto"/>
        </w:rPr>
        <w:t>evaluating our operating results in the same manner as our management and our board of directors. Adjusted EBITDA is a non-GAAP financial measure and should be considered in addition to, not as superior to, or as a substitute for, net income (loss) reported in accordance with GAAP. Moreover, other companies may define non-GAAP measures differently, which limits the usefulness of these measures for comparisons with such other companies. We encourage investors to review our financial statements and publicly-filed reports in their entirety and not to rely on any single financial measure.</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b w:val="1"/>
          <w:bCs w:val="1"/>
          <w:color w:val="auto"/>
        </w:rPr>
        <w:t>Conference Call</w:t>
      </w:r>
    </w:p>
    <w:p>
      <w:pPr>
        <w:spacing w:after="0" w:line="23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25"/>
          <w:szCs w:val="25"/>
          <w:color w:val="auto"/>
        </w:rPr>
        <w:t xml:space="preserve">Everspin will host a conference call for analysts and investors on Wednesday, May 11, 2022, at 5:00 p.m. Eastern Time. Interested participants can access the call by dialing </w:t>
      </w:r>
      <w:r>
        <w:rPr>
          <w:rFonts w:ascii="Times New Roman" w:cs="Times New Roman" w:eastAsia="Times New Roman" w:hAnsi="Times New Roman"/>
          <w:sz w:val="25"/>
          <w:szCs w:val="25"/>
          <w:b w:val="1"/>
          <w:bCs w:val="1"/>
          <w:color w:val="auto"/>
        </w:rPr>
        <w:t xml:space="preserve">1-844-889-7788 </w:t>
      </w:r>
      <w:r>
        <w:rPr>
          <w:rFonts w:ascii="Times New Roman" w:cs="Times New Roman" w:eastAsia="Times New Roman" w:hAnsi="Times New Roman"/>
          <w:sz w:val="25"/>
          <w:szCs w:val="25"/>
          <w:color w:val="auto"/>
        </w:rPr>
        <w:t>and providing passcode 6790186. International callers may join the call</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25"/>
          <w:szCs w:val="25"/>
          <w:color w:val="auto"/>
        </w:rPr>
        <w:t xml:space="preserve">by dialing </w:t>
      </w:r>
      <w:r>
        <w:rPr>
          <w:rFonts w:ascii="Times New Roman" w:cs="Times New Roman" w:eastAsia="Times New Roman" w:hAnsi="Times New Roman"/>
          <w:sz w:val="25"/>
          <w:szCs w:val="25"/>
          <w:b w:val="1"/>
          <w:bCs w:val="1"/>
          <w:color w:val="auto"/>
        </w:rPr>
        <w:t>+1-661-378-9932</w:t>
      </w:r>
      <w:r>
        <w:rPr>
          <w:rFonts w:ascii="Times New Roman" w:cs="Times New Roman" w:eastAsia="Times New Roman" w:hAnsi="Times New Roman"/>
          <w:sz w:val="25"/>
          <w:szCs w:val="25"/>
          <w:color w:val="auto"/>
        </w:rPr>
        <w:t>, using the same code. The call will also be available as a live and archived webcast in the Investor Relations section of the company’s website at investor.everspin.com.</w:t>
      </w:r>
    </w:p>
    <w:p>
      <w:pPr>
        <w:spacing w:after="0" w:line="172" w:lineRule="exact"/>
        <w:rPr>
          <w:sz w:val="20"/>
          <w:szCs w:val="20"/>
          <w:color w:val="auto"/>
        </w:rPr>
      </w:pPr>
    </w:p>
    <w:p>
      <w:pPr>
        <w:ind w:left="60" w:right="259"/>
        <w:spacing w:after="0" w:line="259" w:lineRule="auto"/>
        <w:rPr>
          <w:sz w:val="20"/>
          <w:szCs w:val="20"/>
          <w:color w:val="auto"/>
        </w:rPr>
      </w:pPr>
      <w:r>
        <w:rPr>
          <w:rFonts w:ascii="Times New Roman" w:cs="Times New Roman" w:eastAsia="Times New Roman" w:hAnsi="Times New Roman"/>
          <w:sz w:val="25"/>
          <w:szCs w:val="25"/>
          <w:color w:val="auto"/>
        </w:rPr>
        <w:t>A telephone replay of the conference call will be available approximately two hours after the call through May 18, 2022. The replay can be accessed by dialing 1-855-859-2056 and using the passcode 6790186. International callers should dial +1-404-537-3406 and enter the same passcode at the prompt.</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b w:val="1"/>
          <w:bCs w:val="1"/>
          <w:color w:val="auto"/>
        </w:rPr>
        <w:t>About Everspin Technologies</w:t>
      </w:r>
    </w:p>
    <w:p>
      <w:pPr>
        <w:spacing w:after="0" w:line="23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25"/>
          <w:szCs w:val="25"/>
          <w:color w:val="auto"/>
        </w:rPr>
        <w:t>Everspin Technologies, Inc. is the world’s leading provider of Magnetoresistive RAM (MRAM). Everspin MRAM delivers the industry’s most robust, highest performance non-volatile memory for Industrial IoT, Data Center, and other mission-critical applications where data persistence is paramount. Headquartered in Chandler, Arizona, Everspin provides commercially available MRAM solutions to a large and diverse customer base. For more information, visit www.everspin.com. NASDAQ: MRAM.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655320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25"/>
          <w:szCs w:val="25"/>
          <w:b w:val="1"/>
          <w:bCs w:val="1"/>
          <w:color w:val="auto"/>
        </w:rPr>
        <w:t>Cautionary Statement Regarding Forward-Looking Statements</w:t>
      </w:r>
    </w:p>
    <w:p>
      <w:pPr>
        <w:spacing w:after="0" w:line="232" w:lineRule="exact"/>
        <w:rPr>
          <w:sz w:val="20"/>
          <w:szCs w:val="20"/>
          <w:color w:val="auto"/>
        </w:rPr>
      </w:pPr>
    </w:p>
    <w:p>
      <w:pPr>
        <w:jc w:val="both"/>
        <w:ind w:left="60" w:right="59"/>
        <w:spacing w:after="0" w:line="249" w:lineRule="auto"/>
        <w:rPr>
          <w:sz w:val="20"/>
          <w:szCs w:val="20"/>
          <w:color w:val="auto"/>
        </w:rPr>
      </w:pPr>
      <w:r>
        <w:rPr>
          <w:rFonts w:ascii="Times New Roman" w:cs="Times New Roman" w:eastAsia="Times New Roman" w:hAnsi="Times New Roman"/>
          <w:sz w:val="25"/>
          <w:szCs w:val="25"/>
          <w:color w:val="auto"/>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statementsare identified by words such as “believe”, “will”, “may”, “estimate”, “continue”, “anticipate”, “intend”, “should”, “plan”, “expect”, “predict”, “could”, “potentially" or the negative of these terms or similar expressions. These include, but are not limited to, our future plans, strategies, objectives, expectations, intentions and financial performance, including the outlook and guidance for second quarter 2022 results; our expectations regarding supply constraints, expenses relating to 28nm STT MRAM product development and price increases from our suppliers; our expectations that our new xSPI family of Low Density STT-MRAM products will drive growth across industrial and IoT markets; and the assumptions that underlie these statements. Actual results could differ materially from these forward-looking statements as a result of certain risks and uncertainties, including, without limitation, the risks set forth under the caption “Risk Factors” in Everspin’s Annual Report on Form 10-K for the year ended December 31, 2021 filed with the SEC on March 9, 2022, its Quarterly Reports on Form 10-Q filed with the SEC during 2022,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b w:val="1"/>
          <w:bCs w:val="1"/>
          <w:color w:val="auto"/>
        </w:rPr>
        <w:t>Company Contact:</w:t>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Anuj Aggarwal, CFO</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T: 480-347-1082</w:t>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E: anuj.aggarwal@everspin.com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671195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EVERSPIN TECHNOLOGIES,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Condensed Balance Sheets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 issued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outstanding as of March 31, 2022 and December 31, 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100,000,000 shares authorized; 19,970,786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19,858,460 shares issued and outstanding as of March 31, 2022,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(150,896)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5"/>
        </w:trPr>
        <w:tc>
          <w:tcPr>
            <w:tcW w:w="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9" w:name="page10"/>
    <w:bookmarkEnd w:id="9"/>
    <w:p>
      <w:pPr>
        <w:jc w:val="center"/>
        <w:ind w:left="1500" w:right="1400"/>
        <w:spacing w:after="0" w:line="251" w:lineRule="auto"/>
        <w:rPr>
          <w:sz w:val="20"/>
          <w:szCs w:val="20"/>
          <w:color w:val="auto"/>
        </w:rPr>
      </w:pPr>
      <w:r>
        <w:rPr>
          <w:rFonts w:ascii="Times New Roman" w:cs="Times New Roman" w:eastAsia="Times New Roman" w:hAnsi="Times New Roman"/>
          <w:sz w:val="20"/>
          <w:szCs w:val="20"/>
          <w:b w:val="1"/>
          <w:bCs w:val="1"/>
          <w:color w:val="auto"/>
        </w:rPr>
        <w:t>EVERSPIN TECHNOLOGIES, INC. Condensed Statements of Operations and Comprehensive Income (Loss) (In thousands, except share and per share amounts) (Unaudited)</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96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common share:</w:t>
            </w: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19,896,654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19,092,367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20,726,193</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19,092,367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Operating expenses include stock-based compensation as follows: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5"/>
        </w:trPr>
        <w:tc>
          <w:tcPr>
            <w:tcW w:w="2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EVERSPIN TECHNOLOGIES,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Condensed Statement of Cash Flows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Non-cash warrant revaluation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exercise of stock options and purchase of shares in employee stock purchase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0" w:type="dxa"/>
            <w:vAlign w:val="bottom"/>
          </w:tcPr>
          <w:p>
            <w:pPr>
              <w:spacing w:after="0"/>
              <w:rPr>
                <w:sz w:val="1"/>
                <w:szCs w:val="1"/>
                <w:color w:val="auto"/>
              </w:rPr>
            </w:pPr>
          </w:p>
        </w:tc>
      </w:tr>
      <w:tr>
        <w:trPr>
          <w:trHeight w:val="24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Financing cash flows paid for finance leases</w:t>
            </w: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4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8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liabilities</w:t>
            </w: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4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18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Bonus settled in shares of common stock</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5"/>
        </w:trPr>
        <w:tc>
          <w:tcPr>
            <w:tcW w:w="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4"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EVERSPIN TECHNOLOGIES,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Adjusted EBITDA Reconciliation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50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2"/>
                <w:szCs w:val="12"/>
                <w:color w:val="auto"/>
              </w:rPr>
            </w:pPr>
          </w:p>
        </w:tc>
        <w:tc>
          <w:tcPr>
            <w:tcW w:w="130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9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20" w:type="dxa"/>
            <w:vAlign w:val="bottom"/>
          </w:tcPr>
          <w:p>
            <w:pPr>
              <w:spacing w:after="0"/>
              <w:rPr>
                <w:sz w:val="12"/>
                <w:szCs w:val="12"/>
                <w:color w:val="auto"/>
              </w:rPr>
            </w:pPr>
          </w:p>
        </w:tc>
      </w:tr>
      <w:tr>
        <w:trPr>
          <w:trHeight w:val="209"/>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1,935</w:t>
            </w:r>
          </w:p>
        </w:tc>
        <w:tc>
          <w:tcPr>
            <w:tcW w:w="54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3,667</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753</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5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2022-05-11T15:51:04Z</dcterms:created>
  <dcterms:modified xsi:type="dcterms:W3CDTF">2022-05-11T15:51:04Z</dcterms:modified>
</cp:coreProperties>
</file>